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Default="00451DCC" w:rsidP="00483D8F">
      <w:pPr>
        <w:pStyle w:val="Nadpis1"/>
        <w:numPr>
          <w:ilvl w:val="0"/>
          <w:numId w:val="6"/>
        </w:numPr>
        <w:jc w:val="both"/>
      </w:pPr>
      <w:bookmarkStart w:id="0" w:name="_Toc446341886"/>
      <w:proofErr w:type="spellStart"/>
      <w:r>
        <w:t>Monetary</w:t>
      </w:r>
      <w:proofErr w:type="spellEnd"/>
      <w:r>
        <w:t xml:space="preserve"> </w:t>
      </w:r>
      <w:proofErr w:type="spellStart"/>
      <w:r>
        <w:t>Conditions</w:t>
      </w:r>
      <w:bookmarkEnd w:id="0"/>
      <w:proofErr w:type="spellEnd"/>
    </w:p>
    <w:tbl>
      <w:tblPr>
        <w:tblW w:w="5000" w:type="pct"/>
        <w:tblLayout w:type="fixed"/>
        <w:tblLook w:val="00A0"/>
      </w:tblPr>
      <w:tblGrid>
        <w:gridCol w:w="2077"/>
        <w:gridCol w:w="282"/>
        <w:gridCol w:w="7495"/>
      </w:tblGrid>
      <w:tr w:rsidR="00960769" w:rsidRPr="00831EC2" w:rsidTr="00960769">
        <w:tc>
          <w:tcPr>
            <w:tcW w:w="1054" w:type="pct"/>
          </w:tcPr>
          <w:p w:rsidR="00960769" w:rsidRPr="00C05C71" w:rsidRDefault="00E30DA2" w:rsidP="00E30DA2">
            <w:pPr>
              <w:spacing w:line="240" w:lineRule="auto"/>
              <w:rPr>
                <w:sz w:val="16"/>
                <w:szCs w:val="16"/>
                <w:lang w:val="en-GB"/>
              </w:rPr>
            </w:pPr>
            <w:r>
              <w:rPr>
                <w:sz w:val="16"/>
                <w:szCs w:val="16"/>
                <w:lang w:val="en-GB"/>
              </w:rPr>
              <w:t>Key</w:t>
            </w:r>
            <w:r w:rsidR="00C05C71" w:rsidRPr="00C05C71">
              <w:rPr>
                <w:sz w:val="16"/>
                <w:szCs w:val="16"/>
                <w:lang w:val="en-GB"/>
              </w:rPr>
              <w:t xml:space="preserve"> interest rates still close to zero, </w:t>
            </w:r>
            <w:r>
              <w:rPr>
                <w:sz w:val="16"/>
                <w:szCs w:val="16"/>
                <w:lang w:val="en-GB"/>
              </w:rPr>
              <w:t>crown</w:t>
            </w:r>
            <w:r w:rsidR="007025D8">
              <w:rPr>
                <w:sz w:val="16"/>
                <w:szCs w:val="16"/>
                <w:lang w:val="en-GB"/>
              </w:rPr>
              <w:t xml:space="preserve"> foreign </w:t>
            </w:r>
            <w:r w:rsidR="00C05C71" w:rsidRPr="00C05C71">
              <w:rPr>
                <w:sz w:val="16"/>
                <w:szCs w:val="16"/>
                <w:lang w:val="en-GB"/>
              </w:rPr>
              <w:t xml:space="preserve">exchange still kept above the level of </w:t>
            </w:r>
            <w:r w:rsidR="00960769" w:rsidRPr="00C05C71">
              <w:rPr>
                <w:sz w:val="16"/>
                <w:szCs w:val="16"/>
                <w:lang w:val="en-GB"/>
              </w:rPr>
              <w:t>27 </w:t>
            </w:r>
            <w:r w:rsidR="00C05C71" w:rsidRPr="00C05C71">
              <w:rPr>
                <w:sz w:val="16"/>
                <w:szCs w:val="16"/>
                <w:lang w:val="en-GB"/>
              </w:rPr>
              <w:t>cr</w:t>
            </w:r>
            <w:r w:rsidR="00C05C71">
              <w:rPr>
                <w:sz w:val="16"/>
                <w:szCs w:val="16"/>
                <w:lang w:val="en-GB"/>
              </w:rPr>
              <w:t>ow</w:t>
            </w:r>
            <w:r w:rsidR="00C05C71" w:rsidRPr="00C05C71">
              <w:rPr>
                <w:sz w:val="16"/>
                <w:szCs w:val="16"/>
                <w:lang w:val="en-GB"/>
              </w:rPr>
              <w:t xml:space="preserve">ns per euro </w:t>
            </w:r>
          </w:p>
        </w:tc>
        <w:tc>
          <w:tcPr>
            <w:tcW w:w="143" w:type="pct"/>
          </w:tcPr>
          <w:p w:rsidR="00960769" w:rsidRPr="00C05C71" w:rsidRDefault="00960769" w:rsidP="00960769">
            <w:pPr>
              <w:pStyle w:val="Textpoznpodarou"/>
              <w:jc w:val="both"/>
              <w:rPr>
                <w:lang w:val="en-GB"/>
              </w:rPr>
            </w:pPr>
          </w:p>
        </w:tc>
        <w:tc>
          <w:tcPr>
            <w:tcW w:w="3803" w:type="pct"/>
          </w:tcPr>
          <w:p w:rsidR="00960769" w:rsidRPr="00C05C71" w:rsidRDefault="00E30DA2" w:rsidP="00960769">
            <w:pPr>
              <w:pStyle w:val="Textpoznpodarou"/>
              <w:jc w:val="both"/>
              <w:rPr>
                <w:lang w:val="en-GB"/>
              </w:rPr>
            </w:pPr>
            <w:r>
              <w:rPr>
                <w:lang w:val="en-GB"/>
              </w:rPr>
              <w:t>Monetary</w:t>
            </w:r>
            <w:r w:rsidR="00C05C71" w:rsidRPr="00C05C71">
              <w:rPr>
                <w:lang w:val="en-GB"/>
              </w:rPr>
              <w:t xml:space="preserve"> conditions remained </w:t>
            </w:r>
            <w:r>
              <w:rPr>
                <w:lang w:val="en-GB"/>
              </w:rPr>
              <w:t>easy</w:t>
            </w:r>
            <w:r w:rsidR="00C05C71" w:rsidRPr="00C05C71">
              <w:rPr>
                <w:lang w:val="en-GB"/>
              </w:rPr>
              <w:t xml:space="preserve"> throughout the whole year 2015 and thus worked in the direction of growth of both the</w:t>
            </w:r>
            <w:r w:rsidR="00C05C71">
              <w:rPr>
                <w:lang w:val="en-GB"/>
              </w:rPr>
              <w:t xml:space="preserve"> </w:t>
            </w:r>
            <w:r w:rsidR="00C05C71" w:rsidRPr="00C05C71">
              <w:rPr>
                <w:lang w:val="en-GB"/>
              </w:rPr>
              <w:t xml:space="preserve">performance of the Czech economy and the price level. </w:t>
            </w:r>
            <w:r>
              <w:rPr>
                <w:lang w:val="en-GB"/>
              </w:rPr>
              <w:t>Key</w:t>
            </w:r>
            <w:r w:rsidR="00C05C71" w:rsidRPr="00C05C71">
              <w:rPr>
                <w:lang w:val="en-GB"/>
              </w:rPr>
              <w:t xml:space="preserve"> interest rates are practically zero since the end of year </w:t>
            </w:r>
            <w:proofErr w:type="gramStart"/>
            <w:r w:rsidR="00C05C71" w:rsidRPr="00C05C71">
              <w:rPr>
                <w:lang w:val="en-GB"/>
              </w:rPr>
              <w:t>2012,</w:t>
            </w:r>
            <w:proofErr w:type="gramEnd"/>
            <w:r w:rsidR="00C05C71" w:rsidRPr="00C05C71">
              <w:rPr>
                <w:lang w:val="en-GB"/>
              </w:rPr>
              <w:t xml:space="preserve"> the </w:t>
            </w:r>
            <w:r>
              <w:rPr>
                <w:lang w:val="en-GB"/>
              </w:rPr>
              <w:t>crown</w:t>
            </w:r>
            <w:r w:rsidR="007025D8">
              <w:rPr>
                <w:lang w:val="en-GB"/>
              </w:rPr>
              <w:t xml:space="preserve"> foreign </w:t>
            </w:r>
            <w:r w:rsidR="00C05C71" w:rsidRPr="00C05C71">
              <w:rPr>
                <w:lang w:val="en-GB"/>
              </w:rPr>
              <w:t xml:space="preserve">exchange is kept above the level of 27 crowns per euro since November 2013. A weaker economic growth of the euro area against the USA together with the quantitative </w:t>
            </w:r>
            <w:r>
              <w:rPr>
                <w:lang w:val="en-GB"/>
              </w:rPr>
              <w:t>easing</w:t>
            </w:r>
            <w:r w:rsidR="00C05C71" w:rsidRPr="00C05C71">
              <w:rPr>
                <w:lang w:val="en-GB"/>
              </w:rPr>
              <w:t xml:space="preserve"> of the ECB created pressure on the depreciation of euro against the US dollar. It depreciated significa</w:t>
            </w:r>
            <w:r w:rsidR="00C05C71">
              <w:rPr>
                <w:lang w:val="en-GB"/>
              </w:rPr>
              <w:t>ntly</w:t>
            </w:r>
            <w:r w:rsidR="00C05C71" w:rsidRPr="00C05C71">
              <w:rPr>
                <w:lang w:val="en-GB"/>
              </w:rPr>
              <w:t xml:space="preserve">, however the Czech crown also lost with it. </w:t>
            </w:r>
            <w:r w:rsidR="00C05C71">
              <w:rPr>
                <w:lang w:val="en-GB"/>
              </w:rPr>
              <w:t xml:space="preserve">While it appreciated by </w:t>
            </w:r>
            <w:r w:rsidR="00960769" w:rsidRPr="00C05C71">
              <w:rPr>
                <w:lang w:val="en-GB"/>
              </w:rPr>
              <w:t>0</w:t>
            </w:r>
            <w:r w:rsidR="00C05C71">
              <w:rPr>
                <w:lang w:val="en-GB"/>
              </w:rPr>
              <w:t>.</w:t>
            </w:r>
            <w:r w:rsidR="00404AC3">
              <w:rPr>
                <w:lang w:val="en-GB"/>
              </w:rPr>
              <w:t>9</w:t>
            </w:r>
            <w:r w:rsidR="00960769" w:rsidRPr="00C05C71">
              <w:rPr>
                <w:lang w:val="en-GB"/>
              </w:rPr>
              <w:t>%</w:t>
            </w:r>
            <w:r w:rsidR="00784A0E">
              <w:rPr>
                <w:lang w:val="en-GB"/>
              </w:rPr>
              <w:t xml:space="preserve"> </w:t>
            </w:r>
            <w:r w:rsidR="00C05C71">
              <w:rPr>
                <w:lang w:val="en-GB"/>
              </w:rPr>
              <w:t xml:space="preserve">against the euro, it lost </w:t>
            </w:r>
            <w:r w:rsidR="00960769" w:rsidRPr="00C05C71">
              <w:rPr>
                <w:lang w:val="en-GB"/>
              </w:rPr>
              <w:t>18</w:t>
            </w:r>
            <w:r w:rsidR="00C05C71">
              <w:rPr>
                <w:lang w:val="en-GB"/>
              </w:rPr>
              <w:t>.</w:t>
            </w:r>
            <w:r w:rsidR="00404AC3">
              <w:rPr>
                <w:lang w:val="en-GB"/>
              </w:rPr>
              <w:t>5</w:t>
            </w:r>
            <w:r w:rsidR="00960769" w:rsidRPr="00C05C71">
              <w:rPr>
                <w:lang w:val="en-GB"/>
              </w:rPr>
              <w:t>%</w:t>
            </w:r>
            <w:r w:rsidR="00C05C71">
              <w:rPr>
                <w:lang w:val="en-GB"/>
              </w:rPr>
              <w:t xml:space="preserve"> of its value against the dollar. The money s</w:t>
            </w:r>
            <w:r>
              <w:rPr>
                <w:lang w:val="en-GB"/>
              </w:rPr>
              <w:t>upply</w:t>
            </w:r>
            <w:r w:rsidR="00C05C71">
              <w:rPr>
                <w:lang w:val="en-GB"/>
              </w:rPr>
              <w:t xml:space="preserve"> expres</w:t>
            </w:r>
            <w:r>
              <w:rPr>
                <w:lang w:val="en-GB"/>
              </w:rPr>
              <w:t>sed by the monetary aggregate</w:t>
            </w:r>
            <w:r w:rsidR="00C05C71">
              <w:rPr>
                <w:lang w:val="en-GB"/>
              </w:rPr>
              <w:t xml:space="preserve"> M2 increased by </w:t>
            </w:r>
            <w:r w:rsidR="00960769" w:rsidRPr="00C05C71">
              <w:rPr>
                <w:lang w:val="en-GB"/>
              </w:rPr>
              <w:t>6</w:t>
            </w:r>
            <w:r w:rsidR="00C05C71">
              <w:rPr>
                <w:lang w:val="en-GB"/>
              </w:rPr>
              <w:t>.</w:t>
            </w:r>
            <w:r w:rsidR="00404AC3">
              <w:rPr>
                <w:lang w:val="en-GB"/>
              </w:rPr>
              <w:t>9</w:t>
            </w:r>
            <w:r w:rsidR="00960769" w:rsidRPr="00C05C71">
              <w:rPr>
                <w:lang w:val="en-GB"/>
              </w:rPr>
              <w:t>%</w:t>
            </w:r>
            <w:r w:rsidR="00C05C71">
              <w:rPr>
                <w:lang w:val="en-GB"/>
              </w:rPr>
              <w:t xml:space="preserve"> year-on-year in December 2015. Even though it mildly slowed down, it grew faster than would correspond to the average for the whole year and also faster than in each month of years </w:t>
            </w:r>
            <w:r w:rsidR="00960769" w:rsidRPr="00C05C71">
              <w:rPr>
                <w:lang w:val="en-GB"/>
              </w:rPr>
              <w:t>2010</w:t>
            </w:r>
            <w:r w:rsidR="0058134C" w:rsidRPr="00F57DB4">
              <w:rPr>
                <w:lang w:val="en-GB"/>
              </w:rPr>
              <w:t>–</w:t>
            </w:r>
            <w:r w:rsidR="00960769" w:rsidRPr="00C05C71">
              <w:rPr>
                <w:lang w:val="en-GB"/>
              </w:rPr>
              <w:t>2014.</w:t>
            </w:r>
          </w:p>
          <w:p w:rsidR="00960769" w:rsidRPr="00C05C71" w:rsidRDefault="00960769" w:rsidP="00960769">
            <w:pPr>
              <w:pStyle w:val="Textpoznpodarou"/>
              <w:jc w:val="both"/>
              <w:rPr>
                <w:spacing w:val="-2"/>
                <w:sz w:val="18"/>
                <w:szCs w:val="18"/>
                <w:lang w:val="en-GB"/>
              </w:rPr>
            </w:pPr>
          </w:p>
        </w:tc>
      </w:tr>
      <w:tr w:rsidR="00960769" w:rsidRPr="00831EC2" w:rsidTr="00960769">
        <w:tc>
          <w:tcPr>
            <w:tcW w:w="1054" w:type="pct"/>
          </w:tcPr>
          <w:p w:rsidR="00960769" w:rsidRPr="00C05C71" w:rsidRDefault="00E30DA2" w:rsidP="00E30DA2">
            <w:pPr>
              <w:spacing w:line="240" w:lineRule="auto"/>
              <w:rPr>
                <w:sz w:val="16"/>
                <w:szCs w:val="16"/>
                <w:lang w:val="en-GB"/>
              </w:rPr>
            </w:pPr>
            <w:r>
              <w:rPr>
                <w:sz w:val="16"/>
                <w:szCs w:val="16"/>
                <w:lang w:val="en-GB"/>
              </w:rPr>
              <w:t>Velocity</w:t>
            </w:r>
            <w:r w:rsidR="005C7122">
              <w:rPr>
                <w:sz w:val="16"/>
                <w:szCs w:val="16"/>
                <w:lang w:val="en-GB"/>
              </w:rPr>
              <w:t xml:space="preserve"> of money started to decrease in the second half of </w:t>
            </w:r>
            <w:r w:rsidR="00960769" w:rsidRPr="00C05C71">
              <w:rPr>
                <w:sz w:val="16"/>
                <w:szCs w:val="16"/>
                <w:lang w:val="en-GB"/>
              </w:rPr>
              <w:t>2015</w:t>
            </w:r>
          </w:p>
        </w:tc>
        <w:tc>
          <w:tcPr>
            <w:tcW w:w="143" w:type="pct"/>
          </w:tcPr>
          <w:p w:rsidR="00960769" w:rsidRPr="00C05C71" w:rsidRDefault="00960769" w:rsidP="00960769">
            <w:pPr>
              <w:pStyle w:val="Textpoznpodarou"/>
              <w:jc w:val="both"/>
              <w:rPr>
                <w:lang w:val="en-GB"/>
              </w:rPr>
            </w:pPr>
          </w:p>
        </w:tc>
        <w:tc>
          <w:tcPr>
            <w:tcW w:w="3803" w:type="pct"/>
          </w:tcPr>
          <w:p w:rsidR="00960769" w:rsidRPr="00C05C71" w:rsidRDefault="005C7122" w:rsidP="00960769">
            <w:pPr>
              <w:pStyle w:val="Textpoznpodarou"/>
              <w:jc w:val="both"/>
              <w:rPr>
                <w:color w:val="000000" w:themeColor="text1"/>
                <w:lang w:val="en-GB"/>
              </w:rPr>
            </w:pPr>
            <w:r>
              <w:rPr>
                <w:color w:val="000000" w:themeColor="text1"/>
                <w:spacing w:val="-2"/>
                <w:lang w:val="en-GB"/>
              </w:rPr>
              <w:t xml:space="preserve">The year-on-year dynamics of the monetary aggregate M2 is higher than the dynamics of the nominal GDP roughly since the half of year 2015. The growth of the harmonised aggregate M3 is also faster. </w:t>
            </w:r>
            <w:r w:rsidR="00E30DA2">
              <w:rPr>
                <w:color w:val="000000" w:themeColor="text1"/>
                <w:spacing w:val="-2"/>
                <w:lang w:val="en-GB"/>
              </w:rPr>
              <w:t>Velocity of</w:t>
            </w:r>
            <w:r>
              <w:rPr>
                <w:color w:val="000000" w:themeColor="text1"/>
                <w:spacing w:val="-2"/>
                <w:lang w:val="en-GB"/>
              </w:rPr>
              <w:t xml:space="preserve"> money is thus decreasing and the </w:t>
            </w:r>
            <w:proofErr w:type="spellStart"/>
            <w:r>
              <w:rPr>
                <w:color w:val="000000" w:themeColor="text1"/>
                <w:spacing w:val="-2"/>
                <w:lang w:val="en-GB"/>
              </w:rPr>
              <w:t>effectivi</w:t>
            </w:r>
            <w:r w:rsidR="001E3AB5">
              <w:rPr>
                <w:color w:val="000000" w:themeColor="text1"/>
                <w:spacing w:val="-2"/>
                <w:lang w:val="en-GB"/>
              </w:rPr>
              <w:t>ty</w:t>
            </w:r>
            <w:proofErr w:type="spellEnd"/>
            <w:r w:rsidR="001E3AB5">
              <w:rPr>
                <w:color w:val="000000" w:themeColor="text1"/>
                <w:spacing w:val="-2"/>
                <w:lang w:val="en-GB"/>
              </w:rPr>
              <w:t xml:space="preserve"> of</w:t>
            </w:r>
            <w:r>
              <w:rPr>
                <w:color w:val="000000" w:themeColor="text1"/>
                <w:spacing w:val="-2"/>
                <w:lang w:val="en-GB"/>
              </w:rPr>
              <w:t xml:space="preserve"> </w:t>
            </w:r>
            <w:r w:rsidR="00E30DA2">
              <w:rPr>
                <w:color w:val="000000" w:themeColor="text1"/>
                <w:spacing w:val="-2"/>
                <w:lang w:val="en-GB"/>
              </w:rPr>
              <w:t>easy</w:t>
            </w:r>
            <w:r>
              <w:rPr>
                <w:color w:val="000000" w:themeColor="text1"/>
                <w:spacing w:val="-2"/>
                <w:lang w:val="en-GB"/>
              </w:rPr>
              <w:t xml:space="preserve"> monetary conditions is falling, the same way as in the recession years of 2012 and 2013</w:t>
            </w:r>
            <w:r w:rsidR="00960769" w:rsidRPr="00C05C71">
              <w:rPr>
                <w:color w:val="000000" w:themeColor="text1"/>
                <w:lang w:val="en-GB"/>
              </w:rPr>
              <w:t>.</w:t>
            </w:r>
          </w:p>
          <w:p w:rsidR="00960769" w:rsidRPr="00C05C71" w:rsidRDefault="00960769" w:rsidP="00960769">
            <w:pPr>
              <w:pStyle w:val="Textpoznpodarou"/>
              <w:jc w:val="both"/>
              <w:rPr>
                <w:sz w:val="18"/>
                <w:szCs w:val="18"/>
                <w:lang w:val="en-GB"/>
              </w:rPr>
            </w:pPr>
          </w:p>
        </w:tc>
      </w:tr>
      <w:tr w:rsidR="00960769" w:rsidRPr="00831EC2" w:rsidTr="00960769">
        <w:tc>
          <w:tcPr>
            <w:tcW w:w="1054" w:type="pct"/>
          </w:tcPr>
          <w:p w:rsidR="00960769" w:rsidRPr="00E75D63" w:rsidRDefault="00E75D63" w:rsidP="00784A0E">
            <w:pPr>
              <w:spacing w:line="240" w:lineRule="auto"/>
              <w:rPr>
                <w:sz w:val="16"/>
                <w:szCs w:val="16"/>
                <w:lang w:val="en-GB"/>
              </w:rPr>
            </w:pPr>
            <w:r w:rsidRPr="00E75D63">
              <w:rPr>
                <w:sz w:val="16"/>
                <w:szCs w:val="16"/>
                <w:lang w:val="en-GB"/>
              </w:rPr>
              <w:t xml:space="preserve">Interest rates are low and households and businesses transform term deposits into the most liquid money, especially the </w:t>
            </w:r>
            <w:r w:rsidR="00784A0E">
              <w:rPr>
                <w:sz w:val="16"/>
                <w:szCs w:val="16"/>
                <w:lang w:val="en-GB"/>
              </w:rPr>
              <w:t>overnight</w:t>
            </w:r>
            <w:r w:rsidRPr="00E75D63">
              <w:rPr>
                <w:sz w:val="16"/>
                <w:szCs w:val="16"/>
                <w:lang w:val="en-GB"/>
              </w:rPr>
              <w:t xml:space="preserve"> deposits </w:t>
            </w:r>
          </w:p>
        </w:tc>
        <w:tc>
          <w:tcPr>
            <w:tcW w:w="143" w:type="pct"/>
          </w:tcPr>
          <w:p w:rsidR="00960769" w:rsidRPr="00E75D63" w:rsidRDefault="00960769" w:rsidP="00960769">
            <w:pPr>
              <w:pStyle w:val="Textpoznpodarou"/>
              <w:jc w:val="both"/>
              <w:rPr>
                <w:lang w:val="en-GB"/>
              </w:rPr>
            </w:pPr>
          </w:p>
        </w:tc>
        <w:tc>
          <w:tcPr>
            <w:tcW w:w="3803" w:type="pct"/>
          </w:tcPr>
          <w:p w:rsidR="00960769" w:rsidRPr="00E75D63" w:rsidRDefault="00E75D63" w:rsidP="00960769">
            <w:pPr>
              <w:pStyle w:val="Textpoznpodarou"/>
              <w:jc w:val="both"/>
              <w:rPr>
                <w:lang w:val="en-GB"/>
              </w:rPr>
            </w:pPr>
            <w:r w:rsidRPr="00E75D63">
              <w:rPr>
                <w:lang w:val="en-GB"/>
              </w:rPr>
              <w:t xml:space="preserve">The money </w:t>
            </w:r>
            <w:r w:rsidR="00850D1F">
              <w:rPr>
                <w:lang w:val="en-GB"/>
              </w:rPr>
              <w:t>supply</w:t>
            </w:r>
            <w:r w:rsidRPr="00E75D63">
              <w:rPr>
                <w:lang w:val="en-GB"/>
              </w:rPr>
              <w:t xml:space="preserve"> arrived at </w:t>
            </w:r>
            <w:r w:rsidR="00960769" w:rsidRPr="00E75D63">
              <w:rPr>
                <w:lang w:val="en-GB"/>
              </w:rPr>
              <w:t xml:space="preserve">3 668 </w:t>
            </w:r>
            <w:r w:rsidR="00546888">
              <w:rPr>
                <w:lang w:val="en-GB"/>
              </w:rPr>
              <w:t xml:space="preserve">CZK </w:t>
            </w:r>
            <w:proofErr w:type="spellStart"/>
            <w:r w:rsidRPr="00E75D63">
              <w:rPr>
                <w:lang w:val="en-GB"/>
              </w:rPr>
              <w:t>bn</w:t>
            </w:r>
            <w:proofErr w:type="spellEnd"/>
            <w:r w:rsidR="00546888">
              <w:rPr>
                <w:lang w:val="en-GB"/>
              </w:rPr>
              <w:t xml:space="preserve"> </w:t>
            </w:r>
            <w:r w:rsidR="00850D1F">
              <w:rPr>
                <w:lang w:val="en-GB"/>
              </w:rPr>
              <w:t>in the concept</w:t>
            </w:r>
            <w:r w:rsidRPr="00E75D63">
              <w:rPr>
                <w:lang w:val="en-GB"/>
              </w:rPr>
              <w:t xml:space="preserve"> of the monetary aggregate M2 by the end of the last year. In that, </w:t>
            </w:r>
            <w:r w:rsidR="00960769" w:rsidRPr="00E75D63">
              <w:rPr>
                <w:lang w:val="en-GB"/>
              </w:rPr>
              <w:t xml:space="preserve">2 952 </w:t>
            </w:r>
            <w:r w:rsidRPr="00E75D63">
              <w:rPr>
                <w:lang w:val="en-GB"/>
              </w:rPr>
              <w:t>bn was assigned to the most liquid money (currency</w:t>
            </w:r>
            <w:r w:rsidR="00850D1F">
              <w:rPr>
                <w:lang w:val="en-GB"/>
              </w:rPr>
              <w:t xml:space="preserve"> in circulation</w:t>
            </w:r>
            <w:r w:rsidRPr="00E75D63">
              <w:rPr>
                <w:lang w:val="en-GB"/>
              </w:rPr>
              <w:t xml:space="preserve"> and o</w:t>
            </w:r>
            <w:r w:rsidR="00784A0E">
              <w:rPr>
                <w:lang w:val="en-GB"/>
              </w:rPr>
              <w:t xml:space="preserve">vernight </w:t>
            </w:r>
            <w:r w:rsidRPr="00E75D63">
              <w:rPr>
                <w:lang w:val="en-GB"/>
              </w:rPr>
              <w:t xml:space="preserve">deposits) and </w:t>
            </w:r>
            <w:r w:rsidR="00960769" w:rsidRPr="00E75D63">
              <w:rPr>
                <w:lang w:val="en-GB"/>
              </w:rPr>
              <w:t xml:space="preserve">716 </w:t>
            </w:r>
            <w:r w:rsidRPr="00E75D63">
              <w:rPr>
                <w:lang w:val="en-GB"/>
              </w:rPr>
              <w:t xml:space="preserve">bn to quasi-money </w:t>
            </w:r>
            <w:r w:rsidR="00960769" w:rsidRPr="00E75D63">
              <w:rPr>
                <w:lang w:val="en-GB"/>
              </w:rPr>
              <w:t>(</w:t>
            </w:r>
            <w:r w:rsidRPr="00E75D63">
              <w:rPr>
                <w:lang w:val="en-GB"/>
              </w:rPr>
              <w:t>deposits with</w:t>
            </w:r>
            <w:r w:rsidR="00850D1F">
              <w:rPr>
                <w:lang w:val="en-GB"/>
              </w:rPr>
              <w:t xml:space="preserve"> agreed</w:t>
            </w:r>
            <w:r>
              <w:rPr>
                <w:lang w:val="en-GB"/>
              </w:rPr>
              <w:t xml:space="preserve"> </w:t>
            </w:r>
            <w:r w:rsidRPr="00E75D63">
              <w:rPr>
                <w:lang w:val="en-GB"/>
              </w:rPr>
              <w:t xml:space="preserve">maturity, </w:t>
            </w:r>
            <w:r w:rsidR="00850D1F">
              <w:rPr>
                <w:lang w:val="en-GB"/>
              </w:rPr>
              <w:t>deposits redeemable at notice, repurchase agreements</w:t>
            </w:r>
            <w:r w:rsidR="00960769" w:rsidRPr="00B5023C">
              <w:rPr>
                <w:spacing w:val="-2"/>
                <w:lang w:val="en-GB"/>
              </w:rPr>
              <w:t xml:space="preserve">). </w:t>
            </w:r>
            <w:r w:rsidRPr="00B5023C">
              <w:rPr>
                <w:spacing w:val="-2"/>
                <w:lang w:val="en-GB"/>
              </w:rPr>
              <w:t xml:space="preserve">Money </w:t>
            </w:r>
            <w:r w:rsidR="00850D1F">
              <w:rPr>
                <w:spacing w:val="-2"/>
                <w:lang w:val="en-GB"/>
              </w:rPr>
              <w:t>supply</w:t>
            </w:r>
            <w:r w:rsidRPr="00B5023C">
              <w:rPr>
                <w:spacing w:val="-2"/>
                <w:lang w:val="en-GB"/>
              </w:rPr>
              <w:t xml:space="preserve"> rose by </w:t>
            </w:r>
            <w:r w:rsidR="00960769" w:rsidRPr="00B5023C">
              <w:rPr>
                <w:lang w:val="en-GB"/>
              </w:rPr>
              <w:t>238</w:t>
            </w:r>
            <w:r w:rsidR="0026037C">
              <w:rPr>
                <w:lang w:val="en-GB"/>
              </w:rPr>
              <w:t xml:space="preserve"> CZK</w:t>
            </w:r>
            <w:r w:rsidR="00960769" w:rsidRPr="00B5023C">
              <w:rPr>
                <w:lang w:val="en-GB"/>
              </w:rPr>
              <w:t xml:space="preserve"> </w:t>
            </w:r>
            <w:proofErr w:type="spellStart"/>
            <w:r w:rsidRPr="00B5023C">
              <w:rPr>
                <w:lang w:val="en-GB"/>
              </w:rPr>
              <w:t>bn</w:t>
            </w:r>
            <w:proofErr w:type="spellEnd"/>
            <w:r w:rsidRPr="00B5023C">
              <w:rPr>
                <w:lang w:val="en-GB"/>
              </w:rPr>
              <w:t xml:space="preserve"> against December 2014, however only</w:t>
            </w:r>
            <w:r w:rsidRPr="00E75D63">
              <w:rPr>
                <w:lang w:val="en-GB"/>
              </w:rPr>
              <w:t xml:space="preserve"> thanks to the increase in volume of the </w:t>
            </w:r>
            <w:r w:rsidR="00850D1F">
              <w:rPr>
                <w:lang w:val="en-GB"/>
              </w:rPr>
              <w:t>overnight</w:t>
            </w:r>
            <w:r w:rsidRPr="00E75D63">
              <w:rPr>
                <w:lang w:val="en-GB"/>
              </w:rPr>
              <w:t xml:space="preserve"> deposits </w:t>
            </w:r>
            <w:r w:rsidR="00960769" w:rsidRPr="00E75D63">
              <w:rPr>
                <w:lang w:val="en-GB"/>
              </w:rPr>
              <w:t>(+263 </w:t>
            </w:r>
            <w:r w:rsidR="00546888">
              <w:rPr>
                <w:lang w:val="en-GB"/>
              </w:rPr>
              <w:t xml:space="preserve">CZK </w:t>
            </w:r>
            <w:proofErr w:type="spellStart"/>
            <w:r w:rsidR="00546888" w:rsidRPr="00E75D63">
              <w:rPr>
                <w:lang w:val="en-GB"/>
              </w:rPr>
              <w:t>bn</w:t>
            </w:r>
            <w:proofErr w:type="spellEnd"/>
            <w:r w:rsidR="00960769" w:rsidRPr="00E75D63">
              <w:rPr>
                <w:lang w:val="en-GB"/>
              </w:rPr>
              <w:t>) a</w:t>
            </w:r>
            <w:r w:rsidRPr="00E75D63">
              <w:rPr>
                <w:lang w:val="en-GB"/>
              </w:rPr>
              <w:t>nd currency</w:t>
            </w:r>
            <w:r w:rsidR="00850D1F">
              <w:rPr>
                <w:lang w:val="en-GB"/>
              </w:rPr>
              <w:t xml:space="preserve"> in circulation</w:t>
            </w:r>
            <w:r w:rsidRPr="00E75D63">
              <w:rPr>
                <w:lang w:val="en-GB"/>
              </w:rPr>
              <w:t xml:space="preserve"> </w:t>
            </w:r>
            <w:r w:rsidR="00960769" w:rsidRPr="00E75D63">
              <w:rPr>
                <w:lang w:val="en-GB"/>
              </w:rPr>
              <w:t xml:space="preserve">(+35 </w:t>
            </w:r>
            <w:proofErr w:type="spellStart"/>
            <w:r w:rsidRPr="00E75D63">
              <w:rPr>
                <w:lang w:val="en-GB"/>
              </w:rPr>
              <w:t>bn</w:t>
            </w:r>
            <w:proofErr w:type="spellEnd"/>
            <w:r w:rsidR="00960769" w:rsidRPr="00E75D63">
              <w:rPr>
                <w:lang w:val="en-GB"/>
              </w:rPr>
              <w:t xml:space="preserve">). </w:t>
            </w:r>
            <w:r w:rsidRPr="00E75D63">
              <w:rPr>
                <w:lang w:val="en-GB"/>
              </w:rPr>
              <w:t>The volume of quasi-money is shrinking continuously since September 2012, it fell by 60 bn betwe</w:t>
            </w:r>
            <w:r>
              <w:rPr>
                <w:lang w:val="en-GB"/>
              </w:rPr>
              <w:t>e</w:t>
            </w:r>
            <w:r w:rsidRPr="00E75D63">
              <w:rPr>
                <w:lang w:val="en-GB"/>
              </w:rPr>
              <w:t>n December 2014 and 2015. It</w:t>
            </w:r>
            <w:r>
              <w:rPr>
                <w:lang w:val="en-GB"/>
              </w:rPr>
              <w:t xml:space="preserve"> </w:t>
            </w:r>
            <w:r w:rsidRPr="00E75D63">
              <w:rPr>
                <w:lang w:val="en-GB"/>
              </w:rPr>
              <w:t>is the consequence of low</w:t>
            </w:r>
            <w:r>
              <w:rPr>
                <w:lang w:val="en-GB"/>
              </w:rPr>
              <w:t xml:space="preserve"> </w:t>
            </w:r>
            <w:r w:rsidRPr="00E75D63">
              <w:rPr>
                <w:lang w:val="en-GB"/>
              </w:rPr>
              <w:t>interest rates, when the households and businesses are not motivated to hold the</w:t>
            </w:r>
            <w:r w:rsidR="00784A0E">
              <w:rPr>
                <w:lang w:val="en-GB"/>
              </w:rPr>
              <w:t>s</w:t>
            </w:r>
            <w:r w:rsidRPr="00E75D63">
              <w:rPr>
                <w:lang w:val="en-GB"/>
              </w:rPr>
              <w:t xml:space="preserve">e types of deposits and transform them in to the most liquid money, especially the </w:t>
            </w:r>
            <w:r w:rsidR="00850D1F">
              <w:rPr>
                <w:lang w:val="en-GB"/>
              </w:rPr>
              <w:t>overnight</w:t>
            </w:r>
            <w:r w:rsidRPr="00E75D63">
              <w:rPr>
                <w:lang w:val="en-GB"/>
              </w:rPr>
              <w:t xml:space="preserve"> deposits. Households negotiated deposits with</w:t>
            </w:r>
            <w:r w:rsidR="00850D1F">
              <w:rPr>
                <w:lang w:val="en-GB"/>
              </w:rPr>
              <w:t xml:space="preserve"> agreed</w:t>
            </w:r>
            <w:r w:rsidRPr="00E75D63">
              <w:rPr>
                <w:lang w:val="en-GB"/>
              </w:rPr>
              <w:t xml:space="preserve"> maturity with an interest rate of </w:t>
            </w:r>
            <w:r w:rsidR="00960769" w:rsidRPr="00E75D63">
              <w:rPr>
                <w:spacing w:val="-2"/>
                <w:lang w:val="en-GB"/>
              </w:rPr>
              <w:t>1</w:t>
            </w:r>
            <w:r w:rsidRPr="00E75D63">
              <w:rPr>
                <w:spacing w:val="-2"/>
                <w:lang w:val="en-GB"/>
              </w:rPr>
              <w:t>.</w:t>
            </w:r>
            <w:r w:rsidR="00404AC3">
              <w:rPr>
                <w:spacing w:val="-2"/>
                <w:lang w:val="en-GB"/>
              </w:rPr>
              <w:t xml:space="preserve">6% </w:t>
            </w:r>
            <w:r w:rsidRPr="00E75D63">
              <w:rPr>
                <w:spacing w:val="-2"/>
                <w:lang w:val="en-GB"/>
              </w:rPr>
              <w:t xml:space="preserve">and deposits </w:t>
            </w:r>
            <w:r w:rsidR="00850D1F">
              <w:rPr>
                <w:spacing w:val="-2"/>
                <w:lang w:val="en-GB"/>
              </w:rPr>
              <w:t>redeemable at notice</w:t>
            </w:r>
            <w:r w:rsidRPr="00E75D63">
              <w:rPr>
                <w:spacing w:val="-2"/>
                <w:lang w:val="en-GB"/>
              </w:rPr>
              <w:t xml:space="preserve"> wit</w:t>
            </w:r>
            <w:r>
              <w:rPr>
                <w:spacing w:val="-2"/>
                <w:lang w:val="en-GB"/>
              </w:rPr>
              <w:t>h</w:t>
            </w:r>
            <w:r w:rsidRPr="00E75D63">
              <w:rPr>
                <w:spacing w:val="-2"/>
                <w:lang w:val="en-GB"/>
              </w:rPr>
              <w:t xml:space="preserve"> the rate of </w:t>
            </w:r>
            <w:r w:rsidR="00960769" w:rsidRPr="00E75D63">
              <w:rPr>
                <w:spacing w:val="-2"/>
                <w:lang w:val="en-GB"/>
              </w:rPr>
              <w:t>1</w:t>
            </w:r>
            <w:r w:rsidRPr="00E75D63">
              <w:rPr>
                <w:spacing w:val="-2"/>
                <w:lang w:val="en-GB"/>
              </w:rPr>
              <w:t>.</w:t>
            </w:r>
            <w:r w:rsidR="00404AC3">
              <w:rPr>
                <w:spacing w:val="-2"/>
                <w:lang w:val="en-GB"/>
              </w:rPr>
              <w:t>37</w:t>
            </w:r>
            <w:r w:rsidR="00960769" w:rsidRPr="00E75D63">
              <w:rPr>
                <w:spacing w:val="-2"/>
                <w:lang w:val="en-GB"/>
              </w:rPr>
              <w:t>%</w:t>
            </w:r>
            <w:r w:rsidRPr="00E75D63">
              <w:rPr>
                <w:spacing w:val="-2"/>
                <w:lang w:val="en-GB"/>
              </w:rPr>
              <w:t xml:space="preserve"> in December 2015. The interest rates to non-financial </w:t>
            </w:r>
            <w:proofErr w:type="spellStart"/>
            <w:r w:rsidR="00850D1F">
              <w:rPr>
                <w:spacing w:val="-2"/>
                <w:lang w:val="en-GB"/>
              </w:rPr>
              <w:t>corporations</w:t>
            </w:r>
            <w:proofErr w:type="spellEnd"/>
            <w:r w:rsidRPr="00E75D63">
              <w:rPr>
                <w:spacing w:val="-2"/>
                <w:lang w:val="en-GB"/>
              </w:rPr>
              <w:t xml:space="preserve"> amounted to </w:t>
            </w:r>
            <w:r w:rsidR="00960769" w:rsidRPr="00E75D63">
              <w:rPr>
                <w:spacing w:val="-2"/>
                <w:lang w:val="en-GB"/>
              </w:rPr>
              <w:t>0</w:t>
            </w:r>
            <w:r w:rsidRPr="00E75D63">
              <w:rPr>
                <w:spacing w:val="-2"/>
                <w:lang w:val="en-GB"/>
              </w:rPr>
              <w:t>.</w:t>
            </w:r>
            <w:r w:rsidR="00404AC3">
              <w:rPr>
                <w:spacing w:val="-2"/>
                <w:lang w:val="en-GB"/>
              </w:rPr>
              <w:t>21</w:t>
            </w:r>
            <w:r w:rsidR="00960769" w:rsidRPr="00E75D63">
              <w:rPr>
                <w:spacing w:val="-2"/>
                <w:lang w:val="en-GB"/>
              </w:rPr>
              <w:t>% a</w:t>
            </w:r>
            <w:r w:rsidRPr="00E75D63">
              <w:rPr>
                <w:spacing w:val="-2"/>
                <w:lang w:val="en-GB"/>
              </w:rPr>
              <w:t>nd</w:t>
            </w:r>
            <w:r w:rsidR="00960769" w:rsidRPr="00E75D63">
              <w:rPr>
                <w:spacing w:val="-2"/>
                <w:lang w:val="en-GB"/>
              </w:rPr>
              <w:t xml:space="preserve"> 0</w:t>
            </w:r>
            <w:r w:rsidRPr="00E75D63">
              <w:rPr>
                <w:spacing w:val="-2"/>
                <w:lang w:val="en-GB"/>
              </w:rPr>
              <w:t>.</w:t>
            </w:r>
            <w:r w:rsidR="00404AC3">
              <w:rPr>
                <w:spacing w:val="-2"/>
                <w:lang w:val="en-GB"/>
              </w:rPr>
              <w:t>78</w:t>
            </w:r>
            <w:r w:rsidR="00960769" w:rsidRPr="00E75D63">
              <w:rPr>
                <w:spacing w:val="-2"/>
                <w:lang w:val="en-GB"/>
              </w:rPr>
              <w:t>%.</w:t>
            </w:r>
          </w:p>
          <w:p w:rsidR="00960769" w:rsidRPr="00E75D63" w:rsidRDefault="00960769" w:rsidP="00960769">
            <w:pPr>
              <w:pStyle w:val="Textpoznpodarou"/>
              <w:jc w:val="both"/>
              <w:rPr>
                <w:sz w:val="18"/>
                <w:szCs w:val="18"/>
                <w:lang w:val="en-GB"/>
              </w:rPr>
            </w:pPr>
          </w:p>
        </w:tc>
      </w:tr>
      <w:tr w:rsidR="00960769" w:rsidRPr="00831EC2" w:rsidTr="00960769">
        <w:tc>
          <w:tcPr>
            <w:tcW w:w="1054" w:type="pct"/>
          </w:tcPr>
          <w:p w:rsidR="00960769" w:rsidRPr="00E75D63" w:rsidRDefault="0049263A" w:rsidP="00404AC3">
            <w:pPr>
              <w:spacing w:line="240" w:lineRule="auto"/>
              <w:rPr>
                <w:sz w:val="16"/>
                <w:szCs w:val="16"/>
                <w:lang w:val="en-GB"/>
              </w:rPr>
            </w:pPr>
            <w:r>
              <w:rPr>
                <w:sz w:val="16"/>
                <w:szCs w:val="16"/>
                <w:lang w:val="en-GB"/>
              </w:rPr>
              <w:t>Share of currency</w:t>
            </w:r>
            <w:r w:rsidR="00850D1F">
              <w:rPr>
                <w:sz w:val="16"/>
                <w:szCs w:val="16"/>
                <w:lang w:val="en-GB"/>
              </w:rPr>
              <w:t xml:space="preserve"> in circulation</w:t>
            </w:r>
            <w:r>
              <w:rPr>
                <w:sz w:val="16"/>
                <w:szCs w:val="16"/>
                <w:lang w:val="en-GB"/>
              </w:rPr>
              <w:t xml:space="preserve"> on the monetary aggregate M2 is stable in the CR. It oscillates between </w:t>
            </w:r>
            <w:r w:rsidR="00404AC3">
              <w:rPr>
                <w:sz w:val="16"/>
                <w:szCs w:val="16"/>
                <w:lang w:val="en-GB"/>
              </w:rPr>
              <w:t>12</w:t>
            </w:r>
            <w:r w:rsidR="00960769" w:rsidRPr="00E75D63">
              <w:rPr>
                <w:sz w:val="16"/>
                <w:szCs w:val="16"/>
                <w:lang w:val="en-GB"/>
              </w:rPr>
              <w:t>%</w:t>
            </w:r>
            <w:r w:rsidR="00960769" w:rsidRPr="00E75D63">
              <w:rPr>
                <w:b/>
                <w:sz w:val="16"/>
                <w:szCs w:val="16"/>
                <w:lang w:val="en-GB"/>
              </w:rPr>
              <w:t> </w:t>
            </w:r>
            <w:r w:rsidR="00960769" w:rsidRPr="00E75D63">
              <w:rPr>
                <w:sz w:val="16"/>
                <w:szCs w:val="16"/>
                <w:lang w:val="en-GB"/>
              </w:rPr>
              <w:t>a</w:t>
            </w:r>
            <w:r>
              <w:rPr>
                <w:sz w:val="16"/>
                <w:szCs w:val="16"/>
                <w:lang w:val="en-GB"/>
              </w:rPr>
              <w:t>nd</w:t>
            </w:r>
            <w:r w:rsidR="00960769" w:rsidRPr="00E75D63">
              <w:rPr>
                <w:sz w:val="16"/>
                <w:szCs w:val="16"/>
                <w:lang w:val="en-GB"/>
              </w:rPr>
              <w:t> 14%</w:t>
            </w:r>
          </w:p>
        </w:tc>
        <w:tc>
          <w:tcPr>
            <w:tcW w:w="143" w:type="pct"/>
          </w:tcPr>
          <w:p w:rsidR="00960769" w:rsidRPr="00E75D63" w:rsidRDefault="00960769" w:rsidP="00960769">
            <w:pPr>
              <w:pStyle w:val="Textpoznpodarou"/>
              <w:jc w:val="both"/>
              <w:rPr>
                <w:lang w:val="en-GB"/>
              </w:rPr>
            </w:pPr>
          </w:p>
        </w:tc>
        <w:tc>
          <w:tcPr>
            <w:tcW w:w="3803" w:type="pct"/>
          </w:tcPr>
          <w:p w:rsidR="00960769" w:rsidRPr="00E75D63" w:rsidRDefault="00D85F94" w:rsidP="00960769">
            <w:pPr>
              <w:pStyle w:val="Textpoznpodarou"/>
              <w:jc w:val="both"/>
              <w:rPr>
                <w:lang w:val="en-GB"/>
              </w:rPr>
            </w:pPr>
            <w:r>
              <w:rPr>
                <w:lang w:val="en-GB"/>
              </w:rPr>
              <w:t>The share of currency</w:t>
            </w:r>
            <w:r w:rsidR="00850D1F">
              <w:rPr>
                <w:lang w:val="en-GB"/>
              </w:rPr>
              <w:t xml:space="preserve"> in circulation</w:t>
            </w:r>
            <w:r>
              <w:rPr>
                <w:lang w:val="en-GB"/>
              </w:rPr>
              <w:t xml:space="preserve"> on the monetary aggregate M2 is stable in the CR and oscillates only negligibly in time. It moves between </w:t>
            </w:r>
            <w:r w:rsidR="00404AC3">
              <w:rPr>
                <w:lang w:val="en-GB"/>
              </w:rPr>
              <w:t>12</w:t>
            </w:r>
            <w:r w:rsidR="00960769" w:rsidRPr="00E75D63">
              <w:rPr>
                <w:lang w:val="en-GB"/>
              </w:rPr>
              <w:t>% a</w:t>
            </w:r>
            <w:r>
              <w:rPr>
                <w:lang w:val="en-GB"/>
              </w:rPr>
              <w:t>nd</w:t>
            </w:r>
            <w:r w:rsidR="00404AC3">
              <w:rPr>
                <w:lang w:val="en-GB"/>
              </w:rPr>
              <w:t xml:space="preserve"> 14</w:t>
            </w:r>
            <w:r w:rsidR="00960769" w:rsidRPr="00E75D63">
              <w:rPr>
                <w:lang w:val="en-GB"/>
              </w:rPr>
              <w:t>%</w:t>
            </w:r>
            <w:r>
              <w:rPr>
                <w:lang w:val="en-GB"/>
              </w:rPr>
              <w:t xml:space="preserve"> in the long-term</w:t>
            </w:r>
            <w:r w:rsidR="00960769" w:rsidRPr="00E75D63">
              <w:rPr>
                <w:lang w:val="en-GB"/>
              </w:rPr>
              <w:t xml:space="preserve">. </w:t>
            </w:r>
            <w:r>
              <w:rPr>
                <w:lang w:val="en-GB"/>
              </w:rPr>
              <w:t xml:space="preserve">It jumped up only in the second half </w:t>
            </w:r>
            <w:r w:rsidR="00DE4476">
              <w:rPr>
                <w:lang w:val="en-GB"/>
              </w:rPr>
              <w:t>of</w:t>
            </w:r>
            <w:r w:rsidR="00404AC3">
              <w:rPr>
                <w:lang w:val="en-GB"/>
              </w:rPr>
              <w:t xml:space="preserve"> </w:t>
            </w:r>
            <w:r>
              <w:rPr>
                <w:lang w:val="en-GB"/>
              </w:rPr>
              <w:t>year 2008, in connection with the difficulties of the banking sector of the USA, when also the Czech society started to worry about its money in banks. The volume of currency</w:t>
            </w:r>
            <w:r w:rsidR="00850D1F">
              <w:rPr>
                <w:lang w:val="en-GB"/>
              </w:rPr>
              <w:t xml:space="preserve"> in circulation</w:t>
            </w:r>
            <w:r>
              <w:rPr>
                <w:lang w:val="en-GB"/>
              </w:rPr>
              <w:t xml:space="preserve"> reached </w:t>
            </w:r>
            <w:r w:rsidR="00960769" w:rsidRPr="00E75D63">
              <w:rPr>
                <w:lang w:val="en-GB"/>
              </w:rPr>
              <w:t xml:space="preserve">467 </w:t>
            </w:r>
            <w:r w:rsidR="00546888">
              <w:rPr>
                <w:lang w:val="en-GB"/>
              </w:rPr>
              <w:t xml:space="preserve">CZK </w:t>
            </w:r>
            <w:r w:rsidR="00546888" w:rsidRPr="00E75D63">
              <w:rPr>
                <w:lang w:val="en-GB"/>
              </w:rPr>
              <w:t>bn</w:t>
            </w:r>
            <w:r w:rsidR="00546888">
              <w:rPr>
                <w:lang w:val="en-GB"/>
              </w:rPr>
              <w:t xml:space="preserve"> </w:t>
            </w:r>
            <w:r>
              <w:rPr>
                <w:lang w:val="en-GB"/>
              </w:rPr>
              <w:t xml:space="preserve">in December 2015 and arrived at </w:t>
            </w:r>
            <w:r w:rsidR="00960769" w:rsidRPr="00E75D63">
              <w:rPr>
                <w:lang w:val="en-GB"/>
              </w:rPr>
              <w:t>12</w:t>
            </w:r>
            <w:r>
              <w:rPr>
                <w:lang w:val="en-GB"/>
              </w:rPr>
              <w:t>.</w:t>
            </w:r>
            <w:r w:rsidR="00404AC3">
              <w:rPr>
                <w:lang w:val="en-GB"/>
              </w:rPr>
              <w:t>7</w:t>
            </w:r>
            <w:r w:rsidR="00960769" w:rsidRPr="00E75D63">
              <w:rPr>
                <w:lang w:val="en-GB"/>
              </w:rPr>
              <w:t>%</w:t>
            </w:r>
            <w:r>
              <w:rPr>
                <w:lang w:val="en-GB"/>
              </w:rPr>
              <w:t xml:space="preserve"> relative to the aggregate</w:t>
            </w:r>
            <w:r w:rsidR="00850D1F">
              <w:rPr>
                <w:lang w:val="en-GB"/>
              </w:rPr>
              <w:t xml:space="preserve"> M2</w:t>
            </w:r>
            <w:r w:rsidR="00960769" w:rsidRPr="00E75D63">
              <w:rPr>
                <w:lang w:val="en-GB"/>
              </w:rPr>
              <w:t>.</w:t>
            </w:r>
          </w:p>
          <w:p w:rsidR="00960769" w:rsidRPr="00E75D63" w:rsidRDefault="00960769" w:rsidP="00960769">
            <w:pPr>
              <w:pStyle w:val="Textpoznpodarou"/>
              <w:jc w:val="both"/>
              <w:rPr>
                <w:sz w:val="16"/>
                <w:szCs w:val="16"/>
                <w:lang w:val="en-GB"/>
              </w:rPr>
            </w:pPr>
          </w:p>
        </w:tc>
      </w:tr>
      <w:tr w:rsidR="00960769" w:rsidRPr="00831EC2" w:rsidTr="00960769">
        <w:tc>
          <w:tcPr>
            <w:tcW w:w="1054" w:type="pct"/>
          </w:tcPr>
          <w:p w:rsidR="00960769" w:rsidRPr="00DC0A15" w:rsidRDefault="009D4AD5" w:rsidP="00672886">
            <w:pPr>
              <w:spacing w:line="240" w:lineRule="auto"/>
              <w:rPr>
                <w:color w:val="000000" w:themeColor="text1"/>
                <w:sz w:val="16"/>
                <w:szCs w:val="16"/>
                <w:lang w:val="en-GB"/>
              </w:rPr>
            </w:pPr>
            <w:r w:rsidRPr="00DC0A15">
              <w:rPr>
                <w:color w:val="000000" w:themeColor="text1"/>
                <w:sz w:val="16"/>
                <w:szCs w:val="16"/>
                <w:lang w:val="en-GB"/>
              </w:rPr>
              <w:t>Total deposits of busines</w:t>
            </w:r>
            <w:r w:rsidR="00404AC3">
              <w:rPr>
                <w:color w:val="000000" w:themeColor="text1"/>
                <w:sz w:val="16"/>
                <w:szCs w:val="16"/>
                <w:lang w:val="en-GB"/>
              </w:rPr>
              <w:t>ses grew always by more than 10</w:t>
            </w:r>
            <w:r w:rsidRPr="00DC0A15">
              <w:rPr>
                <w:color w:val="000000" w:themeColor="text1"/>
                <w:sz w:val="16"/>
                <w:szCs w:val="16"/>
                <w:lang w:val="en-GB"/>
              </w:rPr>
              <w:t>% year-on-year during H2 2015. Businesses increased mainly the o</w:t>
            </w:r>
            <w:r w:rsidR="00672886">
              <w:rPr>
                <w:color w:val="000000" w:themeColor="text1"/>
                <w:sz w:val="16"/>
                <w:szCs w:val="16"/>
                <w:lang w:val="en-GB"/>
              </w:rPr>
              <w:t>vernight</w:t>
            </w:r>
            <w:r w:rsidRPr="00DC0A15">
              <w:rPr>
                <w:color w:val="000000" w:themeColor="text1"/>
                <w:sz w:val="16"/>
                <w:szCs w:val="16"/>
                <w:lang w:val="en-GB"/>
              </w:rPr>
              <w:t xml:space="preserve"> deposits </w:t>
            </w:r>
          </w:p>
        </w:tc>
        <w:tc>
          <w:tcPr>
            <w:tcW w:w="143" w:type="pct"/>
          </w:tcPr>
          <w:p w:rsidR="00960769" w:rsidRPr="00DC0A15" w:rsidRDefault="00960769" w:rsidP="00960769">
            <w:pPr>
              <w:pStyle w:val="Textpoznpodarou"/>
              <w:jc w:val="both"/>
              <w:rPr>
                <w:color w:val="000000" w:themeColor="text1"/>
                <w:lang w:val="en-GB"/>
              </w:rPr>
            </w:pPr>
          </w:p>
        </w:tc>
        <w:tc>
          <w:tcPr>
            <w:tcW w:w="3803" w:type="pct"/>
          </w:tcPr>
          <w:p w:rsidR="00960769" w:rsidRPr="00DC0A15" w:rsidRDefault="00DC0A15" w:rsidP="00960769">
            <w:pPr>
              <w:pStyle w:val="Textpoznpodarou"/>
              <w:jc w:val="both"/>
              <w:rPr>
                <w:color w:val="000000" w:themeColor="text1"/>
                <w:lang w:val="en-GB"/>
              </w:rPr>
            </w:pPr>
            <w:r w:rsidRPr="00DC0A15">
              <w:rPr>
                <w:lang w:val="en-GB"/>
              </w:rPr>
              <w:t xml:space="preserve">Total volume of household deposits was higher by </w:t>
            </w:r>
            <w:r w:rsidR="00960769" w:rsidRPr="00DC0A15">
              <w:rPr>
                <w:color w:val="000000" w:themeColor="text1"/>
                <w:lang w:val="en-GB"/>
              </w:rPr>
              <w:t>5</w:t>
            </w:r>
            <w:r w:rsidRPr="00DC0A15">
              <w:rPr>
                <w:color w:val="000000" w:themeColor="text1"/>
                <w:lang w:val="en-GB"/>
              </w:rPr>
              <w:t>.</w:t>
            </w:r>
            <w:r w:rsidR="00404AC3">
              <w:rPr>
                <w:color w:val="000000" w:themeColor="text1"/>
                <w:spacing w:val="-2"/>
                <w:lang w:val="en-GB"/>
              </w:rPr>
              <w:t>7</w:t>
            </w:r>
            <w:r w:rsidR="00960769" w:rsidRPr="00DC0A15">
              <w:rPr>
                <w:color w:val="000000" w:themeColor="text1"/>
                <w:spacing w:val="-2"/>
                <w:lang w:val="en-GB"/>
              </w:rPr>
              <w:t>%</w:t>
            </w:r>
            <w:r w:rsidRPr="00DC0A15">
              <w:rPr>
                <w:color w:val="000000" w:themeColor="text1"/>
                <w:spacing w:val="-2"/>
                <w:lang w:val="en-GB"/>
              </w:rPr>
              <w:t xml:space="preserve"> </w:t>
            </w:r>
            <w:r w:rsidRPr="00DC0A15">
              <w:rPr>
                <w:lang w:val="en-GB"/>
              </w:rPr>
              <w:t xml:space="preserve">year-on-year at the end of the last year, even by </w:t>
            </w:r>
            <w:r w:rsidR="00960769" w:rsidRPr="00DC0A15">
              <w:rPr>
                <w:color w:val="000000" w:themeColor="text1"/>
                <w:spacing w:val="-2"/>
                <w:lang w:val="en-GB"/>
              </w:rPr>
              <w:t>10</w:t>
            </w:r>
            <w:r w:rsidRPr="00DC0A15">
              <w:rPr>
                <w:color w:val="000000" w:themeColor="text1"/>
                <w:spacing w:val="-2"/>
                <w:lang w:val="en-GB"/>
              </w:rPr>
              <w:t>.</w:t>
            </w:r>
            <w:r w:rsidR="00404AC3">
              <w:rPr>
                <w:color w:val="000000" w:themeColor="text1"/>
                <w:spacing w:val="-2"/>
                <w:lang w:val="en-GB"/>
              </w:rPr>
              <w:t>3</w:t>
            </w:r>
            <w:r w:rsidR="00960769" w:rsidRPr="00DC0A15">
              <w:rPr>
                <w:color w:val="000000" w:themeColor="text1"/>
                <w:spacing w:val="-2"/>
                <w:lang w:val="en-GB"/>
              </w:rPr>
              <w:t>%</w:t>
            </w:r>
            <w:r w:rsidRPr="00DC0A15">
              <w:rPr>
                <w:color w:val="000000" w:themeColor="text1"/>
                <w:spacing w:val="-2"/>
                <w:lang w:val="en-GB"/>
              </w:rPr>
              <w:t xml:space="preserve"> in case of businesses. The rate of growth of</w:t>
            </w:r>
            <w:r w:rsidR="00672886">
              <w:rPr>
                <w:color w:val="000000" w:themeColor="text1"/>
                <w:spacing w:val="-2"/>
                <w:lang w:val="en-GB"/>
              </w:rPr>
              <w:t xml:space="preserve"> </w:t>
            </w:r>
            <w:r w:rsidRPr="00DC0A15">
              <w:rPr>
                <w:color w:val="000000" w:themeColor="text1"/>
                <w:spacing w:val="-2"/>
                <w:lang w:val="en-GB"/>
              </w:rPr>
              <w:t xml:space="preserve">household deposits gradually rises, for businesses it exceeded </w:t>
            </w:r>
            <w:r w:rsidR="00960769" w:rsidRPr="00DC0A15">
              <w:rPr>
                <w:color w:val="000000" w:themeColor="text1"/>
                <w:lang w:val="en-GB"/>
              </w:rPr>
              <w:t xml:space="preserve">10% </w:t>
            </w:r>
            <w:r w:rsidRPr="00DC0A15">
              <w:rPr>
                <w:color w:val="000000" w:themeColor="text1"/>
                <w:lang w:val="en-GB"/>
              </w:rPr>
              <w:t xml:space="preserve">level throughout the whole H2. Businesses strengthened mainly the overnight deposits significant by volume, they </w:t>
            </w:r>
            <w:r w:rsidR="00672886">
              <w:rPr>
                <w:color w:val="000000" w:themeColor="text1"/>
                <w:lang w:val="en-GB"/>
              </w:rPr>
              <w:t xml:space="preserve">had </w:t>
            </w:r>
            <w:r w:rsidR="00960769" w:rsidRPr="00DC0A15">
              <w:rPr>
                <w:color w:val="000000" w:themeColor="text1"/>
                <w:lang w:val="en-GB"/>
              </w:rPr>
              <w:t xml:space="preserve">952 </w:t>
            </w:r>
            <w:r w:rsidR="00546888">
              <w:rPr>
                <w:color w:val="000000" w:themeColor="text1"/>
                <w:lang w:val="en-GB"/>
              </w:rPr>
              <w:t xml:space="preserve">CZK </w:t>
            </w:r>
            <w:r w:rsidRPr="00DC0A15">
              <w:rPr>
                <w:color w:val="000000" w:themeColor="text1"/>
                <w:lang w:val="en-GB"/>
              </w:rPr>
              <w:t>bn</w:t>
            </w:r>
            <w:r w:rsidR="00546888">
              <w:rPr>
                <w:color w:val="000000" w:themeColor="text1"/>
                <w:lang w:val="en-GB"/>
              </w:rPr>
              <w:t xml:space="preserve"> </w:t>
            </w:r>
            <w:r w:rsidRPr="00DC0A15">
              <w:rPr>
                <w:color w:val="000000" w:themeColor="text1"/>
                <w:lang w:val="en-GB"/>
              </w:rPr>
              <w:t xml:space="preserve">in them in December, by </w:t>
            </w:r>
            <w:r w:rsidR="00960769" w:rsidRPr="00DC0A15">
              <w:rPr>
                <w:color w:val="000000" w:themeColor="text1"/>
                <w:lang w:val="en-GB"/>
              </w:rPr>
              <w:t>111 </w:t>
            </w:r>
            <w:proofErr w:type="spellStart"/>
            <w:r w:rsidRPr="00DC0A15">
              <w:rPr>
                <w:color w:val="000000" w:themeColor="text1"/>
                <w:lang w:val="en-GB"/>
              </w:rPr>
              <w:t>bn</w:t>
            </w:r>
            <w:proofErr w:type="spellEnd"/>
            <w:r w:rsidRPr="00DC0A15">
              <w:rPr>
                <w:color w:val="000000" w:themeColor="text1"/>
                <w:lang w:val="en-GB"/>
              </w:rPr>
              <w:t xml:space="preserve"> more </w:t>
            </w:r>
            <w:r w:rsidR="00850D1F">
              <w:rPr>
                <w:color w:val="000000" w:themeColor="text1"/>
                <w:lang w:val="en-GB"/>
              </w:rPr>
              <w:t>than</w:t>
            </w:r>
            <w:r w:rsidRPr="00DC0A15">
              <w:rPr>
                <w:color w:val="000000" w:themeColor="text1"/>
                <w:lang w:val="en-GB"/>
              </w:rPr>
              <w:t xml:space="preserve"> a year ago. The robust increase o</w:t>
            </w:r>
            <w:r w:rsidR="00672886">
              <w:rPr>
                <w:color w:val="000000" w:themeColor="text1"/>
                <w:lang w:val="en-GB"/>
              </w:rPr>
              <w:t>f</w:t>
            </w:r>
            <w:r w:rsidRPr="00DC0A15">
              <w:rPr>
                <w:color w:val="000000" w:themeColor="text1"/>
                <w:lang w:val="en-GB"/>
              </w:rPr>
              <w:t xml:space="preserve"> the liquid resources of the businesses – given by high profits from own activity and growing </w:t>
            </w:r>
            <w:r w:rsidR="001746F8">
              <w:rPr>
                <w:color w:val="000000" w:themeColor="text1"/>
                <w:lang w:val="en-GB"/>
              </w:rPr>
              <w:t>loans</w:t>
            </w:r>
            <w:r w:rsidRPr="00DC0A15">
              <w:rPr>
                <w:color w:val="000000" w:themeColor="text1"/>
                <w:lang w:val="en-GB"/>
              </w:rPr>
              <w:t xml:space="preserve"> to businesses – provides hope, that investment and volume of paid out wages will also grow in the future. They hide the potential of future growth of the economy of the Czech Republic. </w:t>
            </w:r>
          </w:p>
          <w:p w:rsidR="00960769" w:rsidRPr="00DC0A15" w:rsidRDefault="00960769" w:rsidP="00960769">
            <w:pPr>
              <w:pStyle w:val="Textpoznpodarou"/>
              <w:jc w:val="both"/>
              <w:rPr>
                <w:color w:val="000000" w:themeColor="text1"/>
                <w:sz w:val="18"/>
                <w:szCs w:val="18"/>
                <w:lang w:val="en-GB"/>
              </w:rPr>
            </w:pPr>
          </w:p>
        </w:tc>
      </w:tr>
      <w:tr w:rsidR="00960769" w:rsidRPr="00831EC2" w:rsidTr="00960769">
        <w:tc>
          <w:tcPr>
            <w:tcW w:w="1054" w:type="pct"/>
          </w:tcPr>
          <w:p w:rsidR="00960769" w:rsidRPr="00DC0A15" w:rsidRDefault="00DC0A15" w:rsidP="00DC0A15">
            <w:pPr>
              <w:spacing w:line="240" w:lineRule="auto"/>
              <w:rPr>
                <w:sz w:val="16"/>
                <w:szCs w:val="16"/>
                <w:lang w:val="en-GB"/>
              </w:rPr>
            </w:pPr>
            <w:r w:rsidRPr="00DC0A15">
              <w:rPr>
                <w:sz w:val="16"/>
                <w:szCs w:val="16"/>
                <w:lang w:val="en-GB"/>
              </w:rPr>
              <w:t>Net credit to</w:t>
            </w:r>
            <w:r w:rsidR="007A13A9">
              <w:rPr>
                <w:sz w:val="16"/>
                <w:szCs w:val="16"/>
                <w:lang w:val="en-GB"/>
              </w:rPr>
              <w:t xml:space="preserve"> the</w:t>
            </w:r>
            <w:r w:rsidRPr="00DC0A15">
              <w:rPr>
                <w:sz w:val="16"/>
                <w:szCs w:val="16"/>
                <w:lang w:val="en-GB"/>
              </w:rPr>
              <w:t xml:space="preserve"> government</w:t>
            </w:r>
            <w:r w:rsidR="007A13A9">
              <w:rPr>
                <w:sz w:val="16"/>
                <w:szCs w:val="16"/>
                <w:lang w:val="en-GB"/>
              </w:rPr>
              <w:t xml:space="preserve"> sector</w:t>
            </w:r>
            <w:r w:rsidRPr="00DC0A15">
              <w:rPr>
                <w:sz w:val="16"/>
                <w:szCs w:val="16"/>
                <w:lang w:val="en-GB"/>
              </w:rPr>
              <w:t xml:space="preserve"> (incl. securities) fell by one fifth year-on-year in December </w:t>
            </w:r>
            <w:r w:rsidR="00960769" w:rsidRPr="00DC0A15">
              <w:rPr>
                <w:sz w:val="16"/>
                <w:szCs w:val="16"/>
                <w:lang w:val="en-GB"/>
              </w:rPr>
              <w:t>2015</w:t>
            </w:r>
          </w:p>
        </w:tc>
        <w:tc>
          <w:tcPr>
            <w:tcW w:w="143" w:type="pct"/>
          </w:tcPr>
          <w:p w:rsidR="00960769" w:rsidRPr="00DC0A15" w:rsidRDefault="00960769" w:rsidP="00960769">
            <w:pPr>
              <w:pStyle w:val="Textpoznpodarou"/>
              <w:jc w:val="both"/>
              <w:rPr>
                <w:lang w:val="en-GB"/>
              </w:rPr>
            </w:pPr>
          </w:p>
        </w:tc>
        <w:tc>
          <w:tcPr>
            <w:tcW w:w="3803" w:type="pct"/>
          </w:tcPr>
          <w:p w:rsidR="00960769" w:rsidRPr="00DC0A15" w:rsidRDefault="007A13A9" w:rsidP="00DC0A15">
            <w:pPr>
              <w:pStyle w:val="Textpoznpodarou"/>
              <w:jc w:val="both"/>
              <w:rPr>
                <w:lang w:val="en-GB"/>
              </w:rPr>
            </w:pPr>
            <w:r>
              <w:rPr>
                <w:lang w:val="en-GB"/>
              </w:rPr>
              <w:t>Loans</w:t>
            </w:r>
            <w:r w:rsidR="00DC0A15" w:rsidRPr="00DC0A15">
              <w:rPr>
                <w:lang w:val="en-GB"/>
              </w:rPr>
              <w:t xml:space="preserve"> to households and businesses increase faster than the total domestic credit. It occurs since August 2015. The difference</w:t>
            </w:r>
            <w:r>
              <w:rPr>
                <w:lang w:val="en-GB"/>
              </w:rPr>
              <w:t xml:space="preserve"> in year-on-year rates</w:t>
            </w:r>
            <w:r w:rsidR="00DC0A15" w:rsidRPr="00DC0A15">
              <w:rPr>
                <w:lang w:val="en-GB"/>
              </w:rPr>
              <w:t xml:space="preserve"> was already marked in December. While the </w:t>
            </w:r>
            <w:r>
              <w:rPr>
                <w:lang w:val="en-GB"/>
              </w:rPr>
              <w:t>volume</w:t>
            </w:r>
            <w:r w:rsidR="00DC0A15" w:rsidRPr="00DC0A15">
              <w:rPr>
                <w:lang w:val="en-GB"/>
              </w:rPr>
              <w:t xml:space="preserve"> of </w:t>
            </w:r>
            <w:r>
              <w:rPr>
                <w:lang w:val="en-GB"/>
              </w:rPr>
              <w:t>loans</w:t>
            </w:r>
            <w:r w:rsidR="00DC0A15" w:rsidRPr="00DC0A15">
              <w:rPr>
                <w:lang w:val="en-GB"/>
              </w:rPr>
              <w:t xml:space="preserve"> to households and businesses increased by </w:t>
            </w:r>
            <w:r w:rsidR="00960769" w:rsidRPr="00DC0A15">
              <w:rPr>
                <w:lang w:val="en-GB"/>
              </w:rPr>
              <w:t>6</w:t>
            </w:r>
            <w:r w:rsidR="00DC0A15" w:rsidRPr="00DC0A15">
              <w:rPr>
                <w:lang w:val="en-GB"/>
              </w:rPr>
              <w:t>.</w:t>
            </w:r>
            <w:r w:rsidR="00404AC3">
              <w:rPr>
                <w:lang w:val="en-GB"/>
              </w:rPr>
              <w:t>5</w:t>
            </w:r>
            <w:r w:rsidR="00960769" w:rsidRPr="00DC0A15">
              <w:rPr>
                <w:lang w:val="en-GB"/>
              </w:rPr>
              <w:t>%</w:t>
            </w:r>
            <w:r w:rsidR="00DC0A15" w:rsidRPr="00DC0A15">
              <w:rPr>
                <w:lang w:val="en-GB"/>
              </w:rPr>
              <w:t xml:space="preserve"> year-on-year</w:t>
            </w:r>
            <w:r w:rsidR="00960769" w:rsidRPr="00DC0A15">
              <w:rPr>
                <w:lang w:val="en-GB"/>
              </w:rPr>
              <w:t>,</w:t>
            </w:r>
            <w:r w:rsidR="00DC0A15" w:rsidRPr="00DC0A15">
              <w:rPr>
                <w:lang w:val="en-GB"/>
              </w:rPr>
              <w:t xml:space="preserve"> the volume of domestic credit was higher only by </w:t>
            </w:r>
            <w:r w:rsidR="00960769" w:rsidRPr="00DC0A15">
              <w:rPr>
                <w:lang w:val="en-GB"/>
              </w:rPr>
              <w:t>1</w:t>
            </w:r>
            <w:r w:rsidR="00DC0A15" w:rsidRPr="00DC0A15">
              <w:rPr>
                <w:lang w:val="en-GB"/>
              </w:rPr>
              <w:t>.</w:t>
            </w:r>
            <w:r w:rsidR="00404AC3">
              <w:rPr>
                <w:lang w:val="en-GB"/>
              </w:rPr>
              <w:t>8</w:t>
            </w:r>
            <w:r w:rsidR="00960769" w:rsidRPr="00DC0A15">
              <w:rPr>
                <w:lang w:val="en-GB"/>
              </w:rPr>
              <w:t>%</w:t>
            </w:r>
            <w:r w:rsidR="00DC0A15" w:rsidRPr="00DC0A15">
              <w:rPr>
                <w:lang w:val="en-GB"/>
              </w:rPr>
              <w:t xml:space="preserve"> against the end</w:t>
            </w:r>
            <w:r w:rsidR="00DC0A15">
              <w:rPr>
                <w:lang w:val="en-GB"/>
              </w:rPr>
              <w:t xml:space="preserve"> </w:t>
            </w:r>
            <w:r w:rsidR="00DC0A15" w:rsidRPr="00DC0A15">
              <w:rPr>
                <w:lang w:val="en-GB"/>
              </w:rPr>
              <w:t>of year 2014. It was caused by the notable drop of the net credit to</w:t>
            </w:r>
            <w:r w:rsidR="0058657F">
              <w:rPr>
                <w:lang w:val="en-GB"/>
              </w:rPr>
              <w:t xml:space="preserve"> the</w:t>
            </w:r>
            <w:r w:rsidR="00DC0A15" w:rsidRPr="00DC0A15">
              <w:rPr>
                <w:lang w:val="en-GB"/>
              </w:rPr>
              <w:t xml:space="preserve"> government</w:t>
            </w:r>
            <w:r w:rsidR="0058657F">
              <w:rPr>
                <w:lang w:val="en-GB"/>
              </w:rPr>
              <w:t xml:space="preserve"> sector</w:t>
            </w:r>
            <w:r w:rsidR="00DC0A15" w:rsidRPr="00DC0A15">
              <w:rPr>
                <w:lang w:val="en-GB"/>
              </w:rPr>
              <w:t xml:space="preserve"> (incl. securities), by one fifth year-on-year </w:t>
            </w:r>
            <w:r w:rsidR="00960769" w:rsidRPr="00DC0A15">
              <w:rPr>
                <w:spacing w:val="2"/>
                <w:lang w:val="en-GB"/>
              </w:rPr>
              <w:t>(-</w:t>
            </w:r>
            <w:r w:rsidR="00960769" w:rsidRPr="00DC0A15">
              <w:rPr>
                <w:lang w:val="en-GB"/>
              </w:rPr>
              <w:t>21</w:t>
            </w:r>
            <w:r w:rsidR="00DC0A15" w:rsidRPr="00DC0A15">
              <w:rPr>
                <w:lang w:val="en-GB"/>
              </w:rPr>
              <w:t>.</w:t>
            </w:r>
            <w:r w:rsidR="00404AC3">
              <w:rPr>
                <w:lang w:val="en-GB"/>
              </w:rPr>
              <w:t>1</w:t>
            </w:r>
            <w:r w:rsidR="00960769" w:rsidRPr="00DC0A15">
              <w:rPr>
                <w:lang w:val="en-GB"/>
              </w:rPr>
              <w:t xml:space="preserve">%). </w:t>
            </w:r>
            <w:r w:rsidR="00DC0A15" w:rsidRPr="00DC0A15">
              <w:rPr>
                <w:lang w:val="en-GB"/>
              </w:rPr>
              <w:t xml:space="preserve">This development was most likely associated for once with the </w:t>
            </w:r>
            <w:r w:rsidR="00DC0A15" w:rsidRPr="00DC0A15">
              <w:rPr>
                <w:lang w:val="en-GB"/>
              </w:rPr>
              <w:lastRenderedPageBreak/>
              <w:t>fact, that the domestic banks were selling</w:t>
            </w:r>
            <w:r w:rsidR="00DC0A15">
              <w:rPr>
                <w:lang w:val="en-GB"/>
              </w:rPr>
              <w:t xml:space="preserve"> </w:t>
            </w:r>
            <w:r w:rsidR="00DC0A15" w:rsidRPr="00DC0A15">
              <w:rPr>
                <w:lang w:val="en-GB"/>
              </w:rPr>
              <w:t>government bonds abroad, for second with the accelerated drawing from the European Unio</w:t>
            </w:r>
            <w:r w:rsidR="009703C3">
              <w:rPr>
                <w:lang w:val="en-GB"/>
              </w:rPr>
              <w:t xml:space="preserve">n funds at the end of the year. </w:t>
            </w:r>
          </w:p>
          <w:p w:rsidR="00DC0A15" w:rsidRPr="00DC0A15" w:rsidRDefault="00DC0A15" w:rsidP="00DC0A15">
            <w:pPr>
              <w:pStyle w:val="Textpoznpodarou"/>
              <w:jc w:val="both"/>
              <w:rPr>
                <w:sz w:val="18"/>
                <w:szCs w:val="18"/>
                <w:lang w:val="en-GB"/>
              </w:rPr>
            </w:pPr>
          </w:p>
        </w:tc>
      </w:tr>
      <w:tr w:rsidR="00960769" w:rsidRPr="00831EC2" w:rsidTr="00960769">
        <w:tc>
          <w:tcPr>
            <w:tcW w:w="1054" w:type="pct"/>
          </w:tcPr>
          <w:p w:rsidR="00960769" w:rsidRPr="00695DE9" w:rsidRDefault="007D71F5" w:rsidP="001746F8">
            <w:pPr>
              <w:spacing w:line="240" w:lineRule="auto"/>
              <w:rPr>
                <w:sz w:val="16"/>
                <w:szCs w:val="16"/>
                <w:lang w:val="en-GB"/>
              </w:rPr>
            </w:pPr>
            <w:r w:rsidRPr="00695DE9">
              <w:rPr>
                <w:sz w:val="16"/>
                <w:szCs w:val="16"/>
                <w:lang w:val="en-GB"/>
              </w:rPr>
              <w:lastRenderedPageBreak/>
              <w:t xml:space="preserve">Share of </w:t>
            </w:r>
            <w:r w:rsidR="0058657F">
              <w:rPr>
                <w:sz w:val="16"/>
                <w:szCs w:val="16"/>
                <w:lang w:val="en-GB"/>
              </w:rPr>
              <w:t>non-performing loans</w:t>
            </w:r>
            <w:r w:rsidRPr="00695DE9">
              <w:rPr>
                <w:sz w:val="16"/>
                <w:szCs w:val="16"/>
                <w:lang w:val="en-GB"/>
              </w:rPr>
              <w:t xml:space="preserve"> </w:t>
            </w:r>
            <w:r w:rsidR="0058657F" w:rsidRPr="00695DE9">
              <w:rPr>
                <w:sz w:val="16"/>
                <w:szCs w:val="16"/>
                <w:lang w:val="en-GB"/>
              </w:rPr>
              <w:t xml:space="preserve">in the CR </w:t>
            </w:r>
            <w:r w:rsidRPr="00695DE9">
              <w:rPr>
                <w:sz w:val="16"/>
                <w:szCs w:val="16"/>
                <w:lang w:val="en-GB"/>
              </w:rPr>
              <w:t>does not decrease due to worsening payment morals o</w:t>
            </w:r>
            <w:r w:rsidR="00382D95">
              <w:rPr>
                <w:sz w:val="16"/>
                <w:szCs w:val="16"/>
                <w:lang w:val="en-GB"/>
              </w:rPr>
              <w:t>f</w:t>
            </w:r>
            <w:r w:rsidRPr="00695DE9">
              <w:rPr>
                <w:sz w:val="16"/>
                <w:szCs w:val="16"/>
                <w:lang w:val="en-GB"/>
              </w:rPr>
              <w:t xml:space="preserve"> non-residents. </w:t>
            </w:r>
            <w:r w:rsidR="0058657F">
              <w:rPr>
                <w:sz w:val="16"/>
                <w:szCs w:val="16"/>
                <w:lang w:val="en-GB"/>
              </w:rPr>
              <w:t>Loans</w:t>
            </w:r>
            <w:r w:rsidRPr="00695DE9">
              <w:rPr>
                <w:sz w:val="16"/>
                <w:szCs w:val="16"/>
                <w:lang w:val="en-GB"/>
              </w:rPr>
              <w:t xml:space="preserve"> repayment on the part of residents however improves, </w:t>
            </w:r>
            <w:r w:rsidR="001746F8" w:rsidRPr="00695DE9">
              <w:rPr>
                <w:sz w:val="16"/>
                <w:szCs w:val="16"/>
                <w:lang w:val="en-GB"/>
              </w:rPr>
              <w:t xml:space="preserve">in December 2015 </w:t>
            </w:r>
            <w:r w:rsidRPr="00695DE9">
              <w:rPr>
                <w:sz w:val="16"/>
                <w:szCs w:val="16"/>
                <w:lang w:val="en-GB"/>
              </w:rPr>
              <w:t xml:space="preserve">it was even the </w:t>
            </w:r>
            <w:r w:rsidR="00382D95">
              <w:rPr>
                <w:sz w:val="16"/>
                <w:szCs w:val="16"/>
                <w:lang w:val="en-GB"/>
              </w:rPr>
              <w:t>best</w:t>
            </w:r>
            <w:r w:rsidR="001746F8">
              <w:rPr>
                <w:sz w:val="16"/>
                <w:szCs w:val="16"/>
                <w:lang w:val="en-GB"/>
              </w:rPr>
              <w:t xml:space="preserve"> since the crisis</w:t>
            </w:r>
          </w:p>
        </w:tc>
        <w:tc>
          <w:tcPr>
            <w:tcW w:w="143" w:type="pct"/>
          </w:tcPr>
          <w:p w:rsidR="00960769" w:rsidRPr="00695DE9" w:rsidRDefault="00960769" w:rsidP="00960769">
            <w:pPr>
              <w:pStyle w:val="Textpoznpodarou"/>
              <w:jc w:val="both"/>
              <w:rPr>
                <w:lang w:val="en-GB"/>
              </w:rPr>
            </w:pPr>
          </w:p>
        </w:tc>
        <w:tc>
          <w:tcPr>
            <w:tcW w:w="3803" w:type="pct"/>
          </w:tcPr>
          <w:p w:rsidR="00960769" w:rsidRPr="00695DE9" w:rsidRDefault="00695DE9" w:rsidP="00960769">
            <w:pPr>
              <w:pStyle w:val="Textpoznpodarou"/>
              <w:jc w:val="both"/>
              <w:rPr>
                <w:lang w:val="en-GB"/>
              </w:rPr>
            </w:pPr>
            <w:r>
              <w:rPr>
                <w:lang w:val="en-GB"/>
              </w:rPr>
              <w:t xml:space="preserve">It is </w:t>
            </w:r>
            <w:proofErr w:type="gramStart"/>
            <w:r>
              <w:rPr>
                <w:lang w:val="en-GB"/>
              </w:rPr>
              <w:t>key</w:t>
            </w:r>
            <w:proofErr w:type="gramEnd"/>
            <w:r>
              <w:rPr>
                <w:lang w:val="en-GB"/>
              </w:rPr>
              <w:t xml:space="preserve"> from the view of the banking sector stability, how the share of </w:t>
            </w:r>
            <w:r w:rsidR="0058657F">
              <w:rPr>
                <w:lang w:val="en-GB"/>
              </w:rPr>
              <w:t>non-performing loans</w:t>
            </w:r>
            <w:r>
              <w:rPr>
                <w:lang w:val="en-GB"/>
              </w:rPr>
              <w:t xml:space="preserve"> is developing</w:t>
            </w:r>
            <w:r w:rsidR="00960769" w:rsidRPr="00695DE9">
              <w:rPr>
                <w:lang w:val="en-GB"/>
              </w:rPr>
              <w:t xml:space="preserve">. </w:t>
            </w:r>
            <w:r>
              <w:rPr>
                <w:lang w:val="en-GB"/>
              </w:rPr>
              <w:t xml:space="preserve">It was the lowest in November </w:t>
            </w:r>
            <w:r w:rsidR="00960769" w:rsidRPr="00695DE9">
              <w:rPr>
                <w:lang w:val="en-GB"/>
              </w:rPr>
              <w:t xml:space="preserve">2007, </w:t>
            </w:r>
            <w:r>
              <w:rPr>
                <w:lang w:val="en-GB"/>
              </w:rPr>
              <w:t xml:space="preserve">when it constituted </w:t>
            </w:r>
            <w:r w:rsidR="00960769" w:rsidRPr="00695DE9">
              <w:rPr>
                <w:lang w:val="en-GB"/>
              </w:rPr>
              <w:t>2</w:t>
            </w:r>
            <w:r>
              <w:rPr>
                <w:lang w:val="en-GB"/>
              </w:rPr>
              <w:t>.</w:t>
            </w:r>
            <w:r w:rsidR="00404AC3">
              <w:rPr>
                <w:lang w:val="en-GB"/>
              </w:rPr>
              <w:t>61</w:t>
            </w:r>
            <w:r w:rsidR="00960769" w:rsidRPr="00695DE9">
              <w:rPr>
                <w:lang w:val="en-GB"/>
              </w:rPr>
              <w:t>%.</w:t>
            </w:r>
            <w:r>
              <w:rPr>
                <w:lang w:val="en-GB"/>
              </w:rPr>
              <w:t xml:space="preserve"> Nevertheless, </w:t>
            </w:r>
            <w:r w:rsidR="00404AC3">
              <w:rPr>
                <w:lang w:val="en-GB"/>
              </w:rPr>
              <w:t>it climbed up to the level of 6</w:t>
            </w:r>
            <w:r>
              <w:rPr>
                <w:lang w:val="en-GB"/>
              </w:rPr>
              <w:t>% due to the worsening</w:t>
            </w:r>
            <w:r w:rsidR="0058657F">
              <w:rPr>
                <w:lang w:val="en-GB"/>
              </w:rPr>
              <w:t xml:space="preserve"> of</w:t>
            </w:r>
            <w:r>
              <w:rPr>
                <w:lang w:val="en-GB"/>
              </w:rPr>
              <w:t xml:space="preserve"> economic situation in the CR in years </w:t>
            </w:r>
            <w:r w:rsidR="00960769" w:rsidRPr="00695DE9">
              <w:rPr>
                <w:lang w:val="en-GB"/>
              </w:rPr>
              <w:t>2008 a</w:t>
            </w:r>
            <w:r>
              <w:rPr>
                <w:lang w:val="en-GB"/>
              </w:rPr>
              <w:t>nd</w:t>
            </w:r>
            <w:r w:rsidR="00960769" w:rsidRPr="00695DE9">
              <w:rPr>
                <w:lang w:val="en-GB"/>
              </w:rPr>
              <w:t xml:space="preserve"> 2009</w:t>
            </w:r>
            <w:r>
              <w:rPr>
                <w:lang w:val="en-GB"/>
              </w:rPr>
              <w:t xml:space="preserve">, where it basically remained till today. The share of </w:t>
            </w:r>
            <w:r w:rsidR="0058657F">
              <w:rPr>
                <w:lang w:val="en-GB"/>
              </w:rPr>
              <w:t>non-performing loans</w:t>
            </w:r>
            <w:r>
              <w:rPr>
                <w:lang w:val="en-GB"/>
              </w:rPr>
              <w:t xml:space="preserve"> did not decrease even in </w:t>
            </w:r>
            <w:r w:rsidR="00960769" w:rsidRPr="00695DE9">
              <w:rPr>
                <w:lang w:val="en-GB"/>
              </w:rPr>
              <w:t>2014 a</w:t>
            </w:r>
            <w:r>
              <w:rPr>
                <w:lang w:val="en-GB"/>
              </w:rPr>
              <w:t>nd</w:t>
            </w:r>
            <w:r w:rsidR="00960769" w:rsidRPr="00695DE9">
              <w:rPr>
                <w:lang w:val="en-GB"/>
              </w:rPr>
              <w:t xml:space="preserve"> 2015, </w:t>
            </w:r>
            <w:r>
              <w:rPr>
                <w:lang w:val="en-GB"/>
              </w:rPr>
              <w:t xml:space="preserve">when the economy was evidently flourishing. </w:t>
            </w:r>
            <w:r w:rsidR="00165935">
              <w:rPr>
                <w:lang w:val="en-GB"/>
              </w:rPr>
              <w:t xml:space="preserve">If we however study the detailed structure more, it becomes apparent, that a high proportion of </w:t>
            </w:r>
            <w:r w:rsidR="0058657F">
              <w:rPr>
                <w:lang w:val="en-GB"/>
              </w:rPr>
              <w:t>non-performing loans</w:t>
            </w:r>
            <w:r w:rsidR="00165935">
              <w:rPr>
                <w:lang w:val="en-GB"/>
              </w:rPr>
              <w:t xml:space="preserve"> </w:t>
            </w:r>
            <w:r w:rsidR="00AA3948">
              <w:rPr>
                <w:lang w:val="en-GB"/>
              </w:rPr>
              <w:t xml:space="preserve">is caused by the non-residents, whose payment morals is continuously worsening. </w:t>
            </w:r>
            <w:r w:rsidR="00165935">
              <w:rPr>
                <w:lang w:val="en-GB"/>
              </w:rPr>
              <w:t xml:space="preserve"> </w:t>
            </w:r>
            <w:r w:rsidR="00743CEB">
              <w:rPr>
                <w:lang w:val="en-GB"/>
              </w:rPr>
              <w:t xml:space="preserve">On the other hand, the repayment of </w:t>
            </w:r>
            <w:r w:rsidR="0058657F">
              <w:rPr>
                <w:lang w:val="en-GB"/>
              </w:rPr>
              <w:t>loans</w:t>
            </w:r>
            <w:r w:rsidR="00743CEB">
              <w:rPr>
                <w:lang w:val="en-GB"/>
              </w:rPr>
              <w:t xml:space="preserve"> on the part of residents is improving already since the end of the year 2010. The proportion of </w:t>
            </w:r>
            <w:r w:rsidR="0058657F">
              <w:rPr>
                <w:lang w:val="en-GB"/>
              </w:rPr>
              <w:t>non-performing loans</w:t>
            </w:r>
            <w:r w:rsidR="00743CEB">
              <w:rPr>
                <w:lang w:val="en-GB"/>
              </w:rPr>
              <w:t xml:space="preserve"> for the </w:t>
            </w:r>
            <w:r w:rsidR="0058657F">
              <w:rPr>
                <w:lang w:val="en-GB"/>
              </w:rPr>
              <w:t>non-residents</w:t>
            </w:r>
            <w:r w:rsidR="00743CEB">
              <w:rPr>
                <w:lang w:val="en-GB"/>
              </w:rPr>
              <w:t xml:space="preserve"> amounted to </w:t>
            </w:r>
            <w:r w:rsidR="00960769" w:rsidRPr="00695DE9">
              <w:rPr>
                <w:lang w:val="en-GB"/>
              </w:rPr>
              <w:t>16</w:t>
            </w:r>
            <w:r w:rsidR="00743CEB">
              <w:rPr>
                <w:lang w:val="en-GB"/>
              </w:rPr>
              <w:t>.</w:t>
            </w:r>
            <w:r w:rsidR="00404AC3">
              <w:rPr>
                <w:lang w:val="en-GB"/>
              </w:rPr>
              <w:t>59</w:t>
            </w:r>
            <w:r w:rsidR="00960769" w:rsidRPr="00695DE9">
              <w:rPr>
                <w:lang w:val="en-GB"/>
              </w:rPr>
              <w:t>%</w:t>
            </w:r>
            <w:r w:rsidR="00743CEB">
              <w:rPr>
                <w:lang w:val="en-GB"/>
              </w:rPr>
              <w:t xml:space="preserve"> in December 2015</w:t>
            </w:r>
            <w:r w:rsidR="00960769" w:rsidRPr="00695DE9">
              <w:rPr>
                <w:lang w:val="en-GB"/>
              </w:rPr>
              <w:t xml:space="preserve">. </w:t>
            </w:r>
            <w:r w:rsidR="00AF7E75">
              <w:rPr>
                <w:lang w:val="en-GB"/>
              </w:rPr>
              <w:t xml:space="preserve">In case of residents, the banks had only </w:t>
            </w:r>
            <w:r w:rsidR="00960769" w:rsidRPr="00695DE9">
              <w:rPr>
                <w:lang w:val="en-GB"/>
              </w:rPr>
              <w:t>4</w:t>
            </w:r>
            <w:r w:rsidR="00AF7E75">
              <w:rPr>
                <w:lang w:val="en-GB"/>
              </w:rPr>
              <w:t>.</w:t>
            </w:r>
            <w:r w:rsidR="00404AC3">
              <w:rPr>
                <w:lang w:val="en-GB"/>
              </w:rPr>
              <w:t>36</w:t>
            </w:r>
            <w:r w:rsidR="00960769" w:rsidRPr="00695DE9">
              <w:rPr>
                <w:lang w:val="en-GB"/>
              </w:rPr>
              <w:t xml:space="preserve">% </w:t>
            </w:r>
            <w:r w:rsidR="00AF7E75">
              <w:rPr>
                <w:lang w:val="en-GB"/>
              </w:rPr>
              <w:t>of total exposure in default and it was the best result since crisis. Not surprisingly, the households repaid</w:t>
            </w:r>
            <w:r w:rsidR="00404AC3">
              <w:rPr>
                <w:lang w:val="en-GB"/>
              </w:rPr>
              <w:t xml:space="preserve"> their obligations better (4.07</w:t>
            </w:r>
            <w:r w:rsidR="00AF7E75">
              <w:rPr>
                <w:lang w:val="en-GB"/>
              </w:rPr>
              <w:t>%) than the non-finan</w:t>
            </w:r>
            <w:r w:rsidR="00404AC3">
              <w:rPr>
                <w:lang w:val="en-GB"/>
              </w:rPr>
              <w:t xml:space="preserve">cial </w:t>
            </w:r>
            <w:proofErr w:type="spellStart"/>
            <w:r w:rsidR="0058657F">
              <w:rPr>
                <w:lang w:val="en-GB"/>
              </w:rPr>
              <w:t>corporations</w:t>
            </w:r>
            <w:proofErr w:type="spellEnd"/>
            <w:r w:rsidR="00404AC3">
              <w:rPr>
                <w:lang w:val="en-GB"/>
              </w:rPr>
              <w:t xml:space="preserve"> (5.72</w:t>
            </w:r>
            <w:r w:rsidR="00AF7E75">
              <w:rPr>
                <w:lang w:val="en-GB"/>
              </w:rPr>
              <w:t xml:space="preserve">%). However, especially the business sphere recorded the improvement with respect to the payment morals during the year 2015 – the proportion of </w:t>
            </w:r>
            <w:r w:rsidR="0058657F">
              <w:rPr>
                <w:lang w:val="en-GB"/>
              </w:rPr>
              <w:t>non-performing loans</w:t>
            </w:r>
            <w:r w:rsidR="00AF7E75">
              <w:rPr>
                <w:lang w:val="en-GB"/>
              </w:rPr>
              <w:t xml:space="preserve"> of households decreased by </w:t>
            </w:r>
            <w:r w:rsidR="00960769" w:rsidRPr="00695DE9">
              <w:rPr>
                <w:lang w:val="en-GB"/>
              </w:rPr>
              <w:t>0</w:t>
            </w:r>
            <w:proofErr w:type="gramStart"/>
            <w:r w:rsidR="00960769" w:rsidRPr="00695DE9">
              <w:rPr>
                <w:lang w:val="en-GB"/>
              </w:rPr>
              <w:t>,66</w:t>
            </w:r>
            <w:proofErr w:type="gramEnd"/>
            <w:r w:rsidR="00960769" w:rsidRPr="00695DE9">
              <w:rPr>
                <w:lang w:val="en-GB"/>
              </w:rPr>
              <w:t xml:space="preserve"> p</w:t>
            </w:r>
            <w:r w:rsidR="00494343" w:rsidRPr="00695DE9">
              <w:rPr>
                <w:lang w:val="en-GB"/>
              </w:rPr>
              <w:t>.</w:t>
            </w:r>
            <w:r w:rsidR="00AF7E75">
              <w:rPr>
                <w:lang w:val="en-GB"/>
              </w:rPr>
              <w:t>p</w:t>
            </w:r>
            <w:r w:rsidR="00960769" w:rsidRPr="00695DE9">
              <w:rPr>
                <w:lang w:val="en-GB"/>
              </w:rPr>
              <w:t>. a</w:t>
            </w:r>
            <w:r w:rsidR="00AF7E75">
              <w:rPr>
                <w:lang w:val="en-GB"/>
              </w:rPr>
              <w:t xml:space="preserve">nd by 0.99 p.p. for non-financial </w:t>
            </w:r>
            <w:r w:rsidR="0058657F">
              <w:rPr>
                <w:lang w:val="en-GB"/>
              </w:rPr>
              <w:t>corporations</w:t>
            </w:r>
            <w:r w:rsidR="00AF7E75">
              <w:rPr>
                <w:lang w:val="en-GB"/>
              </w:rPr>
              <w:t xml:space="preserve">. </w:t>
            </w:r>
          </w:p>
          <w:p w:rsidR="00960769" w:rsidRPr="00695DE9" w:rsidRDefault="00960769" w:rsidP="00960769">
            <w:pPr>
              <w:pStyle w:val="Textpoznpodarou"/>
              <w:jc w:val="both"/>
              <w:rPr>
                <w:lang w:val="en-GB"/>
              </w:rPr>
            </w:pPr>
          </w:p>
        </w:tc>
      </w:tr>
      <w:tr w:rsidR="00960769" w:rsidRPr="00831EC2" w:rsidTr="00960769">
        <w:tc>
          <w:tcPr>
            <w:tcW w:w="1054" w:type="pct"/>
          </w:tcPr>
          <w:p w:rsidR="00960769" w:rsidRPr="00872D92" w:rsidRDefault="00A31B69" w:rsidP="004C3CC4">
            <w:pPr>
              <w:spacing w:line="240" w:lineRule="auto"/>
              <w:rPr>
                <w:sz w:val="16"/>
                <w:szCs w:val="16"/>
                <w:lang w:val="en-GB"/>
              </w:rPr>
            </w:pPr>
            <w:r w:rsidRPr="00872D92">
              <w:rPr>
                <w:sz w:val="16"/>
                <w:szCs w:val="16"/>
                <w:lang w:val="en-GB"/>
              </w:rPr>
              <w:t xml:space="preserve">Interest rates on </w:t>
            </w:r>
            <w:r w:rsidR="004C3CC4">
              <w:rPr>
                <w:sz w:val="16"/>
                <w:szCs w:val="16"/>
                <w:lang w:val="en-GB"/>
              </w:rPr>
              <w:t>loans for house purchase</w:t>
            </w:r>
            <w:r w:rsidRPr="00872D92">
              <w:rPr>
                <w:sz w:val="16"/>
                <w:szCs w:val="16"/>
                <w:lang w:val="en-GB"/>
              </w:rPr>
              <w:t xml:space="preserve"> are very low and the households </w:t>
            </w:r>
            <w:r w:rsidR="00872D92" w:rsidRPr="00872D92">
              <w:rPr>
                <w:sz w:val="16"/>
                <w:szCs w:val="16"/>
                <w:lang w:val="en-GB"/>
              </w:rPr>
              <w:t>contract debts</w:t>
            </w:r>
            <w:r w:rsidR="00960769" w:rsidRPr="00872D92">
              <w:rPr>
                <w:sz w:val="16"/>
                <w:szCs w:val="16"/>
                <w:lang w:val="en-GB"/>
              </w:rPr>
              <w:t>, …</w:t>
            </w:r>
          </w:p>
        </w:tc>
        <w:tc>
          <w:tcPr>
            <w:tcW w:w="143" w:type="pct"/>
          </w:tcPr>
          <w:p w:rsidR="00960769" w:rsidRPr="00872D92" w:rsidRDefault="00960769" w:rsidP="00960769">
            <w:pPr>
              <w:pStyle w:val="Textpoznpodarou"/>
              <w:jc w:val="both"/>
              <w:rPr>
                <w:lang w:val="en-GB"/>
              </w:rPr>
            </w:pPr>
          </w:p>
        </w:tc>
        <w:tc>
          <w:tcPr>
            <w:tcW w:w="3803" w:type="pct"/>
          </w:tcPr>
          <w:p w:rsidR="00960769" w:rsidRPr="00872D92" w:rsidRDefault="00960769" w:rsidP="00960769">
            <w:pPr>
              <w:pStyle w:val="Textpoznpodarou"/>
              <w:jc w:val="both"/>
              <w:rPr>
                <w:lang w:val="en-GB"/>
              </w:rPr>
            </w:pPr>
            <w:r w:rsidRPr="00872D92">
              <w:rPr>
                <w:lang w:val="en-GB"/>
              </w:rPr>
              <w:t>Ve</w:t>
            </w:r>
            <w:r w:rsidR="00872D92" w:rsidRPr="00872D92">
              <w:rPr>
                <w:lang w:val="en-GB"/>
              </w:rPr>
              <w:t>ry low interest rates</w:t>
            </w:r>
            <w:r w:rsidR="00872D92">
              <w:rPr>
                <w:lang w:val="en-GB"/>
              </w:rPr>
              <w:t xml:space="preserve"> </w:t>
            </w:r>
            <w:r w:rsidR="00872D92" w:rsidRPr="00872D92">
              <w:rPr>
                <w:lang w:val="en-GB"/>
              </w:rPr>
              <w:t xml:space="preserve">on </w:t>
            </w:r>
            <w:r w:rsidR="004C3CC4">
              <w:rPr>
                <w:lang w:val="en-GB"/>
              </w:rPr>
              <w:t>loans for house purchase</w:t>
            </w:r>
            <w:r w:rsidR="00872D92" w:rsidRPr="00872D92">
              <w:rPr>
                <w:lang w:val="en-GB"/>
              </w:rPr>
              <w:t xml:space="preserve"> – in the environment</w:t>
            </w:r>
            <w:r w:rsidR="00872D92">
              <w:rPr>
                <w:lang w:val="en-GB"/>
              </w:rPr>
              <w:t xml:space="preserve"> </w:t>
            </w:r>
            <w:r w:rsidR="00872D92" w:rsidRPr="00872D92">
              <w:rPr>
                <w:lang w:val="en-GB"/>
              </w:rPr>
              <w:t>of growing household income</w:t>
            </w:r>
            <w:r w:rsidR="00872D92">
              <w:rPr>
                <w:lang w:val="en-GB"/>
              </w:rPr>
              <w:t xml:space="preserve"> </w:t>
            </w:r>
            <w:r w:rsidR="00872D92" w:rsidRPr="00872D92">
              <w:rPr>
                <w:lang w:val="en-GB"/>
              </w:rPr>
              <w:t>and low unemployment rate – motivated the hou</w:t>
            </w:r>
            <w:r w:rsidR="00872D92">
              <w:rPr>
                <w:lang w:val="en-GB"/>
              </w:rPr>
              <w:t>s</w:t>
            </w:r>
            <w:r w:rsidR="00872D92" w:rsidRPr="00872D92">
              <w:rPr>
                <w:lang w:val="en-GB"/>
              </w:rPr>
              <w:t xml:space="preserve">eholds to acquire </w:t>
            </w:r>
            <w:r w:rsidR="00872D92">
              <w:rPr>
                <w:lang w:val="en-GB"/>
              </w:rPr>
              <w:t xml:space="preserve">their own housing resp. to secure future income by a purchase of real estate for rent. The rates were low throughout the whole year 2015, regardless of the fixation period. Nevertheless, those who negotiated the loan in June with the fixation of the interest rate </w:t>
            </w:r>
            <w:r w:rsidR="004C3CC4">
              <w:rPr>
                <w:lang w:val="en-GB"/>
              </w:rPr>
              <w:t>over</w:t>
            </w:r>
            <w:r w:rsidR="00872D92">
              <w:rPr>
                <w:lang w:val="en-GB"/>
              </w:rPr>
              <w:t xml:space="preserve"> 1 </w:t>
            </w:r>
            <w:r w:rsidR="004C3CC4">
              <w:rPr>
                <w:lang w:val="en-GB"/>
              </w:rPr>
              <w:t>and up to</w:t>
            </w:r>
            <w:r w:rsidR="00872D92">
              <w:rPr>
                <w:lang w:val="en-GB"/>
              </w:rPr>
              <w:t xml:space="preserve"> 5 years </w:t>
            </w:r>
            <w:r w:rsidRPr="00872D92">
              <w:rPr>
                <w:lang w:val="en-GB"/>
              </w:rPr>
              <w:t>(2</w:t>
            </w:r>
            <w:r w:rsidR="00872D92">
              <w:rPr>
                <w:lang w:val="en-GB"/>
              </w:rPr>
              <w:t>.</w:t>
            </w:r>
            <w:r w:rsidR="00404AC3">
              <w:rPr>
                <w:lang w:val="en-GB"/>
              </w:rPr>
              <w:t>32</w:t>
            </w:r>
            <w:r w:rsidRPr="00872D92">
              <w:rPr>
                <w:lang w:val="en-GB"/>
              </w:rPr>
              <w:t>%</w:t>
            </w:r>
            <w:proofErr w:type="gramStart"/>
            <w:r w:rsidRPr="00872D92">
              <w:rPr>
                <w:lang w:val="en-GB"/>
              </w:rPr>
              <w:t>)</w:t>
            </w:r>
            <w:r w:rsidR="00872D92">
              <w:rPr>
                <w:lang w:val="en-GB"/>
              </w:rPr>
              <w:t>,</w:t>
            </w:r>
            <w:proofErr w:type="gramEnd"/>
            <w:r w:rsidR="00872D92">
              <w:rPr>
                <w:lang w:val="en-GB"/>
              </w:rPr>
              <w:t xml:space="preserve"> reached the most advantageous conditions, even historically</w:t>
            </w:r>
            <w:r w:rsidRPr="00872D92">
              <w:rPr>
                <w:lang w:val="en-GB"/>
              </w:rPr>
              <w:t>.</w:t>
            </w:r>
          </w:p>
          <w:p w:rsidR="00960769" w:rsidRPr="00872D92" w:rsidRDefault="00960769" w:rsidP="00960769">
            <w:pPr>
              <w:pStyle w:val="Textpoznpodarou"/>
              <w:jc w:val="both"/>
              <w:rPr>
                <w:lang w:val="en-GB"/>
              </w:rPr>
            </w:pPr>
          </w:p>
        </w:tc>
      </w:tr>
      <w:tr w:rsidR="00960769" w:rsidRPr="00831EC2" w:rsidTr="00960769">
        <w:tc>
          <w:tcPr>
            <w:tcW w:w="1054" w:type="pct"/>
          </w:tcPr>
          <w:p w:rsidR="00960769" w:rsidRPr="002C3B51" w:rsidRDefault="00960769" w:rsidP="002C3B51">
            <w:pPr>
              <w:spacing w:line="240" w:lineRule="auto"/>
              <w:rPr>
                <w:sz w:val="16"/>
                <w:szCs w:val="16"/>
                <w:lang w:val="en-GB"/>
              </w:rPr>
            </w:pPr>
            <w:r w:rsidRPr="002C3B51">
              <w:rPr>
                <w:sz w:val="16"/>
                <w:szCs w:val="16"/>
                <w:lang w:val="en-GB"/>
              </w:rPr>
              <w:t xml:space="preserve">… </w:t>
            </w:r>
            <w:r w:rsidR="00404AC3">
              <w:rPr>
                <w:sz w:val="16"/>
                <w:szCs w:val="16"/>
                <w:lang w:val="en-GB"/>
              </w:rPr>
              <w:t>mortgages rose by 8.8</w:t>
            </w:r>
            <w:r w:rsidR="002C3B51" w:rsidRPr="002C3B51">
              <w:rPr>
                <w:sz w:val="16"/>
                <w:szCs w:val="16"/>
                <w:lang w:val="en-GB"/>
              </w:rPr>
              <w:t>% year-on-</w:t>
            </w:r>
            <w:r w:rsidR="002C3B51">
              <w:rPr>
                <w:sz w:val="16"/>
                <w:szCs w:val="16"/>
                <w:lang w:val="en-GB"/>
              </w:rPr>
              <w:t>y</w:t>
            </w:r>
            <w:r w:rsidR="002C3B51" w:rsidRPr="002C3B51">
              <w:rPr>
                <w:sz w:val="16"/>
                <w:szCs w:val="16"/>
                <w:lang w:val="en-GB"/>
              </w:rPr>
              <w:t>ear in December. The interest to finance real estates via consumer credit is</w:t>
            </w:r>
            <w:r w:rsidR="00153047">
              <w:rPr>
                <w:sz w:val="16"/>
                <w:szCs w:val="16"/>
                <w:lang w:val="en-GB"/>
              </w:rPr>
              <w:t xml:space="preserve"> </w:t>
            </w:r>
            <w:r w:rsidR="002C3B51" w:rsidRPr="002C3B51">
              <w:rPr>
                <w:sz w:val="16"/>
                <w:szCs w:val="16"/>
                <w:lang w:val="en-GB"/>
              </w:rPr>
              <w:t xml:space="preserve">also increasing </w:t>
            </w:r>
          </w:p>
        </w:tc>
        <w:tc>
          <w:tcPr>
            <w:tcW w:w="143" w:type="pct"/>
          </w:tcPr>
          <w:p w:rsidR="00960769" w:rsidRPr="002C3B51" w:rsidRDefault="00960769" w:rsidP="00960769">
            <w:pPr>
              <w:pStyle w:val="Textpoznpodarou"/>
              <w:jc w:val="both"/>
              <w:rPr>
                <w:lang w:val="en-GB"/>
              </w:rPr>
            </w:pPr>
          </w:p>
        </w:tc>
        <w:tc>
          <w:tcPr>
            <w:tcW w:w="3803" w:type="pct"/>
          </w:tcPr>
          <w:p w:rsidR="00960769" w:rsidRPr="002C3B51" w:rsidRDefault="002C3B51" w:rsidP="00960769">
            <w:pPr>
              <w:pStyle w:val="Textpoznpodarou"/>
              <w:jc w:val="both"/>
              <w:rPr>
                <w:lang w:val="en-GB"/>
              </w:rPr>
            </w:pPr>
            <w:r>
              <w:rPr>
                <w:lang w:val="en-GB"/>
              </w:rPr>
              <w:t xml:space="preserve">The volume of </w:t>
            </w:r>
            <w:r w:rsidR="004C3CC4">
              <w:rPr>
                <w:lang w:val="en-GB"/>
              </w:rPr>
              <w:t xml:space="preserve">loans </w:t>
            </w:r>
            <w:r>
              <w:rPr>
                <w:lang w:val="en-GB"/>
              </w:rPr>
              <w:t xml:space="preserve">provided to households for the purchase of </w:t>
            </w:r>
            <w:r w:rsidR="00153047">
              <w:rPr>
                <w:lang w:val="en-GB"/>
              </w:rPr>
              <w:t xml:space="preserve">flat or house increased by </w:t>
            </w:r>
            <w:r w:rsidR="00404AC3">
              <w:rPr>
                <w:lang w:val="en-GB"/>
              </w:rPr>
              <w:t>8%</w:t>
            </w:r>
            <w:r w:rsidR="00153047">
              <w:rPr>
                <w:lang w:val="en-GB"/>
              </w:rPr>
              <w:t xml:space="preserve"> year-on-year at the end of 2015, the fastest since July </w:t>
            </w:r>
            <w:r w:rsidR="00960769" w:rsidRPr="002C3B51">
              <w:rPr>
                <w:lang w:val="en-GB"/>
              </w:rPr>
              <w:t>2010.</w:t>
            </w:r>
            <w:r w:rsidR="00153047">
              <w:rPr>
                <w:lang w:val="en-GB"/>
              </w:rPr>
              <w:t xml:space="preserve">  </w:t>
            </w:r>
            <w:r w:rsidR="00960769" w:rsidRPr="002C3B51">
              <w:rPr>
                <w:lang w:val="en-GB"/>
              </w:rPr>
              <w:t xml:space="preserve"> </w:t>
            </w:r>
            <w:r w:rsidR="0001100E">
              <w:rPr>
                <w:lang w:val="en-GB"/>
              </w:rPr>
              <w:t>T</w:t>
            </w:r>
            <w:r w:rsidR="004C3CC4">
              <w:rPr>
                <w:lang w:val="en-GB"/>
              </w:rPr>
              <w:t>he most often utilised mortgage loans</w:t>
            </w:r>
            <w:r w:rsidR="0001100E">
              <w:rPr>
                <w:lang w:val="en-GB"/>
              </w:rPr>
              <w:t xml:space="preserve"> increased by </w:t>
            </w:r>
            <w:r w:rsidR="00960769" w:rsidRPr="002C3B51">
              <w:rPr>
                <w:lang w:val="en-GB"/>
              </w:rPr>
              <w:t>8</w:t>
            </w:r>
            <w:r w:rsidR="0001100E">
              <w:rPr>
                <w:lang w:val="en-GB"/>
              </w:rPr>
              <w:t>.</w:t>
            </w:r>
            <w:r w:rsidR="00404AC3">
              <w:rPr>
                <w:lang w:val="en-GB"/>
              </w:rPr>
              <w:t>8</w:t>
            </w:r>
            <w:r w:rsidR="00960769" w:rsidRPr="002C3B51">
              <w:rPr>
                <w:lang w:val="en-GB"/>
              </w:rPr>
              <w:t xml:space="preserve">%, </w:t>
            </w:r>
            <w:r w:rsidR="0001100E">
              <w:rPr>
                <w:lang w:val="en-GB"/>
              </w:rPr>
              <w:t xml:space="preserve">deviation from the standard credit from </w:t>
            </w:r>
            <w:r w:rsidR="004C3CC4">
              <w:rPr>
                <w:lang w:val="en-GB"/>
              </w:rPr>
              <w:t>construction</w:t>
            </w:r>
            <w:r w:rsidR="0001100E">
              <w:rPr>
                <w:lang w:val="en-GB"/>
              </w:rPr>
              <w:t xml:space="preserve"> savings however continued </w:t>
            </w:r>
            <w:r w:rsidR="00960769" w:rsidRPr="002C3B51">
              <w:rPr>
                <w:lang w:val="en-GB"/>
              </w:rPr>
              <w:t>(-9</w:t>
            </w:r>
            <w:r w:rsidR="00B2755D">
              <w:rPr>
                <w:lang w:val="en-GB"/>
              </w:rPr>
              <w:t>.</w:t>
            </w:r>
            <w:r w:rsidR="00404AC3">
              <w:rPr>
                <w:lang w:val="en-GB"/>
              </w:rPr>
              <w:t>6</w:t>
            </w:r>
            <w:r w:rsidR="00960769" w:rsidRPr="002C3B51">
              <w:rPr>
                <w:lang w:val="en-GB"/>
              </w:rPr>
              <w:t>%) a</w:t>
            </w:r>
            <w:r w:rsidR="00B2755D">
              <w:rPr>
                <w:lang w:val="en-GB"/>
              </w:rPr>
              <w:t xml:space="preserve">nd the bridging </w:t>
            </w:r>
            <w:r w:rsidR="004C3CC4">
              <w:rPr>
                <w:lang w:val="en-GB"/>
              </w:rPr>
              <w:t>credit</w:t>
            </w:r>
            <w:r w:rsidR="00B2755D">
              <w:rPr>
                <w:lang w:val="en-GB"/>
              </w:rPr>
              <w:t xml:space="preserve"> were not convincing in their dynamics either </w:t>
            </w:r>
            <w:r w:rsidR="00960769" w:rsidRPr="002C3B51">
              <w:rPr>
                <w:lang w:val="en-GB"/>
              </w:rPr>
              <w:t>(+3</w:t>
            </w:r>
            <w:r w:rsidR="00B2755D">
              <w:rPr>
                <w:lang w:val="en-GB"/>
              </w:rPr>
              <w:t>.</w:t>
            </w:r>
            <w:r w:rsidR="00404AC3">
              <w:rPr>
                <w:lang w:val="en-GB"/>
              </w:rPr>
              <w:t>2</w:t>
            </w:r>
            <w:r w:rsidR="00960769" w:rsidRPr="002C3B51">
              <w:rPr>
                <w:lang w:val="en-GB"/>
              </w:rPr>
              <w:t xml:space="preserve">%). </w:t>
            </w:r>
            <w:r w:rsidR="00B2755D">
              <w:rPr>
                <w:lang w:val="en-GB"/>
              </w:rPr>
              <w:t xml:space="preserve">A higher interest of households to finance the real estate with the use of the consumer credit is apparent since Q2. </w:t>
            </w:r>
          </w:p>
          <w:p w:rsidR="00960769" w:rsidRPr="002C3B51" w:rsidRDefault="00960769" w:rsidP="00960769">
            <w:pPr>
              <w:pStyle w:val="Textpoznpodarou"/>
              <w:jc w:val="both"/>
              <w:rPr>
                <w:lang w:val="en-GB"/>
              </w:rPr>
            </w:pPr>
          </w:p>
        </w:tc>
      </w:tr>
      <w:tr w:rsidR="00960769" w:rsidRPr="00831EC2" w:rsidTr="00960769">
        <w:tc>
          <w:tcPr>
            <w:tcW w:w="1054" w:type="pct"/>
          </w:tcPr>
          <w:p w:rsidR="00960769" w:rsidRPr="004F2476" w:rsidRDefault="004F2476" w:rsidP="004C3CC4">
            <w:pPr>
              <w:spacing w:line="240" w:lineRule="auto"/>
              <w:rPr>
                <w:color w:val="000000" w:themeColor="text1"/>
                <w:sz w:val="16"/>
                <w:szCs w:val="16"/>
                <w:lang w:val="en-GB"/>
              </w:rPr>
            </w:pPr>
            <w:r w:rsidRPr="004F2476">
              <w:rPr>
                <w:color w:val="000000" w:themeColor="text1"/>
                <w:sz w:val="16"/>
                <w:szCs w:val="16"/>
                <w:lang w:val="en-GB"/>
              </w:rPr>
              <w:t xml:space="preserve">Non-financial </w:t>
            </w:r>
            <w:proofErr w:type="spellStart"/>
            <w:r w:rsidR="004C3CC4">
              <w:rPr>
                <w:color w:val="000000" w:themeColor="text1"/>
                <w:sz w:val="16"/>
                <w:szCs w:val="16"/>
                <w:lang w:val="en-GB"/>
              </w:rPr>
              <w:t>corporations</w:t>
            </w:r>
            <w:proofErr w:type="spellEnd"/>
            <w:r w:rsidRPr="004F2476">
              <w:rPr>
                <w:color w:val="000000" w:themeColor="text1"/>
                <w:sz w:val="16"/>
                <w:szCs w:val="16"/>
                <w:lang w:val="en-GB"/>
              </w:rPr>
              <w:t xml:space="preserve"> incur further debt, however only on longer time horizons </w:t>
            </w:r>
          </w:p>
        </w:tc>
        <w:tc>
          <w:tcPr>
            <w:tcW w:w="143" w:type="pct"/>
          </w:tcPr>
          <w:p w:rsidR="00960769" w:rsidRPr="004F2476" w:rsidRDefault="00960769" w:rsidP="00960769">
            <w:pPr>
              <w:pStyle w:val="Textpoznpodarou"/>
              <w:jc w:val="both"/>
              <w:rPr>
                <w:color w:val="000000" w:themeColor="text1"/>
                <w:lang w:val="en-GB"/>
              </w:rPr>
            </w:pPr>
          </w:p>
        </w:tc>
        <w:tc>
          <w:tcPr>
            <w:tcW w:w="3803" w:type="pct"/>
          </w:tcPr>
          <w:p w:rsidR="00960769" w:rsidRPr="00CD4F84" w:rsidRDefault="000E3280" w:rsidP="00960769">
            <w:pPr>
              <w:pStyle w:val="Textpoznpodarou"/>
              <w:jc w:val="both"/>
              <w:rPr>
                <w:color w:val="000000" w:themeColor="text1"/>
                <w:lang w:val="en-GB"/>
              </w:rPr>
            </w:pPr>
            <w:r w:rsidRPr="00CD4F84">
              <w:rPr>
                <w:color w:val="000000" w:themeColor="text1"/>
                <w:lang w:val="en-GB"/>
              </w:rPr>
              <w:t xml:space="preserve">The increase of </w:t>
            </w:r>
            <w:r w:rsidR="004C3CC4" w:rsidRPr="00CD4F84">
              <w:rPr>
                <w:color w:val="000000" w:themeColor="text1"/>
                <w:lang w:val="en-GB"/>
              </w:rPr>
              <w:t>loans</w:t>
            </w:r>
            <w:r w:rsidRPr="00CD4F84">
              <w:rPr>
                <w:color w:val="000000" w:themeColor="text1"/>
                <w:lang w:val="en-GB"/>
              </w:rPr>
              <w:t xml:space="preserve"> to non-financial </w:t>
            </w:r>
            <w:proofErr w:type="spellStart"/>
            <w:r w:rsidR="004C3CC4" w:rsidRPr="00CD4F84">
              <w:rPr>
                <w:color w:val="000000" w:themeColor="text1"/>
                <w:lang w:val="en-GB"/>
              </w:rPr>
              <w:t>corporations</w:t>
            </w:r>
            <w:proofErr w:type="spellEnd"/>
            <w:r w:rsidRPr="00CD4F84">
              <w:rPr>
                <w:color w:val="000000" w:themeColor="text1"/>
                <w:lang w:val="en-GB"/>
              </w:rPr>
              <w:t xml:space="preserve"> follows</w:t>
            </w:r>
            <w:r w:rsidR="002B08A8" w:rsidRPr="00CD4F84">
              <w:rPr>
                <w:color w:val="000000" w:themeColor="text1"/>
                <w:lang w:val="en-GB"/>
              </w:rPr>
              <w:t xml:space="preserve"> </w:t>
            </w:r>
            <w:r w:rsidRPr="00CD4F84">
              <w:rPr>
                <w:color w:val="000000" w:themeColor="text1"/>
                <w:lang w:val="en-GB"/>
              </w:rPr>
              <w:t xml:space="preserve">from the higher demand for longer-term financing. The </w:t>
            </w:r>
            <w:r w:rsidR="004C3CC4" w:rsidRPr="00CD4F84">
              <w:rPr>
                <w:color w:val="000000" w:themeColor="text1"/>
                <w:lang w:val="en-GB"/>
              </w:rPr>
              <w:t xml:space="preserve">volume of medium </w:t>
            </w:r>
            <w:r w:rsidRPr="00CD4F84">
              <w:rPr>
                <w:color w:val="000000" w:themeColor="text1"/>
                <w:lang w:val="en-GB"/>
              </w:rPr>
              <w:t xml:space="preserve">term </w:t>
            </w:r>
            <w:r w:rsidR="004C3CC4" w:rsidRPr="00CD4F84">
              <w:rPr>
                <w:color w:val="000000" w:themeColor="text1"/>
                <w:lang w:val="en-GB"/>
              </w:rPr>
              <w:t>loans</w:t>
            </w:r>
            <w:r w:rsidRPr="00CD4F84">
              <w:rPr>
                <w:color w:val="000000" w:themeColor="text1"/>
                <w:lang w:val="en-GB"/>
              </w:rPr>
              <w:t xml:space="preserve"> grew at least b</w:t>
            </w:r>
            <w:r w:rsidR="00382D95" w:rsidRPr="00CD4F84">
              <w:rPr>
                <w:color w:val="000000" w:themeColor="text1"/>
                <w:lang w:val="en-GB"/>
              </w:rPr>
              <w:t>y</w:t>
            </w:r>
            <w:r w:rsidRPr="00CD4F84">
              <w:rPr>
                <w:color w:val="000000" w:themeColor="text1"/>
                <w:lang w:val="en-GB"/>
              </w:rPr>
              <w:t xml:space="preserve"> one tenth year-on-year in September to December, the </w:t>
            </w:r>
            <w:r w:rsidR="004C3CC4" w:rsidRPr="00CD4F84">
              <w:rPr>
                <w:color w:val="000000" w:themeColor="text1"/>
                <w:lang w:val="en-GB"/>
              </w:rPr>
              <w:t>volume</w:t>
            </w:r>
            <w:r w:rsidRPr="00CD4F84">
              <w:rPr>
                <w:color w:val="000000" w:themeColor="text1"/>
                <w:lang w:val="en-GB"/>
              </w:rPr>
              <w:t xml:space="preserve"> of lon</w:t>
            </w:r>
            <w:r w:rsidR="004C3CC4" w:rsidRPr="00CD4F84">
              <w:rPr>
                <w:color w:val="000000" w:themeColor="text1"/>
                <w:lang w:val="en-GB"/>
              </w:rPr>
              <w:t xml:space="preserve">g </w:t>
            </w:r>
            <w:r w:rsidRPr="00CD4F84">
              <w:rPr>
                <w:color w:val="000000" w:themeColor="text1"/>
                <w:lang w:val="en-GB"/>
              </w:rPr>
              <w:t xml:space="preserve">term </w:t>
            </w:r>
            <w:r w:rsidR="004C3CC4" w:rsidRPr="00CD4F84">
              <w:rPr>
                <w:color w:val="000000" w:themeColor="text1"/>
                <w:lang w:val="en-GB"/>
              </w:rPr>
              <w:t>loans</w:t>
            </w:r>
            <w:r w:rsidRPr="00CD4F84">
              <w:rPr>
                <w:color w:val="000000" w:themeColor="text1"/>
                <w:lang w:val="en-GB"/>
              </w:rPr>
              <w:t xml:space="preserve"> throughout the whole H2. Since these are </w:t>
            </w:r>
            <w:r w:rsidR="002B08A8" w:rsidRPr="00CD4F84">
              <w:rPr>
                <w:color w:val="000000" w:themeColor="text1"/>
                <w:lang w:val="en-GB"/>
              </w:rPr>
              <w:t>commonly</w:t>
            </w:r>
            <w:r w:rsidRPr="00CD4F84">
              <w:rPr>
                <w:color w:val="000000" w:themeColor="text1"/>
                <w:lang w:val="en-GB"/>
              </w:rPr>
              <w:t xml:space="preserve"> the </w:t>
            </w:r>
            <w:r w:rsidR="002B08A8" w:rsidRPr="00CD4F84">
              <w:rPr>
                <w:color w:val="000000" w:themeColor="text1"/>
                <w:lang w:val="en-GB"/>
              </w:rPr>
              <w:t>investment</w:t>
            </w:r>
            <w:r w:rsidRPr="00CD4F84">
              <w:rPr>
                <w:color w:val="000000" w:themeColor="text1"/>
                <w:lang w:val="en-GB"/>
              </w:rPr>
              <w:t xml:space="preserve"> </w:t>
            </w:r>
            <w:r w:rsidR="004C3CC4" w:rsidRPr="00CD4F84">
              <w:rPr>
                <w:color w:val="000000" w:themeColor="text1"/>
                <w:lang w:val="en-GB"/>
              </w:rPr>
              <w:t>loans</w:t>
            </w:r>
            <w:r w:rsidRPr="00CD4F84">
              <w:rPr>
                <w:color w:val="000000" w:themeColor="text1"/>
                <w:lang w:val="en-GB"/>
              </w:rPr>
              <w:t xml:space="preserve">, it can be assumed, that the high dynamics of these </w:t>
            </w:r>
            <w:r w:rsidR="00CD4F84" w:rsidRPr="00CD4F84">
              <w:rPr>
                <w:color w:val="000000" w:themeColor="text1"/>
                <w:lang w:val="en-GB"/>
              </w:rPr>
              <w:t>loans</w:t>
            </w:r>
            <w:r w:rsidRPr="00CD4F84">
              <w:rPr>
                <w:color w:val="000000" w:themeColor="text1"/>
                <w:lang w:val="en-GB"/>
              </w:rPr>
              <w:t xml:space="preserve"> is associated with higher </w:t>
            </w:r>
            <w:r w:rsidR="002B08A8" w:rsidRPr="00CD4F84">
              <w:rPr>
                <w:color w:val="000000" w:themeColor="text1"/>
                <w:lang w:val="en-GB"/>
              </w:rPr>
              <w:t>investment</w:t>
            </w:r>
            <w:r w:rsidRPr="00CD4F84">
              <w:rPr>
                <w:color w:val="000000" w:themeColor="text1"/>
                <w:lang w:val="en-GB"/>
              </w:rPr>
              <w:t xml:space="preserve"> activity. </w:t>
            </w:r>
            <w:r w:rsidR="002B08A8" w:rsidRPr="00CD4F84">
              <w:rPr>
                <w:color w:val="000000" w:themeColor="text1"/>
                <w:lang w:val="en-GB"/>
              </w:rPr>
              <w:t>However, the</w:t>
            </w:r>
            <w:r w:rsidRPr="00CD4F84">
              <w:rPr>
                <w:color w:val="000000" w:themeColor="text1"/>
                <w:lang w:val="en-GB"/>
              </w:rPr>
              <w:t xml:space="preserve"> non-financial </w:t>
            </w:r>
            <w:proofErr w:type="spellStart"/>
            <w:r w:rsidR="00CD4F84" w:rsidRPr="00CD4F84">
              <w:rPr>
                <w:color w:val="000000" w:themeColor="text1"/>
                <w:lang w:val="en-GB"/>
              </w:rPr>
              <w:t>corporations</w:t>
            </w:r>
            <w:proofErr w:type="spellEnd"/>
            <w:r w:rsidRPr="00CD4F84">
              <w:rPr>
                <w:color w:val="000000" w:themeColor="text1"/>
                <w:lang w:val="en-GB"/>
              </w:rPr>
              <w:t xml:space="preserve"> likely start to prefer</w:t>
            </w:r>
            <w:r w:rsidR="002B08A8" w:rsidRPr="00CD4F84">
              <w:rPr>
                <w:color w:val="000000" w:themeColor="text1"/>
                <w:lang w:val="en-GB"/>
              </w:rPr>
              <w:t xml:space="preserve"> </w:t>
            </w:r>
            <w:r w:rsidRPr="00CD4F84">
              <w:rPr>
                <w:color w:val="000000" w:themeColor="text1"/>
                <w:lang w:val="en-GB"/>
              </w:rPr>
              <w:t>their own resources when financing the operati</w:t>
            </w:r>
            <w:r w:rsidR="002B08A8" w:rsidRPr="00CD4F84">
              <w:rPr>
                <w:color w:val="000000" w:themeColor="text1"/>
                <w:lang w:val="en-GB"/>
              </w:rPr>
              <w:t>o</w:t>
            </w:r>
            <w:r w:rsidRPr="00CD4F84">
              <w:rPr>
                <w:color w:val="000000" w:themeColor="text1"/>
                <w:lang w:val="en-GB"/>
              </w:rPr>
              <w:t>n</w:t>
            </w:r>
            <w:r w:rsidR="002B08A8" w:rsidRPr="00CD4F84">
              <w:rPr>
                <w:color w:val="000000" w:themeColor="text1"/>
                <w:lang w:val="en-GB"/>
              </w:rPr>
              <w:t>al</w:t>
            </w:r>
            <w:r w:rsidRPr="00CD4F84">
              <w:rPr>
                <w:color w:val="000000" w:themeColor="text1"/>
                <w:lang w:val="en-GB"/>
              </w:rPr>
              <w:t xml:space="preserve"> matters</w:t>
            </w:r>
            <w:r w:rsidR="002B08A8" w:rsidRPr="00CD4F84">
              <w:rPr>
                <w:color w:val="000000" w:themeColor="text1"/>
                <w:lang w:val="en-GB"/>
              </w:rPr>
              <w:t xml:space="preserve"> </w:t>
            </w:r>
            <w:r w:rsidR="007C3384" w:rsidRPr="00CD4F84">
              <w:rPr>
                <w:lang w:val="en-GB"/>
              </w:rPr>
              <w:t>–</w:t>
            </w:r>
            <w:r w:rsidRPr="00CD4F84">
              <w:rPr>
                <w:color w:val="000000" w:themeColor="text1"/>
                <w:lang w:val="en-GB"/>
              </w:rPr>
              <w:t xml:space="preserve"> </w:t>
            </w:r>
            <w:r w:rsidR="002B08A8" w:rsidRPr="00CD4F84">
              <w:rPr>
                <w:color w:val="000000" w:themeColor="text1"/>
                <w:lang w:val="en-GB"/>
              </w:rPr>
              <w:t xml:space="preserve">the </w:t>
            </w:r>
            <w:r w:rsidR="00CD4F84" w:rsidRPr="00CD4F84">
              <w:rPr>
                <w:color w:val="000000" w:themeColor="text1"/>
                <w:lang w:val="en-GB"/>
              </w:rPr>
              <w:t xml:space="preserve">year-on-year additions to short </w:t>
            </w:r>
            <w:r w:rsidR="002B08A8" w:rsidRPr="00CD4F84">
              <w:rPr>
                <w:color w:val="000000" w:themeColor="text1"/>
                <w:lang w:val="en-GB"/>
              </w:rPr>
              <w:t xml:space="preserve">term </w:t>
            </w:r>
            <w:r w:rsidR="00CD4F84" w:rsidRPr="00CD4F84">
              <w:rPr>
                <w:color w:val="000000" w:themeColor="text1"/>
                <w:lang w:val="en-GB"/>
              </w:rPr>
              <w:t>loans</w:t>
            </w:r>
            <w:r w:rsidR="002B08A8" w:rsidRPr="00CD4F84">
              <w:rPr>
                <w:color w:val="000000" w:themeColor="text1"/>
                <w:lang w:val="en-GB"/>
              </w:rPr>
              <w:t xml:space="preserve"> to non-financial </w:t>
            </w:r>
            <w:r w:rsidR="00CD4F84" w:rsidRPr="00CD4F84">
              <w:rPr>
                <w:color w:val="000000" w:themeColor="text1"/>
                <w:lang w:val="en-GB"/>
              </w:rPr>
              <w:t>corporations</w:t>
            </w:r>
            <w:r w:rsidR="002B08A8" w:rsidRPr="00CD4F84">
              <w:rPr>
                <w:color w:val="000000" w:themeColor="text1"/>
                <w:lang w:val="en-GB"/>
              </w:rPr>
              <w:t xml:space="preserve"> were weak for the whole year 2015, even negative at the end of the year. </w:t>
            </w:r>
          </w:p>
          <w:p w:rsidR="00960769" w:rsidRPr="004F2476" w:rsidRDefault="00960769" w:rsidP="00960769">
            <w:pPr>
              <w:pStyle w:val="Textpoznpodarou"/>
              <w:jc w:val="both"/>
              <w:rPr>
                <w:color w:val="000000" w:themeColor="text1"/>
                <w:lang w:val="en-GB"/>
              </w:rPr>
            </w:pPr>
          </w:p>
        </w:tc>
      </w:tr>
      <w:tr w:rsidR="00960769" w:rsidRPr="00831EC2" w:rsidTr="00960769">
        <w:tc>
          <w:tcPr>
            <w:tcW w:w="1054" w:type="pct"/>
          </w:tcPr>
          <w:p w:rsidR="00960769" w:rsidRPr="00DF0DE0" w:rsidRDefault="00DF0DE0" w:rsidP="00546888">
            <w:pPr>
              <w:spacing w:line="240" w:lineRule="auto"/>
              <w:rPr>
                <w:color w:val="FF0000"/>
                <w:sz w:val="16"/>
                <w:szCs w:val="16"/>
                <w:lang w:val="en-GB"/>
              </w:rPr>
            </w:pPr>
            <w:r w:rsidRPr="00DF0DE0">
              <w:rPr>
                <w:sz w:val="16"/>
                <w:szCs w:val="16"/>
                <w:lang w:val="en-GB"/>
              </w:rPr>
              <w:t xml:space="preserve">Total debt of households increased by </w:t>
            </w:r>
            <w:r w:rsidR="00960769" w:rsidRPr="00DF0DE0">
              <w:rPr>
                <w:sz w:val="16"/>
                <w:szCs w:val="16"/>
                <w:lang w:val="en-GB"/>
              </w:rPr>
              <w:t xml:space="preserve">76 </w:t>
            </w:r>
            <w:r w:rsidR="00546888">
              <w:rPr>
                <w:sz w:val="16"/>
                <w:szCs w:val="16"/>
                <w:lang w:val="en-GB"/>
              </w:rPr>
              <w:t xml:space="preserve">CZK </w:t>
            </w:r>
            <w:r w:rsidRPr="00DF0DE0">
              <w:rPr>
                <w:sz w:val="16"/>
                <w:szCs w:val="16"/>
                <w:lang w:val="en-GB"/>
              </w:rPr>
              <w:t>bn</w:t>
            </w:r>
            <w:r w:rsidR="00546888">
              <w:rPr>
                <w:sz w:val="16"/>
                <w:szCs w:val="16"/>
                <w:lang w:val="en-GB"/>
              </w:rPr>
              <w:t xml:space="preserve"> </w:t>
            </w:r>
            <w:r w:rsidRPr="00DF0DE0">
              <w:rPr>
                <w:sz w:val="16"/>
                <w:szCs w:val="16"/>
                <w:lang w:val="en-GB"/>
              </w:rPr>
              <w:t xml:space="preserve">year-on-year to </w:t>
            </w:r>
            <w:r w:rsidR="00960769" w:rsidRPr="00DF0DE0">
              <w:rPr>
                <w:sz w:val="16"/>
                <w:szCs w:val="16"/>
                <w:lang w:val="en-GB"/>
              </w:rPr>
              <w:t xml:space="preserve">1 391 </w:t>
            </w:r>
            <w:proofErr w:type="spellStart"/>
            <w:r w:rsidRPr="00DF0DE0">
              <w:rPr>
                <w:sz w:val="16"/>
                <w:szCs w:val="16"/>
                <w:lang w:val="en-GB"/>
              </w:rPr>
              <w:t>bn</w:t>
            </w:r>
            <w:proofErr w:type="spellEnd"/>
            <w:r w:rsidR="00CD4F84">
              <w:rPr>
                <w:sz w:val="16"/>
                <w:szCs w:val="16"/>
                <w:lang w:val="en-GB"/>
              </w:rPr>
              <w:t xml:space="preserve"> at the end of the last year</w:t>
            </w:r>
            <w:r w:rsidRPr="00DF0DE0">
              <w:rPr>
                <w:sz w:val="16"/>
                <w:szCs w:val="16"/>
                <w:lang w:val="en-GB"/>
              </w:rPr>
              <w:t xml:space="preserve">. It arrived at </w:t>
            </w:r>
            <w:r w:rsidR="00960769" w:rsidRPr="00DF0DE0">
              <w:rPr>
                <w:sz w:val="16"/>
                <w:szCs w:val="16"/>
                <w:lang w:val="en-GB"/>
              </w:rPr>
              <w:t>31</w:t>
            </w:r>
            <w:r w:rsidRPr="00DF0DE0">
              <w:rPr>
                <w:sz w:val="16"/>
                <w:szCs w:val="16"/>
                <w:lang w:val="en-GB"/>
              </w:rPr>
              <w:t>.</w:t>
            </w:r>
            <w:r w:rsidR="00404AC3">
              <w:rPr>
                <w:sz w:val="16"/>
                <w:szCs w:val="16"/>
                <w:lang w:val="en-GB"/>
              </w:rPr>
              <w:t>1</w:t>
            </w:r>
            <w:r w:rsidR="00960769" w:rsidRPr="00DF0DE0">
              <w:rPr>
                <w:sz w:val="16"/>
                <w:szCs w:val="16"/>
                <w:lang w:val="en-GB"/>
              </w:rPr>
              <w:t xml:space="preserve">% </w:t>
            </w:r>
            <w:r w:rsidRPr="00DF0DE0">
              <w:rPr>
                <w:sz w:val="16"/>
                <w:szCs w:val="16"/>
                <w:lang w:val="en-GB"/>
              </w:rPr>
              <w:t>of GDP</w:t>
            </w:r>
          </w:p>
        </w:tc>
        <w:tc>
          <w:tcPr>
            <w:tcW w:w="143" w:type="pct"/>
          </w:tcPr>
          <w:p w:rsidR="00960769" w:rsidRPr="00DF0DE0" w:rsidRDefault="00960769" w:rsidP="00960769">
            <w:pPr>
              <w:pStyle w:val="Textpoznpodarou"/>
              <w:jc w:val="both"/>
              <w:rPr>
                <w:color w:val="FF0000"/>
                <w:lang w:val="en-GB"/>
              </w:rPr>
            </w:pPr>
          </w:p>
        </w:tc>
        <w:tc>
          <w:tcPr>
            <w:tcW w:w="3803" w:type="pct"/>
          </w:tcPr>
          <w:p w:rsidR="00960769" w:rsidRPr="00DF0DE0" w:rsidRDefault="0006631E" w:rsidP="00CD4F84">
            <w:pPr>
              <w:pStyle w:val="Textpoznpodarou"/>
              <w:jc w:val="both"/>
              <w:rPr>
                <w:color w:val="FF0000"/>
                <w:lang w:val="en-GB"/>
              </w:rPr>
            </w:pPr>
            <w:r>
              <w:rPr>
                <w:lang w:val="en-GB"/>
              </w:rPr>
              <w:t xml:space="preserve">Total indebtedness of the Czech households rose by </w:t>
            </w:r>
            <w:r w:rsidR="00960769" w:rsidRPr="00DF0DE0">
              <w:rPr>
                <w:lang w:val="en-GB"/>
              </w:rPr>
              <w:t xml:space="preserve">76 </w:t>
            </w:r>
            <w:r w:rsidR="00546888">
              <w:rPr>
                <w:lang w:val="en-GB"/>
              </w:rPr>
              <w:t xml:space="preserve">CZK </w:t>
            </w:r>
            <w:r>
              <w:rPr>
                <w:lang w:val="en-GB"/>
              </w:rPr>
              <w:t>bn</w:t>
            </w:r>
            <w:r w:rsidR="00546888">
              <w:rPr>
                <w:lang w:val="en-GB"/>
              </w:rPr>
              <w:t xml:space="preserve"> </w:t>
            </w:r>
            <w:r>
              <w:rPr>
                <w:lang w:val="en-GB"/>
              </w:rPr>
              <w:t xml:space="preserve">year-on-year at the end of 2015 and the households owed </w:t>
            </w:r>
            <w:r w:rsidR="00960769" w:rsidRPr="00DF0DE0">
              <w:rPr>
                <w:lang w:val="en-GB"/>
              </w:rPr>
              <w:t xml:space="preserve">1 391 </w:t>
            </w:r>
            <w:r>
              <w:rPr>
                <w:lang w:val="en-GB"/>
              </w:rPr>
              <w:t>bn</w:t>
            </w:r>
            <w:r w:rsidR="00960769" w:rsidRPr="00DF0DE0">
              <w:rPr>
                <w:lang w:val="en-GB"/>
              </w:rPr>
              <w:t xml:space="preserve">. </w:t>
            </w:r>
            <w:r w:rsidR="00BD47E8">
              <w:rPr>
                <w:lang w:val="en-GB"/>
              </w:rPr>
              <w:t xml:space="preserve">Mainly the debts originating from the </w:t>
            </w:r>
            <w:r w:rsidR="00CD4F84">
              <w:rPr>
                <w:lang w:val="en-GB"/>
              </w:rPr>
              <w:t>house purchase</w:t>
            </w:r>
            <w:r w:rsidR="00BD47E8">
              <w:rPr>
                <w:lang w:val="en-GB"/>
              </w:rPr>
              <w:t xml:space="preserve"> </w:t>
            </w:r>
            <w:r w:rsidR="00960769" w:rsidRPr="00DF0DE0">
              <w:rPr>
                <w:lang w:val="en-GB"/>
              </w:rPr>
              <w:t xml:space="preserve">(978 </w:t>
            </w:r>
            <w:proofErr w:type="spellStart"/>
            <w:r w:rsidR="00BD47E8">
              <w:rPr>
                <w:lang w:val="en-GB"/>
              </w:rPr>
              <w:t>bn</w:t>
            </w:r>
            <w:proofErr w:type="spellEnd"/>
            <w:r w:rsidR="00960769" w:rsidRPr="00DF0DE0">
              <w:rPr>
                <w:lang w:val="en-GB"/>
              </w:rPr>
              <w:t>)</w:t>
            </w:r>
            <w:r w:rsidR="00BD47E8">
              <w:rPr>
                <w:lang w:val="en-GB"/>
              </w:rPr>
              <w:t xml:space="preserve"> represent a burden</w:t>
            </w:r>
            <w:r w:rsidR="00960769" w:rsidRPr="00DF0DE0">
              <w:rPr>
                <w:lang w:val="en-GB"/>
              </w:rPr>
              <w:t xml:space="preserve">. </w:t>
            </w:r>
            <w:r w:rsidR="00BD47E8">
              <w:rPr>
                <w:lang w:val="en-GB"/>
              </w:rPr>
              <w:t xml:space="preserve">Households owe approximately one quarter of a </w:t>
            </w:r>
            <w:r w:rsidR="00CD4F84">
              <w:rPr>
                <w:lang w:val="en-GB"/>
              </w:rPr>
              <w:t>trillion</w:t>
            </w:r>
            <w:r w:rsidR="00BD47E8">
              <w:rPr>
                <w:lang w:val="en-GB"/>
              </w:rPr>
              <w:t xml:space="preserve"> </w:t>
            </w:r>
            <w:r w:rsidR="00960769" w:rsidRPr="00DF0DE0">
              <w:rPr>
                <w:lang w:val="en-GB"/>
              </w:rPr>
              <w:t xml:space="preserve">(262 </w:t>
            </w:r>
            <w:proofErr w:type="spellStart"/>
            <w:r w:rsidR="00BD47E8">
              <w:rPr>
                <w:lang w:val="en-GB"/>
              </w:rPr>
              <w:t>bn</w:t>
            </w:r>
            <w:proofErr w:type="spellEnd"/>
            <w:r w:rsidR="00960769" w:rsidRPr="00DF0DE0">
              <w:rPr>
                <w:lang w:val="en-GB"/>
              </w:rPr>
              <w:t xml:space="preserve">) </w:t>
            </w:r>
            <w:r w:rsidR="00BD47E8">
              <w:rPr>
                <w:lang w:val="en-GB"/>
              </w:rPr>
              <w:t xml:space="preserve">in the form of consumer credit, </w:t>
            </w:r>
            <w:r w:rsidR="00960769" w:rsidRPr="00DF0DE0">
              <w:rPr>
                <w:lang w:val="en-GB"/>
              </w:rPr>
              <w:t xml:space="preserve">151 </w:t>
            </w:r>
            <w:r w:rsidR="00BD47E8">
              <w:rPr>
                <w:lang w:val="en-GB"/>
              </w:rPr>
              <w:t>bn belongs to the other credit</w:t>
            </w:r>
            <w:r w:rsidR="00960769" w:rsidRPr="00DF0DE0">
              <w:rPr>
                <w:lang w:val="en-GB"/>
              </w:rPr>
              <w:t xml:space="preserve">. </w:t>
            </w:r>
            <w:r w:rsidR="00BD47E8">
              <w:rPr>
                <w:lang w:val="en-GB"/>
              </w:rPr>
              <w:t xml:space="preserve">Banks and credit unions are logically the biggest creditors of households, they hold </w:t>
            </w:r>
            <w:r w:rsidR="00960769" w:rsidRPr="00DF0DE0">
              <w:rPr>
                <w:lang w:val="en-GB"/>
              </w:rPr>
              <w:t>95</w:t>
            </w:r>
            <w:r w:rsidR="00BD47E8">
              <w:rPr>
                <w:lang w:val="en-GB"/>
              </w:rPr>
              <w:t>.</w:t>
            </w:r>
            <w:r w:rsidR="00404AC3">
              <w:rPr>
                <w:lang w:val="en-GB"/>
              </w:rPr>
              <w:t>8</w:t>
            </w:r>
            <w:r w:rsidR="00960769" w:rsidRPr="00DF0DE0">
              <w:rPr>
                <w:lang w:val="en-GB"/>
              </w:rPr>
              <w:t xml:space="preserve">% </w:t>
            </w:r>
            <w:r w:rsidR="00BD47E8">
              <w:rPr>
                <w:lang w:val="en-GB"/>
              </w:rPr>
              <w:t>of the total household debt. The rest belongs to other financial</w:t>
            </w:r>
            <w:r w:rsidR="009B747B">
              <w:rPr>
                <w:lang w:val="en-GB"/>
              </w:rPr>
              <w:t xml:space="preserve"> </w:t>
            </w:r>
            <w:r w:rsidR="00BD47E8">
              <w:rPr>
                <w:lang w:val="en-GB"/>
              </w:rPr>
              <w:t xml:space="preserve">institutions. The role of these institutions is zero in case of provision of </w:t>
            </w:r>
            <w:r w:rsidR="00CD4F84">
              <w:rPr>
                <w:lang w:val="en-GB"/>
              </w:rPr>
              <w:t>loans for house purchase</w:t>
            </w:r>
            <w:r w:rsidR="00BD47E8">
              <w:rPr>
                <w:lang w:val="en-GB"/>
              </w:rPr>
              <w:t xml:space="preserve">, </w:t>
            </w:r>
            <w:r w:rsidR="009B747B">
              <w:rPr>
                <w:lang w:val="en-GB"/>
              </w:rPr>
              <w:t>the complete majority of these types of liabili</w:t>
            </w:r>
            <w:r w:rsidR="000773FF">
              <w:rPr>
                <w:lang w:val="en-GB"/>
              </w:rPr>
              <w:t xml:space="preserve">ties of households are held by </w:t>
            </w:r>
            <w:r w:rsidR="009B747B">
              <w:rPr>
                <w:lang w:val="en-GB"/>
              </w:rPr>
              <w:t xml:space="preserve">banks and credit unions. However, the other financial institutions already cut a considerable slice from the consumer and other credit. Households owe to other financial institutions </w:t>
            </w:r>
            <w:r w:rsidR="009B747B" w:rsidRPr="00DF0DE0">
              <w:rPr>
                <w:lang w:val="en-GB"/>
              </w:rPr>
              <w:t>18</w:t>
            </w:r>
            <w:r w:rsidR="009B747B">
              <w:rPr>
                <w:lang w:val="en-GB"/>
              </w:rPr>
              <w:t>.</w:t>
            </w:r>
            <w:r w:rsidR="009B747B" w:rsidRPr="00DF0DE0">
              <w:rPr>
                <w:lang w:val="en-GB"/>
              </w:rPr>
              <w:t>6%</w:t>
            </w:r>
            <w:r w:rsidR="009B747B">
              <w:rPr>
                <w:lang w:val="en-GB"/>
              </w:rPr>
              <w:t xml:space="preserve"> from the consumer credit</w:t>
            </w:r>
            <w:r w:rsidR="00382D95">
              <w:rPr>
                <w:lang w:val="en-GB"/>
              </w:rPr>
              <w:t>,</w:t>
            </w:r>
            <w:r w:rsidR="00960769" w:rsidRPr="00DF0DE0">
              <w:rPr>
                <w:lang w:val="en-GB"/>
              </w:rPr>
              <w:t xml:space="preserve"> 6</w:t>
            </w:r>
            <w:r w:rsidR="009B747B">
              <w:rPr>
                <w:lang w:val="en-GB"/>
              </w:rPr>
              <w:t>.</w:t>
            </w:r>
            <w:r w:rsidR="00404AC3">
              <w:rPr>
                <w:lang w:val="en-GB"/>
              </w:rPr>
              <w:t>1</w:t>
            </w:r>
            <w:r w:rsidR="00960769" w:rsidRPr="00DF0DE0">
              <w:rPr>
                <w:lang w:val="en-GB"/>
              </w:rPr>
              <w:t>%</w:t>
            </w:r>
            <w:r w:rsidR="009B747B">
              <w:rPr>
                <w:lang w:val="en-GB"/>
              </w:rPr>
              <w:t xml:space="preserve"> for other liabilities</w:t>
            </w:r>
            <w:r w:rsidR="00960769" w:rsidRPr="00DF0DE0">
              <w:rPr>
                <w:lang w:val="en-GB"/>
              </w:rPr>
              <w:t>.</w:t>
            </w:r>
          </w:p>
        </w:tc>
      </w:tr>
    </w:tbl>
    <w:p w:rsidR="00960769" w:rsidRDefault="00960769" w:rsidP="00960769">
      <w:pPr>
        <w:rPr>
          <w:sz w:val="16"/>
          <w:szCs w:val="16"/>
        </w:rPr>
      </w:pPr>
    </w:p>
    <w:tbl>
      <w:tblPr>
        <w:tblW w:w="5000" w:type="pct"/>
        <w:tblLook w:val="04A0"/>
      </w:tblPr>
      <w:tblGrid>
        <w:gridCol w:w="1114"/>
        <w:gridCol w:w="3810"/>
        <w:gridCol w:w="1142"/>
        <w:gridCol w:w="685"/>
        <w:gridCol w:w="3103"/>
      </w:tblGrid>
      <w:tr w:rsidR="00A9221C" w:rsidRPr="005819C0" w:rsidTr="00CD4F84">
        <w:tc>
          <w:tcPr>
            <w:tcW w:w="564" w:type="pct"/>
          </w:tcPr>
          <w:p w:rsidR="00A9221C" w:rsidRPr="00A7541D" w:rsidRDefault="001946B9" w:rsidP="001946B9">
            <w:pPr>
              <w:pStyle w:val="Textpoznpodarou"/>
            </w:pPr>
            <w:r>
              <w:lastRenderedPageBreak/>
              <w:t xml:space="preserve">Chart </w:t>
            </w:r>
            <w:r w:rsidR="00A9221C" w:rsidRPr="00A7541D">
              <w:t>17</w:t>
            </w:r>
          </w:p>
        </w:tc>
        <w:tc>
          <w:tcPr>
            <w:tcW w:w="1934" w:type="pct"/>
          </w:tcPr>
          <w:p w:rsidR="00A9221C" w:rsidRPr="00A34AD9" w:rsidRDefault="00A9221C" w:rsidP="00D85AC2">
            <w:pPr>
              <w:pStyle w:val="Textpoznpodarou"/>
              <w:rPr>
                <w:lang w:val="en-GB"/>
              </w:rPr>
            </w:pPr>
            <w:r w:rsidRPr="00A34AD9">
              <w:rPr>
                <w:b/>
                <w:lang w:val="en-GB"/>
              </w:rPr>
              <w:t>M</w:t>
            </w:r>
            <w:r w:rsidR="00D85AC2" w:rsidRPr="00A34AD9">
              <w:rPr>
                <w:b/>
                <w:lang w:val="en-GB"/>
              </w:rPr>
              <w:t xml:space="preserve">onetary aggregates and gross domestic product </w:t>
            </w:r>
            <w:r w:rsidRPr="00A34AD9">
              <w:rPr>
                <w:lang w:val="en-GB"/>
              </w:rPr>
              <w:t xml:space="preserve">(y/y </w:t>
            </w:r>
            <w:r w:rsidR="001946B9" w:rsidRPr="00A34AD9">
              <w:rPr>
                <w:lang w:val="en-GB"/>
              </w:rPr>
              <w:t>in</w:t>
            </w:r>
            <w:r w:rsidRPr="00A34AD9">
              <w:rPr>
                <w:lang w:val="en-GB"/>
              </w:rPr>
              <w:t xml:space="preserve"> %)</w:t>
            </w:r>
          </w:p>
        </w:tc>
        <w:tc>
          <w:tcPr>
            <w:tcW w:w="579" w:type="pct"/>
          </w:tcPr>
          <w:p w:rsidR="00A9221C" w:rsidRPr="00F067CB" w:rsidRDefault="001946B9" w:rsidP="001946B9">
            <w:pPr>
              <w:pStyle w:val="Textpoznpodarou"/>
            </w:pPr>
            <w:r>
              <w:t xml:space="preserve">Chart </w:t>
            </w:r>
            <w:r w:rsidR="00A9221C" w:rsidRPr="00F067CB">
              <w:t>18</w:t>
            </w:r>
          </w:p>
        </w:tc>
        <w:tc>
          <w:tcPr>
            <w:tcW w:w="1923" w:type="pct"/>
            <w:gridSpan w:val="2"/>
          </w:tcPr>
          <w:p w:rsidR="00A9221C" w:rsidRPr="00A34AD9" w:rsidRDefault="00D85AC2" w:rsidP="00CD4F84">
            <w:pPr>
              <w:pStyle w:val="Textpoznpodarou"/>
              <w:rPr>
                <w:lang w:val="en-GB"/>
              </w:rPr>
            </w:pPr>
            <w:r w:rsidRPr="00A34AD9">
              <w:rPr>
                <w:b/>
                <w:lang w:val="en-GB"/>
              </w:rPr>
              <w:t xml:space="preserve">Share of </w:t>
            </w:r>
            <w:r w:rsidR="00CD4F84">
              <w:rPr>
                <w:b/>
                <w:lang w:val="en-GB"/>
              </w:rPr>
              <w:t>non-performing loans</w:t>
            </w:r>
            <w:r w:rsidRPr="00A34AD9">
              <w:rPr>
                <w:b/>
                <w:lang w:val="en-GB"/>
              </w:rPr>
              <w:t xml:space="preserve"> </w:t>
            </w:r>
            <w:r w:rsidR="00A9221C" w:rsidRPr="00A34AD9">
              <w:rPr>
                <w:lang w:val="en-GB"/>
              </w:rPr>
              <w:t>(</w:t>
            </w:r>
            <w:r w:rsidR="001946B9" w:rsidRPr="00A34AD9">
              <w:rPr>
                <w:lang w:val="en-GB"/>
              </w:rPr>
              <w:t>in</w:t>
            </w:r>
            <w:r w:rsidR="00A9221C" w:rsidRPr="00A34AD9">
              <w:rPr>
                <w:lang w:val="en-GB"/>
              </w:rPr>
              <w:t xml:space="preserve"> %, </w:t>
            </w:r>
            <w:r w:rsidR="00CD4F84">
              <w:rPr>
                <w:lang w:val="en-GB"/>
              </w:rPr>
              <w:t>non-performing loans</w:t>
            </w:r>
            <w:r w:rsidR="00A9221C" w:rsidRPr="00A34AD9">
              <w:rPr>
                <w:lang w:val="en-GB"/>
              </w:rPr>
              <w:t>/</w:t>
            </w:r>
            <w:r w:rsidR="00CD4F84">
              <w:rPr>
                <w:lang w:val="en-GB"/>
              </w:rPr>
              <w:t>total loans</w:t>
            </w:r>
            <w:r w:rsidR="00A9221C" w:rsidRPr="00A34AD9">
              <w:rPr>
                <w:lang w:val="en-GB"/>
              </w:rPr>
              <w:t>)</w:t>
            </w:r>
          </w:p>
        </w:tc>
      </w:tr>
      <w:tr w:rsidR="00A9221C" w:rsidRPr="005819C0" w:rsidTr="00CD4F84">
        <w:tc>
          <w:tcPr>
            <w:tcW w:w="2498" w:type="pct"/>
            <w:gridSpan w:val="2"/>
          </w:tcPr>
          <w:p w:rsidR="00A9221C" w:rsidRPr="005819C0" w:rsidRDefault="00483D8F" w:rsidP="00CB6809">
            <w:pPr>
              <w:pStyle w:val="Textpoznpodarou"/>
              <w:jc w:val="both"/>
            </w:pPr>
            <w:r w:rsidRPr="00483D8F">
              <w:rPr>
                <w:noProof/>
              </w:rPr>
              <w:drawing>
                <wp:inline distT="0" distB="0" distL="0" distR="0">
                  <wp:extent cx="3048000" cy="2371725"/>
                  <wp:effectExtent l="19050" t="0" r="0" b="0"/>
                  <wp:docPr id="2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3048000" cy="2371725"/>
                          </a:xfrm>
                          <a:prstGeom prst="rect">
                            <a:avLst/>
                          </a:prstGeom>
                          <a:noFill/>
                        </pic:spPr>
                      </pic:pic>
                    </a:graphicData>
                  </a:graphic>
                </wp:inline>
              </w:drawing>
            </w:r>
          </w:p>
        </w:tc>
        <w:tc>
          <w:tcPr>
            <w:tcW w:w="2502" w:type="pct"/>
            <w:gridSpan w:val="3"/>
          </w:tcPr>
          <w:p w:rsidR="00A9221C" w:rsidRPr="005819C0" w:rsidRDefault="00483D8F" w:rsidP="00CB6809">
            <w:pPr>
              <w:pStyle w:val="Textpoznpodarou"/>
              <w:jc w:val="both"/>
            </w:pPr>
            <w:r w:rsidRPr="00483D8F">
              <w:rPr>
                <w:noProof/>
              </w:rPr>
              <w:drawing>
                <wp:inline distT="0" distB="0" distL="0" distR="0">
                  <wp:extent cx="3042285" cy="2371725"/>
                  <wp:effectExtent l="19050" t="0" r="5715" b="0"/>
                  <wp:docPr id="31"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3042285" cy="2371725"/>
                          </a:xfrm>
                          <a:prstGeom prst="rect">
                            <a:avLst/>
                          </a:prstGeom>
                          <a:noFill/>
                        </pic:spPr>
                      </pic:pic>
                    </a:graphicData>
                  </a:graphic>
                </wp:inline>
              </w:drawing>
            </w:r>
          </w:p>
        </w:tc>
      </w:tr>
      <w:tr w:rsidR="00A9221C" w:rsidRPr="005819C0" w:rsidTr="00CD4F84">
        <w:tc>
          <w:tcPr>
            <w:tcW w:w="3423" w:type="pct"/>
            <w:gridSpan w:val="4"/>
          </w:tcPr>
          <w:p w:rsidR="00A9221C" w:rsidRPr="00045F79" w:rsidRDefault="00A9221C" w:rsidP="00CB6809">
            <w:pPr>
              <w:pStyle w:val="Textpoznpodarou"/>
              <w:rPr>
                <w:noProof/>
                <w:sz w:val="18"/>
                <w:szCs w:val="18"/>
              </w:rPr>
            </w:pPr>
          </w:p>
        </w:tc>
        <w:tc>
          <w:tcPr>
            <w:tcW w:w="1577" w:type="pct"/>
          </w:tcPr>
          <w:p w:rsidR="00A9221C" w:rsidRPr="005819C0" w:rsidRDefault="001946B9" w:rsidP="001946B9">
            <w:pPr>
              <w:pStyle w:val="Textpoznpodarou"/>
              <w:jc w:val="right"/>
              <w:rPr>
                <w:noProof/>
              </w:rPr>
            </w:pPr>
            <w:r>
              <w:rPr>
                <w:sz w:val="18"/>
                <w:szCs w:val="18"/>
              </w:rPr>
              <w:t>Source</w:t>
            </w:r>
            <w:r w:rsidR="00A9221C" w:rsidRPr="005819C0">
              <w:rPr>
                <w:sz w:val="18"/>
                <w:szCs w:val="18"/>
              </w:rPr>
              <w:t xml:space="preserve">: </w:t>
            </w:r>
            <w:r>
              <w:rPr>
                <w:sz w:val="18"/>
                <w:szCs w:val="18"/>
              </w:rPr>
              <w:t>CZSO</w:t>
            </w:r>
            <w:r w:rsidR="00A9221C">
              <w:rPr>
                <w:sz w:val="18"/>
                <w:szCs w:val="18"/>
              </w:rPr>
              <w:t xml:space="preserve">, </w:t>
            </w:r>
            <w:r>
              <w:rPr>
                <w:sz w:val="18"/>
                <w:szCs w:val="18"/>
              </w:rPr>
              <w:t>C</w:t>
            </w:r>
            <w:r w:rsidR="00A9221C">
              <w:rPr>
                <w:sz w:val="18"/>
                <w:szCs w:val="18"/>
              </w:rPr>
              <w:t>NB</w:t>
            </w:r>
          </w:p>
        </w:tc>
      </w:tr>
    </w:tbl>
    <w:p w:rsidR="00CA17CC" w:rsidRPr="00483D8F" w:rsidRDefault="00CA17CC" w:rsidP="00CD4F84">
      <w:pPr>
        <w:rPr>
          <w:lang w:val="en-GB"/>
        </w:rPr>
      </w:pPr>
      <w:bookmarkStart w:id="1" w:name="_Toc446341887"/>
      <w:bookmarkEnd w:id="1"/>
    </w:p>
    <w:sectPr w:rsidR="00CA17CC" w:rsidRPr="00483D8F" w:rsidSect="005B7472">
      <w:headerReference w:type="even" r:id="rId10"/>
      <w:headerReference w:type="default" r:id="rId11"/>
      <w:footerReference w:type="even" r:id="rId12"/>
      <w:footerReference w:type="default" r:id="rId13"/>
      <w:type w:val="continuous"/>
      <w:pgSz w:w="11906" w:h="16838" w:code="9"/>
      <w:pgMar w:top="1134" w:right="1134" w:bottom="1418" w:left="1134" w:header="680" w:footer="680"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0E4" w:rsidRDefault="00C020E4" w:rsidP="00E71A58">
      <w:r>
        <w:separator/>
      </w:r>
    </w:p>
  </w:endnote>
  <w:endnote w:type="continuationSeparator" w:id="0">
    <w:p w:rsidR="00C020E4" w:rsidRDefault="00C020E4"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Default="00B21913"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00620A6C" w:rsidRPr="005A21E0">
      <w:rPr>
        <w:rFonts w:ascii="Arial" w:hAnsi="Arial" w:cs="Arial"/>
        <w:sz w:val="16"/>
        <w:szCs w:val="16"/>
      </w:rPr>
      <w:fldChar w:fldCharType="begin"/>
    </w:r>
    <w:r w:rsidRPr="005A21E0">
      <w:rPr>
        <w:rFonts w:ascii="Arial" w:hAnsi="Arial" w:cs="Arial"/>
        <w:sz w:val="16"/>
        <w:szCs w:val="16"/>
      </w:rPr>
      <w:instrText>PAGE   \* MERGEFORMAT</w:instrText>
    </w:r>
    <w:r w:rsidR="00620A6C" w:rsidRPr="005A21E0">
      <w:rPr>
        <w:rFonts w:ascii="Arial" w:hAnsi="Arial" w:cs="Arial"/>
        <w:sz w:val="16"/>
        <w:szCs w:val="16"/>
      </w:rPr>
      <w:fldChar w:fldCharType="separate"/>
    </w:r>
    <w:r w:rsidR="005B7472">
      <w:rPr>
        <w:rFonts w:ascii="Arial" w:hAnsi="Arial" w:cs="Arial"/>
        <w:noProof/>
        <w:sz w:val="16"/>
        <w:szCs w:val="16"/>
      </w:rPr>
      <w:t>22</w:t>
    </w:r>
    <w:r w:rsidR="00620A6C" w:rsidRPr="005A21E0">
      <w:rPr>
        <w:rFonts w:ascii="Arial" w:hAnsi="Arial" w:cs="Arial"/>
        <w:sz w:val="16"/>
        <w:szCs w:val="16"/>
      </w:rPr>
      <w:fldChar w:fldCharType="end"/>
    </w:r>
    <w:r>
      <w:rPr>
        <w:rFonts w:ascii="Arial" w:hAnsi="Arial" w:cs="Arial"/>
        <w:sz w:val="16"/>
        <w:szCs w:val="16"/>
      </w:rPr>
      <w:tab/>
      <w:t>2016</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Default="00B21913"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B21913" w:rsidRPr="00223E00" w:rsidRDefault="00B21913"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620A6C"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620A6C" w:rsidRPr="00223E00">
      <w:rPr>
        <w:rFonts w:ascii="Arial" w:hAnsi="Arial" w:cs="Arial"/>
        <w:sz w:val="16"/>
        <w:szCs w:val="16"/>
      </w:rPr>
      <w:fldChar w:fldCharType="separate"/>
    </w:r>
    <w:r w:rsidR="005B7472">
      <w:rPr>
        <w:rFonts w:ascii="Arial" w:hAnsi="Arial" w:cs="Arial"/>
        <w:noProof/>
        <w:sz w:val="16"/>
        <w:szCs w:val="16"/>
      </w:rPr>
      <w:t>21</w:t>
    </w:r>
    <w:r w:rsidR="00620A6C"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0E4" w:rsidRDefault="00C020E4" w:rsidP="00E71A58">
      <w:r>
        <w:separator/>
      </w:r>
    </w:p>
  </w:footnote>
  <w:footnote w:type="continuationSeparator" w:id="0">
    <w:p w:rsidR="00C020E4" w:rsidRDefault="00C020E4"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Pr="00D766EF" w:rsidRDefault="00B21913"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Pr="00D766EF" w:rsidRDefault="00B21913" w:rsidP="003B34B7">
    <w:pPr>
      <w:pStyle w:val="Zhlav"/>
      <w:tabs>
        <w:tab w:val="clear" w:pos="4536"/>
        <w:tab w:val="clear" w:pos="9072"/>
        <w:tab w:val="left" w:pos="-6379"/>
        <w:tab w:val="center" w:pos="4820"/>
        <w:tab w:val="right" w:pos="9639"/>
      </w:tabs>
      <w:rPr>
        <w:szCs w:val="16"/>
      </w:rPr>
    </w:pPr>
    <w:r>
      <w:rPr>
        <w:rFonts w:ascii="Arial" w:hAnsi="Arial" w:cs="Arial"/>
        <w:sz w:val="16"/>
        <w:szCs w:val="16"/>
      </w:rPr>
      <w:t>The Czech Economy Development in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40E4"/>
    <w:multiLevelType w:val="hybridMultilevel"/>
    <w:tmpl w:val="582869A0"/>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72706"/>
  </w:hdrShapeDefaults>
  <w:footnotePr>
    <w:footnote w:id="-1"/>
    <w:footnote w:id="0"/>
  </w:footnotePr>
  <w:endnotePr>
    <w:endnote w:id="-1"/>
    <w:endnote w:id="0"/>
  </w:endnotePr>
  <w:compat/>
  <w:rsids>
    <w:rsidRoot w:val="009B70BD"/>
    <w:rsid w:val="00000FA7"/>
    <w:rsid w:val="0000191C"/>
    <w:rsid w:val="00001B29"/>
    <w:rsid w:val="00001EFF"/>
    <w:rsid w:val="00003687"/>
    <w:rsid w:val="00003C43"/>
    <w:rsid w:val="00006026"/>
    <w:rsid w:val="00006468"/>
    <w:rsid w:val="000070E4"/>
    <w:rsid w:val="00007498"/>
    <w:rsid w:val="0000767A"/>
    <w:rsid w:val="000101F5"/>
    <w:rsid w:val="000104B9"/>
    <w:rsid w:val="000104F6"/>
    <w:rsid w:val="00010702"/>
    <w:rsid w:val="0001100E"/>
    <w:rsid w:val="00011191"/>
    <w:rsid w:val="0001159B"/>
    <w:rsid w:val="00012986"/>
    <w:rsid w:val="00014D35"/>
    <w:rsid w:val="00015195"/>
    <w:rsid w:val="0001519F"/>
    <w:rsid w:val="0001572B"/>
    <w:rsid w:val="0001573E"/>
    <w:rsid w:val="000162DB"/>
    <w:rsid w:val="00017F05"/>
    <w:rsid w:val="000202C6"/>
    <w:rsid w:val="00020946"/>
    <w:rsid w:val="00022B41"/>
    <w:rsid w:val="00022EA9"/>
    <w:rsid w:val="00023F1E"/>
    <w:rsid w:val="00024887"/>
    <w:rsid w:val="00024CBA"/>
    <w:rsid w:val="00025501"/>
    <w:rsid w:val="00026998"/>
    <w:rsid w:val="000304C4"/>
    <w:rsid w:val="0003066A"/>
    <w:rsid w:val="00030F14"/>
    <w:rsid w:val="000311C5"/>
    <w:rsid w:val="00031A35"/>
    <w:rsid w:val="00032838"/>
    <w:rsid w:val="00032C12"/>
    <w:rsid w:val="00035CCF"/>
    <w:rsid w:val="00035FC6"/>
    <w:rsid w:val="000366C7"/>
    <w:rsid w:val="00037667"/>
    <w:rsid w:val="0004075D"/>
    <w:rsid w:val="000411E1"/>
    <w:rsid w:val="00043E05"/>
    <w:rsid w:val="0004694F"/>
    <w:rsid w:val="000500DC"/>
    <w:rsid w:val="00052172"/>
    <w:rsid w:val="00053672"/>
    <w:rsid w:val="00053CBA"/>
    <w:rsid w:val="00054E43"/>
    <w:rsid w:val="00055059"/>
    <w:rsid w:val="000553E4"/>
    <w:rsid w:val="000567FA"/>
    <w:rsid w:val="00057864"/>
    <w:rsid w:val="00057C16"/>
    <w:rsid w:val="00060F26"/>
    <w:rsid w:val="00062D43"/>
    <w:rsid w:val="00062EC5"/>
    <w:rsid w:val="00064256"/>
    <w:rsid w:val="00065712"/>
    <w:rsid w:val="0006631E"/>
    <w:rsid w:val="000663A1"/>
    <w:rsid w:val="000706A4"/>
    <w:rsid w:val="00071F80"/>
    <w:rsid w:val="00072118"/>
    <w:rsid w:val="00073173"/>
    <w:rsid w:val="000773FF"/>
    <w:rsid w:val="000779AC"/>
    <w:rsid w:val="00082C2D"/>
    <w:rsid w:val="00083803"/>
    <w:rsid w:val="00084393"/>
    <w:rsid w:val="0008716A"/>
    <w:rsid w:val="00087634"/>
    <w:rsid w:val="00091237"/>
    <w:rsid w:val="0009191B"/>
    <w:rsid w:val="000920EC"/>
    <w:rsid w:val="00092208"/>
    <w:rsid w:val="00092505"/>
    <w:rsid w:val="00092C9A"/>
    <w:rsid w:val="00092E37"/>
    <w:rsid w:val="000935D1"/>
    <w:rsid w:val="0009763F"/>
    <w:rsid w:val="00097D02"/>
    <w:rsid w:val="000A1183"/>
    <w:rsid w:val="000A2121"/>
    <w:rsid w:val="000A2484"/>
    <w:rsid w:val="000A2525"/>
    <w:rsid w:val="000A26DC"/>
    <w:rsid w:val="000A36CE"/>
    <w:rsid w:val="000A59BF"/>
    <w:rsid w:val="000A66C2"/>
    <w:rsid w:val="000B1CFE"/>
    <w:rsid w:val="000B210A"/>
    <w:rsid w:val="000B249B"/>
    <w:rsid w:val="000B3DB9"/>
    <w:rsid w:val="000B3F02"/>
    <w:rsid w:val="000B4192"/>
    <w:rsid w:val="000B48A2"/>
    <w:rsid w:val="000B48E7"/>
    <w:rsid w:val="000B4F41"/>
    <w:rsid w:val="000B7663"/>
    <w:rsid w:val="000C11D3"/>
    <w:rsid w:val="000C12F5"/>
    <w:rsid w:val="000C3408"/>
    <w:rsid w:val="000C45A4"/>
    <w:rsid w:val="000C481B"/>
    <w:rsid w:val="000C5C0F"/>
    <w:rsid w:val="000C6498"/>
    <w:rsid w:val="000D0D51"/>
    <w:rsid w:val="000D14B3"/>
    <w:rsid w:val="000D208B"/>
    <w:rsid w:val="000D2B8D"/>
    <w:rsid w:val="000D2E41"/>
    <w:rsid w:val="000D342A"/>
    <w:rsid w:val="000D5E7A"/>
    <w:rsid w:val="000D5FAA"/>
    <w:rsid w:val="000D6206"/>
    <w:rsid w:val="000D65A4"/>
    <w:rsid w:val="000D6AEF"/>
    <w:rsid w:val="000E025B"/>
    <w:rsid w:val="000E0ECB"/>
    <w:rsid w:val="000E153A"/>
    <w:rsid w:val="000E19A8"/>
    <w:rsid w:val="000E2ABE"/>
    <w:rsid w:val="000E3200"/>
    <w:rsid w:val="000E3280"/>
    <w:rsid w:val="000E4A42"/>
    <w:rsid w:val="000E6476"/>
    <w:rsid w:val="000E65AE"/>
    <w:rsid w:val="000E78D2"/>
    <w:rsid w:val="000F2E58"/>
    <w:rsid w:val="000F3332"/>
    <w:rsid w:val="000F33EE"/>
    <w:rsid w:val="000F401E"/>
    <w:rsid w:val="000F5445"/>
    <w:rsid w:val="000F5673"/>
    <w:rsid w:val="000F67B2"/>
    <w:rsid w:val="000F790F"/>
    <w:rsid w:val="000F7E1B"/>
    <w:rsid w:val="00100014"/>
    <w:rsid w:val="0010039A"/>
    <w:rsid w:val="00101FB2"/>
    <w:rsid w:val="00102CB8"/>
    <w:rsid w:val="00102F02"/>
    <w:rsid w:val="0010385D"/>
    <w:rsid w:val="00103D1B"/>
    <w:rsid w:val="00103D44"/>
    <w:rsid w:val="00103E41"/>
    <w:rsid w:val="001041B6"/>
    <w:rsid w:val="001070EA"/>
    <w:rsid w:val="0011002A"/>
    <w:rsid w:val="001107CE"/>
    <w:rsid w:val="0011110A"/>
    <w:rsid w:val="001118AF"/>
    <w:rsid w:val="00111CA5"/>
    <w:rsid w:val="0011256E"/>
    <w:rsid w:val="00112905"/>
    <w:rsid w:val="0011352E"/>
    <w:rsid w:val="00113819"/>
    <w:rsid w:val="00114FC0"/>
    <w:rsid w:val="00116DB9"/>
    <w:rsid w:val="00116F28"/>
    <w:rsid w:val="00121C39"/>
    <w:rsid w:val="00123255"/>
    <w:rsid w:val="00124D2D"/>
    <w:rsid w:val="00124DA1"/>
    <w:rsid w:val="00125326"/>
    <w:rsid w:val="00125CB5"/>
    <w:rsid w:val="00127535"/>
    <w:rsid w:val="001305C4"/>
    <w:rsid w:val="001307BE"/>
    <w:rsid w:val="00130C8F"/>
    <w:rsid w:val="001314F2"/>
    <w:rsid w:val="001317DA"/>
    <w:rsid w:val="001323BA"/>
    <w:rsid w:val="0013254D"/>
    <w:rsid w:val="00133AAC"/>
    <w:rsid w:val="00133FBD"/>
    <w:rsid w:val="00134EBC"/>
    <w:rsid w:val="00136561"/>
    <w:rsid w:val="001400E1"/>
    <w:rsid w:val="001405FA"/>
    <w:rsid w:val="001413B3"/>
    <w:rsid w:val="00141743"/>
    <w:rsid w:val="001425C3"/>
    <w:rsid w:val="00142F16"/>
    <w:rsid w:val="00143E03"/>
    <w:rsid w:val="00143E93"/>
    <w:rsid w:val="00151AC0"/>
    <w:rsid w:val="00151B27"/>
    <w:rsid w:val="00152046"/>
    <w:rsid w:val="00153047"/>
    <w:rsid w:val="00154147"/>
    <w:rsid w:val="00154F81"/>
    <w:rsid w:val="00155746"/>
    <w:rsid w:val="00156318"/>
    <w:rsid w:val="0015639A"/>
    <w:rsid w:val="0016081D"/>
    <w:rsid w:val="00160CF3"/>
    <w:rsid w:val="00160E61"/>
    <w:rsid w:val="001620FA"/>
    <w:rsid w:val="00162853"/>
    <w:rsid w:val="00162C34"/>
    <w:rsid w:val="0016373B"/>
    <w:rsid w:val="00163793"/>
    <w:rsid w:val="001648D6"/>
    <w:rsid w:val="00165935"/>
    <w:rsid w:val="001707DE"/>
    <w:rsid w:val="00170B04"/>
    <w:rsid w:val="00170F47"/>
    <w:rsid w:val="001714F2"/>
    <w:rsid w:val="00171ABF"/>
    <w:rsid w:val="00173642"/>
    <w:rsid w:val="00173AF4"/>
    <w:rsid w:val="00173CB0"/>
    <w:rsid w:val="001746F8"/>
    <w:rsid w:val="00174CE8"/>
    <w:rsid w:val="00175351"/>
    <w:rsid w:val="00175F60"/>
    <w:rsid w:val="00175FB4"/>
    <w:rsid w:val="00176050"/>
    <w:rsid w:val="001764D8"/>
    <w:rsid w:val="0017660D"/>
    <w:rsid w:val="00176A8F"/>
    <w:rsid w:val="00180D04"/>
    <w:rsid w:val="00180D58"/>
    <w:rsid w:val="00181DB4"/>
    <w:rsid w:val="00182981"/>
    <w:rsid w:val="00184CF9"/>
    <w:rsid w:val="00185010"/>
    <w:rsid w:val="001852EC"/>
    <w:rsid w:val="00186447"/>
    <w:rsid w:val="001874CF"/>
    <w:rsid w:val="00190D9B"/>
    <w:rsid w:val="00191BAE"/>
    <w:rsid w:val="00193432"/>
    <w:rsid w:val="0019346C"/>
    <w:rsid w:val="001946B9"/>
    <w:rsid w:val="00194D0F"/>
    <w:rsid w:val="00195444"/>
    <w:rsid w:val="00197D35"/>
    <w:rsid w:val="001A199D"/>
    <w:rsid w:val="001A2BDB"/>
    <w:rsid w:val="001A30F4"/>
    <w:rsid w:val="001A4C0D"/>
    <w:rsid w:val="001A552F"/>
    <w:rsid w:val="001A56F3"/>
    <w:rsid w:val="001A750C"/>
    <w:rsid w:val="001B1D89"/>
    <w:rsid w:val="001B3110"/>
    <w:rsid w:val="001B4198"/>
    <w:rsid w:val="001B44BC"/>
    <w:rsid w:val="001B618F"/>
    <w:rsid w:val="001B639E"/>
    <w:rsid w:val="001B6545"/>
    <w:rsid w:val="001B681B"/>
    <w:rsid w:val="001B6A49"/>
    <w:rsid w:val="001B74FB"/>
    <w:rsid w:val="001B77A1"/>
    <w:rsid w:val="001C0422"/>
    <w:rsid w:val="001C0E0E"/>
    <w:rsid w:val="001C0EB9"/>
    <w:rsid w:val="001C1219"/>
    <w:rsid w:val="001C2912"/>
    <w:rsid w:val="001C357A"/>
    <w:rsid w:val="001C3A37"/>
    <w:rsid w:val="001C4384"/>
    <w:rsid w:val="001C58FF"/>
    <w:rsid w:val="001C65FF"/>
    <w:rsid w:val="001D1A17"/>
    <w:rsid w:val="001D47E5"/>
    <w:rsid w:val="001D5536"/>
    <w:rsid w:val="001D584C"/>
    <w:rsid w:val="001D5E1B"/>
    <w:rsid w:val="001D66C1"/>
    <w:rsid w:val="001D7C6F"/>
    <w:rsid w:val="001E0024"/>
    <w:rsid w:val="001E0C65"/>
    <w:rsid w:val="001E23E3"/>
    <w:rsid w:val="001E25A6"/>
    <w:rsid w:val="001E387A"/>
    <w:rsid w:val="001E3AB5"/>
    <w:rsid w:val="001E3DA4"/>
    <w:rsid w:val="001E5830"/>
    <w:rsid w:val="001E684C"/>
    <w:rsid w:val="001E6EB9"/>
    <w:rsid w:val="001E701C"/>
    <w:rsid w:val="001E7C03"/>
    <w:rsid w:val="001F02AF"/>
    <w:rsid w:val="001F0649"/>
    <w:rsid w:val="001F28F4"/>
    <w:rsid w:val="001F3055"/>
    <w:rsid w:val="001F31BC"/>
    <w:rsid w:val="001F378E"/>
    <w:rsid w:val="001F3C79"/>
    <w:rsid w:val="001F3E68"/>
    <w:rsid w:val="001F4597"/>
    <w:rsid w:val="001F56A9"/>
    <w:rsid w:val="001F5C50"/>
    <w:rsid w:val="001F5C6A"/>
    <w:rsid w:val="001F670A"/>
    <w:rsid w:val="001F726C"/>
    <w:rsid w:val="00200D15"/>
    <w:rsid w:val="00203074"/>
    <w:rsid w:val="00203B46"/>
    <w:rsid w:val="002048E1"/>
    <w:rsid w:val="00207DB6"/>
    <w:rsid w:val="00210278"/>
    <w:rsid w:val="0021030B"/>
    <w:rsid w:val="00210CC2"/>
    <w:rsid w:val="00210F5B"/>
    <w:rsid w:val="00210FFA"/>
    <w:rsid w:val="00211262"/>
    <w:rsid w:val="002115F5"/>
    <w:rsid w:val="00211AC9"/>
    <w:rsid w:val="0021355B"/>
    <w:rsid w:val="00214C52"/>
    <w:rsid w:val="002179F9"/>
    <w:rsid w:val="002205F2"/>
    <w:rsid w:val="0022080E"/>
    <w:rsid w:val="0022139E"/>
    <w:rsid w:val="0022168A"/>
    <w:rsid w:val="0022272B"/>
    <w:rsid w:val="00222A99"/>
    <w:rsid w:val="00223678"/>
    <w:rsid w:val="002236F7"/>
    <w:rsid w:val="00223E00"/>
    <w:rsid w:val="002252E0"/>
    <w:rsid w:val="002255F6"/>
    <w:rsid w:val="00226466"/>
    <w:rsid w:val="002266D0"/>
    <w:rsid w:val="00226887"/>
    <w:rsid w:val="00230DAD"/>
    <w:rsid w:val="0023229C"/>
    <w:rsid w:val="00232AEF"/>
    <w:rsid w:val="0023355C"/>
    <w:rsid w:val="00234280"/>
    <w:rsid w:val="00235000"/>
    <w:rsid w:val="002350E3"/>
    <w:rsid w:val="00235330"/>
    <w:rsid w:val="0023629A"/>
    <w:rsid w:val="002363AE"/>
    <w:rsid w:val="00236443"/>
    <w:rsid w:val="00240355"/>
    <w:rsid w:val="00240773"/>
    <w:rsid w:val="00240815"/>
    <w:rsid w:val="00240A5B"/>
    <w:rsid w:val="00240C76"/>
    <w:rsid w:val="002436BA"/>
    <w:rsid w:val="002444ED"/>
    <w:rsid w:val="0024481A"/>
    <w:rsid w:val="00244A15"/>
    <w:rsid w:val="00244D40"/>
    <w:rsid w:val="00246AE9"/>
    <w:rsid w:val="0024799E"/>
    <w:rsid w:val="00250C59"/>
    <w:rsid w:val="00250E0D"/>
    <w:rsid w:val="00251D59"/>
    <w:rsid w:val="00252602"/>
    <w:rsid w:val="00252FDC"/>
    <w:rsid w:val="00257613"/>
    <w:rsid w:val="0026037C"/>
    <w:rsid w:val="00261E5B"/>
    <w:rsid w:val="00262F34"/>
    <w:rsid w:val="00263470"/>
    <w:rsid w:val="00263733"/>
    <w:rsid w:val="00264676"/>
    <w:rsid w:val="00264AF7"/>
    <w:rsid w:val="00265536"/>
    <w:rsid w:val="00265E54"/>
    <w:rsid w:val="00266F3E"/>
    <w:rsid w:val="0026715A"/>
    <w:rsid w:val="00272464"/>
    <w:rsid w:val="00273DCD"/>
    <w:rsid w:val="00274291"/>
    <w:rsid w:val="00276CFE"/>
    <w:rsid w:val="00277071"/>
    <w:rsid w:val="0027786C"/>
    <w:rsid w:val="002778B0"/>
    <w:rsid w:val="00277BF7"/>
    <w:rsid w:val="00281416"/>
    <w:rsid w:val="00285986"/>
    <w:rsid w:val="00285CD3"/>
    <w:rsid w:val="0028686A"/>
    <w:rsid w:val="00286E66"/>
    <w:rsid w:val="002902F0"/>
    <w:rsid w:val="002919B5"/>
    <w:rsid w:val="00293441"/>
    <w:rsid w:val="00294238"/>
    <w:rsid w:val="0029493E"/>
    <w:rsid w:val="00296C2E"/>
    <w:rsid w:val="002A1B05"/>
    <w:rsid w:val="002A2420"/>
    <w:rsid w:val="002A267F"/>
    <w:rsid w:val="002A3354"/>
    <w:rsid w:val="002A35EA"/>
    <w:rsid w:val="002A37B6"/>
    <w:rsid w:val="002A3BD5"/>
    <w:rsid w:val="002A43A2"/>
    <w:rsid w:val="002A44ED"/>
    <w:rsid w:val="002A4612"/>
    <w:rsid w:val="002A4F70"/>
    <w:rsid w:val="002A5263"/>
    <w:rsid w:val="002A5C4A"/>
    <w:rsid w:val="002A6821"/>
    <w:rsid w:val="002A74D2"/>
    <w:rsid w:val="002A7CDA"/>
    <w:rsid w:val="002A7F47"/>
    <w:rsid w:val="002B08A8"/>
    <w:rsid w:val="002B1544"/>
    <w:rsid w:val="002B36C8"/>
    <w:rsid w:val="002B7240"/>
    <w:rsid w:val="002C1A8A"/>
    <w:rsid w:val="002C2668"/>
    <w:rsid w:val="002C3B51"/>
    <w:rsid w:val="002C43BD"/>
    <w:rsid w:val="002C5261"/>
    <w:rsid w:val="002C6091"/>
    <w:rsid w:val="002D0562"/>
    <w:rsid w:val="002D1B5A"/>
    <w:rsid w:val="002D2500"/>
    <w:rsid w:val="002D3F00"/>
    <w:rsid w:val="002D4D59"/>
    <w:rsid w:val="002D54BF"/>
    <w:rsid w:val="002D5E94"/>
    <w:rsid w:val="002D632D"/>
    <w:rsid w:val="002E02A1"/>
    <w:rsid w:val="002E0982"/>
    <w:rsid w:val="002E0DB9"/>
    <w:rsid w:val="002E2CE4"/>
    <w:rsid w:val="002E34F3"/>
    <w:rsid w:val="002E435E"/>
    <w:rsid w:val="002E73F2"/>
    <w:rsid w:val="002F33FB"/>
    <w:rsid w:val="002F68A4"/>
    <w:rsid w:val="002F7594"/>
    <w:rsid w:val="00301357"/>
    <w:rsid w:val="00301D04"/>
    <w:rsid w:val="003035D4"/>
    <w:rsid w:val="00303DCB"/>
    <w:rsid w:val="00304771"/>
    <w:rsid w:val="00305736"/>
    <w:rsid w:val="00306C5B"/>
    <w:rsid w:val="00306E3B"/>
    <w:rsid w:val="003119B6"/>
    <w:rsid w:val="00312C3D"/>
    <w:rsid w:val="00313A6E"/>
    <w:rsid w:val="00314331"/>
    <w:rsid w:val="00316A67"/>
    <w:rsid w:val="00317E31"/>
    <w:rsid w:val="00320214"/>
    <w:rsid w:val="003209D6"/>
    <w:rsid w:val="0032109A"/>
    <w:rsid w:val="0032214F"/>
    <w:rsid w:val="00322164"/>
    <w:rsid w:val="00323CF7"/>
    <w:rsid w:val="00323E61"/>
    <w:rsid w:val="0032513D"/>
    <w:rsid w:val="00326251"/>
    <w:rsid w:val="0032739C"/>
    <w:rsid w:val="00327DEE"/>
    <w:rsid w:val="003302DA"/>
    <w:rsid w:val="00330712"/>
    <w:rsid w:val="00330EB0"/>
    <w:rsid w:val="003329F3"/>
    <w:rsid w:val="0033352E"/>
    <w:rsid w:val="00333690"/>
    <w:rsid w:val="00333D20"/>
    <w:rsid w:val="00333F53"/>
    <w:rsid w:val="003340EF"/>
    <w:rsid w:val="00334A49"/>
    <w:rsid w:val="0033536F"/>
    <w:rsid w:val="00335BB0"/>
    <w:rsid w:val="0033627B"/>
    <w:rsid w:val="003406BD"/>
    <w:rsid w:val="00340D97"/>
    <w:rsid w:val="00342932"/>
    <w:rsid w:val="00343474"/>
    <w:rsid w:val="00343F84"/>
    <w:rsid w:val="00344135"/>
    <w:rsid w:val="003450E2"/>
    <w:rsid w:val="00351B63"/>
    <w:rsid w:val="003523CC"/>
    <w:rsid w:val="00352E57"/>
    <w:rsid w:val="00353BEC"/>
    <w:rsid w:val="003541B0"/>
    <w:rsid w:val="0035457E"/>
    <w:rsid w:val="00355885"/>
    <w:rsid w:val="0035605E"/>
    <w:rsid w:val="00357449"/>
    <w:rsid w:val="0036238B"/>
    <w:rsid w:val="003651A4"/>
    <w:rsid w:val="00365680"/>
    <w:rsid w:val="003657F3"/>
    <w:rsid w:val="00365CF1"/>
    <w:rsid w:val="00367038"/>
    <w:rsid w:val="00370963"/>
    <w:rsid w:val="0037144E"/>
    <w:rsid w:val="00371B97"/>
    <w:rsid w:val="003736B5"/>
    <w:rsid w:val="00374F1E"/>
    <w:rsid w:val="00376DEC"/>
    <w:rsid w:val="00377200"/>
    <w:rsid w:val="00380CDB"/>
    <w:rsid w:val="00380E04"/>
    <w:rsid w:val="00382D95"/>
    <w:rsid w:val="00383227"/>
    <w:rsid w:val="00384D8F"/>
    <w:rsid w:val="00385D98"/>
    <w:rsid w:val="00385EC5"/>
    <w:rsid w:val="0038658E"/>
    <w:rsid w:val="00386BA4"/>
    <w:rsid w:val="0039066E"/>
    <w:rsid w:val="00391C95"/>
    <w:rsid w:val="003937D5"/>
    <w:rsid w:val="00394D49"/>
    <w:rsid w:val="00396DAC"/>
    <w:rsid w:val="003A0214"/>
    <w:rsid w:val="003A027D"/>
    <w:rsid w:val="003A1467"/>
    <w:rsid w:val="003A1D74"/>
    <w:rsid w:val="003A2B4D"/>
    <w:rsid w:val="003A2D2B"/>
    <w:rsid w:val="003A2DD4"/>
    <w:rsid w:val="003A3B1C"/>
    <w:rsid w:val="003A4088"/>
    <w:rsid w:val="003A478C"/>
    <w:rsid w:val="003A4F82"/>
    <w:rsid w:val="003A5525"/>
    <w:rsid w:val="003A6B38"/>
    <w:rsid w:val="003B2580"/>
    <w:rsid w:val="003B2E63"/>
    <w:rsid w:val="003B3189"/>
    <w:rsid w:val="003B34B7"/>
    <w:rsid w:val="003B3A9D"/>
    <w:rsid w:val="003B3DDD"/>
    <w:rsid w:val="003B5031"/>
    <w:rsid w:val="003B5A32"/>
    <w:rsid w:val="003B6105"/>
    <w:rsid w:val="003C03CC"/>
    <w:rsid w:val="003C04C4"/>
    <w:rsid w:val="003C26F4"/>
    <w:rsid w:val="003C3686"/>
    <w:rsid w:val="003C4852"/>
    <w:rsid w:val="003C5BC7"/>
    <w:rsid w:val="003C5DD4"/>
    <w:rsid w:val="003C601E"/>
    <w:rsid w:val="003C7E11"/>
    <w:rsid w:val="003D2C4E"/>
    <w:rsid w:val="003D3600"/>
    <w:rsid w:val="003D37E2"/>
    <w:rsid w:val="003D3825"/>
    <w:rsid w:val="003D3EC4"/>
    <w:rsid w:val="003D4760"/>
    <w:rsid w:val="003D49DC"/>
    <w:rsid w:val="003D5D7A"/>
    <w:rsid w:val="003D65A7"/>
    <w:rsid w:val="003E0663"/>
    <w:rsid w:val="003E133F"/>
    <w:rsid w:val="003E39A8"/>
    <w:rsid w:val="003E49F6"/>
    <w:rsid w:val="003E699C"/>
    <w:rsid w:val="003E69F3"/>
    <w:rsid w:val="003E782E"/>
    <w:rsid w:val="003E7A0B"/>
    <w:rsid w:val="003E7B2B"/>
    <w:rsid w:val="003F181F"/>
    <w:rsid w:val="003F1A48"/>
    <w:rsid w:val="003F2B0A"/>
    <w:rsid w:val="003F313C"/>
    <w:rsid w:val="003F341B"/>
    <w:rsid w:val="003F37FC"/>
    <w:rsid w:val="003F4616"/>
    <w:rsid w:val="003F49A6"/>
    <w:rsid w:val="003F5098"/>
    <w:rsid w:val="003F5568"/>
    <w:rsid w:val="003F5A95"/>
    <w:rsid w:val="003F6D19"/>
    <w:rsid w:val="004000D5"/>
    <w:rsid w:val="004005C1"/>
    <w:rsid w:val="00401716"/>
    <w:rsid w:val="00401A09"/>
    <w:rsid w:val="0040273A"/>
    <w:rsid w:val="00402C25"/>
    <w:rsid w:val="00404AC3"/>
    <w:rsid w:val="004050D7"/>
    <w:rsid w:val="004075B0"/>
    <w:rsid w:val="004078BD"/>
    <w:rsid w:val="00410132"/>
    <w:rsid w:val="00410BCD"/>
    <w:rsid w:val="0041175D"/>
    <w:rsid w:val="004123BE"/>
    <w:rsid w:val="00414CE5"/>
    <w:rsid w:val="00416673"/>
    <w:rsid w:val="0042160D"/>
    <w:rsid w:val="004216B5"/>
    <w:rsid w:val="00423A3C"/>
    <w:rsid w:val="0042681B"/>
    <w:rsid w:val="00426E99"/>
    <w:rsid w:val="00427193"/>
    <w:rsid w:val="0043068A"/>
    <w:rsid w:val="004306E0"/>
    <w:rsid w:val="00430FC9"/>
    <w:rsid w:val="00431D54"/>
    <w:rsid w:val="004329BE"/>
    <w:rsid w:val="00432C38"/>
    <w:rsid w:val="004342EC"/>
    <w:rsid w:val="00437C76"/>
    <w:rsid w:val="0044105C"/>
    <w:rsid w:val="00443283"/>
    <w:rsid w:val="004441A0"/>
    <w:rsid w:val="00444268"/>
    <w:rsid w:val="00444326"/>
    <w:rsid w:val="004443BF"/>
    <w:rsid w:val="00444A7F"/>
    <w:rsid w:val="00444C19"/>
    <w:rsid w:val="00445218"/>
    <w:rsid w:val="00445CDD"/>
    <w:rsid w:val="00445E45"/>
    <w:rsid w:val="00446892"/>
    <w:rsid w:val="00446E39"/>
    <w:rsid w:val="00447E36"/>
    <w:rsid w:val="00450C30"/>
    <w:rsid w:val="00451DCC"/>
    <w:rsid w:val="004540FF"/>
    <w:rsid w:val="004541F1"/>
    <w:rsid w:val="004549B0"/>
    <w:rsid w:val="00455ECA"/>
    <w:rsid w:val="00457296"/>
    <w:rsid w:val="00457320"/>
    <w:rsid w:val="00460164"/>
    <w:rsid w:val="0046039A"/>
    <w:rsid w:val="00460A6B"/>
    <w:rsid w:val="00461977"/>
    <w:rsid w:val="004629FD"/>
    <w:rsid w:val="00463B4B"/>
    <w:rsid w:val="00463F4D"/>
    <w:rsid w:val="0046471F"/>
    <w:rsid w:val="00464BD1"/>
    <w:rsid w:val="00464BE8"/>
    <w:rsid w:val="00465019"/>
    <w:rsid w:val="00465FA4"/>
    <w:rsid w:val="0046613F"/>
    <w:rsid w:val="0046655D"/>
    <w:rsid w:val="0046765E"/>
    <w:rsid w:val="004676E2"/>
    <w:rsid w:val="00471EDD"/>
    <w:rsid w:val="00473E94"/>
    <w:rsid w:val="0047400C"/>
    <w:rsid w:val="004745D9"/>
    <w:rsid w:val="004762D8"/>
    <w:rsid w:val="004765B3"/>
    <w:rsid w:val="00476D29"/>
    <w:rsid w:val="00477241"/>
    <w:rsid w:val="00477EAF"/>
    <w:rsid w:val="00477EE0"/>
    <w:rsid w:val="00480AB8"/>
    <w:rsid w:val="0048139F"/>
    <w:rsid w:val="00481C00"/>
    <w:rsid w:val="0048212D"/>
    <w:rsid w:val="00483053"/>
    <w:rsid w:val="00483D8F"/>
    <w:rsid w:val="00484874"/>
    <w:rsid w:val="00485230"/>
    <w:rsid w:val="00486D82"/>
    <w:rsid w:val="004879E9"/>
    <w:rsid w:val="00487F81"/>
    <w:rsid w:val="00490247"/>
    <w:rsid w:val="0049104F"/>
    <w:rsid w:val="00491218"/>
    <w:rsid w:val="00491CFD"/>
    <w:rsid w:val="0049263A"/>
    <w:rsid w:val="00493036"/>
    <w:rsid w:val="00493362"/>
    <w:rsid w:val="00494343"/>
    <w:rsid w:val="00496C2F"/>
    <w:rsid w:val="00496D92"/>
    <w:rsid w:val="0049729F"/>
    <w:rsid w:val="0049740D"/>
    <w:rsid w:val="004978D3"/>
    <w:rsid w:val="004A11F8"/>
    <w:rsid w:val="004A217A"/>
    <w:rsid w:val="004A22BD"/>
    <w:rsid w:val="004A22FA"/>
    <w:rsid w:val="004A269A"/>
    <w:rsid w:val="004A30FB"/>
    <w:rsid w:val="004A35DD"/>
    <w:rsid w:val="004A37D3"/>
    <w:rsid w:val="004A3AD6"/>
    <w:rsid w:val="004A3FB7"/>
    <w:rsid w:val="004A5865"/>
    <w:rsid w:val="004A77DF"/>
    <w:rsid w:val="004B0295"/>
    <w:rsid w:val="004B0803"/>
    <w:rsid w:val="004B10A8"/>
    <w:rsid w:val="004B22DA"/>
    <w:rsid w:val="004B3CB7"/>
    <w:rsid w:val="004B3D55"/>
    <w:rsid w:val="004B55B7"/>
    <w:rsid w:val="004B6EC5"/>
    <w:rsid w:val="004B7704"/>
    <w:rsid w:val="004C00A6"/>
    <w:rsid w:val="004C0BBB"/>
    <w:rsid w:val="004C1AD6"/>
    <w:rsid w:val="004C1B86"/>
    <w:rsid w:val="004C3382"/>
    <w:rsid w:val="004C3867"/>
    <w:rsid w:val="004C3CC4"/>
    <w:rsid w:val="004C4AB7"/>
    <w:rsid w:val="004C4CD0"/>
    <w:rsid w:val="004C57B5"/>
    <w:rsid w:val="004C5C25"/>
    <w:rsid w:val="004C6717"/>
    <w:rsid w:val="004C6982"/>
    <w:rsid w:val="004C6CFF"/>
    <w:rsid w:val="004C70DC"/>
    <w:rsid w:val="004C7268"/>
    <w:rsid w:val="004D0211"/>
    <w:rsid w:val="004D1C9C"/>
    <w:rsid w:val="004D504B"/>
    <w:rsid w:val="004D536E"/>
    <w:rsid w:val="004D76CC"/>
    <w:rsid w:val="004E1839"/>
    <w:rsid w:val="004E4A75"/>
    <w:rsid w:val="004E541A"/>
    <w:rsid w:val="004E5A5C"/>
    <w:rsid w:val="004E7007"/>
    <w:rsid w:val="004E76D6"/>
    <w:rsid w:val="004E7F57"/>
    <w:rsid w:val="004F06F5"/>
    <w:rsid w:val="004F191F"/>
    <w:rsid w:val="004F2476"/>
    <w:rsid w:val="004F2A73"/>
    <w:rsid w:val="004F33A0"/>
    <w:rsid w:val="004F37BE"/>
    <w:rsid w:val="004F4352"/>
    <w:rsid w:val="004F4353"/>
    <w:rsid w:val="004F447D"/>
    <w:rsid w:val="004F4C28"/>
    <w:rsid w:val="004F4E82"/>
    <w:rsid w:val="004F5CC5"/>
    <w:rsid w:val="004F6350"/>
    <w:rsid w:val="005028E1"/>
    <w:rsid w:val="005033F1"/>
    <w:rsid w:val="0050692E"/>
    <w:rsid w:val="00507040"/>
    <w:rsid w:val="005073C7"/>
    <w:rsid w:val="005079F8"/>
    <w:rsid w:val="00507B84"/>
    <w:rsid w:val="005100D5"/>
    <w:rsid w:val="00510189"/>
    <w:rsid w:val="005108C0"/>
    <w:rsid w:val="00511873"/>
    <w:rsid w:val="00513B7E"/>
    <w:rsid w:val="005140DE"/>
    <w:rsid w:val="00514474"/>
    <w:rsid w:val="005147E9"/>
    <w:rsid w:val="005152B2"/>
    <w:rsid w:val="00515D06"/>
    <w:rsid w:val="0051778E"/>
    <w:rsid w:val="005215EF"/>
    <w:rsid w:val="00523BEC"/>
    <w:rsid w:val="00524637"/>
    <w:rsid w:val="00524FDD"/>
    <w:rsid w:val="00525137"/>
    <w:rsid w:val="005251DD"/>
    <w:rsid w:val="00526DB6"/>
    <w:rsid w:val="0053017A"/>
    <w:rsid w:val="00530492"/>
    <w:rsid w:val="00532854"/>
    <w:rsid w:val="005342F6"/>
    <w:rsid w:val="005350F2"/>
    <w:rsid w:val="00535152"/>
    <w:rsid w:val="00535359"/>
    <w:rsid w:val="005357A2"/>
    <w:rsid w:val="00535C70"/>
    <w:rsid w:val="00535D87"/>
    <w:rsid w:val="00535EF0"/>
    <w:rsid w:val="005363DF"/>
    <w:rsid w:val="0053734B"/>
    <w:rsid w:val="005375B1"/>
    <w:rsid w:val="00537AFD"/>
    <w:rsid w:val="00537CB4"/>
    <w:rsid w:val="0054516B"/>
    <w:rsid w:val="0054559E"/>
    <w:rsid w:val="00546888"/>
    <w:rsid w:val="005513D5"/>
    <w:rsid w:val="005523B9"/>
    <w:rsid w:val="005545E0"/>
    <w:rsid w:val="00554865"/>
    <w:rsid w:val="00554E57"/>
    <w:rsid w:val="00556828"/>
    <w:rsid w:val="00561BE3"/>
    <w:rsid w:val="005622CD"/>
    <w:rsid w:val="00562749"/>
    <w:rsid w:val="00562DE9"/>
    <w:rsid w:val="005638A5"/>
    <w:rsid w:val="00566381"/>
    <w:rsid w:val="0056640C"/>
    <w:rsid w:val="00566A03"/>
    <w:rsid w:val="00571932"/>
    <w:rsid w:val="00573C97"/>
    <w:rsid w:val="00574240"/>
    <w:rsid w:val="00575CDC"/>
    <w:rsid w:val="005765D5"/>
    <w:rsid w:val="00576A3E"/>
    <w:rsid w:val="0057703D"/>
    <w:rsid w:val="00577861"/>
    <w:rsid w:val="0058134C"/>
    <w:rsid w:val="005828FD"/>
    <w:rsid w:val="0058366F"/>
    <w:rsid w:val="00583D5B"/>
    <w:rsid w:val="00583FFD"/>
    <w:rsid w:val="0058657F"/>
    <w:rsid w:val="00587CCD"/>
    <w:rsid w:val="005908AE"/>
    <w:rsid w:val="0059153E"/>
    <w:rsid w:val="0059176E"/>
    <w:rsid w:val="00591AF8"/>
    <w:rsid w:val="00592377"/>
    <w:rsid w:val="00592854"/>
    <w:rsid w:val="00593152"/>
    <w:rsid w:val="00593CA3"/>
    <w:rsid w:val="00594161"/>
    <w:rsid w:val="00594969"/>
    <w:rsid w:val="00595590"/>
    <w:rsid w:val="00596C5E"/>
    <w:rsid w:val="005A2194"/>
    <w:rsid w:val="005A21E0"/>
    <w:rsid w:val="005A33A1"/>
    <w:rsid w:val="005A54EE"/>
    <w:rsid w:val="005A563B"/>
    <w:rsid w:val="005A7500"/>
    <w:rsid w:val="005A77E4"/>
    <w:rsid w:val="005B0418"/>
    <w:rsid w:val="005B1BDB"/>
    <w:rsid w:val="005B2BAA"/>
    <w:rsid w:val="005B2D53"/>
    <w:rsid w:val="005B3247"/>
    <w:rsid w:val="005B3409"/>
    <w:rsid w:val="005B489E"/>
    <w:rsid w:val="005B498A"/>
    <w:rsid w:val="005B7472"/>
    <w:rsid w:val="005B7B12"/>
    <w:rsid w:val="005C16CB"/>
    <w:rsid w:val="005C21D6"/>
    <w:rsid w:val="005C3F9F"/>
    <w:rsid w:val="005C406F"/>
    <w:rsid w:val="005C4244"/>
    <w:rsid w:val="005C4A23"/>
    <w:rsid w:val="005C562C"/>
    <w:rsid w:val="005C5812"/>
    <w:rsid w:val="005C6400"/>
    <w:rsid w:val="005C7122"/>
    <w:rsid w:val="005C7F1E"/>
    <w:rsid w:val="005D374F"/>
    <w:rsid w:val="005D5802"/>
    <w:rsid w:val="005D6CFC"/>
    <w:rsid w:val="005D73E2"/>
    <w:rsid w:val="005D757A"/>
    <w:rsid w:val="005E1859"/>
    <w:rsid w:val="005E1E4B"/>
    <w:rsid w:val="005E362D"/>
    <w:rsid w:val="005E492C"/>
    <w:rsid w:val="005E4BAA"/>
    <w:rsid w:val="005E52EF"/>
    <w:rsid w:val="005E5525"/>
    <w:rsid w:val="005E5B56"/>
    <w:rsid w:val="005E6088"/>
    <w:rsid w:val="005E61DF"/>
    <w:rsid w:val="005E6B65"/>
    <w:rsid w:val="005E6B78"/>
    <w:rsid w:val="005E75B8"/>
    <w:rsid w:val="005F26CE"/>
    <w:rsid w:val="005F4057"/>
    <w:rsid w:val="005F4088"/>
    <w:rsid w:val="005F601D"/>
    <w:rsid w:val="005F6119"/>
    <w:rsid w:val="005F7940"/>
    <w:rsid w:val="0060107A"/>
    <w:rsid w:val="00601AFF"/>
    <w:rsid w:val="00602D1D"/>
    <w:rsid w:val="00604307"/>
    <w:rsid w:val="0060487F"/>
    <w:rsid w:val="00605814"/>
    <w:rsid w:val="00606B93"/>
    <w:rsid w:val="00607727"/>
    <w:rsid w:val="00610BD5"/>
    <w:rsid w:val="00611531"/>
    <w:rsid w:val="006118AA"/>
    <w:rsid w:val="006123FD"/>
    <w:rsid w:val="006139C7"/>
    <w:rsid w:val="006153E3"/>
    <w:rsid w:val="0061679C"/>
    <w:rsid w:val="006167AB"/>
    <w:rsid w:val="00617B14"/>
    <w:rsid w:val="00617D2D"/>
    <w:rsid w:val="00617D83"/>
    <w:rsid w:val="00620430"/>
    <w:rsid w:val="00620A6C"/>
    <w:rsid w:val="00620AC5"/>
    <w:rsid w:val="00621575"/>
    <w:rsid w:val="006215FC"/>
    <w:rsid w:val="00624093"/>
    <w:rsid w:val="00630F66"/>
    <w:rsid w:val="00631A82"/>
    <w:rsid w:val="00631FC2"/>
    <w:rsid w:val="00632171"/>
    <w:rsid w:val="0063332A"/>
    <w:rsid w:val="006347F9"/>
    <w:rsid w:val="0063494E"/>
    <w:rsid w:val="00634C90"/>
    <w:rsid w:val="00635E79"/>
    <w:rsid w:val="00636E5E"/>
    <w:rsid w:val="006379E0"/>
    <w:rsid w:val="006404A7"/>
    <w:rsid w:val="006407F3"/>
    <w:rsid w:val="006408EC"/>
    <w:rsid w:val="0064129B"/>
    <w:rsid w:val="00644DFC"/>
    <w:rsid w:val="006451E4"/>
    <w:rsid w:val="0064543C"/>
    <w:rsid w:val="006454B4"/>
    <w:rsid w:val="00645A9C"/>
    <w:rsid w:val="006460B8"/>
    <w:rsid w:val="00647505"/>
    <w:rsid w:val="006504A0"/>
    <w:rsid w:val="006520C7"/>
    <w:rsid w:val="00652CBB"/>
    <w:rsid w:val="006530B8"/>
    <w:rsid w:val="006535D6"/>
    <w:rsid w:val="00654301"/>
    <w:rsid w:val="0065614E"/>
    <w:rsid w:val="00656312"/>
    <w:rsid w:val="006572ED"/>
    <w:rsid w:val="00657E87"/>
    <w:rsid w:val="00660457"/>
    <w:rsid w:val="0066086C"/>
    <w:rsid w:val="00660917"/>
    <w:rsid w:val="00660E1E"/>
    <w:rsid w:val="006637B1"/>
    <w:rsid w:val="00664B64"/>
    <w:rsid w:val="00665D67"/>
    <w:rsid w:val="00665D77"/>
    <w:rsid w:val="006660CD"/>
    <w:rsid w:val="00666EC8"/>
    <w:rsid w:val="00666F4B"/>
    <w:rsid w:val="006676D0"/>
    <w:rsid w:val="0066796E"/>
    <w:rsid w:val="00667B3B"/>
    <w:rsid w:val="00670FAC"/>
    <w:rsid w:val="006710C9"/>
    <w:rsid w:val="006716A5"/>
    <w:rsid w:val="00672886"/>
    <w:rsid w:val="00675E37"/>
    <w:rsid w:val="00676AFC"/>
    <w:rsid w:val="00676F11"/>
    <w:rsid w:val="00680079"/>
    <w:rsid w:val="00680F68"/>
    <w:rsid w:val="0068260E"/>
    <w:rsid w:val="0068373D"/>
    <w:rsid w:val="00683BFE"/>
    <w:rsid w:val="0068437D"/>
    <w:rsid w:val="006857DF"/>
    <w:rsid w:val="00685E66"/>
    <w:rsid w:val="00686B72"/>
    <w:rsid w:val="00686BF1"/>
    <w:rsid w:val="00690A09"/>
    <w:rsid w:val="00690A25"/>
    <w:rsid w:val="00691374"/>
    <w:rsid w:val="00693EA1"/>
    <w:rsid w:val="00693FEA"/>
    <w:rsid w:val="00694460"/>
    <w:rsid w:val="00694930"/>
    <w:rsid w:val="00695170"/>
    <w:rsid w:val="00695BEF"/>
    <w:rsid w:val="00695DE9"/>
    <w:rsid w:val="006960D6"/>
    <w:rsid w:val="00696AA5"/>
    <w:rsid w:val="006977F6"/>
    <w:rsid w:val="00697A13"/>
    <w:rsid w:val="006A109C"/>
    <w:rsid w:val="006A18AE"/>
    <w:rsid w:val="006A2EE8"/>
    <w:rsid w:val="006A3CF3"/>
    <w:rsid w:val="006A568F"/>
    <w:rsid w:val="006A65EF"/>
    <w:rsid w:val="006A672B"/>
    <w:rsid w:val="006A6FB8"/>
    <w:rsid w:val="006B23A9"/>
    <w:rsid w:val="006B3F8A"/>
    <w:rsid w:val="006B5CA3"/>
    <w:rsid w:val="006B5EEB"/>
    <w:rsid w:val="006B6B3B"/>
    <w:rsid w:val="006B7714"/>
    <w:rsid w:val="006B78D8"/>
    <w:rsid w:val="006C090F"/>
    <w:rsid w:val="006C0935"/>
    <w:rsid w:val="006C0BCE"/>
    <w:rsid w:val="006C113F"/>
    <w:rsid w:val="006C2AED"/>
    <w:rsid w:val="006C38DD"/>
    <w:rsid w:val="006C5577"/>
    <w:rsid w:val="006C559A"/>
    <w:rsid w:val="006C58FA"/>
    <w:rsid w:val="006D042D"/>
    <w:rsid w:val="006D06EF"/>
    <w:rsid w:val="006D142E"/>
    <w:rsid w:val="006D4497"/>
    <w:rsid w:val="006D4E6F"/>
    <w:rsid w:val="006D5C8C"/>
    <w:rsid w:val="006D61F6"/>
    <w:rsid w:val="006E0EB0"/>
    <w:rsid w:val="006E0F26"/>
    <w:rsid w:val="006E1F4C"/>
    <w:rsid w:val="006E22C8"/>
    <w:rsid w:val="006E279A"/>
    <w:rsid w:val="006E2B48"/>
    <w:rsid w:val="006E2F3F"/>
    <w:rsid w:val="006E313B"/>
    <w:rsid w:val="006E442A"/>
    <w:rsid w:val="006E4434"/>
    <w:rsid w:val="006E59FC"/>
    <w:rsid w:val="006E5CFD"/>
    <w:rsid w:val="006E6976"/>
    <w:rsid w:val="006E7D88"/>
    <w:rsid w:val="006E7E2C"/>
    <w:rsid w:val="006F1326"/>
    <w:rsid w:val="006F2BEE"/>
    <w:rsid w:val="006F3458"/>
    <w:rsid w:val="006F3708"/>
    <w:rsid w:val="006F3E6B"/>
    <w:rsid w:val="006F4619"/>
    <w:rsid w:val="006F4A59"/>
    <w:rsid w:val="00700232"/>
    <w:rsid w:val="007014C7"/>
    <w:rsid w:val="007025D8"/>
    <w:rsid w:val="00702682"/>
    <w:rsid w:val="00702D6F"/>
    <w:rsid w:val="00703163"/>
    <w:rsid w:val="00703B6C"/>
    <w:rsid w:val="00703C6B"/>
    <w:rsid w:val="007047D5"/>
    <w:rsid w:val="00705D98"/>
    <w:rsid w:val="00707891"/>
    <w:rsid w:val="00707D43"/>
    <w:rsid w:val="00711EF1"/>
    <w:rsid w:val="0071229A"/>
    <w:rsid w:val="00712572"/>
    <w:rsid w:val="00713495"/>
    <w:rsid w:val="00713EEB"/>
    <w:rsid w:val="007159D2"/>
    <w:rsid w:val="0072050E"/>
    <w:rsid w:val="00720FA2"/>
    <w:rsid w:val="007211F5"/>
    <w:rsid w:val="00724666"/>
    <w:rsid w:val="00726043"/>
    <w:rsid w:val="0072704A"/>
    <w:rsid w:val="00730AE8"/>
    <w:rsid w:val="00731963"/>
    <w:rsid w:val="00731CA1"/>
    <w:rsid w:val="00734321"/>
    <w:rsid w:val="0073532E"/>
    <w:rsid w:val="00740310"/>
    <w:rsid w:val="00740652"/>
    <w:rsid w:val="00740848"/>
    <w:rsid w:val="00740F02"/>
    <w:rsid w:val="00740FEC"/>
    <w:rsid w:val="0074132E"/>
    <w:rsid w:val="00741493"/>
    <w:rsid w:val="007426B3"/>
    <w:rsid w:val="007426FD"/>
    <w:rsid w:val="0074329D"/>
    <w:rsid w:val="00743CEB"/>
    <w:rsid w:val="00744376"/>
    <w:rsid w:val="007449EA"/>
    <w:rsid w:val="00744D00"/>
    <w:rsid w:val="00745273"/>
    <w:rsid w:val="00746DD9"/>
    <w:rsid w:val="0075057A"/>
    <w:rsid w:val="00751771"/>
    <w:rsid w:val="00751C1C"/>
    <w:rsid w:val="00751D40"/>
    <w:rsid w:val="00752180"/>
    <w:rsid w:val="007521A1"/>
    <w:rsid w:val="00752BC3"/>
    <w:rsid w:val="0075315D"/>
    <w:rsid w:val="007538F9"/>
    <w:rsid w:val="00754253"/>
    <w:rsid w:val="007552BB"/>
    <w:rsid w:val="007558D3"/>
    <w:rsid w:val="007559D7"/>
    <w:rsid w:val="00755D3A"/>
    <w:rsid w:val="00760141"/>
    <w:rsid w:val="007609C6"/>
    <w:rsid w:val="007610A0"/>
    <w:rsid w:val="007619CD"/>
    <w:rsid w:val="007620F2"/>
    <w:rsid w:val="00762EBA"/>
    <w:rsid w:val="0076359D"/>
    <w:rsid w:val="00763FEB"/>
    <w:rsid w:val="0077058D"/>
    <w:rsid w:val="00772536"/>
    <w:rsid w:val="00773613"/>
    <w:rsid w:val="00774782"/>
    <w:rsid w:val="00776476"/>
    <w:rsid w:val="00776527"/>
    <w:rsid w:val="00776B92"/>
    <w:rsid w:val="007805E1"/>
    <w:rsid w:val="0078113E"/>
    <w:rsid w:val="00781834"/>
    <w:rsid w:val="007821DB"/>
    <w:rsid w:val="00782818"/>
    <w:rsid w:val="007838F1"/>
    <w:rsid w:val="007842A5"/>
    <w:rsid w:val="00784A0E"/>
    <w:rsid w:val="00784C4A"/>
    <w:rsid w:val="00787432"/>
    <w:rsid w:val="00787507"/>
    <w:rsid w:val="007879F2"/>
    <w:rsid w:val="00791CF8"/>
    <w:rsid w:val="00791EF9"/>
    <w:rsid w:val="00792262"/>
    <w:rsid w:val="00793387"/>
    <w:rsid w:val="00793BAE"/>
    <w:rsid w:val="00794E0A"/>
    <w:rsid w:val="00796642"/>
    <w:rsid w:val="007A11D9"/>
    <w:rsid w:val="007A13A9"/>
    <w:rsid w:val="007A327B"/>
    <w:rsid w:val="007A45B1"/>
    <w:rsid w:val="007A4606"/>
    <w:rsid w:val="007B0D67"/>
    <w:rsid w:val="007B1966"/>
    <w:rsid w:val="007B2779"/>
    <w:rsid w:val="007B3DCC"/>
    <w:rsid w:val="007B4518"/>
    <w:rsid w:val="007B5031"/>
    <w:rsid w:val="007B573F"/>
    <w:rsid w:val="007B6A6B"/>
    <w:rsid w:val="007C0065"/>
    <w:rsid w:val="007C010B"/>
    <w:rsid w:val="007C3384"/>
    <w:rsid w:val="007C605B"/>
    <w:rsid w:val="007D152D"/>
    <w:rsid w:val="007D1E65"/>
    <w:rsid w:val="007D2A5A"/>
    <w:rsid w:val="007D2AD8"/>
    <w:rsid w:val="007D2C47"/>
    <w:rsid w:val="007D3167"/>
    <w:rsid w:val="007D4128"/>
    <w:rsid w:val="007D4281"/>
    <w:rsid w:val="007D42F5"/>
    <w:rsid w:val="007D44C3"/>
    <w:rsid w:val="007D5947"/>
    <w:rsid w:val="007D65C1"/>
    <w:rsid w:val="007D6DD0"/>
    <w:rsid w:val="007D71F5"/>
    <w:rsid w:val="007D7CAD"/>
    <w:rsid w:val="007E030F"/>
    <w:rsid w:val="007E0E59"/>
    <w:rsid w:val="007E0F4B"/>
    <w:rsid w:val="007E3715"/>
    <w:rsid w:val="007E3720"/>
    <w:rsid w:val="007E7E61"/>
    <w:rsid w:val="007F0012"/>
    <w:rsid w:val="007F0845"/>
    <w:rsid w:val="007F16F9"/>
    <w:rsid w:val="007F2953"/>
    <w:rsid w:val="007F3E3E"/>
    <w:rsid w:val="007F42E0"/>
    <w:rsid w:val="007F4476"/>
    <w:rsid w:val="007F48F0"/>
    <w:rsid w:val="007F500D"/>
    <w:rsid w:val="007F5F14"/>
    <w:rsid w:val="007F7737"/>
    <w:rsid w:val="007F7B54"/>
    <w:rsid w:val="00800073"/>
    <w:rsid w:val="008005D7"/>
    <w:rsid w:val="00801FDD"/>
    <w:rsid w:val="008020C2"/>
    <w:rsid w:val="0080255C"/>
    <w:rsid w:val="008042A9"/>
    <w:rsid w:val="0081187C"/>
    <w:rsid w:val="00811E24"/>
    <w:rsid w:val="00812386"/>
    <w:rsid w:val="00812E2B"/>
    <w:rsid w:val="00813A70"/>
    <w:rsid w:val="00813FE6"/>
    <w:rsid w:val="00815C6E"/>
    <w:rsid w:val="0081645F"/>
    <w:rsid w:val="00817755"/>
    <w:rsid w:val="008178C2"/>
    <w:rsid w:val="008178CF"/>
    <w:rsid w:val="00817C98"/>
    <w:rsid w:val="00820C9F"/>
    <w:rsid w:val="00821FF6"/>
    <w:rsid w:val="00823AAF"/>
    <w:rsid w:val="00824081"/>
    <w:rsid w:val="0082409A"/>
    <w:rsid w:val="008252D7"/>
    <w:rsid w:val="00825C0F"/>
    <w:rsid w:val="0082601B"/>
    <w:rsid w:val="00827181"/>
    <w:rsid w:val="0082733C"/>
    <w:rsid w:val="00827746"/>
    <w:rsid w:val="00830447"/>
    <w:rsid w:val="0083143E"/>
    <w:rsid w:val="0083159D"/>
    <w:rsid w:val="008318FF"/>
    <w:rsid w:val="00832187"/>
    <w:rsid w:val="008323E8"/>
    <w:rsid w:val="00832493"/>
    <w:rsid w:val="008330B5"/>
    <w:rsid w:val="008336D8"/>
    <w:rsid w:val="008339C4"/>
    <w:rsid w:val="00834F0A"/>
    <w:rsid w:val="00834FAA"/>
    <w:rsid w:val="00835181"/>
    <w:rsid w:val="00835991"/>
    <w:rsid w:val="00836086"/>
    <w:rsid w:val="00840699"/>
    <w:rsid w:val="00840DED"/>
    <w:rsid w:val="00841D9F"/>
    <w:rsid w:val="00842604"/>
    <w:rsid w:val="00843ECF"/>
    <w:rsid w:val="00846673"/>
    <w:rsid w:val="00850D1F"/>
    <w:rsid w:val="0085281A"/>
    <w:rsid w:val="008559FE"/>
    <w:rsid w:val="00857339"/>
    <w:rsid w:val="00860706"/>
    <w:rsid w:val="00862A7A"/>
    <w:rsid w:val="00862DA0"/>
    <w:rsid w:val="00863104"/>
    <w:rsid w:val="008636CD"/>
    <w:rsid w:val="00863D9E"/>
    <w:rsid w:val="00863FDC"/>
    <w:rsid w:val="008642AF"/>
    <w:rsid w:val="00865ED4"/>
    <w:rsid w:val="00866561"/>
    <w:rsid w:val="008669A7"/>
    <w:rsid w:val="00867527"/>
    <w:rsid w:val="00867E29"/>
    <w:rsid w:val="00870F2B"/>
    <w:rsid w:val="00872D92"/>
    <w:rsid w:val="00873D52"/>
    <w:rsid w:val="008746E6"/>
    <w:rsid w:val="008752FB"/>
    <w:rsid w:val="0087594C"/>
    <w:rsid w:val="00876086"/>
    <w:rsid w:val="008768D6"/>
    <w:rsid w:val="008775D1"/>
    <w:rsid w:val="008777BB"/>
    <w:rsid w:val="00877D68"/>
    <w:rsid w:val="00877E51"/>
    <w:rsid w:val="00877E5D"/>
    <w:rsid w:val="00880150"/>
    <w:rsid w:val="00880ABA"/>
    <w:rsid w:val="00881A75"/>
    <w:rsid w:val="00881F72"/>
    <w:rsid w:val="00883A67"/>
    <w:rsid w:val="00883D45"/>
    <w:rsid w:val="00884D69"/>
    <w:rsid w:val="0088503D"/>
    <w:rsid w:val="00886005"/>
    <w:rsid w:val="00886A8F"/>
    <w:rsid w:val="0088733A"/>
    <w:rsid w:val="008902DB"/>
    <w:rsid w:val="00891BE0"/>
    <w:rsid w:val="00893302"/>
    <w:rsid w:val="00893648"/>
    <w:rsid w:val="00893F3C"/>
    <w:rsid w:val="008945A1"/>
    <w:rsid w:val="00894A63"/>
    <w:rsid w:val="008954A8"/>
    <w:rsid w:val="00895A54"/>
    <w:rsid w:val="00896916"/>
    <w:rsid w:val="00896BDE"/>
    <w:rsid w:val="00897CC5"/>
    <w:rsid w:val="008A0861"/>
    <w:rsid w:val="008A0BB2"/>
    <w:rsid w:val="008A0BF6"/>
    <w:rsid w:val="008A1AB3"/>
    <w:rsid w:val="008A1D5C"/>
    <w:rsid w:val="008A3292"/>
    <w:rsid w:val="008A3A85"/>
    <w:rsid w:val="008A43E9"/>
    <w:rsid w:val="008A4CB1"/>
    <w:rsid w:val="008A615E"/>
    <w:rsid w:val="008A632B"/>
    <w:rsid w:val="008A6BFE"/>
    <w:rsid w:val="008B00C2"/>
    <w:rsid w:val="008B07EF"/>
    <w:rsid w:val="008B16DE"/>
    <w:rsid w:val="008B190E"/>
    <w:rsid w:val="008B1A8A"/>
    <w:rsid w:val="008B1C17"/>
    <w:rsid w:val="008B1FC9"/>
    <w:rsid w:val="008B6B67"/>
    <w:rsid w:val="008B7306"/>
    <w:rsid w:val="008B775F"/>
    <w:rsid w:val="008B7C02"/>
    <w:rsid w:val="008B7D13"/>
    <w:rsid w:val="008B7F9E"/>
    <w:rsid w:val="008C0E88"/>
    <w:rsid w:val="008C1AA8"/>
    <w:rsid w:val="008C22A8"/>
    <w:rsid w:val="008C5B43"/>
    <w:rsid w:val="008C63FD"/>
    <w:rsid w:val="008C6CB8"/>
    <w:rsid w:val="008C7815"/>
    <w:rsid w:val="008C7A07"/>
    <w:rsid w:val="008D0171"/>
    <w:rsid w:val="008D13EA"/>
    <w:rsid w:val="008D2671"/>
    <w:rsid w:val="008D2A16"/>
    <w:rsid w:val="008D2ECF"/>
    <w:rsid w:val="008D3C87"/>
    <w:rsid w:val="008D3F3D"/>
    <w:rsid w:val="008E0367"/>
    <w:rsid w:val="008E2F41"/>
    <w:rsid w:val="008E308D"/>
    <w:rsid w:val="008E31FF"/>
    <w:rsid w:val="008E3867"/>
    <w:rsid w:val="008E46A3"/>
    <w:rsid w:val="008E5DE6"/>
    <w:rsid w:val="008E6073"/>
    <w:rsid w:val="008E6113"/>
    <w:rsid w:val="008E6AB3"/>
    <w:rsid w:val="008E6AD3"/>
    <w:rsid w:val="008E71A6"/>
    <w:rsid w:val="008E77B6"/>
    <w:rsid w:val="008E7C55"/>
    <w:rsid w:val="008F032E"/>
    <w:rsid w:val="008F0F14"/>
    <w:rsid w:val="008F40E1"/>
    <w:rsid w:val="008F4FCE"/>
    <w:rsid w:val="008F5301"/>
    <w:rsid w:val="008F6967"/>
    <w:rsid w:val="008F6A0C"/>
    <w:rsid w:val="008F7721"/>
    <w:rsid w:val="008F7D28"/>
    <w:rsid w:val="009003A8"/>
    <w:rsid w:val="009010A7"/>
    <w:rsid w:val="00902CBE"/>
    <w:rsid w:val="00902D74"/>
    <w:rsid w:val="00902EFF"/>
    <w:rsid w:val="00903E06"/>
    <w:rsid w:val="00904B9D"/>
    <w:rsid w:val="00905A11"/>
    <w:rsid w:val="009066E1"/>
    <w:rsid w:val="00907A41"/>
    <w:rsid w:val="009102BD"/>
    <w:rsid w:val="00910F93"/>
    <w:rsid w:val="0091255A"/>
    <w:rsid w:val="009128CD"/>
    <w:rsid w:val="00914426"/>
    <w:rsid w:val="00914EDB"/>
    <w:rsid w:val="0091675F"/>
    <w:rsid w:val="00917709"/>
    <w:rsid w:val="00917918"/>
    <w:rsid w:val="00920874"/>
    <w:rsid w:val="00921370"/>
    <w:rsid w:val="00921F14"/>
    <w:rsid w:val="00923750"/>
    <w:rsid w:val="009243A5"/>
    <w:rsid w:val="009250D2"/>
    <w:rsid w:val="0092540B"/>
    <w:rsid w:val="00926283"/>
    <w:rsid w:val="00934CE8"/>
    <w:rsid w:val="00937B11"/>
    <w:rsid w:val="00940F1F"/>
    <w:rsid w:val="00941250"/>
    <w:rsid w:val="0094427A"/>
    <w:rsid w:val="00944380"/>
    <w:rsid w:val="00945932"/>
    <w:rsid w:val="009459C5"/>
    <w:rsid w:val="0094626C"/>
    <w:rsid w:val="0095013A"/>
    <w:rsid w:val="009505E4"/>
    <w:rsid w:val="00953AEF"/>
    <w:rsid w:val="009551E2"/>
    <w:rsid w:val="00955783"/>
    <w:rsid w:val="00955E5F"/>
    <w:rsid w:val="009560B0"/>
    <w:rsid w:val="00956F23"/>
    <w:rsid w:val="00957871"/>
    <w:rsid w:val="00960077"/>
    <w:rsid w:val="00960769"/>
    <w:rsid w:val="00962D2E"/>
    <w:rsid w:val="00963724"/>
    <w:rsid w:val="00963FA1"/>
    <w:rsid w:val="00964498"/>
    <w:rsid w:val="0096504D"/>
    <w:rsid w:val="00965A2D"/>
    <w:rsid w:val="009663EB"/>
    <w:rsid w:val="0096650F"/>
    <w:rsid w:val="00967AD2"/>
    <w:rsid w:val="009700DB"/>
    <w:rsid w:val="009703C3"/>
    <w:rsid w:val="00971DC6"/>
    <w:rsid w:val="00972263"/>
    <w:rsid w:val="00972492"/>
    <w:rsid w:val="00972502"/>
    <w:rsid w:val="00972D8D"/>
    <w:rsid w:val="00973AAE"/>
    <w:rsid w:val="0097476C"/>
    <w:rsid w:val="00974923"/>
    <w:rsid w:val="00974D48"/>
    <w:rsid w:val="00974D5F"/>
    <w:rsid w:val="00975017"/>
    <w:rsid w:val="009759DF"/>
    <w:rsid w:val="00977537"/>
    <w:rsid w:val="00980373"/>
    <w:rsid w:val="00980621"/>
    <w:rsid w:val="00982072"/>
    <w:rsid w:val="009833FA"/>
    <w:rsid w:val="00983DBB"/>
    <w:rsid w:val="00983ECF"/>
    <w:rsid w:val="00986745"/>
    <w:rsid w:val="009867BC"/>
    <w:rsid w:val="0098688F"/>
    <w:rsid w:val="00987109"/>
    <w:rsid w:val="00987309"/>
    <w:rsid w:val="0099012D"/>
    <w:rsid w:val="00990363"/>
    <w:rsid w:val="009954FF"/>
    <w:rsid w:val="009961BC"/>
    <w:rsid w:val="00996355"/>
    <w:rsid w:val="00997EE9"/>
    <w:rsid w:val="009A2014"/>
    <w:rsid w:val="009A3A87"/>
    <w:rsid w:val="009A4E12"/>
    <w:rsid w:val="009A5C68"/>
    <w:rsid w:val="009A6EF7"/>
    <w:rsid w:val="009B04D0"/>
    <w:rsid w:val="009B052C"/>
    <w:rsid w:val="009B0EF2"/>
    <w:rsid w:val="009B23A3"/>
    <w:rsid w:val="009B4830"/>
    <w:rsid w:val="009B4925"/>
    <w:rsid w:val="009B4B4B"/>
    <w:rsid w:val="009B5DD6"/>
    <w:rsid w:val="009B6FD3"/>
    <w:rsid w:val="009B70BD"/>
    <w:rsid w:val="009B747B"/>
    <w:rsid w:val="009C07A5"/>
    <w:rsid w:val="009C4152"/>
    <w:rsid w:val="009C7388"/>
    <w:rsid w:val="009C7A48"/>
    <w:rsid w:val="009D0CFF"/>
    <w:rsid w:val="009D1551"/>
    <w:rsid w:val="009D1C80"/>
    <w:rsid w:val="009D2859"/>
    <w:rsid w:val="009D36EC"/>
    <w:rsid w:val="009D4173"/>
    <w:rsid w:val="009D4AD5"/>
    <w:rsid w:val="009D6095"/>
    <w:rsid w:val="009D6306"/>
    <w:rsid w:val="009E048A"/>
    <w:rsid w:val="009E1FBA"/>
    <w:rsid w:val="009E2C54"/>
    <w:rsid w:val="009E3710"/>
    <w:rsid w:val="009E7B1F"/>
    <w:rsid w:val="009F012D"/>
    <w:rsid w:val="009F168D"/>
    <w:rsid w:val="009F41C4"/>
    <w:rsid w:val="009F5846"/>
    <w:rsid w:val="009F7B52"/>
    <w:rsid w:val="009F7D77"/>
    <w:rsid w:val="00A015EA"/>
    <w:rsid w:val="00A06467"/>
    <w:rsid w:val="00A10D66"/>
    <w:rsid w:val="00A12BA8"/>
    <w:rsid w:val="00A1420C"/>
    <w:rsid w:val="00A1456C"/>
    <w:rsid w:val="00A14821"/>
    <w:rsid w:val="00A15077"/>
    <w:rsid w:val="00A16B4C"/>
    <w:rsid w:val="00A17754"/>
    <w:rsid w:val="00A2055B"/>
    <w:rsid w:val="00A2253C"/>
    <w:rsid w:val="00A23545"/>
    <w:rsid w:val="00A23A55"/>
    <w:rsid w:val="00A23E43"/>
    <w:rsid w:val="00A24F8C"/>
    <w:rsid w:val="00A262BF"/>
    <w:rsid w:val="00A271AD"/>
    <w:rsid w:val="00A276D5"/>
    <w:rsid w:val="00A30336"/>
    <w:rsid w:val="00A30BB5"/>
    <w:rsid w:val="00A3128F"/>
    <w:rsid w:val="00A31B69"/>
    <w:rsid w:val="00A32462"/>
    <w:rsid w:val="00A326D0"/>
    <w:rsid w:val="00A34AD9"/>
    <w:rsid w:val="00A35140"/>
    <w:rsid w:val="00A35287"/>
    <w:rsid w:val="00A378F8"/>
    <w:rsid w:val="00A40B19"/>
    <w:rsid w:val="00A424F8"/>
    <w:rsid w:val="00A437B7"/>
    <w:rsid w:val="00A46D48"/>
    <w:rsid w:val="00A46DE0"/>
    <w:rsid w:val="00A4778A"/>
    <w:rsid w:val="00A504C0"/>
    <w:rsid w:val="00A5067F"/>
    <w:rsid w:val="00A523DF"/>
    <w:rsid w:val="00A55301"/>
    <w:rsid w:val="00A572FB"/>
    <w:rsid w:val="00A57B3C"/>
    <w:rsid w:val="00A57F1B"/>
    <w:rsid w:val="00A6128E"/>
    <w:rsid w:val="00A62CE1"/>
    <w:rsid w:val="00A631FA"/>
    <w:rsid w:val="00A64203"/>
    <w:rsid w:val="00A64348"/>
    <w:rsid w:val="00A644E1"/>
    <w:rsid w:val="00A721FB"/>
    <w:rsid w:val="00A727BA"/>
    <w:rsid w:val="00A72D4B"/>
    <w:rsid w:val="00A732AE"/>
    <w:rsid w:val="00A75E40"/>
    <w:rsid w:val="00A77EB2"/>
    <w:rsid w:val="00A80F0A"/>
    <w:rsid w:val="00A81094"/>
    <w:rsid w:val="00A82B66"/>
    <w:rsid w:val="00A83B58"/>
    <w:rsid w:val="00A84FAF"/>
    <w:rsid w:val="00A851B6"/>
    <w:rsid w:val="00A85729"/>
    <w:rsid w:val="00A8574B"/>
    <w:rsid w:val="00A857C0"/>
    <w:rsid w:val="00A87F6E"/>
    <w:rsid w:val="00A903FE"/>
    <w:rsid w:val="00A91336"/>
    <w:rsid w:val="00A9221C"/>
    <w:rsid w:val="00A94628"/>
    <w:rsid w:val="00A955FD"/>
    <w:rsid w:val="00A96463"/>
    <w:rsid w:val="00A97E3F"/>
    <w:rsid w:val="00AA09D3"/>
    <w:rsid w:val="00AA23FB"/>
    <w:rsid w:val="00AA3948"/>
    <w:rsid w:val="00AA42AB"/>
    <w:rsid w:val="00AA559A"/>
    <w:rsid w:val="00AA756A"/>
    <w:rsid w:val="00AB104D"/>
    <w:rsid w:val="00AB2AF1"/>
    <w:rsid w:val="00AB440B"/>
    <w:rsid w:val="00AB47E3"/>
    <w:rsid w:val="00AB74C5"/>
    <w:rsid w:val="00AB7BEE"/>
    <w:rsid w:val="00AB7DF2"/>
    <w:rsid w:val="00AC0EC6"/>
    <w:rsid w:val="00AC1E3F"/>
    <w:rsid w:val="00AC219A"/>
    <w:rsid w:val="00AC4F18"/>
    <w:rsid w:val="00AD0442"/>
    <w:rsid w:val="00AD0B46"/>
    <w:rsid w:val="00AD1094"/>
    <w:rsid w:val="00AD2565"/>
    <w:rsid w:val="00AD306C"/>
    <w:rsid w:val="00AD3424"/>
    <w:rsid w:val="00AD50D1"/>
    <w:rsid w:val="00AD59BB"/>
    <w:rsid w:val="00AD5D68"/>
    <w:rsid w:val="00AD6C73"/>
    <w:rsid w:val="00AD7D49"/>
    <w:rsid w:val="00AE06D0"/>
    <w:rsid w:val="00AE0C0C"/>
    <w:rsid w:val="00AE1732"/>
    <w:rsid w:val="00AE1B8A"/>
    <w:rsid w:val="00AE39DC"/>
    <w:rsid w:val="00AE3CDA"/>
    <w:rsid w:val="00AE5C95"/>
    <w:rsid w:val="00AE7968"/>
    <w:rsid w:val="00AF128B"/>
    <w:rsid w:val="00AF1AEA"/>
    <w:rsid w:val="00AF2852"/>
    <w:rsid w:val="00AF28D4"/>
    <w:rsid w:val="00AF3225"/>
    <w:rsid w:val="00AF518B"/>
    <w:rsid w:val="00AF5275"/>
    <w:rsid w:val="00AF6367"/>
    <w:rsid w:val="00AF6A79"/>
    <w:rsid w:val="00AF724E"/>
    <w:rsid w:val="00AF73A9"/>
    <w:rsid w:val="00AF7E75"/>
    <w:rsid w:val="00B01436"/>
    <w:rsid w:val="00B01C2C"/>
    <w:rsid w:val="00B0231C"/>
    <w:rsid w:val="00B04119"/>
    <w:rsid w:val="00B048B5"/>
    <w:rsid w:val="00B12B11"/>
    <w:rsid w:val="00B13681"/>
    <w:rsid w:val="00B15DCD"/>
    <w:rsid w:val="00B17E71"/>
    <w:rsid w:val="00B17FDE"/>
    <w:rsid w:val="00B208FC"/>
    <w:rsid w:val="00B20C65"/>
    <w:rsid w:val="00B21913"/>
    <w:rsid w:val="00B22E17"/>
    <w:rsid w:val="00B266C5"/>
    <w:rsid w:val="00B27293"/>
    <w:rsid w:val="00B2755D"/>
    <w:rsid w:val="00B3229E"/>
    <w:rsid w:val="00B32DDB"/>
    <w:rsid w:val="00B34EC4"/>
    <w:rsid w:val="00B35174"/>
    <w:rsid w:val="00B35BEA"/>
    <w:rsid w:val="00B37915"/>
    <w:rsid w:val="00B3793D"/>
    <w:rsid w:val="00B41BE6"/>
    <w:rsid w:val="00B428A4"/>
    <w:rsid w:val="00B457E7"/>
    <w:rsid w:val="00B45D1B"/>
    <w:rsid w:val="00B46D25"/>
    <w:rsid w:val="00B47430"/>
    <w:rsid w:val="00B5023C"/>
    <w:rsid w:val="00B50F9A"/>
    <w:rsid w:val="00B51C00"/>
    <w:rsid w:val="00B52D2D"/>
    <w:rsid w:val="00B55BA8"/>
    <w:rsid w:val="00B55F15"/>
    <w:rsid w:val="00B561A6"/>
    <w:rsid w:val="00B60062"/>
    <w:rsid w:val="00B62960"/>
    <w:rsid w:val="00B63A11"/>
    <w:rsid w:val="00B63FD0"/>
    <w:rsid w:val="00B63FF4"/>
    <w:rsid w:val="00B65C84"/>
    <w:rsid w:val="00B6608F"/>
    <w:rsid w:val="00B7292D"/>
    <w:rsid w:val="00B74317"/>
    <w:rsid w:val="00B76CCC"/>
    <w:rsid w:val="00B76D1E"/>
    <w:rsid w:val="00B77BC8"/>
    <w:rsid w:val="00B800EB"/>
    <w:rsid w:val="00B822D2"/>
    <w:rsid w:val="00B83D46"/>
    <w:rsid w:val="00B848B8"/>
    <w:rsid w:val="00B84A41"/>
    <w:rsid w:val="00B84D57"/>
    <w:rsid w:val="00B8504B"/>
    <w:rsid w:val="00B85689"/>
    <w:rsid w:val="00B86748"/>
    <w:rsid w:val="00B907EA"/>
    <w:rsid w:val="00B918A9"/>
    <w:rsid w:val="00B91EC9"/>
    <w:rsid w:val="00B924CA"/>
    <w:rsid w:val="00B929B8"/>
    <w:rsid w:val="00B92A4B"/>
    <w:rsid w:val="00B93384"/>
    <w:rsid w:val="00B94417"/>
    <w:rsid w:val="00B95566"/>
    <w:rsid w:val="00B95940"/>
    <w:rsid w:val="00B95EF8"/>
    <w:rsid w:val="00B95F50"/>
    <w:rsid w:val="00B96BD9"/>
    <w:rsid w:val="00BA7797"/>
    <w:rsid w:val="00BB0274"/>
    <w:rsid w:val="00BB15EA"/>
    <w:rsid w:val="00BB1A6B"/>
    <w:rsid w:val="00BB1CFD"/>
    <w:rsid w:val="00BB291C"/>
    <w:rsid w:val="00BB2C53"/>
    <w:rsid w:val="00BB32DA"/>
    <w:rsid w:val="00BB3A54"/>
    <w:rsid w:val="00BB42A2"/>
    <w:rsid w:val="00BB4D26"/>
    <w:rsid w:val="00BB4E21"/>
    <w:rsid w:val="00BB7746"/>
    <w:rsid w:val="00BC22EB"/>
    <w:rsid w:val="00BC3BD6"/>
    <w:rsid w:val="00BC682B"/>
    <w:rsid w:val="00BC6B04"/>
    <w:rsid w:val="00BC6D27"/>
    <w:rsid w:val="00BD186B"/>
    <w:rsid w:val="00BD1EAC"/>
    <w:rsid w:val="00BD254C"/>
    <w:rsid w:val="00BD3428"/>
    <w:rsid w:val="00BD366B"/>
    <w:rsid w:val="00BD3B56"/>
    <w:rsid w:val="00BD47E8"/>
    <w:rsid w:val="00BD534C"/>
    <w:rsid w:val="00BD56BC"/>
    <w:rsid w:val="00BD5D91"/>
    <w:rsid w:val="00BD6615"/>
    <w:rsid w:val="00BD6D50"/>
    <w:rsid w:val="00BE0D79"/>
    <w:rsid w:val="00BE0DB0"/>
    <w:rsid w:val="00BE3381"/>
    <w:rsid w:val="00BE3F09"/>
    <w:rsid w:val="00BE5487"/>
    <w:rsid w:val="00BE670A"/>
    <w:rsid w:val="00BE6906"/>
    <w:rsid w:val="00BF18F4"/>
    <w:rsid w:val="00BF1A69"/>
    <w:rsid w:val="00BF3BC8"/>
    <w:rsid w:val="00BF3DF1"/>
    <w:rsid w:val="00BF4C31"/>
    <w:rsid w:val="00BF4E57"/>
    <w:rsid w:val="00BF53B8"/>
    <w:rsid w:val="00BF7CB8"/>
    <w:rsid w:val="00C00F20"/>
    <w:rsid w:val="00C01700"/>
    <w:rsid w:val="00C020E4"/>
    <w:rsid w:val="00C034E6"/>
    <w:rsid w:val="00C05715"/>
    <w:rsid w:val="00C05926"/>
    <w:rsid w:val="00C05C71"/>
    <w:rsid w:val="00C0784A"/>
    <w:rsid w:val="00C07A1C"/>
    <w:rsid w:val="00C100E3"/>
    <w:rsid w:val="00C10B28"/>
    <w:rsid w:val="00C10D62"/>
    <w:rsid w:val="00C10FAE"/>
    <w:rsid w:val="00C123B4"/>
    <w:rsid w:val="00C12A69"/>
    <w:rsid w:val="00C13737"/>
    <w:rsid w:val="00C150BE"/>
    <w:rsid w:val="00C158B0"/>
    <w:rsid w:val="00C15A0C"/>
    <w:rsid w:val="00C15DCB"/>
    <w:rsid w:val="00C1711F"/>
    <w:rsid w:val="00C17E38"/>
    <w:rsid w:val="00C2054C"/>
    <w:rsid w:val="00C20744"/>
    <w:rsid w:val="00C20C4D"/>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40F81"/>
    <w:rsid w:val="00C41463"/>
    <w:rsid w:val="00C41A72"/>
    <w:rsid w:val="00C423C7"/>
    <w:rsid w:val="00C42D45"/>
    <w:rsid w:val="00C47694"/>
    <w:rsid w:val="00C476C5"/>
    <w:rsid w:val="00C503B0"/>
    <w:rsid w:val="00C511C2"/>
    <w:rsid w:val="00C53D82"/>
    <w:rsid w:val="00C54748"/>
    <w:rsid w:val="00C60444"/>
    <w:rsid w:val="00C60696"/>
    <w:rsid w:val="00C60EEF"/>
    <w:rsid w:val="00C6121D"/>
    <w:rsid w:val="00C615F1"/>
    <w:rsid w:val="00C61627"/>
    <w:rsid w:val="00C64E60"/>
    <w:rsid w:val="00C657A4"/>
    <w:rsid w:val="00C6736C"/>
    <w:rsid w:val="00C7023B"/>
    <w:rsid w:val="00C70925"/>
    <w:rsid w:val="00C71A1D"/>
    <w:rsid w:val="00C71EC4"/>
    <w:rsid w:val="00C723AC"/>
    <w:rsid w:val="00C72A00"/>
    <w:rsid w:val="00C7591E"/>
    <w:rsid w:val="00C75C7E"/>
    <w:rsid w:val="00C75C9B"/>
    <w:rsid w:val="00C76D8E"/>
    <w:rsid w:val="00C77833"/>
    <w:rsid w:val="00C80C9B"/>
    <w:rsid w:val="00C8335E"/>
    <w:rsid w:val="00C83C08"/>
    <w:rsid w:val="00C83F9C"/>
    <w:rsid w:val="00C84CE3"/>
    <w:rsid w:val="00C85614"/>
    <w:rsid w:val="00C86127"/>
    <w:rsid w:val="00C8708D"/>
    <w:rsid w:val="00C90CF4"/>
    <w:rsid w:val="00C91C19"/>
    <w:rsid w:val="00C929A0"/>
    <w:rsid w:val="00C93389"/>
    <w:rsid w:val="00C937DB"/>
    <w:rsid w:val="00C94371"/>
    <w:rsid w:val="00C94519"/>
    <w:rsid w:val="00C94E83"/>
    <w:rsid w:val="00CA02B2"/>
    <w:rsid w:val="00CA0883"/>
    <w:rsid w:val="00CA140F"/>
    <w:rsid w:val="00CA17CC"/>
    <w:rsid w:val="00CA25C2"/>
    <w:rsid w:val="00CA37BB"/>
    <w:rsid w:val="00CA37CA"/>
    <w:rsid w:val="00CA5724"/>
    <w:rsid w:val="00CA6508"/>
    <w:rsid w:val="00CA6BA1"/>
    <w:rsid w:val="00CA6CD5"/>
    <w:rsid w:val="00CB1910"/>
    <w:rsid w:val="00CB2150"/>
    <w:rsid w:val="00CB28EE"/>
    <w:rsid w:val="00CB29C4"/>
    <w:rsid w:val="00CB43A7"/>
    <w:rsid w:val="00CB4DF1"/>
    <w:rsid w:val="00CB5996"/>
    <w:rsid w:val="00CB6809"/>
    <w:rsid w:val="00CB7452"/>
    <w:rsid w:val="00CC0E10"/>
    <w:rsid w:val="00CC1DAF"/>
    <w:rsid w:val="00CC2642"/>
    <w:rsid w:val="00CC2A36"/>
    <w:rsid w:val="00CC2E15"/>
    <w:rsid w:val="00CC3908"/>
    <w:rsid w:val="00CC62AD"/>
    <w:rsid w:val="00CC6CA2"/>
    <w:rsid w:val="00CC7B80"/>
    <w:rsid w:val="00CD089D"/>
    <w:rsid w:val="00CD2B3C"/>
    <w:rsid w:val="00CD30F6"/>
    <w:rsid w:val="00CD4B29"/>
    <w:rsid w:val="00CD4F84"/>
    <w:rsid w:val="00CD6954"/>
    <w:rsid w:val="00CD6DA3"/>
    <w:rsid w:val="00CD6EF1"/>
    <w:rsid w:val="00CD7E35"/>
    <w:rsid w:val="00CE21C7"/>
    <w:rsid w:val="00CE2682"/>
    <w:rsid w:val="00CE442A"/>
    <w:rsid w:val="00CE57D8"/>
    <w:rsid w:val="00CE617A"/>
    <w:rsid w:val="00CE7F6B"/>
    <w:rsid w:val="00CF0376"/>
    <w:rsid w:val="00CF25D2"/>
    <w:rsid w:val="00CF263E"/>
    <w:rsid w:val="00CF2816"/>
    <w:rsid w:val="00CF28C2"/>
    <w:rsid w:val="00CF42BD"/>
    <w:rsid w:val="00CF51EC"/>
    <w:rsid w:val="00CF6A9D"/>
    <w:rsid w:val="00CF6CD7"/>
    <w:rsid w:val="00CF75EC"/>
    <w:rsid w:val="00CF7A70"/>
    <w:rsid w:val="00D0037A"/>
    <w:rsid w:val="00D00A5C"/>
    <w:rsid w:val="00D00CEE"/>
    <w:rsid w:val="00D00DAF"/>
    <w:rsid w:val="00D017EC"/>
    <w:rsid w:val="00D01CDA"/>
    <w:rsid w:val="00D040DD"/>
    <w:rsid w:val="00D041F9"/>
    <w:rsid w:val="00D04E1B"/>
    <w:rsid w:val="00D0547B"/>
    <w:rsid w:val="00D076DB"/>
    <w:rsid w:val="00D1067C"/>
    <w:rsid w:val="00D10F44"/>
    <w:rsid w:val="00D136D4"/>
    <w:rsid w:val="00D13830"/>
    <w:rsid w:val="00D13ECF"/>
    <w:rsid w:val="00D142E5"/>
    <w:rsid w:val="00D148CD"/>
    <w:rsid w:val="00D14EA6"/>
    <w:rsid w:val="00D1611E"/>
    <w:rsid w:val="00D16E69"/>
    <w:rsid w:val="00D205A9"/>
    <w:rsid w:val="00D208E9"/>
    <w:rsid w:val="00D217EE"/>
    <w:rsid w:val="00D245BA"/>
    <w:rsid w:val="00D26923"/>
    <w:rsid w:val="00D27063"/>
    <w:rsid w:val="00D27856"/>
    <w:rsid w:val="00D301CA"/>
    <w:rsid w:val="00D30740"/>
    <w:rsid w:val="00D3095E"/>
    <w:rsid w:val="00D31075"/>
    <w:rsid w:val="00D31445"/>
    <w:rsid w:val="00D31932"/>
    <w:rsid w:val="00D31FD1"/>
    <w:rsid w:val="00D37689"/>
    <w:rsid w:val="00D378CC"/>
    <w:rsid w:val="00D4042C"/>
    <w:rsid w:val="00D40B9E"/>
    <w:rsid w:val="00D41281"/>
    <w:rsid w:val="00D42312"/>
    <w:rsid w:val="00D43998"/>
    <w:rsid w:val="00D44A09"/>
    <w:rsid w:val="00D451E0"/>
    <w:rsid w:val="00D4615E"/>
    <w:rsid w:val="00D47318"/>
    <w:rsid w:val="00D478E2"/>
    <w:rsid w:val="00D501C2"/>
    <w:rsid w:val="00D51577"/>
    <w:rsid w:val="00D51710"/>
    <w:rsid w:val="00D5264C"/>
    <w:rsid w:val="00D547BA"/>
    <w:rsid w:val="00D55626"/>
    <w:rsid w:val="00D556BC"/>
    <w:rsid w:val="00D5626D"/>
    <w:rsid w:val="00D600C1"/>
    <w:rsid w:val="00D60277"/>
    <w:rsid w:val="00D60336"/>
    <w:rsid w:val="00D61F88"/>
    <w:rsid w:val="00D62901"/>
    <w:rsid w:val="00D6470C"/>
    <w:rsid w:val="00D64853"/>
    <w:rsid w:val="00D64CB5"/>
    <w:rsid w:val="00D66D48"/>
    <w:rsid w:val="00D7162F"/>
    <w:rsid w:val="00D72D4B"/>
    <w:rsid w:val="00D73256"/>
    <w:rsid w:val="00D73A30"/>
    <w:rsid w:val="00D74C65"/>
    <w:rsid w:val="00D75DC2"/>
    <w:rsid w:val="00D766EF"/>
    <w:rsid w:val="00D76C03"/>
    <w:rsid w:val="00D77F8D"/>
    <w:rsid w:val="00D82462"/>
    <w:rsid w:val="00D85AC2"/>
    <w:rsid w:val="00D85F94"/>
    <w:rsid w:val="00D863D1"/>
    <w:rsid w:val="00D868CE"/>
    <w:rsid w:val="00D86DAE"/>
    <w:rsid w:val="00D871A0"/>
    <w:rsid w:val="00D90C1E"/>
    <w:rsid w:val="00D91BDF"/>
    <w:rsid w:val="00D91F2C"/>
    <w:rsid w:val="00D93F09"/>
    <w:rsid w:val="00D954C2"/>
    <w:rsid w:val="00D97BB8"/>
    <w:rsid w:val="00DA1318"/>
    <w:rsid w:val="00DA1382"/>
    <w:rsid w:val="00DA28B7"/>
    <w:rsid w:val="00DA2FE8"/>
    <w:rsid w:val="00DA4AF6"/>
    <w:rsid w:val="00DB016E"/>
    <w:rsid w:val="00DB06E9"/>
    <w:rsid w:val="00DB19BD"/>
    <w:rsid w:val="00DB378E"/>
    <w:rsid w:val="00DB3E9D"/>
    <w:rsid w:val="00DB47B9"/>
    <w:rsid w:val="00DB4FB8"/>
    <w:rsid w:val="00DB53CE"/>
    <w:rsid w:val="00DB549D"/>
    <w:rsid w:val="00DB5669"/>
    <w:rsid w:val="00DB5792"/>
    <w:rsid w:val="00DB6A88"/>
    <w:rsid w:val="00DB7BA4"/>
    <w:rsid w:val="00DB7E32"/>
    <w:rsid w:val="00DC0A15"/>
    <w:rsid w:val="00DC226A"/>
    <w:rsid w:val="00DC257F"/>
    <w:rsid w:val="00DC350B"/>
    <w:rsid w:val="00DC3790"/>
    <w:rsid w:val="00DC408A"/>
    <w:rsid w:val="00DC5B3B"/>
    <w:rsid w:val="00DC6796"/>
    <w:rsid w:val="00DC7315"/>
    <w:rsid w:val="00DC78DF"/>
    <w:rsid w:val="00DC7D4C"/>
    <w:rsid w:val="00DD0821"/>
    <w:rsid w:val="00DD0E32"/>
    <w:rsid w:val="00DD1DE0"/>
    <w:rsid w:val="00DD2872"/>
    <w:rsid w:val="00DD2BFE"/>
    <w:rsid w:val="00DD373E"/>
    <w:rsid w:val="00DD57AD"/>
    <w:rsid w:val="00DE009B"/>
    <w:rsid w:val="00DE06DA"/>
    <w:rsid w:val="00DE0C31"/>
    <w:rsid w:val="00DE2ED9"/>
    <w:rsid w:val="00DE319A"/>
    <w:rsid w:val="00DE4476"/>
    <w:rsid w:val="00DF0DC3"/>
    <w:rsid w:val="00DF0DE0"/>
    <w:rsid w:val="00DF21FD"/>
    <w:rsid w:val="00DF2873"/>
    <w:rsid w:val="00DF4C74"/>
    <w:rsid w:val="00DF5578"/>
    <w:rsid w:val="00DF78DD"/>
    <w:rsid w:val="00DF7FEC"/>
    <w:rsid w:val="00E01C0E"/>
    <w:rsid w:val="00E02086"/>
    <w:rsid w:val="00E02740"/>
    <w:rsid w:val="00E03B27"/>
    <w:rsid w:val="00E03C0D"/>
    <w:rsid w:val="00E04694"/>
    <w:rsid w:val="00E049F6"/>
    <w:rsid w:val="00E04CA9"/>
    <w:rsid w:val="00E05B2B"/>
    <w:rsid w:val="00E06A2A"/>
    <w:rsid w:val="00E07D1E"/>
    <w:rsid w:val="00E07F05"/>
    <w:rsid w:val="00E127E1"/>
    <w:rsid w:val="00E13584"/>
    <w:rsid w:val="00E13FAA"/>
    <w:rsid w:val="00E144D2"/>
    <w:rsid w:val="00E144D6"/>
    <w:rsid w:val="00E15346"/>
    <w:rsid w:val="00E15B7D"/>
    <w:rsid w:val="00E2097E"/>
    <w:rsid w:val="00E215EA"/>
    <w:rsid w:val="00E21CAB"/>
    <w:rsid w:val="00E221FC"/>
    <w:rsid w:val="00E24619"/>
    <w:rsid w:val="00E25223"/>
    <w:rsid w:val="00E30BEA"/>
    <w:rsid w:val="00E30DA2"/>
    <w:rsid w:val="00E31764"/>
    <w:rsid w:val="00E32BC2"/>
    <w:rsid w:val="00E34985"/>
    <w:rsid w:val="00E34E4A"/>
    <w:rsid w:val="00E36208"/>
    <w:rsid w:val="00E365B3"/>
    <w:rsid w:val="00E366BB"/>
    <w:rsid w:val="00E37C45"/>
    <w:rsid w:val="00E40AAA"/>
    <w:rsid w:val="00E41F3C"/>
    <w:rsid w:val="00E42444"/>
    <w:rsid w:val="00E436C0"/>
    <w:rsid w:val="00E438CF"/>
    <w:rsid w:val="00E43C41"/>
    <w:rsid w:val="00E4500E"/>
    <w:rsid w:val="00E450CE"/>
    <w:rsid w:val="00E45A00"/>
    <w:rsid w:val="00E45CE7"/>
    <w:rsid w:val="00E4631F"/>
    <w:rsid w:val="00E47CB8"/>
    <w:rsid w:val="00E522BB"/>
    <w:rsid w:val="00E539E4"/>
    <w:rsid w:val="00E569C7"/>
    <w:rsid w:val="00E56B5A"/>
    <w:rsid w:val="00E571F2"/>
    <w:rsid w:val="00E57429"/>
    <w:rsid w:val="00E61EA8"/>
    <w:rsid w:val="00E63F4B"/>
    <w:rsid w:val="00E64EA1"/>
    <w:rsid w:val="00E70510"/>
    <w:rsid w:val="00E70997"/>
    <w:rsid w:val="00E71262"/>
    <w:rsid w:val="00E71A58"/>
    <w:rsid w:val="00E737F6"/>
    <w:rsid w:val="00E74100"/>
    <w:rsid w:val="00E7568F"/>
    <w:rsid w:val="00E75D63"/>
    <w:rsid w:val="00E75FB7"/>
    <w:rsid w:val="00E7724B"/>
    <w:rsid w:val="00E8128F"/>
    <w:rsid w:val="00E84F21"/>
    <w:rsid w:val="00E8532E"/>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C68"/>
    <w:rsid w:val="00EA19E2"/>
    <w:rsid w:val="00EA3EBE"/>
    <w:rsid w:val="00EA3FAC"/>
    <w:rsid w:val="00EA4153"/>
    <w:rsid w:val="00EA5307"/>
    <w:rsid w:val="00EA5CD6"/>
    <w:rsid w:val="00EA76FD"/>
    <w:rsid w:val="00EB03D4"/>
    <w:rsid w:val="00EB0555"/>
    <w:rsid w:val="00EB0562"/>
    <w:rsid w:val="00EB1E12"/>
    <w:rsid w:val="00EB20A0"/>
    <w:rsid w:val="00EB30B6"/>
    <w:rsid w:val="00EB396E"/>
    <w:rsid w:val="00EB4FA4"/>
    <w:rsid w:val="00EB5146"/>
    <w:rsid w:val="00EB522B"/>
    <w:rsid w:val="00EB55E9"/>
    <w:rsid w:val="00EB5641"/>
    <w:rsid w:val="00EB5CA9"/>
    <w:rsid w:val="00EB5ED4"/>
    <w:rsid w:val="00EB6537"/>
    <w:rsid w:val="00EB6FA2"/>
    <w:rsid w:val="00EB70E1"/>
    <w:rsid w:val="00EB7EB5"/>
    <w:rsid w:val="00EC2187"/>
    <w:rsid w:val="00EC3585"/>
    <w:rsid w:val="00EC454B"/>
    <w:rsid w:val="00EC6153"/>
    <w:rsid w:val="00EC7F92"/>
    <w:rsid w:val="00ED00A8"/>
    <w:rsid w:val="00ED06A7"/>
    <w:rsid w:val="00ED0A79"/>
    <w:rsid w:val="00ED2989"/>
    <w:rsid w:val="00ED2CA5"/>
    <w:rsid w:val="00ED336F"/>
    <w:rsid w:val="00ED40F0"/>
    <w:rsid w:val="00ED4AC0"/>
    <w:rsid w:val="00ED54D6"/>
    <w:rsid w:val="00ED5726"/>
    <w:rsid w:val="00EE0113"/>
    <w:rsid w:val="00EE0298"/>
    <w:rsid w:val="00EE0384"/>
    <w:rsid w:val="00EE04C8"/>
    <w:rsid w:val="00EE10AA"/>
    <w:rsid w:val="00EE1637"/>
    <w:rsid w:val="00EE3B7A"/>
    <w:rsid w:val="00EE3E78"/>
    <w:rsid w:val="00EE495A"/>
    <w:rsid w:val="00EE539C"/>
    <w:rsid w:val="00EE5E02"/>
    <w:rsid w:val="00EE617D"/>
    <w:rsid w:val="00EE61BF"/>
    <w:rsid w:val="00EE6748"/>
    <w:rsid w:val="00EE6C6B"/>
    <w:rsid w:val="00EF0E75"/>
    <w:rsid w:val="00EF1F5A"/>
    <w:rsid w:val="00EF4685"/>
    <w:rsid w:val="00EF5397"/>
    <w:rsid w:val="00EF68CC"/>
    <w:rsid w:val="00EF6BE3"/>
    <w:rsid w:val="00F00D0E"/>
    <w:rsid w:val="00F00D3C"/>
    <w:rsid w:val="00F01A31"/>
    <w:rsid w:val="00F04811"/>
    <w:rsid w:val="00F0488C"/>
    <w:rsid w:val="00F0496E"/>
    <w:rsid w:val="00F04D10"/>
    <w:rsid w:val="00F0625B"/>
    <w:rsid w:val="00F101FF"/>
    <w:rsid w:val="00F104DF"/>
    <w:rsid w:val="00F10A33"/>
    <w:rsid w:val="00F1186C"/>
    <w:rsid w:val="00F11E59"/>
    <w:rsid w:val="00F12DCA"/>
    <w:rsid w:val="00F14ACD"/>
    <w:rsid w:val="00F15398"/>
    <w:rsid w:val="00F15BEF"/>
    <w:rsid w:val="00F172BE"/>
    <w:rsid w:val="00F1776C"/>
    <w:rsid w:val="00F2037E"/>
    <w:rsid w:val="00F20D17"/>
    <w:rsid w:val="00F2103E"/>
    <w:rsid w:val="00F214FC"/>
    <w:rsid w:val="00F21C31"/>
    <w:rsid w:val="00F23825"/>
    <w:rsid w:val="00F23FFF"/>
    <w:rsid w:val="00F2441D"/>
    <w:rsid w:val="00F24FAA"/>
    <w:rsid w:val="00F26197"/>
    <w:rsid w:val="00F266BD"/>
    <w:rsid w:val="00F273D4"/>
    <w:rsid w:val="00F307DD"/>
    <w:rsid w:val="00F318FC"/>
    <w:rsid w:val="00F31BAA"/>
    <w:rsid w:val="00F31F76"/>
    <w:rsid w:val="00F33263"/>
    <w:rsid w:val="00F3364D"/>
    <w:rsid w:val="00F34B26"/>
    <w:rsid w:val="00F35ACD"/>
    <w:rsid w:val="00F365BF"/>
    <w:rsid w:val="00F36BF8"/>
    <w:rsid w:val="00F36FAD"/>
    <w:rsid w:val="00F375BA"/>
    <w:rsid w:val="00F37760"/>
    <w:rsid w:val="00F403D1"/>
    <w:rsid w:val="00F43921"/>
    <w:rsid w:val="00F441A1"/>
    <w:rsid w:val="00F4524F"/>
    <w:rsid w:val="00F45530"/>
    <w:rsid w:val="00F4591F"/>
    <w:rsid w:val="00F4678D"/>
    <w:rsid w:val="00F4736B"/>
    <w:rsid w:val="00F47997"/>
    <w:rsid w:val="00F47D05"/>
    <w:rsid w:val="00F50030"/>
    <w:rsid w:val="00F502F5"/>
    <w:rsid w:val="00F50B9D"/>
    <w:rsid w:val="00F51FC9"/>
    <w:rsid w:val="00F52CAE"/>
    <w:rsid w:val="00F541ED"/>
    <w:rsid w:val="00F54B31"/>
    <w:rsid w:val="00F54FD3"/>
    <w:rsid w:val="00F555CA"/>
    <w:rsid w:val="00F55605"/>
    <w:rsid w:val="00F558B5"/>
    <w:rsid w:val="00F57CD7"/>
    <w:rsid w:val="00F57DB4"/>
    <w:rsid w:val="00F62F02"/>
    <w:rsid w:val="00F63DDE"/>
    <w:rsid w:val="00F63FB7"/>
    <w:rsid w:val="00F64726"/>
    <w:rsid w:val="00F6561A"/>
    <w:rsid w:val="00F67202"/>
    <w:rsid w:val="00F70309"/>
    <w:rsid w:val="00F7078A"/>
    <w:rsid w:val="00F727D5"/>
    <w:rsid w:val="00F72F44"/>
    <w:rsid w:val="00F73A0C"/>
    <w:rsid w:val="00F759DC"/>
    <w:rsid w:val="00F75EA2"/>
    <w:rsid w:val="00F7717C"/>
    <w:rsid w:val="00F771A5"/>
    <w:rsid w:val="00F817A4"/>
    <w:rsid w:val="00F81C3A"/>
    <w:rsid w:val="00F835FC"/>
    <w:rsid w:val="00F8373A"/>
    <w:rsid w:val="00F83E21"/>
    <w:rsid w:val="00F83FA4"/>
    <w:rsid w:val="00F84E18"/>
    <w:rsid w:val="00F852E5"/>
    <w:rsid w:val="00F90C35"/>
    <w:rsid w:val="00F9310A"/>
    <w:rsid w:val="00F95117"/>
    <w:rsid w:val="00FA05D7"/>
    <w:rsid w:val="00FA1C6C"/>
    <w:rsid w:val="00FA217B"/>
    <w:rsid w:val="00FA2447"/>
    <w:rsid w:val="00FA2C2A"/>
    <w:rsid w:val="00FA309A"/>
    <w:rsid w:val="00FA6293"/>
    <w:rsid w:val="00FA7644"/>
    <w:rsid w:val="00FB0A9A"/>
    <w:rsid w:val="00FB16AD"/>
    <w:rsid w:val="00FB483B"/>
    <w:rsid w:val="00FB4E8E"/>
    <w:rsid w:val="00FB56F1"/>
    <w:rsid w:val="00FB5FD4"/>
    <w:rsid w:val="00FB67F3"/>
    <w:rsid w:val="00FC0D8A"/>
    <w:rsid w:val="00FC0E5F"/>
    <w:rsid w:val="00FC135D"/>
    <w:rsid w:val="00FC3C84"/>
    <w:rsid w:val="00FC4660"/>
    <w:rsid w:val="00FC56DE"/>
    <w:rsid w:val="00FC5A8C"/>
    <w:rsid w:val="00FC5E01"/>
    <w:rsid w:val="00FD1261"/>
    <w:rsid w:val="00FD1627"/>
    <w:rsid w:val="00FD1BBD"/>
    <w:rsid w:val="00FD473D"/>
    <w:rsid w:val="00FD61C8"/>
    <w:rsid w:val="00FD63CE"/>
    <w:rsid w:val="00FD7D49"/>
    <w:rsid w:val="00FE1251"/>
    <w:rsid w:val="00FE16E6"/>
    <w:rsid w:val="00FE2F78"/>
    <w:rsid w:val="00FE3510"/>
    <w:rsid w:val="00FE371D"/>
    <w:rsid w:val="00FE375F"/>
    <w:rsid w:val="00FE3D8B"/>
    <w:rsid w:val="00FE4FCB"/>
    <w:rsid w:val="00FE705E"/>
    <w:rsid w:val="00FE7E6E"/>
    <w:rsid w:val="00FF02EB"/>
    <w:rsid w:val="00FF28E0"/>
    <w:rsid w:val="00FF2FB4"/>
    <w:rsid w:val="00FF30B3"/>
    <w:rsid w:val="00FF3C97"/>
    <w:rsid w:val="00FF3DF3"/>
    <w:rsid w:val="00FF3F4C"/>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Prosttext">
    <w:name w:val="Plain Text"/>
    <w:basedOn w:val="Normln"/>
    <w:link w:val="ProsttextChar"/>
    <w:uiPriority w:val="99"/>
    <w:semiHidden/>
    <w:unhideWhenUsed/>
    <w:locked/>
    <w:rsid w:val="001E6EB9"/>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1E6EB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Prosttext">
    <w:name w:val="Plain Text"/>
    <w:basedOn w:val="Normln"/>
    <w:link w:val="ProsttextChar"/>
    <w:uiPriority w:val="99"/>
    <w:semiHidden/>
    <w:unhideWhenUsed/>
    <w:locked/>
    <w:rsid w:val="001E6EB9"/>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1E6EB9"/>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9186744">
      <w:bodyDiv w:val="1"/>
      <w:marLeft w:val="0"/>
      <w:marRight w:val="0"/>
      <w:marTop w:val="0"/>
      <w:marBottom w:val="0"/>
      <w:divBdr>
        <w:top w:val="none" w:sz="0" w:space="0" w:color="auto"/>
        <w:left w:val="none" w:sz="0" w:space="0" w:color="auto"/>
        <w:bottom w:val="none" w:sz="0" w:space="0" w:color="auto"/>
        <w:right w:val="none" w:sz="0" w:space="0" w:color="auto"/>
      </w:divBdr>
    </w:div>
    <w:div w:id="34819328">
      <w:bodyDiv w:val="1"/>
      <w:marLeft w:val="0"/>
      <w:marRight w:val="0"/>
      <w:marTop w:val="0"/>
      <w:marBottom w:val="0"/>
      <w:divBdr>
        <w:top w:val="none" w:sz="0" w:space="0" w:color="auto"/>
        <w:left w:val="none" w:sz="0" w:space="0" w:color="auto"/>
        <w:bottom w:val="none" w:sz="0" w:space="0" w:color="auto"/>
        <w:right w:val="none" w:sz="0" w:space="0" w:color="auto"/>
      </w:divBdr>
    </w:div>
    <w:div w:id="50665514">
      <w:bodyDiv w:val="1"/>
      <w:marLeft w:val="0"/>
      <w:marRight w:val="0"/>
      <w:marTop w:val="0"/>
      <w:marBottom w:val="0"/>
      <w:divBdr>
        <w:top w:val="none" w:sz="0" w:space="0" w:color="auto"/>
        <w:left w:val="none" w:sz="0" w:space="0" w:color="auto"/>
        <w:bottom w:val="none" w:sz="0" w:space="0" w:color="auto"/>
        <w:right w:val="none" w:sz="0" w:space="0" w:color="auto"/>
      </w:divBdr>
    </w:div>
    <w:div w:id="129980672">
      <w:bodyDiv w:val="1"/>
      <w:marLeft w:val="0"/>
      <w:marRight w:val="0"/>
      <w:marTop w:val="0"/>
      <w:marBottom w:val="0"/>
      <w:divBdr>
        <w:top w:val="none" w:sz="0" w:space="0" w:color="auto"/>
        <w:left w:val="none" w:sz="0" w:space="0" w:color="auto"/>
        <w:bottom w:val="none" w:sz="0" w:space="0" w:color="auto"/>
        <w:right w:val="none" w:sz="0" w:space="0" w:color="auto"/>
      </w:divBdr>
    </w:div>
    <w:div w:id="150365725">
      <w:bodyDiv w:val="1"/>
      <w:marLeft w:val="0"/>
      <w:marRight w:val="0"/>
      <w:marTop w:val="0"/>
      <w:marBottom w:val="0"/>
      <w:divBdr>
        <w:top w:val="none" w:sz="0" w:space="0" w:color="auto"/>
        <w:left w:val="none" w:sz="0" w:space="0" w:color="auto"/>
        <w:bottom w:val="none" w:sz="0" w:space="0" w:color="auto"/>
        <w:right w:val="none" w:sz="0" w:space="0" w:color="auto"/>
      </w:divBdr>
    </w:div>
    <w:div w:id="167601131">
      <w:bodyDiv w:val="1"/>
      <w:marLeft w:val="0"/>
      <w:marRight w:val="0"/>
      <w:marTop w:val="0"/>
      <w:marBottom w:val="0"/>
      <w:divBdr>
        <w:top w:val="none" w:sz="0" w:space="0" w:color="auto"/>
        <w:left w:val="none" w:sz="0" w:space="0" w:color="auto"/>
        <w:bottom w:val="none" w:sz="0" w:space="0" w:color="auto"/>
        <w:right w:val="none" w:sz="0" w:space="0" w:color="auto"/>
      </w:divBdr>
    </w:div>
    <w:div w:id="196160471">
      <w:bodyDiv w:val="1"/>
      <w:marLeft w:val="0"/>
      <w:marRight w:val="0"/>
      <w:marTop w:val="0"/>
      <w:marBottom w:val="0"/>
      <w:divBdr>
        <w:top w:val="none" w:sz="0" w:space="0" w:color="auto"/>
        <w:left w:val="none" w:sz="0" w:space="0" w:color="auto"/>
        <w:bottom w:val="none" w:sz="0" w:space="0" w:color="auto"/>
        <w:right w:val="none" w:sz="0" w:space="0" w:color="auto"/>
      </w:divBdr>
    </w:div>
    <w:div w:id="231963246">
      <w:bodyDiv w:val="1"/>
      <w:marLeft w:val="0"/>
      <w:marRight w:val="0"/>
      <w:marTop w:val="0"/>
      <w:marBottom w:val="0"/>
      <w:divBdr>
        <w:top w:val="none" w:sz="0" w:space="0" w:color="auto"/>
        <w:left w:val="none" w:sz="0" w:space="0" w:color="auto"/>
        <w:bottom w:val="none" w:sz="0" w:space="0" w:color="auto"/>
        <w:right w:val="none" w:sz="0" w:space="0" w:color="auto"/>
      </w:divBdr>
    </w:div>
    <w:div w:id="348682053">
      <w:bodyDiv w:val="1"/>
      <w:marLeft w:val="0"/>
      <w:marRight w:val="0"/>
      <w:marTop w:val="0"/>
      <w:marBottom w:val="0"/>
      <w:divBdr>
        <w:top w:val="none" w:sz="0" w:space="0" w:color="auto"/>
        <w:left w:val="none" w:sz="0" w:space="0" w:color="auto"/>
        <w:bottom w:val="none" w:sz="0" w:space="0" w:color="auto"/>
        <w:right w:val="none" w:sz="0" w:space="0" w:color="auto"/>
      </w:divBdr>
    </w:div>
    <w:div w:id="404836916">
      <w:bodyDiv w:val="1"/>
      <w:marLeft w:val="0"/>
      <w:marRight w:val="0"/>
      <w:marTop w:val="0"/>
      <w:marBottom w:val="0"/>
      <w:divBdr>
        <w:top w:val="none" w:sz="0" w:space="0" w:color="auto"/>
        <w:left w:val="none" w:sz="0" w:space="0" w:color="auto"/>
        <w:bottom w:val="none" w:sz="0" w:space="0" w:color="auto"/>
        <w:right w:val="none" w:sz="0" w:space="0" w:color="auto"/>
      </w:divBdr>
    </w:div>
    <w:div w:id="435830190">
      <w:bodyDiv w:val="1"/>
      <w:marLeft w:val="0"/>
      <w:marRight w:val="0"/>
      <w:marTop w:val="0"/>
      <w:marBottom w:val="0"/>
      <w:divBdr>
        <w:top w:val="none" w:sz="0" w:space="0" w:color="auto"/>
        <w:left w:val="none" w:sz="0" w:space="0" w:color="auto"/>
        <w:bottom w:val="none" w:sz="0" w:space="0" w:color="auto"/>
        <w:right w:val="none" w:sz="0" w:space="0" w:color="auto"/>
      </w:divBdr>
    </w:div>
    <w:div w:id="465440216">
      <w:bodyDiv w:val="1"/>
      <w:marLeft w:val="0"/>
      <w:marRight w:val="0"/>
      <w:marTop w:val="0"/>
      <w:marBottom w:val="0"/>
      <w:divBdr>
        <w:top w:val="none" w:sz="0" w:space="0" w:color="auto"/>
        <w:left w:val="none" w:sz="0" w:space="0" w:color="auto"/>
        <w:bottom w:val="none" w:sz="0" w:space="0" w:color="auto"/>
        <w:right w:val="none" w:sz="0" w:space="0" w:color="auto"/>
      </w:divBdr>
    </w:div>
    <w:div w:id="474110357">
      <w:bodyDiv w:val="1"/>
      <w:marLeft w:val="0"/>
      <w:marRight w:val="0"/>
      <w:marTop w:val="0"/>
      <w:marBottom w:val="0"/>
      <w:divBdr>
        <w:top w:val="none" w:sz="0" w:space="0" w:color="auto"/>
        <w:left w:val="none" w:sz="0" w:space="0" w:color="auto"/>
        <w:bottom w:val="none" w:sz="0" w:space="0" w:color="auto"/>
        <w:right w:val="none" w:sz="0" w:space="0" w:color="auto"/>
      </w:divBdr>
    </w:div>
    <w:div w:id="497233491">
      <w:bodyDiv w:val="1"/>
      <w:marLeft w:val="0"/>
      <w:marRight w:val="0"/>
      <w:marTop w:val="0"/>
      <w:marBottom w:val="0"/>
      <w:divBdr>
        <w:top w:val="none" w:sz="0" w:space="0" w:color="auto"/>
        <w:left w:val="none" w:sz="0" w:space="0" w:color="auto"/>
        <w:bottom w:val="none" w:sz="0" w:space="0" w:color="auto"/>
        <w:right w:val="none" w:sz="0" w:space="0" w:color="auto"/>
      </w:divBdr>
    </w:div>
    <w:div w:id="502234822">
      <w:bodyDiv w:val="1"/>
      <w:marLeft w:val="0"/>
      <w:marRight w:val="0"/>
      <w:marTop w:val="0"/>
      <w:marBottom w:val="0"/>
      <w:divBdr>
        <w:top w:val="none" w:sz="0" w:space="0" w:color="auto"/>
        <w:left w:val="none" w:sz="0" w:space="0" w:color="auto"/>
        <w:bottom w:val="none" w:sz="0" w:space="0" w:color="auto"/>
        <w:right w:val="none" w:sz="0" w:space="0" w:color="auto"/>
      </w:divBdr>
    </w:div>
    <w:div w:id="528370466">
      <w:bodyDiv w:val="1"/>
      <w:marLeft w:val="0"/>
      <w:marRight w:val="0"/>
      <w:marTop w:val="0"/>
      <w:marBottom w:val="0"/>
      <w:divBdr>
        <w:top w:val="none" w:sz="0" w:space="0" w:color="auto"/>
        <w:left w:val="none" w:sz="0" w:space="0" w:color="auto"/>
        <w:bottom w:val="none" w:sz="0" w:space="0" w:color="auto"/>
        <w:right w:val="none" w:sz="0" w:space="0" w:color="auto"/>
      </w:divBdr>
    </w:div>
    <w:div w:id="541598979">
      <w:bodyDiv w:val="1"/>
      <w:marLeft w:val="0"/>
      <w:marRight w:val="0"/>
      <w:marTop w:val="0"/>
      <w:marBottom w:val="0"/>
      <w:divBdr>
        <w:top w:val="none" w:sz="0" w:space="0" w:color="auto"/>
        <w:left w:val="none" w:sz="0" w:space="0" w:color="auto"/>
        <w:bottom w:val="none" w:sz="0" w:space="0" w:color="auto"/>
        <w:right w:val="none" w:sz="0" w:space="0" w:color="auto"/>
      </w:divBdr>
    </w:div>
    <w:div w:id="556625086">
      <w:bodyDiv w:val="1"/>
      <w:marLeft w:val="0"/>
      <w:marRight w:val="0"/>
      <w:marTop w:val="0"/>
      <w:marBottom w:val="0"/>
      <w:divBdr>
        <w:top w:val="none" w:sz="0" w:space="0" w:color="auto"/>
        <w:left w:val="none" w:sz="0" w:space="0" w:color="auto"/>
        <w:bottom w:val="none" w:sz="0" w:space="0" w:color="auto"/>
        <w:right w:val="none" w:sz="0" w:space="0" w:color="auto"/>
      </w:divBdr>
    </w:div>
    <w:div w:id="568198273">
      <w:bodyDiv w:val="1"/>
      <w:marLeft w:val="0"/>
      <w:marRight w:val="0"/>
      <w:marTop w:val="0"/>
      <w:marBottom w:val="0"/>
      <w:divBdr>
        <w:top w:val="none" w:sz="0" w:space="0" w:color="auto"/>
        <w:left w:val="none" w:sz="0" w:space="0" w:color="auto"/>
        <w:bottom w:val="none" w:sz="0" w:space="0" w:color="auto"/>
        <w:right w:val="none" w:sz="0" w:space="0" w:color="auto"/>
      </w:divBdr>
    </w:div>
    <w:div w:id="586771128">
      <w:bodyDiv w:val="1"/>
      <w:marLeft w:val="0"/>
      <w:marRight w:val="0"/>
      <w:marTop w:val="0"/>
      <w:marBottom w:val="0"/>
      <w:divBdr>
        <w:top w:val="none" w:sz="0" w:space="0" w:color="auto"/>
        <w:left w:val="none" w:sz="0" w:space="0" w:color="auto"/>
        <w:bottom w:val="none" w:sz="0" w:space="0" w:color="auto"/>
        <w:right w:val="none" w:sz="0" w:space="0" w:color="auto"/>
      </w:divBdr>
    </w:div>
    <w:div w:id="588316833">
      <w:bodyDiv w:val="1"/>
      <w:marLeft w:val="0"/>
      <w:marRight w:val="0"/>
      <w:marTop w:val="0"/>
      <w:marBottom w:val="0"/>
      <w:divBdr>
        <w:top w:val="none" w:sz="0" w:space="0" w:color="auto"/>
        <w:left w:val="none" w:sz="0" w:space="0" w:color="auto"/>
        <w:bottom w:val="none" w:sz="0" w:space="0" w:color="auto"/>
        <w:right w:val="none" w:sz="0" w:space="0" w:color="auto"/>
      </w:divBdr>
    </w:div>
    <w:div w:id="623196708">
      <w:bodyDiv w:val="1"/>
      <w:marLeft w:val="0"/>
      <w:marRight w:val="0"/>
      <w:marTop w:val="0"/>
      <w:marBottom w:val="0"/>
      <w:divBdr>
        <w:top w:val="none" w:sz="0" w:space="0" w:color="auto"/>
        <w:left w:val="none" w:sz="0" w:space="0" w:color="auto"/>
        <w:bottom w:val="none" w:sz="0" w:space="0" w:color="auto"/>
        <w:right w:val="none" w:sz="0" w:space="0" w:color="auto"/>
      </w:divBdr>
    </w:div>
    <w:div w:id="631058813">
      <w:bodyDiv w:val="1"/>
      <w:marLeft w:val="0"/>
      <w:marRight w:val="0"/>
      <w:marTop w:val="0"/>
      <w:marBottom w:val="0"/>
      <w:divBdr>
        <w:top w:val="none" w:sz="0" w:space="0" w:color="auto"/>
        <w:left w:val="none" w:sz="0" w:space="0" w:color="auto"/>
        <w:bottom w:val="none" w:sz="0" w:space="0" w:color="auto"/>
        <w:right w:val="none" w:sz="0" w:space="0" w:color="auto"/>
      </w:divBdr>
    </w:div>
    <w:div w:id="704446898">
      <w:bodyDiv w:val="1"/>
      <w:marLeft w:val="0"/>
      <w:marRight w:val="0"/>
      <w:marTop w:val="0"/>
      <w:marBottom w:val="0"/>
      <w:divBdr>
        <w:top w:val="none" w:sz="0" w:space="0" w:color="auto"/>
        <w:left w:val="none" w:sz="0" w:space="0" w:color="auto"/>
        <w:bottom w:val="none" w:sz="0" w:space="0" w:color="auto"/>
        <w:right w:val="none" w:sz="0" w:space="0" w:color="auto"/>
      </w:divBdr>
    </w:div>
    <w:div w:id="708727306">
      <w:bodyDiv w:val="1"/>
      <w:marLeft w:val="0"/>
      <w:marRight w:val="0"/>
      <w:marTop w:val="0"/>
      <w:marBottom w:val="0"/>
      <w:divBdr>
        <w:top w:val="none" w:sz="0" w:space="0" w:color="auto"/>
        <w:left w:val="none" w:sz="0" w:space="0" w:color="auto"/>
        <w:bottom w:val="none" w:sz="0" w:space="0" w:color="auto"/>
        <w:right w:val="none" w:sz="0" w:space="0" w:color="auto"/>
      </w:divBdr>
    </w:div>
    <w:div w:id="717126479">
      <w:bodyDiv w:val="1"/>
      <w:marLeft w:val="0"/>
      <w:marRight w:val="0"/>
      <w:marTop w:val="0"/>
      <w:marBottom w:val="0"/>
      <w:divBdr>
        <w:top w:val="none" w:sz="0" w:space="0" w:color="auto"/>
        <w:left w:val="none" w:sz="0" w:space="0" w:color="auto"/>
        <w:bottom w:val="none" w:sz="0" w:space="0" w:color="auto"/>
        <w:right w:val="none" w:sz="0" w:space="0" w:color="auto"/>
      </w:divBdr>
    </w:div>
    <w:div w:id="718627241">
      <w:bodyDiv w:val="1"/>
      <w:marLeft w:val="0"/>
      <w:marRight w:val="0"/>
      <w:marTop w:val="0"/>
      <w:marBottom w:val="0"/>
      <w:divBdr>
        <w:top w:val="none" w:sz="0" w:space="0" w:color="auto"/>
        <w:left w:val="none" w:sz="0" w:space="0" w:color="auto"/>
        <w:bottom w:val="none" w:sz="0" w:space="0" w:color="auto"/>
        <w:right w:val="none" w:sz="0" w:space="0" w:color="auto"/>
      </w:divBdr>
    </w:div>
    <w:div w:id="762183815">
      <w:bodyDiv w:val="1"/>
      <w:marLeft w:val="0"/>
      <w:marRight w:val="0"/>
      <w:marTop w:val="0"/>
      <w:marBottom w:val="0"/>
      <w:divBdr>
        <w:top w:val="none" w:sz="0" w:space="0" w:color="auto"/>
        <w:left w:val="none" w:sz="0" w:space="0" w:color="auto"/>
        <w:bottom w:val="none" w:sz="0" w:space="0" w:color="auto"/>
        <w:right w:val="none" w:sz="0" w:space="0" w:color="auto"/>
      </w:divBdr>
    </w:div>
    <w:div w:id="783422102">
      <w:bodyDiv w:val="1"/>
      <w:marLeft w:val="0"/>
      <w:marRight w:val="0"/>
      <w:marTop w:val="0"/>
      <w:marBottom w:val="0"/>
      <w:divBdr>
        <w:top w:val="none" w:sz="0" w:space="0" w:color="auto"/>
        <w:left w:val="none" w:sz="0" w:space="0" w:color="auto"/>
        <w:bottom w:val="none" w:sz="0" w:space="0" w:color="auto"/>
        <w:right w:val="none" w:sz="0" w:space="0" w:color="auto"/>
      </w:divBdr>
    </w:div>
    <w:div w:id="791675927">
      <w:bodyDiv w:val="1"/>
      <w:marLeft w:val="0"/>
      <w:marRight w:val="0"/>
      <w:marTop w:val="0"/>
      <w:marBottom w:val="0"/>
      <w:divBdr>
        <w:top w:val="none" w:sz="0" w:space="0" w:color="auto"/>
        <w:left w:val="none" w:sz="0" w:space="0" w:color="auto"/>
        <w:bottom w:val="none" w:sz="0" w:space="0" w:color="auto"/>
        <w:right w:val="none" w:sz="0" w:space="0" w:color="auto"/>
      </w:divBdr>
    </w:div>
    <w:div w:id="801457157">
      <w:bodyDiv w:val="1"/>
      <w:marLeft w:val="0"/>
      <w:marRight w:val="0"/>
      <w:marTop w:val="0"/>
      <w:marBottom w:val="0"/>
      <w:divBdr>
        <w:top w:val="none" w:sz="0" w:space="0" w:color="auto"/>
        <w:left w:val="none" w:sz="0" w:space="0" w:color="auto"/>
        <w:bottom w:val="none" w:sz="0" w:space="0" w:color="auto"/>
        <w:right w:val="none" w:sz="0" w:space="0" w:color="auto"/>
      </w:divBdr>
    </w:div>
    <w:div w:id="812211366">
      <w:bodyDiv w:val="1"/>
      <w:marLeft w:val="0"/>
      <w:marRight w:val="0"/>
      <w:marTop w:val="0"/>
      <w:marBottom w:val="0"/>
      <w:divBdr>
        <w:top w:val="none" w:sz="0" w:space="0" w:color="auto"/>
        <w:left w:val="none" w:sz="0" w:space="0" w:color="auto"/>
        <w:bottom w:val="none" w:sz="0" w:space="0" w:color="auto"/>
        <w:right w:val="none" w:sz="0" w:space="0" w:color="auto"/>
      </w:divBdr>
    </w:div>
    <w:div w:id="829298221">
      <w:bodyDiv w:val="1"/>
      <w:marLeft w:val="0"/>
      <w:marRight w:val="0"/>
      <w:marTop w:val="0"/>
      <w:marBottom w:val="0"/>
      <w:divBdr>
        <w:top w:val="none" w:sz="0" w:space="0" w:color="auto"/>
        <w:left w:val="none" w:sz="0" w:space="0" w:color="auto"/>
        <w:bottom w:val="none" w:sz="0" w:space="0" w:color="auto"/>
        <w:right w:val="none" w:sz="0" w:space="0" w:color="auto"/>
      </w:divBdr>
    </w:div>
    <w:div w:id="835077351">
      <w:bodyDiv w:val="1"/>
      <w:marLeft w:val="0"/>
      <w:marRight w:val="0"/>
      <w:marTop w:val="0"/>
      <w:marBottom w:val="0"/>
      <w:divBdr>
        <w:top w:val="none" w:sz="0" w:space="0" w:color="auto"/>
        <w:left w:val="none" w:sz="0" w:space="0" w:color="auto"/>
        <w:bottom w:val="none" w:sz="0" w:space="0" w:color="auto"/>
        <w:right w:val="none" w:sz="0" w:space="0" w:color="auto"/>
      </w:divBdr>
    </w:div>
    <w:div w:id="863638094">
      <w:bodyDiv w:val="1"/>
      <w:marLeft w:val="0"/>
      <w:marRight w:val="0"/>
      <w:marTop w:val="0"/>
      <w:marBottom w:val="0"/>
      <w:divBdr>
        <w:top w:val="none" w:sz="0" w:space="0" w:color="auto"/>
        <w:left w:val="none" w:sz="0" w:space="0" w:color="auto"/>
        <w:bottom w:val="none" w:sz="0" w:space="0" w:color="auto"/>
        <w:right w:val="none" w:sz="0" w:space="0" w:color="auto"/>
      </w:divBdr>
    </w:div>
    <w:div w:id="866677845">
      <w:bodyDiv w:val="1"/>
      <w:marLeft w:val="0"/>
      <w:marRight w:val="0"/>
      <w:marTop w:val="0"/>
      <w:marBottom w:val="0"/>
      <w:divBdr>
        <w:top w:val="none" w:sz="0" w:space="0" w:color="auto"/>
        <w:left w:val="none" w:sz="0" w:space="0" w:color="auto"/>
        <w:bottom w:val="none" w:sz="0" w:space="0" w:color="auto"/>
        <w:right w:val="none" w:sz="0" w:space="0" w:color="auto"/>
      </w:divBdr>
    </w:div>
    <w:div w:id="876117020">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960301085">
      <w:bodyDiv w:val="1"/>
      <w:marLeft w:val="0"/>
      <w:marRight w:val="0"/>
      <w:marTop w:val="0"/>
      <w:marBottom w:val="0"/>
      <w:divBdr>
        <w:top w:val="none" w:sz="0" w:space="0" w:color="auto"/>
        <w:left w:val="none" w:sz="0" w:space="0" w:color="auto"/>
        <w:bottom w:val="none" w:sz="0" w:space="0" w:color="auto"/>
        <w:right w:val="none" w:sz="0" w:space="0" w:color="auto"/>
      </w:divBdr>
    </w:div>
    <w:div w:id="971137082">
      <w:bodyDiv w:val="1"/>
      <w:marLeft w:val="0"/>
      <w:marRight w:val="0"/>
      <w:marTop w:val="0"/>
      <w:marBottom w:val="0"/>
      <w:divBdr>
        <w:top w:val="none" w:sz="0" w:space="0" w:color="auto"/>
        <w:left w:val="none" w:sz="0" w:space="0" w:color="auto"/>
        <w:bottom w:val="none" w:sz="0" w:space="0" w:color="auto"/>
        <w:right w:val="none" w:sz="0" w:space="0" w:color="auto"/>
      </w:divBdr>
    </w:div>
    <w:div w:id="1017540873">
      <w:bodyDiv w:val="1"/>
      <w:marLeft w:val="0"/>
      <w:marRight w:val="0"/>
      <w:marTop w:val="0"/>
      <w:marBottom w:val="0"/>
      <w:divBdr>
        <w:top w:val="none" w:sz="0" w:space="0" w:color="auto"/>
        <w:left w:val="none" w:sz="0" w:space="0" w:color="auto"/>
        <w:bottom w:val="none" w:sz="0" w:space="0" w:color="auto"/>
        <w:right w:val="none" w:sz="0" w:space="0" w:color="auto"/>
      </w:divBdr>
    </w:div>
    <w:div w:id="1023554453">
      <w:bodyDiv w:val="1"/>
      <w:marLeft w:val="0"/>
      <w:marRight w:val="0"/>
      <w:marTop w:val="0"/>
      <w:marBottom w:val="0"/>
      <w:divBdr>
        <w:top w:val="none" w:sz="0" w:space="0" w:color="auto"/>
        <w:left w:val="none" w:sz="0" w:space="0" w:color="auto"/>
        <w:bottom w:val="none" w:sz="0" w:space="0" w:color="auto"/>
        <w:right w:val="none" w:sz="0" w:space="0" w:color="auto"/>
      </w:divBdr>
    </w:div>
    <w:div w:id="1026559302">
      <w:bodyDiv w:val="1"/>
      <w:marLeft w:val="0"/>
      <w:marRight w:val="0"/>
      <w:marTop w:val="0"/>
      <w:marBottom w:val="0"/>
      <w:divBdr>
        <w:top w:val="none" w:sz="0" w:space="0" w:color="auto"/>
        <w:left w:val="none" w:sz="0" w:space="0" w:color="auto"/>
        <w:bottom w:val="none" w:sz="0" w:space="0" w:color="auto"/>
        <w:right w:val="none" w:sz="0" w:space="0" w:color="auto"/>
      </w:divBdr>
    </w:div>
    <w:div w:id="1053238174">
      <w:bodyDiv w:val="1"/>
      <w:marLeft w:val="0"/>
      <w:marRight w:val="0"/>
      <w:marTop w:val="0"/>
      <w:marBottom w:val="0"/>
      <w:divBdr>
        <w:top w:val="none" w:sz="0" w:space="0" w:color="auto"/>
        <w:left w:val="none" w:sz="0" w:space="0" w:color="auto"/>
        <w:bottom w:val="none" w:sz="0" w:space="0" w:color="auto"/>
        <w:right w:val="none" w:sz="0" w:space="0" w:color="auto"/>
      </w:divBdr>
    </w:div>
    <w:div w:id="1056398280">
      <w:bodyDiv w:val="1"/>
      <w:marLeft w:val="0"/>
      <w:marRight w:val="0"/>
      <w:marTop w:val="0"/>
      <w:marBottom w:val="0"/>
      <w:divBdr>
        <w:top w:val="none" w:sz="0" w:space="0" w:color="auto"/>
        <w:left w:val="none" w:sz="0" w:space="0" w:color="auto"/>
        <w:bottom w:val="none" w:sz="0" w:space="0" w:color="auto"/>
        <w:right w:val="none" w:sz="0" w:space="0" w:color="auto"/>
      </w:divBdr>
    </w:div>
    <w:div w:id="1084188567">
      <w:bodyDiv w:val="1"/>
      <w:marLeft w:val="0"/>
      <w:marRight w:val="0"/>
      <w:marTop w:val="0"/>
      <w:marBottom w:val="0"/>
      <w:divBdr>
        <w:top w:val="none" w:sz="0" w:space="0" w:color="auto"/>
        <w:left w:val="none" w:sz="0" w:space="0" w:color="auto"/>
        <w:bottom w:val="none" w:sz="0" w:space="0" w:color="auto"/>
        <w:right w:val="none" w:sz="0" w:space="0" w:color="auto"/>
      </w:divBdr>
    </w:div>
    <w:div w:id="1105689015">
      <w:bodyDiv w:val="1"/>
      <w:marLeft w:val="0"/>
      <w:marRight w:val="0"/>
      <w:marTop w:val="0"/>
      <w:marBottom w:val="0"/>
      <w:divBdr>
        <w:top w:val="none" w:sz="0" w:space="0" w:color="auto"/>
        <w:left w:val="none" w:sz="0" w:space="0" w:color="auto"/>
        <w:bottom w:val="none" w:sz="0" w:space="0" w:color="auto"/>
        <w:right w:val="none" w:sz="0" w:space="0" w:color="auto"/>
      </w:divBdr>
    </w:div>
    <w:div w:id="1135217867">
      <w:bodyDiv w:val="1"/>
      <w:marLeft w:val="0"/>
      <w:marRight w:val="0"/>
      <w:marTop w:val="0"/>
      <w:marBottom w:val="0"/>
      <w:divBdr>
        <w:top w:val="none" w:sz="0" w:space="0" w:color="auto"/>
        <w:left w:val="none" w:sz="0" w:space="0" w:color="auto"/>
        <w:bottom w:val="none" w:sz="0" w:space="0" w:color="auto"/>
        <w:right w:val="none" w:sz="0" w:space="0" w:color="auto"/>
      </w:divBdr>
    </w:div>
    <w:div w:id="1211721329">
      <w:bodyDiv w:val="1"/>
      <w:marLeft w:val="0"/>
      <w:marRight w:val="0"/>
      <w:marTop w:val="0"/>
      <w:marBottom w:val="0"/>
      <w:divBdr>
        <w:top w:val="none" w:sz="0" w:space="0" w:color="auto"/>
        <w:left w:val="none" w:sz="0" w:space="0" w:color="auto"/>
        <w:bottom w:val="none" w:sz="0" w:space="0" w:color="auto"/>
        <w:right w:val="none" w:sz="0" w:space="0" w:color="auto"/>
      </w:divBdr>
    </w:div>
    <w:div w:id="1217620375">
      <w:bodyDiv w:val="1"/>
      <w:marLeft w:val="0"/>
      <w:marRight w:val="0"/>
      <w:marTop w:val="0"/>
      <w:marBottom w:val="0"/>
      <w:divBdr>
        <w:top w:val="none" w:sz="0" w:space="0" w:color="auto"/>
        <w:left w:val="none" w:sz="0" w:space="0" w:color="auto"/>
        <w:bottom w:val="none" w:sz="0" w:space="0" w:color="auto"/>
        <w:right w:val="none" w:sz="0" w:space="0" w:color="auto"/>
      </w:divBdr>
    </w:div>
    <w:div w:id="1237518071">
      <w:bodyDiv w:val="1"/>
      <w:marLeft w:val="0"/>
      <w:marRight w:val="0"/>
      <w:marTop w:val="0"/>
      <w:marBottom w:val="0"/>
      <w:divBdr>
        <w:top w:val="none" w:sz="0" w:space="0" w:color="auto"/>
        <w:left w:val="none" w:sz="0" w:space="0" w:color="auto"/>
        <w:bottom w:val="none" w:sz="0" w:space="0" w:color="auto"/>
        <w:right w:val="none" w:sz="0" w:space="0" w:color="auto"/>
      </w:divBdr>
    </w:div>
    <w:div w:id="1264261019">
      <w:bodyDiv w:val="1"/>
      <w:marLeft w:val="0"/>
      <w:marRight w:val="0"/>
      <w:marTop w:val="0"/>
      <w:marBottom w:val="0"/>
      <w:divBdr>
        <w:top w:val="none" w:sz="0" w:space="0" w:color="auto"/>
        <w:left w:val="none" w:sz="0" w:space="0" w:color="auto"/>
        <w:bottom w:val="none" w:sz="0" w:space="0" w:color="auto"/>
        <w:right w:val="none" w:sz="0" w:space="0" w:color="auto"/>
      </w:divBdr>
    </w:div>
    <w:div w:id="1275138249">
      <w:bodyDiv w:val="1"/>
      <w:marLeft w:val="0"/>
      <w:marRight w:val="0"/>
      <w:marTop w:val="0"/>
      <w:marBottom w:val="0"/>
      <w:divBdr>
        <w:top w:val="none" w:sz="0" w:space="0" w:color="auto"/>
        <w:left w:val="none" w:sz="0" w:space="0" w:color="auto"/>
        <w:bottom w:val="none" w:sz="0" w:space="0" w:color="auto"/>
        <w:right w:val="none" w:sz="0" w:space="0" w:color="auto"/>
      </w:divBdr>
    </w:div>
    <w:div w:id="1305240326">
      <w:bodyDiv w:val="1"/>
      <w:marLeft w:val="0"/>
      <w:marRight w:val="0"/>
      <w:marTop w:val="0"/>
      <w:marBottom w:val="0"/>
      <w:divBdr>
        <w:top w:val="none" w:sz="0" w:space="0" w:color="auto"/>
        <w:left w:val="none" w:sz="0" w:space="0" w:color="auto"/>
        <w:bottom w:val="none" w:sz="0" w:space="0" w:color="auto"/>
        <w:right w:val="none" w:sz="0" w:space="0" w:color="auto"/>
      </w:divBdr>
    </w:div>
    <w:div w:id="1383286900">
      <w:bodyDiv w:val="1"/>
      <w:marLeft w:val="0"/>
      <w:marRight w:val="0"/>
      <w:marTop w:val="0"/>
      <w:marBottom w:val="0"/>
      <w:divBdr>
        <w:top w:val="none" w:sz="0" w:space="0" w:color="auto"/>
        <w:left w:val="none" w:sz="0" w:space="0" w:color="auto"/>
        <w:bottom w:val="none" w:sz="0" w:space="0" w:color="auto"/>
        <w:right w:val="none" w:sz="0" w:space="0" w:color="auto"/>
      </w:divBdr>
    </w:div>
    <w:div w:id="1386828185">
      <w:bodyDiv w:val="1"/>
      <w:marLeft w:val="0"/>
      <w:marRight w:val="0"/>
      <w:marTop w:val="0"/>
      <w:marBottom w:val="0"/>
      <w:divBdr>
        <w:top w:val="none" w:sz="0" w:space="0" w:color="auto"/>
        <w:left w:val="none" w:sz="0" w:space="0" w:color="auto"/>
        <w:bottom w:val="none" w:sz="0" w:space="0" w:color="auto"/>
        <w:right w:val="none" w:sz="0" w:space="0" w:color="auto"/>
      </w:divBdr>
    </w:div>
    <w:div w:id="1439056721">
      <w:bodyDiv w:val="1"/>
      <w:marLeft w:val="0"/>
      <w:marRight w:val="0"/>
      <w:marTop w:val="0"/>
      <w:marBottom w:val="0"/>
      <w:divBdr>
        <w:top w:val="none" w:sz="0" w:space="0" w:color="auto"/>
        <w:left w:val="none" w:sz="0" w:space="0" w:color="auto"/>
        <w:bottom w:val="none" w:sz="0" w:space="0" w:color="auto"/>
        <w:right w:val="none" w:sz="0" w:space="0" w:color="auto"/>
      </w:divBdr>
    </w:div>
    <w:div w:id="1445341868">
      <w:bodyDiv w:val="1"/>
      <w:marLeft w:val="0"/>
      <w:marRight w:val="0"/>
      <w:marTop w:val="0"/>
      <w:marBottom w:val="0"/>
      <w:divBdr>
        <w:top w:val="none" w:sz="0" w:space="0" w:color="auto"/>
        <w:left w:val="none" w:sz="0" w:space="0" w:color="auto"/>
        <w:bottom w:val="none" w:sz="0" w:space="0" w:color="auto"/>
        <w:right w:val="none" w:sz="0" w:space="0" w:color="auto"/>
      </w:divBdr>
    </w:div>
    <w:div w:id="1472866342">
      <w:bodyDiv w:val="1"/>
      <w:marLeft w:val="0"/>
      <w:marRight w:val="0"/>
      <w:marTop w:val="0"/>
      <w:marBottom w:val="0"/>
      <w:divBdr>
        <w:top w:val="none" w:sz="0" w:space="0" w:color="auto"/>
        <w:left w:val="none" w:sz="0" w:space="0" w:color="auto"/>
        <w:bottom w:val="none" w:sz="0" w:space="0" w:color="auto"/>
        <w:right w:val="none" w:sz="0" w:space="0" w:color="auto"/>
      </w:divBdr>
    </w:div>
    <w:div w:id="1501383924">
      <w:bodyDiv w:val="1"/>
      <w:marLeft w:val="0"/>
      <w:marRight w:val="0"/>
      <w:marTop w:val="0"/>
      <w:marBottom w:val="0"/>
      <w:divBdr>
        <w:top w:val="none" w:sz="0" w:space="0" w:color="auto"/>
        <w:left w:val="none" w:sz="0" w:space="0" w:color="auto"/>
        <w:bottom w:val="none" w:sz="0" w:space="0" w:color="auto"/>
        <w:right w:val="none" w:sz="0" w:space="0" w:color="auto"/>
      </w:divBdr>
    </w:div>
    <w:div w:id="1508590211">
      <w:bodyDiv w:val="1"/>
      <w:marLeft w:val="0"/>
      <w:marRight w:val="0"/>
      <w:marTop w:val="0"/>
      <w:marBottom w:val="0"/>
      <w:divBdr>
        <w:top w:val="none" w:sz="0" w:space="0" w:color="auto"/>
        <w:left w:val="none" w:sz="0" w:space="0" w:color="auto"/>
        <w:bottom w:val="none" w:sz="0" w:space="0" w:color="auto"/>
        <w:right w:val="none" w:sz="0" w:space="0" w:color="auto"/>
      </w:divBdr>
    </w:div>
    <w:div w:id="1515613438">
      <w:bodyDiv w:val="1"/>
      <w:marLeft w:val="0"/>
      <w:marRight w:val="0"/>
      <w:marTop w:val="0"/>
      <w:marBottom w:val="0"/>
      <w:divBdr>
        <w:top w:val="none" w:sz="0" w:space="0" w:color="auto"/>
        <w:left w:val="none" w:sz="0" w:space="0" w:color="auto"/>
        <w:bottom w:val="none" w:sz="0" w:space="0" w:color="auto"/>
        <w:right w:val="none" w:sz="0" w:space="0" w:color="auto"/>
      </w:divBdr>
    </w:div>
    <w:div w:id="1547376220">
      <w:bodyDiv w:val="1"/>
      <w:marLeft w:val="0"/>
      <w:marRight w:val="0"/>
      <w:marTop w:val="0"/>
      <w:marBottom w:val="0"/>
      <w:divBdr>
        <w:top w:val="none" w:sz="0" w:space="0" w:color="auto"/>
        <w:left w:val="none" w:sz="0" w:space="0" w:color="auto"/>
        <w:bottom w:val="none" w:sz="0" w:space="0" w:color="auto"/>
        <w:right w:val="none" w:sz="0" w:space="0" w:color="auto"/>
      </w:divBdr>
    </w:div>
    <w:div w:id="1558516333">
      <w:bodyDiv w:val="1"/>
      <w:marLeft w:val="0"/>
      <w:marRight w:val="0"/>
      <w:marTop w:val="0"/>
      <w:marBottom w:val="0"/>
      <w:divBdr>
        <w:top w:val="none" w:sz="0" w:space="0" w:color="auto"/>
        <w:left w:val="none" w:sz="0" w:space="0" w:color="auto"/>
        <w:bottom w:val="none" w:sz="0" w:space="0" w:color="auto"/>
        <w:right w:val="none" w:sz="0" w:space="0" w:color="auto"/>
      </w:divBdr>
    </w:div>
    <w:div w:id="1572108983">
      <w:bodyDiv w:val="1"/>
      <w:marLeft w:val="0"/>
      <w:marRight w:val="0"/>
      <w:marTop w:val="0"/>
      <w:marBottom w:val="0"/>
      <w:divBdr>
        <w:top w:val="none" w:sz="0" w:space="0" w:color="auto"/>
        <w:left w:val="none" w:sz="0" w:space="0" w:color="auto"/>
        <w:bottom w:val="none" w:sz="0" w:space="0" w:color="auto"/>
        <w:right w:val="none" w:sz="0" w:space="0" w:color="auto"/>
      </w:divBdr>
    </w:div>
    <w:div w:id="1578663414">
      <w:bodyDiv w:val="1"/>
      <w:marLeft w:val="0"/>
      <w:marRight w:val="0"/>
      <w:marTop w:val="0"/>
      <w:marBottom w:val="0"/>
      <w:divBdr>
        <w:top w:val="none" w:sz="0" w:space="0" w:color="auto"/>
        <w:left w:val="none" w:sz="0" w:space="0" w:color="auto"/>
        <w:bottom w:val="none" w:sz="0" w:space="0" w:color="auto"/>
        <w:right w:val="none" w:sz="0" w:space="0" w:color="auto"/>
      </w:divBdr>
    </w:div>
    <w:div w:id="1599023705">
      <w:bodyDiv w:val="1"/>
      <w:marLeft w:val="0"/>
      <w:marRight w:val="0"/>
      <w:marTop w:val="0"/>
      <w:marBottom w:val="0"/>
      <w:divBdr>
        <w:top w:val="none" w:sz="0" w:space="0" w:color="auto"/>
        <w:left w:val="none" w:sz="0" w:space="0" w:color="auto"/>
        <w:bottom w:val="none" w:sz="0" w:space="0" w:color="auto"/>
        <w:right w:val="none" w:sz="0" w:space="0" w:color="auto"/>
      </w:divBdr>
    </w:div>
    <w:div w:id="1669088500">
      <w:bodyDiv w:val="1"/>
      <w:marLeft w:val="0"/>
      <w:marRight w:val="0"/>
      <w:marTop w:val="0"/>
      <w:marBottom w:val="0"/>
      <w:divBdr>
        <w:top w:val="none" w:sz="0" w:space="0" w:color="auto"/>
        <w:left w:val="none" w:sz="0" w:space="0" w:color="auto"/>
        <w:bottom w:val="none" w:sz="0" w:space="0" w:color="auto"/>
        <w:right w:val="none" w:sz="0" w:space="0" w:color="auto"/>
      </w:divBdr>
    </w:div>
    <w:div w:id="1741908504">
      <w:bodyDiv w:val="1"/>
      <w:marLeft w:val="0"/>
      <w:marRight w:val="0"/>
      <w:marTop w:val="0"/>
      <w:marBottom w:val="0"/>
      <w:divBdr>
        <w:top w:val="none" w:sz="0" w:space="0" w:color="auto"/>
        <w:left w:val="none" w:sz="0" w:space="0" w:color="auto"/>
        <w:bottom w:val="none" w:sz="0" w:space="0" w:color="auto"/>
        <w:right w:val="none" w:sz="0" w:space="0" w:color="auto"/>
      </w:divBdr>
    </w:div>
    <w:div w:id="1757088450">
      <w:bodyDiv w:val="1"/>
      <w:marLeft w:val="0"/>
      <w:marRight w:val="0"/>
      <w:marTop w:val="0"/>
      <w:marBottom w:val="0"/>
      <w:divBdr>
        <w:top w:val="none" w:sz="0" w:space="0" w:color="auto"/>
        <w:left w:val="none" w:sz="0" w:space="0" w:color="auto"/>
        <w:bottom w:val="none" w:sz="0" w:space="0" w:color="auto"/>
        <w:right w:val="none" w:sz="0" w:space="0" w:color="auto"/>
      </w:divBdr>
    </w:div>
    <w:div w:id="1758936912">
      <w:bodyDiv w:val="1"/>
      <w:marLeft w:val="0"/>
      <w:marRight w:val="0"/>
      <w:marTop w:val="0"/>
      <w:marBottom w:val="0"/>
      <w:divBdr>
        <w:top w:val="none" w:sz="0" w:space="0" w:color="auto"/>
        <w:left w:val="none" w:sz="0" w:space="0" w:color="auto"/>
        <w:bottom w:val="none" w:sz="0" w:space="0" w:color="auto"/>
        <w:right w:val="none" w:sz="0" w:space="0" w:color="auto"/>
      </w:divBdr>
    </w:div>
    <w:div w:id="1762141816">
      <w:bodyDiv w:val="1"/>
      <w:marLeft w:val="0"/>
      <w:marRight w:val="0"/>
      <w:marTop w:val="0"/>
      <w:marBottom w:val="0"/>
      <w:divBdr>
        <w:top w:val="none" w:sz="0" w:space="0" w:color="auto"/>
        <w:left w:val="none" w:sz="0" w:space="0" w:color="auto"/>
        <w:bottom w:val="none" w:sz="0" w:space="0" w:color="auto"/>
        <w:right w:val="none" w:sz="0" w:space="0" w:color="auto"/>
      </w:divBdr>
    </w:div>
    <w:div w:id="1776512849">
      <w:bodyDiv w:val="1"/>
      <w:marLeft w:val="0"/>
      <w:marRight w:val="0"/>
      <w:marTop w:val="0"/>
      <w:marBottom w:val="0"/>
      <w:divBdr>
        <w:top w:val="none" w:sz="0" w:space="0" w:color="auto"/>
        <w:left w:val="none" w:sz="0" w:space="0" w:color="auto"/>
        <w:bottom w:val="none" w:sz="0" w:space="0" w:color="auto"/>
        <w:right w:val="none" w:sz="0" w:space="0" w:color="auto"/>
      </w:divBdr>
    </w:div>
    <w:div w:id="1838956693">
      <w:bodyDiv w:val="1"/>
      <w:marLeft w:val="0"/>
      <w:marRight w:val="0"/>
      <w:marTop w:val="0"/>
      <w:marBottom w:val="0"/>
      <w:divBdr>
        <w:top w:val="none" w:sz="0" w:space="0" w:color="auto"/>
        <w:left w:val="none" w:sz="0" w:space="0" w:color="auto"/>
        <w:bottom w:val="none" w:sz="0" w:space="0" w:color="auto"/>
        <w:right w:val="none" w:sz="0" w:space="0" w:color="auto"/>
      </w:divBdr>
    </w:div>
    <w:div w:id="1843397001">
      <w:bodyDiv w:val="1"/>
      <w:marLeft w:val="0"/>
      <w:marRight w:val="0"/>
      <w:marTop w:val="0"/>
      <w:marBottom w:val="0"/>
      <w:divBdr>
        <w:top w:val="none" w:sz="0" w:space="0" w:color="auto"/>
        <w:left w:val="none" w:sz="0" w:space="0" w:color="auto"/>
        <w:bottom w:val="none" w:sz="0" w:space="0" w:color="auto"/>
        <w:right w:val="none" w:sz="0" w:space="0" w:color="auto"/>
      </w:divBdr>
    </w:div>
    <w:div w:id="1851606538">
      <w:bodyDiv w:val="1"/>
      <w:marLeft w:val="0"/>
      <w:marRight w:val="0"/>
      <w:marTop w:val="0"/>
      <w:marBottom w:val="0"/>
      <w:divBdr>
        <w:top w:val="none" w:sz="0" w:space="0" w:color="auto"/>
        <w:left w:val="none" w:sz="0" w:space="0" w:color="auto"/>
        <w:bottom w:val="none" w:sz="0" w:space="0" w:color="auto"/>
        <w:right w:val="none" w:sz="0" w:space="0" w:color="auto"/>
      </w:divBdr>
    </w:div>
    <w:div w:id="1854998850">
      <w:bodyDiv w:val="1"/>
      <w:marLeft w:val="0"/>
      <w:marRight w:val="0"/>
      <w:marTop w:val="0"/>
      <w:marBottom w:val="0"/>
      <w:divBdr>
        <w:top w:val="none" w:sz="0" w:space="0" w:color="auto"/>
        <w:left w:val="none" w:sz="0" w:space="0" w:color="auto"/>
        <w:bottom w:val="none" w:sz="0" w:space="0" w:color="auto"/>
        <w:right w:val="none" w:sz="0" w:space="0" w:color="auto"/>
      </w:divBdr>
    </w:div>
    <w:div w:id="1858929557">
      <w:bodyDiv w:val="1"/>
      <w:marLeft w:val="0"/>
      <w:marRight w:val="0"/>
      <w:marTop w:val="0"/>
      <w:marBottom w:val="0"/>
      <w:divBdr>
        <w:top w:val="none" w:sz="0" w:space="0" w:color="auto"/>
        <w:left w:val="none" w:sz="0" w:space="0" w:color="auto"/>
        <w:bottom w:val="none" w:sz="0" w:space="0" w:color="auto"/>
        <w:right w:val="none" w:sz="0" w:space="0" w:color="auto"/>
      </w:divBdr>
    </w:div>
    <w:div w:id="1907835889">
      <w:bodyDiv w:val="1"/>
      <w:marLeft w:val="0"/>
      <w:marRight w:val="0"/>
      <w:marTop w:val="0"/>
      <w:marBottom w:val="0"/>
      <w:divBdr>
        <w:top w:val="none" w:sz="0" w:space="0" w:color="auto"/>
        <w:left w:val="none" w:sz="0" w:space="0" w:color="auto"/>
        <w:bottom w:val="none" w:sz="0" w:space="0" w:color="auto"/>
        <w:right w:val="none" w:sz="0" w:space="0" w:color="auto"/>
      </w:divBdr>
    </w:div>
    <w:div w:id="1922135995">
      <w:bodyDiv w:val="1"/>
      <w:marLeft w:val="0"/>
      <w:marRight w:val="0"/>
      <w:marTop w:val="0"/>
      <w:marBottom w:val="0"/>
      <w:divBdr>
        <w:top w:val="none" w:sz="0" w:space="0" w:color="auto"/>
        <w:left w:val="none" w:sz="0" w:space="0" w:color="auto"/>
        <w:bottom w:val="none" w:sz="0" w:space="0" w:color="auto"/>
        <w:right w:val="none" w:sz="0" w:space="0" w:color="auto"/>
      </w:divBdr>
    </w:div>
    <w:div w:id="1932740121">
      <w:bodyDiv w:val="1"/>
      <w:marLeft w:val="0"/>
      <w:marRight w:val="0"/>
      <w:marTop w:val="0"/>
      <w:marBottom w:val="0"/>
      <w:divBdr>
        <w:top w:val="none" w:sz="0" w:space="0" w:color="auto"/>
        <w:left w:val="none" w:sz="0" w:space="0" w:color="auto"/>
        <w:bottom w:val="none" w:sz="0" w:space="0" w:color="auto"/>
        <w:right w:val="none" w:sz="0" w:space="0" w:color="auto"/>
      </w:divBdr>
    </w:div>
    <w:div w:id="1934823796">
      <w:bodyDiv w:val="1"/>
      <w:marLeft w:val="0"/>
      <w:marRight w:val="0"/>
      <w:marTop w:val="0"/>
      <w:marBottom w:val="0"/>
      <w:divBdr>
        <w:top w:val="none" w:sz="0" w:space="0" w:color="auto"/>
        <w:left w:val="none" w:sz="0" w:space="0" w:color="auto"/>
        <w:bottom w:val="none" w:sz="0" w:space="0" w:color="auto"/>
        <w:right w:val="none" w:sz="0" w:space="0" w:color="auto"/>
      </w:divBdr>
    </w:div>
    <w:div w:id="1969776205">
      <w:bodyDiv w:val="1"/>
      <w:marLeft w:val="0"/>
      <w:marRight w:val="0"/>
      <w:marTop w:val="0"/>
      <w:marBottom w:val="0"/>
      <w:divBdr>
        <w:top w:val="none" w:sz="0" w:space="0" w:color="auto"/>
        <w:left w:val="none" w:sz="0" w:space="0" w:color="auto"/>
        <w:bottom w:val="none" w:sz="0" w:space="0" w:color="auto"/>
        <w:right w:val="none" w:sz="0" w:space="0" w:color="auto"/>
      </w:divBdr>
    </w:div>
    <w:div w:id="2020616666">
      <w:bodyDiv w:val="1"/>
      <w:marLeft w:val="0"/>
      <w:marRight w:val="0"/>
      <w:marTop w:val="0"/>
      <w:marBottom w:val="0"/>
      <w:divBdr>
        <w:top w:val="none" w:sz="0" w:space="0" w:color="auto"/>
        <w:left w:val="none" w:sz="0" w:space="0" w:color="auto"/>
        <w:bottom w:val="none" w:sz="0" w:space="0" w:color="auto"/>
        <w:right w:val="none" w:sz="0" w:space="0" w:color="auto"/>
      </w:divBdr>
    </w:div>
    <w:div w:id="2107074644">
      <w:bodyDiv w:val="1"/>
      <w:marLeft w:val="0"/>
      <w:marRight w:val="0"/>
      <w:marTop w:val="0"/>
      <w:marBottom w:val="0"/>
      <w:divBdr>
        <w:top w:val="none" w:sz="0" w:space="0" w:color="auto"/>
        <w:left w:val="none" w:sz="0" w:space="0" w:color="auto"/>
        <w:bottom w:val="none" w:sz="0" w:space="0" w:color="auto"/>
        <w:right w:val="none" w:sz="0" w:space="0" w:color="auto"/>
      </w:divBdr>
    </w:div>
    <w:div w:id="21159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5FACB-E4F2-4D5D-B756-58BD6245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105</TotalTime>
  <Pages>3</Pages>
  <Words>1425</Words>
  <Characters>8411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78</cp:revision>
  <cp:lastPrinted>2016-04-20T10:14:00Z</cp:lastPrinted>
  <dcterms:created xsi:type="dcterms:W3CDTF">2016-04-25T06:01:00Z</dcterms:created>
  <dcterms:modified xsi:type="dcterms:W3CDTF">2016-04-28T09:54:00Z</dcterms:modified>
</cp:coreProperties>
</file>