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81" w:rsidRPr="007D7CAD" w:rsidRDefault="00451DCC" w:rsidP="00680B3B">
      <w:pPr>
        <w:pStyle w:val="Nadpis1"/>
        <w:numPr>
          <w:ilvl w:val="0"/>
          <w:numId w:val="6"/>
        </w:numPr>
        <w:jc w:val="both"/>
        <w:rPr>
          <w:lang w:val="en-GB"/>
        </w:rPr>
      </w:pPr>
      <w:bookmarkStart w:id="0" w:name="_Toc446341884"/>
      <w:r w:rsidRPr="007D7CAD">
        <w:rPr>
          <w:lang w:val="en-GB"/>
        </w:rPr>
        <w:t>Prices</w:t>
      </w:r>
      <w:bookmarkEnd w:id="0"/>
    </w:p>
    <w:tbl>
      <w:tblPr>
        <w:tblW w:w="5000" w:type="pct"/>
        <w:tblLayout w:type="fixed"/>
        <w:tblLook w:val="00A0"/>
      </w:tblPr>
      <w:tblGrid>
        <w:gridCol w:w="2077"/>
        <w:gridCol w:w="282"/>
        <w:gridCol w:w="7495"/>
      </w:tblGrid>
      <w:tr w:rsidR="00960769" w:rsidRPr="007D44C3" w:rsidTr="00960769">
        <w:tc>
          <w:tcPr>
            <w:tcW w:w="1054" w:type="pct"/>
          </w:tcPr>
          <w:p w:rsidR="00960769" w:rsidRPr="00353BEC" w:rsidRDefault="007D7CAD" w:rsidP="007D7CAD">
            <w:pPr>
              <w:spacing w:line="240" w:lineRule="auto"/>
              <w:rPr>
                <w:sz w:val="16"/>
                <w:szCs w:val="16"/>
                <w:vertAlign w:val="superscript"/>
                <w:lang w:val="en-GB"/>
              </w:rPr>
            </w:pPr>
            <w:r w:rsidRPr="00353BEC">
              <w:rPr>
                <w:sz w:val="16"/>
                <w:szCs w:val="16"/>
                <w:lang w:val="en-GB"/>
              </w:rPr>
              <w:t xml:space="preserve">Total price level increased only by </w:t>
            </w:r>
            <w:r w:rsidR="00960769" w:rsidRPr="00353BEC">
              <w:rPr>
                <w:sz w:val="16"/>
                <w:szCs w:val="16"/>
                <w:lang w:val="en-GB"/>
              </w:rPr>
              <w:t>0</w:t>
            </w:r>
            <w:r w:rsidRPr="00353BEC">
              <w:rPr>
                <w:sz w:val="16"/>
                <w:szCs w:val="16"/>
                <w:lang w:val="en-GB"/>
              </w:rPr>
              <w:t>.</w:t>
            </w:r>
            <w:r w:rsidR="00F558B5">
              <w:rPr>
                <w:sz w:val="16"/>
                <w:szCs w:val="16"/>
                <w:lang w:val="en-GB"/>
              </w:rPr>
              <w:t>7</w:t>
            </w:r>
            <w:r w:rsidR="00960769" w:rsidRPr="00353BEC">
              <w:rPr>
                <w:sz w:val="16"/>
                <w:szCs w:val="16"/>
                <w:lang w:val="en-GB"/>
              </w:rPr>
              <w:t>%</w:t>
            </w:r>
            <w:r w:rsidRPr="00353BEC">
              <w:rPr>
                <w:sz w:val="16"/>
                <w:szCs w:val="16"/>
                <w:lang w:val="en-GB"/>
              </w:rPr>
              <w:t xml:space="preserve"> in 2015</w:t>
            </w:r>
            <w:r w:rsidR="00960769" w:rsidRPr="00353BEC">
              <w:rPr>
                <w:sz w:val="16"/>
                <w:szCs w:val="16"/>
                <w:lang w:val="en-GB"/>
              </w:rPr>
              <w:t xml:space="preserve">. </w:t>
            </w:r>
            <w:r w:rsidRPr="00353BEC">
              <w:rPr>
                <w:sz w:val="16"/>
                <w:szCs w:val="16"/>
                <w:lang w:val="en-GB"/>
              </w:rPr>
              <w:t xml:space="preserve">The dynamics of all demand components lowered </w:t>
            </w:r>
          </w:p>
        </w:tc>
        <w:tc>
          <w:tcPr>
            <w:tcW w:w="143" w:type="pct"/>
          </w:tcPr>
          <w:p w:rsidR="00960769" w:rsidRPr="00353BEC" w:rsidRDefault="00960769" w:rsidP="00960769">
            <w:pPr>
              <w:pStyle w:val="Textpoznpodarou"/>
              <w:jc w:val="both"/>
              <w:rPr>
                <w:lang w:val="en-GB"/>
              </w:rPr>
            </w:pPr>
          </w:p>
        </w:tc>
        <w:tc>
          <w:tcPr>
            <w:tcW w:w="3803" w:type="pct"/>
          </w:tcPr>
          <w:p w:rsidR="00960769" w:rsidRPr="00353BEC" w:rsidRDefault="00AC0EC6" w:rsidP="00960769">
            <w:pPr>
              <w:pStyle w:val="Textpoznpodarou"/>
              <w:jc w:val="both"/>
              <w:rPr>
                <w:lang w:val="en-GB"/>
              </w:rPr>
            </w:pPr>
            <w:r w:rsidRPr="00353BEC">
              <w:rPr>
                <w:lang w:val="en-GB"/>
              </w:rPr>
              <w:t>The total price level increased based on the implicit GDP deflator</w:t>
            </w:r>
            <w:r w:rsidRPr="00353BEC">
              <w:rPr>
                <w:rStyle w:val="Znakapoznpodarou"/>
                <w:lang w:val="en-GB"/>
              </w:rPr>
              <w:footnoteReference w:id="1"/>
            </w:r>
            <w:r w:rsidRPr="00353BEC">
              <w:rPr>
                <w:lang w:val="en-GB"/>
              </w:rPr>
              <w:t xml:space="preserve"> only by </w:t>
            </w:r>
            <w:r w:rsidR="00960769" w:rsidRPr="00353BEC">
              <w:rPr>
                <w:lang w:val="en-GB"/>
              </w:rPr>
              <w:t>0</w:t>
            </w:r>
            <w:r w:rsidR="008323E8" w:rsidRPr="00353BEC">
              <w:rPr>
                <w:lang w:val="en-GB"/>
              </w:rPr>
              <w:t>.</w:t>
            </w:r>
            <w:r w:rsidR="00960769" w:rsidRPr="00353BEC">
              <w:rPr>
                <w:lang w:val="en-GB"/>
              </w:rPr>
              <w:t>7</w:t>
            </w:r>
            <w:r w:rsidR="00F558B5">
              <w:rPr>
                <w:lang w:val="en-GB"/>
              </w:rPr>
              <w:t>%</w:t>
            </w:r>
            <w:r w:rsidR="0020129A">
              <w:rPr>
                <w:lang w:val="en-GB"/>
              </w:rPr>
              <w:t xml:space="preserve"> in 2015</w:t>
            </w:r>
            <w:r w:rsidR="00960769" w:rsidRPr="00353BEC">
              <w:rPr>
                <w:lang w:val="en-GB"/>
              </w:rPr>
              <w:t>.</w:t>
            </w:r>
            <w:r w:rsidR="008323E8" w:rsidRPr="00353BEC">
              <w:rPr>
                <w:lang w:val="en-GB"/>
              </w:rPr>
              <w:t xml:space="preserve"> It slowed down considerabl</w:t>
            </w:r>
            <w:r w:rsidR="00E70997">
              <w:rPr>
                <w:lang w:val="en-GB"/>
              </w:rPr>
              <w:t>y</w:t>
            </w:r>
            <w:r w:rsidR="00F558B5">
              <w:rPr>
                <w:lang w:val="en-GB"/>
              </w:rPr>
              <w:t>, since it rose by 2.5</w:t>
            </w:r>
            <w:r w:rsidR="008323E8" w:rsidRPr="00353BEC">
              <w:rPr>
                <w:lang w:val="en-GB"/>
              </w:rPr>
              <w:t xml:space="preserve">% in 2014. The dynamics of all components of the domestic demand lowered and the terms of trade were also lower. Consumption was from the view of households more expensive only by </w:t>
            </w:r>
            <w:r w:rsidR="00960769" w:rsidRPr="00353BEC">
              <w:rPr>
                <w:lang w:val="en-GB"/>
              </w:rPr>
              <w:t>0</w:t>
            </w:r>
            <w:r w:rsidR="008323E8" w:rsidRPr="00353BEC">
              <w:rPr>
                <w:lang w:val="en-GB"/>
              </w:rPr>
              <w:t>.</w:t>
            </w:r>
            <w:r w:rsidR="00F558B5">
              <w:rPr>
                <w:lang w:val="en-GB"/>
              </w:rPr>
              <w:t>1</w:t>
            </w:r>
            <w:r w:rsidR="00960769" w:rsidRPr="00353BEC">
              <w:rPr>
                <w:lang w:val="en-GB"/>
              </w:rPr>
              <w:t xml:space="preserve">%, </w:t>
            </w:r>
            <w:r w:rsidR="008323E8" w:rsidRPr="00353BEC">
              <w:rPr>
                <w:lang w:val="en-GB"/>
              </w:rPr>
              <w:t xml:space="preserve">goods and services paid by government by </w:t>
            </w:r>
            <w:r w:rsidR="00960769" w:rsidRPr="00353BEC">
              <w:rPr>
                <w:lang w:val="en-GB"/>
              </w:rPr>
              <w:t>1</w:t>
            </w:r>
            <w:r w:rsidR="008323E8" w:rsidRPr="00353BEC">
              <w:rPr>
                <w:lang w:val="en-GB"/>
              </w:rPr>
              <w:t>.</w:t>
            </w:r>
            <w:r w:rsidR="00F558B5">
              <w:rPr>
                <w:lang w:val="en-GB"/>
              </w:rPr>
              <w:t>2</w:t>
            </w:r>
            <w:r w:rsidR="00960769" w:rsidRPr="00353BEC">
              <w:rPr>
                <w:lang w:val="en-GB"/>
              </w:rPr>
              <w:t xml:space="preserve">%. </w:t>
            </w:r>
            <w:r w:rsidR="00D72D4B" w:rsidRPr="00353BEC">
              <w:rPr>
                <w:lang w:val="en-GB"/>
              </w:rPr>
              <w:t xml:space="preserve">Although the prices of these </w:t>
            </w:r>
            <w:r w:rsidR="0020129A">
              <w:rPr>
                <w:lang w:val="en-GB"/>
              </w:rPr>
              <w:t>products</w:t>
            </w:r>
            <w:r w:rsidR="00D72D4B" w:rsidRPr="00353BEC">
              <w:rPr>
                <w:lang w:val="en-GB"/>
              </w:rPr>
              <w:t xml:space="preserve"> grew by </w:t>
            </w:r>
            <w:r w:rsidR="00960769" w:rsidRPr="00353BEC">
              <w:rPr>
                <w:lang w:val="en-GB"/>
              </w:rPr>
              <w:t>0</w:t>
            </w:r>
            <w:r w:rsidR="00D72D4B" w:rsidRPr="00353BEC">
              <w:rPr>
                <w:lang w:val="en-GB"/>
              </w:rPr>
              <w:t>.</w:t>
            </w:r>
            <w:r w:rsidR="00F558B5">
              <w:rPr>
                <w:lang w:val="en-GB"/>
              </w:rPr>
              <w:t>5</w:t>
            </w:r>
            <w:r w:rsidR="00960769" w:rsidRPr="00353BEC">
              <w:rPr>
                <w:lang w:val="en-GB"/>
              </w:rPr>
              <w:t>% a</w:t>
            </w:r>
            <w:r w:rsidR="00D72D4B" w:rsidRPr="00353BEC">
              <w:rPr>
                <w:lang w:val="en-GB"/>
              </w:rPr>
              <w:t>nd</w:t>
            </w:r>
            <w:r w:rsidR="00960769" w:rsidRPr="00353BEC">
              <w:rPr>
                <w:lang w:val="en-GB"/>
              </w:rPr>
              <w:t> 1</w:t>
            </w:r>
            <w:r w:rsidR="00D72D4B" w:rsidRPr="00353BEC">
              <w:rPr>
                <w:lang w:val="en-GB"/>
              </w:rPr>
              <w:t>.</w:t>
            </w:r>
            <w:r w:rsidR="00F558B5">
              <w:rPr>
                <w:lang w:val="en-GB"/>
              </w:rPr>
              <w:t>5</w:t>
            </w:r>
            <w:r w:rsidR="00960769" w:rsidRPr="00353BEC">
              <w:rPr>
                <w:lang w:val="en-GB"/>
              </w:rPr>
              <w:t>%</w:t>
            </w:r>
            <w:r w:rsidR="00D72D4B" w:rsidRPr="00353BEC">
              <w:rPr>
                <w:lang w:val="en-GB"/>
              </w:rPr>
              <w:t xml:space="preserve"> still in 2014</w:t>
            </w:r>
            <w:r w:rsidR="00960769" w:rsidRPr="00353BEC">
              <w:rPr>
                <w:lang w:val="en-GB"/>
              </w:rPr>
              <w:t xml:space="preserve">. </w:t>
            </w:r>
            <w:r w:rsidR="0020129A">
              <w:rPr>
                <w:lang w:val="en-GB"/>
              </w:rPr>
              <w:t>The addition to prices of investment</w:t>
            </w:r>
            <w:r w:rsidR="00D72D4B" w:rsidRPr="00353BEC">
              <w:rPr>
                <w:lang w:val="en-GB"/>
              </w:rPr>
              <w:t xml:space="preserve"> shrank by </w:t>
            </w:r>
            <w:r w:rsidR="00960769" w:rsidRPr="00353BEC">
              <w:rPr>
                <w:lang w:val="en-GB"/>
              </w:rPr>
              <w:t>1 p</w:t>
            </w:r>
            <w:r w:rsidR="00494343" w:rsidRPr="00353BEC">
              <w:rPr>
                <w:lang w:val="en-GB"/>
              </w:rPr>
              <w:t>.</w:t>
            </w:r>
            <w:r w:rsidR="00D72D4B" w:rsidRPr="00353BEC">
              <w:rPr>
                <w:lang w:val="en-GB"/>
              </w:rPr>
              <w:t>p</w:t>
            </w:r>
            <w:r w:rsidR="00960769" w:rsidRPr="00353BEC">
              <w:rPr>
                <w:lang w:val="en-GB"/>
              </w:rPr>
              <w:t xml:space="preserve">. </w:t>
            </w:r>
            <w:r w:rsidR="00D72D4B" w:rsidRPr="00353BEC">
              <w:rPr>
                <w:lang w:val="en-GB"/>
              </w:rPr>
              <w:t xml:space="preserve">to </w:t>
            </w:r>
            <w:r w:rsidR="00960769" w:rsidRPr="00353BEC">
              <w:rPr>
                <w:lang w:val="en-GB"/>
              </w:rPr>
              <w:t>+0</w:t>
            </w:r>
            <w:r w:rsidR="00D72D4B" w:rsidRPr="00353BEC">
              <w:rPr>
                <w:lang w:val="en-GB"/>
              </w:rPr>
              <w:t>.</w:t>
            </w:r>
            <w:r w:rsidR="00F558B5">
              <w:rPr>
                <w:lang w:val="en-GB"/>
              </w:rPr>
              <w:t>9</w:t>
            </w:r>
            <w:r w:rsidR="00960769" w:rsidRPr="00353BEC">
              <w:rPr>
                <w:lang w:val="en-GB"/>
              </w:rPr>
              <w:t xml:space="preserve">%. </w:t>
            </w:r>
            <w:r w:rsidR="00D72D4B" w:rsidRPr="00353BEC">
              <w:rPr>
                <w:lang w:val="en-GB"/>
              </w:rPr>
              <w:t xml:space="preserve">The terms of trade in foreign trade with goods and services remained positive, already third year in a row, however their value fell to </w:t>
            </w:r>
            <w:r w:rsidR="00960769" w:rsidRPr="00353BEC">
              <w:rPr>
                <w:lang w:val="en-GB"/>
              </w:rPr>
              <w:t>100</w:t>
            </w:r>
            <w:r w:rsidR="00D72D4B" w:rsidRPr="00353BEC">
              <w:rPr>
                <w:lang w:val="en-GB"/>
              </w:rPr>
              <w:t>.</w:t>
            </w:r>
            <w:r w:rsidR="00F558B5">
              <w:rPr>
                <w:lang w:val="en-GB"/>
              </w:rPr>
              <w:t>4</w:t>
            </w:r>
            <w:r w:rsidR="00960769" w:rsidRPr="00353BEC">
              <w:rPr>
                <w:lang w:val="en-GB"/>
              </w:rPr>
              <w:t xml:space="preserve">%. </w:t>
            </w:r>
            <w:r w:rsidR="00D72D4B" w:rsidRPr="00353BEC">
              <w:rPr>
                <w:lang w:val="en-GB"/>
              </w:rPr>
              <w:t>They were positive in case of goods, in case of s</w:t>
            </w:r>
            <w:r w:rsidR="00353BEC">
              <w:rPr>
                <w:lang w:val="en-GB"/>
              </w:rPr>
              <w:t>e</w:t>
            </w:r>
            <w:r w:rsidR="00D72D4B" w:rsidRPr="00353BEC">
              <w:rPr>
                <w:lang w:val="en-GB"/>
              </w:rPr>
              <w:t xml:space="preserve">rvices they did not reach the value of </w:t>
            </w:r>
            <w:r w:rsidR="00F558B5">
              <w:rPr>
                <w:lang w:val="en-GB"/>
              </w:rPr>
              <w:t>100</w:t>
            </w:r>
            <w:r w:rsidR="00353BEC" w:rsidRPr="00353BEC">
              <w:rPr>
                <w:lang w:val="en-GB"/>
              </w:rPr>
              <w:t xml:space="preserve">% </w:t>
            </w:r>
            <w:r w:rsidR="00D72D4B" w:rsidRPr="00353BEC">
              <w:rPr>
                <w:lang w:val="en-GB"/>
              </w:rPr>
              <w:t xml:space="preserve">already for four years. </w:t>
            </w:r>
          </w:p>
          <w:p w:rsidR="00960769" w:rsidRPr="00353BEC" w:rsidRDefault="00960769" w:rsidP="00960769">
            <w:pPr>
              <w:pStyle w:val="Textpoznpodarou"/>
              <w:jc w:val="both"/>
              <w:rPr>
                <w:spacing w:val="-2"/>
                <w:sz w:val="18"/>
                <w:szCs w:val="18"/>
                <w:lang w:val="en-GB"/>
              </w:rPr>
            </w:pPr>
          </w:p>
        </w:tc>
      </w:tr>
      <w:tr w:rsidR="00960769" w:rsidRPr="007D44C3" w:rsidTr="00960769">
        <w:tc>
          <w:tcPr>
            <w:tcW w:w="1054" w:type="pct"/>
          </w:tcPr>
          <w:p w:rsidR="00960769" w:rsidRPr="00515D06" w:rsidRDefault="00F555CA" w:rsidP="00F558B5">
            <w:pPr>
              <w:spacing w:line="240" w:lineRule="auto"/>
              <w:rPr>
                <w:sz w:val="16"/>
                <w:szCs w:val="16"/>
                <w:lang w:val="en-GB"/>
              </w:rPr>
            </w:pPr>
            <w:r w:rsidRPr="00515D06">
              <w:rPr>
                <w:sz w:val="16"/>
                <w:szCs w:val="16"/>
                <w:lang w:val="en-GB"/>
              </w:rPr>
              <w:t xml:space="preserve">Inflation rate fell to </w:t>
            </w:r>
            <w:r w:rsidR="00960769" w:rsidRPr="00515D06">
              <w:rPr>
                <w:sz w:val="16"/>
                <w:szCs w:val="16"/>
                <w:lang w:val="en-GB"/>
              </w:rPr>
              <w:t>+0</w:t>
            </w:r>
            <w:r w:rsidRPr="00515D06">
              <w:rPr>
                <w:sz w:val="16"/>
                <w:szCs w:val="16"/>
                <w:lang w:val="en-GB"/>
              </w:rPr>
              <w:t>.</w:t>
            </w:r>
            <w:r w:rsidR="00F558B5">
              <w:rPr>
                <w:sz w:val="16"/>
                <w:szCs w:val="16"/>
                <w:lang w:val="en-GB"/>
              </w:rPr>
              <w:t>3</w:t>
            </w:r>
            <w:r w:rsidR="00960769" w:rsidRPr="00515D06">
              <w:rPr>
                <w:sz w:val="16"/>
                <w:szCs w:val="16"/>
                <w:lang w:val="en-GB"/>
              </w:rPr>
              <w:t>%</w:t>
            </w:r>
            <w:r w:rsidRPr="00515D06">
              <w:rPr>
                <w:sz w:val="16"/>
                <w:szCs w:val="16"/>
                <w:lang w:val="en-GB"/>
              </w:rPr>
              <w:t xml:space="preserve"> in the last year and it was the lowest in the last twelve years </w:t>
            </w:r>
            <w:r w:rsidR="00960769" w:rsidRPr="00515D06">
              <w:rPr>
                <w:sz w:val="16"/>
                <w:szCs w:val="16"/>
                <w:lang w:val="en-GB"/>
              </w:rPr>
              <w:t>(</w:t>
            </w:r>
            <w:r w:rsidRPr="00515D06">
              <w:rPr>
                <w:sz w:val="16"/>
                <w:szCs w:val="16"/>
                <w:lang w:val="en-GB"/>
              </w:rPr>
              <w:t xml:space="preserve">the prices grew by </w:t>
            </w:r>
            <w:r w:rsidR="00960769" w:rsidRPr="00515D06">
              <w:rPr>
                <w:sz w:val="16"/>
                <w:szCs w:val="16"/>
                <w:lang w:val="en-GB"/>
              </w:rPr>
              <w:t>0</w:t>
            </w:r>
            <w:r w:rsidRPr="00515D06">
              <w:rPr>
                <w:sz w:val="16"/>
                <w:szCs w:val="16"/>
                <w:lang w:val="en-GB"/>
              </w:rPr>
              <w:t>.</w:t>
            </w:r>
            <w:r w:rsidR="00960769" w:rsidRPr="00515D06">
              <w:rPr>
                <w:sz w:val="16"/>
                <w:szCs w:val="16"/>
                <w:lang w:val="en-GB"/>
              </w:rPr>
              <w:t>1%</w:t>
            </w:r>
            <w:r w:rsidR="0020129A">
              <w:rPr>
                <w:sz w:val="16"/>
                <w:szCs w:val="16"/>
                <w:lang w:val="en-GB"/>
              </w:rPr>
              <w:t xml:space="preserve"> in 200</w:t>
            </w:r>
            <w:r w:rsidRPr="00515D06">
              <w:rPr>
                <w:sz w:val="16"/>
                <w:szCs w:val="16"/>
                <w:lang w:val="en-GB"/>
              </w:rPr>
              <w:t>3</w:t>
            </w:r>
            <w:r w:rsidR="00960769" w:rsidRPr="00515D06">
              <w:rPr>
                <w:sz w:val="16"/>
                <w:szCs w:val="16"/>
                <w:lang w:val="en-GB"/>
              </w:rPr>
              <w:t>), …</w:t>
            </w:r>
          </w:p>
        </w:tc>
        <w:tc>
          <w:tcPr>
            <w:tcW w:w="143" w:type="pct"/>
          </w:tcPr>
          <w:p w:rsidR="00960769" w:rsidRPr="00515D06" w:rsidRDefault="00960769" w:rsidP="00960769">
            <w:pPr>
              <w:pStyle w:val="Textpoznpodarou"/>
              <w:jc w:val="both"/>
              <w:rPr>
                <w:lang w:val="en-GB"/>
              </w:rPr>
            </w:pPr>
          </w:p>
        </w:tc>
        <w:tc>
          <w:tcPr>
            <w:tcW w:w="3803" w:type="pct"/>
          </w:tcPr>
          <w:p w:rsidR="00960769" w:rsidRPr="00515D06" w:rsidRDefault="00F555CA" w:rsidP="00960769">
            <w:pPr>
              <w:pStyle w:val="Textpoznpodarou"/>
              <w:jc w:val="both"/>
              <w:rPr>
                <w:lang w:val="en-GB"/>
              </w:rPr>
            </w:pPr>
            <w:r w:rsidRPr="00515D06">
              <w:rPr>
                <w:lang w:val="en-GB"/>
              </w:rPr>
              <w:t xml:space="preserve">The inflation rate expressed by the year-on-year change of the consumer price index dropped to mere </w:t>
            </w:r>
            <w:r w:rsidR="00960769" w:rsidRPr="00515D06">
              <w:rPr>
                <w:lang w:val="en-GB"/>
              </w:rPr>
              <w:t>+0</w:t>
            </w:r>
            <w:r w:rsidRPr="00515D06">
              <w:rPr>
                <w:lang w:val="en-GB"/>
              </w:rPr>
              <w:t>.</w:t>
            </w:r>
            <w:r w:rsidR="00F558B5">
              <w:rPr>
                <w:lang w:val="en-GB"/>
              </w:rPr>
              <w:t>3</w:t>
            </w:r>
            <w:r w:rsidR="00960769" w:rsidRPr="00515D06">
              <w:rPr>
                <w:lang w:val="en-GB"/>
              </w:rPr>
              <w:t xml:space="preserve">% </w:t>
            </w:r>
            <w:r w:rsidRPr="00515D06">
              <w:rPr>
                <w:lang w:val="en-GB"/>
              </w:rPr>
              <w:t xml:space="preserve">in 2015 and it was the lowest since </w:t>
            </w:r>
            <w:r w:rsidR="00960769" w:rsidRPr="00515D06">
              <w:rPr>
                <w:lang w:val="en-GB"/>
              </w:rPr>
              <w:t>2003 (+0</w:t>
            </w:r>
            <w:r w:rsidRPr="00515D06">
              <w:rPr>
                <w:lang w:val="en-GB"/>
              </w:rPr>
              <w:t>.</w:t>
            </w:r>
            <w:r w:rsidR="00F558B5">
              <w:rPr>
                <w:lang w:val="en-GB"/>
              </w:rPr>
              <w:t>1</w:t>
            </w:r>
            <w:r w:rsidR="00960769" w:rsidRPr="00515D06">
              <w:rPr>
                <w:lang w:val="en-GB"/>
              </w:rPr>
              <w:t xml:space="preserve">%). </w:t>
            </w:r>
            <w:r w:rsidR="00515D06" w:rsidRPr="00515D06">
              <w:rPr>
                <w:lang w:val="en-GB"/>
              </w:rPr>
              <w:t>It was falling already for a third year and its long-term development was thus apparent. The price dynamics during the year 2015 with</w:t>
            </w:r>
            <w:r w:rsidR="00515D06">
              <w:rPr>
                <w:lang w:val="en-GB"/>
              </w:rPr>
              <w:t xml:space="preserve"> </w:t>
            </w:r>
            <w:r w:rsidR="00515D06" w:rsidRPr="00515D06">
              <w:rPr>
                <w:lang w:val="en-GB"/>
              </w:rPr>
              <w:t xml:space="preserve">respect to the individual </w:t>
            </w:r>
            <w:r w:rsidR="00515D06" w:rsidRPr="00734D0D">
              <w:rPr>
                <w:spacing w:val="-2"/>
                <w:lang w:val="en-GB"/>
              </w:rPr>
              <w:t xml:space="preserve">quarters was </w:t>
            </w:r>
            <w:r w:rsidR="00734D0D" w:rsidRPr="00734D0D">
              <w:rPr>
                <w:spacing w:val="-2"/>
                <w:lang w:val="en-GB"/>
              </w:rPr>
              <w:t>nevertheless</w:t>
            </w:r>
            <w:r w:rsidR="00515D06" w:rsidRPr="00734D0D">
              <w:rPr>
                <w:spacing w:val="-2"/>
                <w:lang w:val="en-GB"/>
              </w:rPr>
              <w:t xml:space="preserve"> fluctuating. The consumer prices grew by </w:t>
            </w:r>
            <w:r w:rsidR="00960769" w:rsidRPr="00734D0D">
              <w:rPr>
                <w:spacing w:val="-2"/>
                <w:lang w:val="en-GB"/>
              </w:rPr>
              <w:t>0</w:t>
            </w:r>
            <w:r w:rsidR="00515D06" w:rsidRPr="00734D0D">
              <w:rPr>
                <w:spacing w:val="-2"/>
                <w:lang w:val="en-GB"/>
              </w:rPr>
              <w:t>.</w:t>
            </w:r>
            <w:r w:rsidR="00F558B5" w:rsidRPr="00734D0D">
              <w:rPr>
                <w:spacing w:val="-2"/>
                <w:lang w:val="en-GB"/>
              </w:rPr>
              <w:t>7</w:t>
            </w:r>
            <w:r w:rsidR="00960769" w:rsidRPr="00734D0D">
              <w:rPr>
                <w:spacing w:val="-2"/>
                <w:lang w:val="en-GB"/>
              </w:rPr>
              <w:t>% a</w:t>
            </w:r>
            <w:r w:rsidR="00515D06" w:rsidRPr="00734D0D">
              <w:rPr>
                <w:spacing w:val="-2"/>
                <w:lang w:val="en-GB"/>
              </w:rPr>
              <w:t>nd</w:t>
            </w:r>
            <w:r w:rsidR="00960769" w:rsidRPr="00515D06">
              <w:rPr>
                <w:spacing w:val="-4"/>
                <w:lang w:val="en-GB"/>
              </w:rPr>
              <w:t xml:space="preserve"> 0</w:t>
            </w:r>
            <w:r w:rsidR="00515D06" w:rsidRPr="00515D06">
              <w:rPr>
                <w:spacing w:val="-4"/>
                <w:lang w:val="en-GB"/>
              </w:rPr>
              <w:t>.</w:t>
            </w:r>
            <w:r w:rsidR="00F558B5">
              <w:rPr>
                <w:spacing w:val="-4"/>
                <w:lang w:val="en-GB"/>
              </w:rPr>
              <w:t>4</w:t>
            </w:r>
            <w:r w:rsidR="00960769" w:rsidRPr="00515D06">
              <w:rPr>
                <w:spacing w:val="-4"/>
                <w:lang w:val="en-GB"/>
              </w:rPr>
              <w:t>%</w:t>
            </w:r>
            <w:r w:rsidR="00515D06" w:rsidRPr="00515D06">
              <w:rPr>
                <w:spacing w:val="-4"/>
                <w:lang w:val="en-GB"/>
              </w:rPr>
              <w:t xml:space="preserve"> in the year-</w:t>
            </w:r>
            <w:r w:rsidR="0020129A">
              <w:rPr>
                <w:spacing w:val="-4"/>
                <w:lang w:val="en-GB"/>
              </w:rPr>
              <w:t>on-year comparison in Q2 and Q3. In Q1 and Q4</w:t>
            </w:r>
            <w:r w:rsidR="00515D06" w:rsidRPr="00515D06">
              <w:rPr>
                <w:spacing w:val="-4"/>
                <w:lang w:val="en-GB"/>
              </w:rPr>
              <w:t xml:space="preserve"> the Czech economy</w:t>
            </w:r>
            <w:r w:rsidR="0020129A">
              <w:rPr>
                <w:spacing w:val="-4"/>
                <w:lang w:val="en-GB"/>
              </w:rPr>
              <w:t>, however,</w:t>
            </w:r>
            <w:r w:rsidR="00515D06" w:rsidRPr="00515D06">
              <w:rPr>
                <w:spacing w:val="-4"/>
                <w:lang w:val="en-GB"/>
              </w:rPr>
              <w:t xml:space="preserve"> balanced on the verge of deflation </w:t>
            </w:r>
            <w:r w:rsidR="00960769" w:rsidRPr="00515D06">
              <w:rPr>
                <w:lang w:val="en-GB"/>
              </w:rPr>
              <w:t>(</w:t>
            </w:r>
            <w:r w:rsidR="00515D06" w:rsidRPr="00515D06">
              <w:rPr>
                <w:lang w:val="en-GB"/>
              </w:rPr>
              <w:t xml:space="preserve">prices grew equally only by </w:t>
            </w:r>
            <w:r w:rsidR="00960769" w:rsidRPr="00515D06">
              <w:rPr>
                <w:lang w:val="en-GB"/>
              </w:rPr>
              <w:t>0</w:t>
            </w:r>
            <w:r w:rsidR="00515D06" w:rsidRPr="00515D06">
              <w:rPr>
                <w:lang w:val="en-GB"/>
              </w:rPr>
              <w:t>.</w:t>
            </w:r>
            <w:r w:rsidR="00F558B5">
              <w:rPr>
                <w:lang w:val="en-GB"/>
              </w:rPr>
              <w:t>1</w:t>
            </w:r>
            <w:r w:rsidR="00960769" w:rsidRPr="00515D06">
              <w:rPr>
                <w:lang w:val="en-GB"/>
              </w:rPr>
              <w:t>%).</w:t>
            </w:r>
          </w:p>
          <w:p w:rsidR="00960769" w:rsidRPr="00515D06" w:rsidRDefault="00960769" w:rsidP="00960769">
            <w:pPr>
              <w:pStyle w:val="Textpoznpodarou"/>
              <w:jc w:val="both"/>
              <w:rPr>
                <w:sz w:val="18"/>
                <w:szCs w:val="18"/>
                <w:lang w:val="en-GB"/>
              </w:rPr>
            </w:pPr>
          </w:p>
        </w:tc>
      </w:tr>
      <w:tr w:rsidR="00960769" w:rsidRPr="007D44C3" w:rsidTr="00960769">
        <w:tc>
          <w:tcPr>
            <w:tcW w:w="1054" w:type="pct"/>
          </w:tcPr>
          <w:p w:rsidR="00113819" w:rsidRPr="00113819" w:rsidRDefault="00960769" w:rsidP="00113819">
            <w:pPr>
              <w:spacing w:line="240" w:lineRule="auto"/>
              <w:rPr>
                <w:sz w:val="16"/>
                <w:szCs w:val="16"/>
                <w:lang w:val="en-GB"/>
              </w:rPr>
            </w:pPr>
            <w:r w:rsidRPr="00113819">
              <w:rPr>
                <w:sz w:val="16"/>
                <w:szCs w:val="16"/>
                <w:lang w:val="en-GB"/>
              </w:rPr>
              <w:t xml:space="preserve">… </w:t>
            </w:r>
            <w:r w:rsidR="00113819" w:rsidRPr="00113819">
              <w:rPr>
                <w:sz w:val="16"/>
                <w:szCs w:val="16"/>
                <w:lang w:val="en-GB"/>
              </w:rPr>
              <w:t xml:space="preserve">supply side factors were mainly the cause </w:t>
            </w:r>
          </w:p>
          <w:p w:rsidR="00960769" w:rsidRPr="00113819" w:rsidRDefault="00960769" w:rsidP="00113819">
            <w:pPr>
              <w:spacing w:line="240" w:lineRule="auto"/>
              <w:rPr>
                <w:sz w:val="16"/>
                <w:szCs w:val="16"/>
                <w:lang w:val="en-GB"/>
              </w:rPr>
            </w:pPr>
          </w:p>
        </w:tc>
        <w:tc>
          <w:tcPr>
            <w:tcW w:w="143" w:type="pct"/>
          </w:tcPr>
          <w:p w:rsidR="00960769" w:rsidRPr="00113819" w:rsidRDefault="00960769" w:rsidP="00960769">
            <w:pPr>
              <w:pStyle w:val="Textpoznpodarou"/>
              <w:jc w:val="both"/>
              <w:rPr>
                <w:lang w:val="en-GB"/>
              </w:rPr>
            </w:pPr>
          </w:p>
        </w:tc>
        <w:tc>
          <w:tcPr>
            <w:tcW w:w="3803" w:type="pct"/>
          </w:tcPr>
          <w:p w:rsidR="00960769" w:rsidRPr="00113819" w:rsidRDefault="00113819" w:rsidP="00113819">
            <w:pPr>
              <w:pStyle w:val="Textpoznpodarou"/>
              <w:jc w:val="both"/>
              <w:rPr>
                <w:lang w:val="en-GB"/>
              </w:rPr>
            </w:pPr>
            <w:r w:rsidRPr="00113819">
              <w:rPr>
                <w:lang w:val="en-GB"/>
              </w:rPr>
              <w:t>The dampened price development</w:t>
            </w:r>
            <w:r w:rsidR="0020129A">
              <w:rPr>
                <w:lang w:val="en-GB"/>
              </w:rPr>
              <w:t xml:space="preserve"> in 2015</w:t>
            </w:r>
            <w:r w:rsidRPr="00113819">
              <w:rPr>
                <w:lang w:val="en-GB"/>
              </w:rPr>
              <w:t xml:space="preserve"> was caused mainly by the supply</w:t>
            </w:r>
            <w:r w:rsidR="00306290">
              <w:rPr>
                <w:lang w:val="en-GB"/>
              </w:rPr>
              <w:t xml:space="preserve"> side</w:t>
            </w:r>
            <w:r w:rsidRPr="00113819">
              <w:rPr>
                <w:lang w:val="en-GB"/>
              </w:rPr>
              <w:t xml:space="preserve"> factors. The key factor was the slide of the oil price on the world commodity market, when the average price of the </w:t>
            </w:r>
            <w:r w:rsidR="007D71F5">
              <w:rPr>
                <w:lang w:val="en-GB"/>
              </w:rPr>
              <w:t xml:space="preserve">barrel of the Brent </w:t>
            </w:r>
            <w:r w:rsidRPr="00113819">
              <w:rPr>
                <w:lang w:val="en-GB"/>
              </w:rPr>
              <w:t>oil</w:t>
            </w:r>
            <w:r w:rsidR="007D71F5">
              <w:rPr>
                <w:lang w:val="en-GB"/>
              </w:rPr>
              <w:t xml:space="preserve"> </w:t>
            </w:r>
            <w:r w:rsidRPr="00113819">
              <w:rPr>
                <w:lang w:val="en-GB"/>
              </w:rPr>
              <w:t>lowered from 9</w:t>
            </w:r>
            <w:r w:rsidR="00960769" w:rsidRPr="00113819">
              <w:rPr>
                <w:lang w:val="en-GB"/>
              </w:rPr>
              <w:t xml:space="preserve">9 </w:t>
            </w:r>
            <w:r w:rsidRPr="00113819">
              <w:rPr>
                <w:lang w:val="en-GB"/>
              </w:rPr>
              <w:t xml:space="preserve">US dollars in 2014 to </w:t>
            </w:r>
            <w:r w:rsidR="00960769" w:rsidRPr="00113819">
              <w:rPr>
                <w:lang w:val="en-GB"/>
              </w:rPr>
              <w:t>52</w:t>
            </w:r>
            <w:r w:rsidRPr="00113819">
              <w:rPr>
                <w:lang w:val="en-GB"/>
              </w:rPr>
              <w:t>.</w:t>
            </w:r>
            <w:r w:rsidR="00960769" w:rsidRPr="00113819">
              <w:rPr>
                <w:lang w:val="en-GB"/>
              </w:rPr>
              <w:t xml:space="preserve">3 </w:t>
            </w:r>
            <w:r w:rsidRPr="00113819">
              <w:rPr>
                <w:lang w:val="en-GB"/>
              </w:rPr>
              <w:t xml:space="preserve">dollars in 2015. The lowering prices in manufacturing in the </w:t>
            </w:r>
            <w:r w:rsidR="00F558B5">
              <w:rPr>
                <w:lang w:val="en-GB"/>
              </w:rPr>
              <w:t xml:space="preserve">euro area affecting the prices </w:t>
            </w:r>
            <w:r w:rsidRPr="00113819">
              <w:rPr>
                <w:lang w:val="en-GB"/>
              </w:rPr>
              <w:t>of imports into the CR and also the falling prices of</w:t>
            </w:r>
            <w:r w:rsidR="00734D0D">
              <w:rPr>
                <w:lang w:val="en-GB"/>
              </w:rPr>
              <w:t xml:space="preserve"> animals and</w:t>
            </w:r>
            <w:r w:rsidRPr="00113819">
              <w:rPr>
                <w:lang w:val="en-GB"/>
              </w:rPr>
              <w:t xml:space="preserve"> animal</w:t>
            </w:r>
            <w:r>
              <w:rPr>
                <w:lang w:val="en-GB"/>
              </w:rPr>
              <w:t xml:space="preserve"> p</w:t>
            </w:r>
            <w:r w:rsidR="00734D0D">
              <w:rPr>
                <w:lang w:val="en-GB"/>
              </w:rPr>
              <w:t>roducts</w:t>
            </w:r>
            <w:r w:rsidRPr="00113819">
              <w:rPr>
                <w:lang w:val="en-GB"/>
              </w:rPr>
              <w:t xml:space="preserve"> impacting the prices of food neverth</w:t>
            </w:r>
            <w:r w:rsidR="00734D0D">
              <w:rPr>
                <w:lang w:val="en-GB"/>
              </w:rPr>
              <w:t>eless also contributed to the disin</w:t>
            </w:r>
            <w:r w:rsidRPr="00113819">
              <w:rPr>
                <w:lang w:val="en-GB"/>
              </w:rPr>
              <w:t xml:space="preserve">flation. The dramatically weakening crown against the US dollar and growing demand of households for goods and services were hampering the </w:t>
            </w:r>
            <w:r w:rsidR="00E70997">
              <w:rPr>
                <w:lang w:val="en-GB"/>
              </w:rPr>
              <w:t>established t</w:t>
            </w:r>
            <w:r w:rsidRPr="00113819">
              <w:rPr>
                <w:lang w:val="en-GB"/>
              </w:rPr>
              <w:t>rend, nevertheless they did not manage to reverse it.</w:t>
            </w:r>
          </w:p>
          <w:p w:rsidR="00960769" w:rsidRPr="00113819" w:rsidRDefault="00960769" w:rsidP="00960769">
            <w:pPr>
              <w:pStyle w:val="Textpoznpodarou"/>
              <w:jc w:val="both"/>
              <w:rPr>
                <w:sz w:val="18"/>
                <w:szCs w:val="18"/>
                <w:lang w:val="en-GB"/>
              </w:rPr>
            </w:pPr>
          </w:p>
        </w:tc>
      </w:tr>
      <w:tr w:rsidR="00960769" w:rsidRPr="007D44C3" w:rsidTr="00960769">
        <w:tc>
          <w:tcPr>
            <w:tcW w:w="1054" w:type="pct"/>
          </w:tcPr>
          <w:p w:rsidR="005622CD" w:rsidRPr="00E8128F" w:rsidRDefault="005622CD" w:rsidP="005622CD">
            <w:pPr>
              <w:spacing w:line="240" w:lineRule="auto"/>
              <w:rPr>
                <w:sz w:val="16"/>
                <w:szCs w:val="16"/>
                <w:lang w:val="en-GB"/>
              </w:rPr>
            </w:pPr>
            <w:r w:rsidRPr="00E8128F">
              <w:rPr>
                <w:sz w:val="16"/>
                <w:szCs w:val="16"/>
                <w:lang w:val="en-GB"/>
              </w:rPr>
              <w:t xml:space="preserve">Prices of tobacco hiked by </w:t>
            </w:r>
            <w:r w:rsidR="00960769" w:rsidRPr="00E8128F">
              <w:rPr>
                <w:sz w:val="16"/>
                <w:szCs w:val="16"/>
                <w:lang w:val="en-GB"/>
              </w:rPr>
              <w:t>7</w:t>
            </w:r>
            <w:r w:rsidRPr="00E8128F">
              <w:rPr>
                <w:sz w:val="16"/>
                <w:szCs w:val="16"/>
                <w:lang w:val="en-GB"/>
              </w:rPr>
              <w:t>.</w:t>
            </w:r>
            <w:r w:rsidR="00F558B5">
              <w:rPr>
                <w:sz w:val="16"/>
                <w:szCs w:val="16"/>
                <w:lang w:val="en-GB"/>
              </w:rPr>
              <w:t>6</w:t>
            </w:r>
            <w:r w:rsidR="00960769" w:rsidRPr="00E8128F">
              <w:rPr>
                <w:sz w:val="16"/>
                <w:szCs w:val="16"/>
                <w:lang w:val="en-GB"/>
              </w:rPr>
              <w:t xml:space="preserve">% </w:t>
            </w:r>
            <w:r w:rsidRPr="00E8128F">
              <w:rPr>
                <w:sz w:val="16"/>
                <w:szCs w:val="16"/>
                <w:lang w:val="en-GB"/>
              </w:rPr>
              <w:t>in the last year and ensured, that the Czech economy did not descend into deflation</w:t>
            </w:r>
          </w:p>
          <w:p w:rsidR="00960769" w:rsidRPr="00E8128F" w:rsidRDefault="00960769" w:rsidP="005622CD">
            <w:pPr>
              <w:spacing w:line="240" w:lineRule="auto"/>
              <w:rPr>
                <w:sz w:val="16"/>
                <w:szCs w:val="16"/>
                <w:lang w:val="en-GB"/>
              </w:rPr>
            </w:pPr>
          </w:p>
        </w:tc>
        <w:tc>
          <w:tcPr>
            <w:tcW w:w="143" w:type="pct"/>
          </w:tcPr>
          <w:p w:rsidR="00960769" w:rsidRPr="00E8128F" w:rsidRDefault="00960769" w:rsidP="00960769">
            <w:pPr>
              <w:pStyle w:val="Textpoznpodarou"/>
              <w:jc w:val="both"/>
              <w:rPr>
                <w:lang w:val="en-GB"/>
              </w:rPr>
            </w:pPr>
          </w:p>
        </w:tc>
        <w:tc>
          <w:tcPr>
            <w:tcW w:w="3803" w:type="pct"/>
          </w:tcPr>
          <w:p w:rsidR="00960769" w:rsidRPr="00E8128F" w:rsidRDefault="00591AF8" w:rsidP="00960769">
            <w:pPr>
              <w:pStyle w:val="Textpoznpodarou"/>
              <w:jc w:val="both"/>
              <w:rPr>
                <w:lang w:val="en-GB"/>
              </w:rPr>
            </w:pPr>
            <w:r w:rsidRPr="00E8128F">
              <w:rPr>
                <w:lang w:val="en-GB"/>
              </w:rPr>
              <w:t xml:space="preserve">The price dynamics worsened </w:t>
            </w:r>
            <w:r w:rsidR="00734D0D">
              <w:rPr>
                <w:lang w:val="en-GB"/>
              </w:rPr>
              <w:t>(</w:t>
            </w:r>
            <w:r w:rsidRPr="00E8128F">
              <w:rPr>
                <w:lang w:val="en-GB"/>
              </w:rPr>
              <w:t xml:space="preserve">with respect to the most </w:t>
            </w:r>
            <w:r w:rsidR="00E8128F" w:rsidRPr="00E8128F">
              <w:rPr>
                <w:lang w:val="en-GB"/>
              </w:rPr>
              <w:t>significant</w:t>
            </w:r>
            <w:r w:rsidRPr="00E8128F">
              <w:rPr>
                <w:lang w:val="en-GB"/>
              </w:rPr>
              <w:t xml:space="preserve"> divisions of the consum</w:t>
            </w:r>
            <w:r w:rsidR="00734D0D">
              <w:rPr>
                <w:lang w:val="en-GB"/>
              </w:rPr>
              <w:t>er</w:t>
            </w:r>
            <w:r w:rsidRPr="00E8128F">
              <w:rPr>
                <w:lang w:val="en-GB"/>
              </w:rPr>
              <w:t xml:space="preserve"> basket by weight</w:t>
            </w:r>
            <w:r w:rsidR="00734D0D">
              <w:rPr>
                <w:lang w:val="en-GB"/>
              </w:rPr>
              <w:t>)</w:t>
            </w:r>
            <w:r w:rsidRPr="00E8128F">
              <w:rPr>
                <w:lang w:val="en-GB"/>
              </w:rPr>
              <w:t xml:space="preserve"> in case of food and non-alcoholic beverages (from </w:t>
            </w:r>
            <w:r w:rsidR="008E0367" w:rsidRPr="00E8128F">
              <w:rPr>
                <w:lang w:val="en-GB"/>
              </w:rPr>
              <w:t>+2</w:t>
            </w:r>
            <w:r w:rsidR="00960769" w:rsidRPr="00E8128F">
              <w:rPr>
                <w:lang w:val="en-GB"/>
              </w:rPr>
              <w:t xml:space="preserve">% </w:t>
            </w:r>
            <w:r w:rsidRPr="00E8128F">
              <w:rPr>
                <w:lang w:val="en-GB"/>
              </w:rPr>
              <w:t>to</w:t>
            </w:r>
            <w:r w:rsidR="00960769" w:rsidRPr="00E8128F">
              <w:rPr>
                <w:lang w:val="en-GB"/>
              </w:rPr>
              <w:t> -1</w:t>
            </w:r>
            <w:r w:rsidRPr="00E8128F">
              <w:rPr>
                <w:lang w:val="en-GB"/>
              </w:rPr>
              <w:t>.</w:t>
            </w:r>
            <w:r w:rsidR="009C4152">
              <w:rPr>
                <w:lang w:val="en-GB"/>
              </w:rPr>
              <w:t>1</w:t>
            </w:r>
            <w:r w:rsidR="00960769" w:rsidRPr="00E8128F">
              <w:rPr>
                <w:lang w:val="en-GB"/>
              </w:rPr>
              <w:t>%)</w:t>
            </w:r>
            <w:r w:rsidR="00734D0D">
              <w:rPr>
                <w:lang w:val="en-GB"/>
              </w:rPr>
              <w:t xml:space="preserve"> and expendi</w:t>
            </w:r>
            <w:r w:rsidR="00CE66F6">
              <w:rPr>
                <w:lang w:val="en-GB"/>
              </w:rPr>
              <w:t>ture on transport</w:t>
            </w:r>
            <w:r w:rsidR="00856998">
              <w:rPr>
                <w:lang w:val="en-GB"/>
              </w:rPr>
              <w:t xml:space="preserve"> (from +0.2 % to -4.</w:t>
            </w:r>
            <w:r w:rsidR="00734D0D">
              <w:rPr>
                <w:lang w:val="en-GB"/>
              </w:rPr>
              <w:t>2 %)</w:t>
            </w:r>
            <w:r w:rsidRPr="00E8128F">
              <w:rPr>
                <w:lang w:val="en-GB"/>
              </w:rPr>
              <w:t>.</w:t>
            </w:r>
            <w:r w:rsidR="00960769" w:rsidRPr="00E8128F">
              <w:rPr>
                <w:lang w:val="en-GB"/>
              </w:rPr>
              <w:t xml:space="preserve"> </w:t>
            </w:r>
            <w:r w:rsidRPr="00E8128F">
              <w:rPr>
                <w:lang w:val="en-GB"/>
              </w:rPr>
              <w:t xml:space="preserve">Nevertheless, the deep fall of the prices of expenditure on health (deepened </w:t>
            </w:r>
            <w:r w:rsidR="00E70997">
              <w:rPr>
                <w:lang w:val="en-GB"/>
              </w:rPr>
              <w:t xml:space="preserve">from </w:t>
            </w:r>
            <w:r w:rsidR="00960769" w:rsidRPr="00E8128F">
              <w:rPr>
                <w:spacing w:val="-2"/>
                <w:lang w:val="en-GB"/>
              </w:rPr>
              <w:t>-1</w:t>
            </w:r>
            <w:r w:rsidRPr="00E8128F">
              <w:rPr>
                <w:spacing w:val="-2"/>
                <w:lang w:val="en-GB"/>
              </w:rPr>
              <w:t>.</w:t>
            </w:r>
            <w:r w:rsidR="009C4152">
              <w:rPr>
                <w:spacing w:val="-2"/>
                <w:lang w:val="en-GB"/>
              </w:rPr>
              <w:t>8</w:t>
            </w:r>
            <w:r w:rsidR="00960769" w:rsidRPr="00E8128F">
              <w:rPr>
                <w:spacing w:val="-2"/>
                <w:lang w:val="en-GB"/>
              </w:rPr>
              <w:t xml:space="preserve">% </w:t>
            </w:r>
            <w:r w:rsidRPr="00E8128F">
              <w:rPr>
                <w:spacing w:val="-2"/>
                <w:lang w:val="en-GB"/>
              </w:rPr>
              <w:t>to</w:t>
            </w:r>
            <w:r w:rsidR="00960769" w:rsidRPr="00E8128F">
              <w:rPr>
                <w:spacing w:val="-2"/>
                <w:lang w:val="en-GB"/>
              </w:rPr>
              <w:t xml:space="preserve"> -7</w:t>
            </w:r>
            <w:r w:rsidRPr="00E8128F">
              <w:rPr>
                <w:spacing w:val="-2"/>
                <w:lang w:val="en-GB"/>
              </w:rPr>
              <w:t>.</w:t>
            </w:r>
            <w:r w:rsidR="00960769" w:rsidRPr="00E8128F">
              <w:rPr>
                <w:spacing w:val="-2"/>
                <w:lang w:val="en-GB"/>
              </w:rPr>
              <w:t>1</w:t>
            </w:r>
            <w:r w:rsidR="00960769" w:rsidRPr="00E8128F">
              <w:rPr>
                <w:lang w:val="en-GB"/>
              </w:rPr>
              <w:t xml:space="preserve">%), </w:t>
            </w:r>
            <w:r w:rsidRPr="00E8128F">
              <w:rPr>
                <w:lang w:val="en-GB"/>
              </w:rPr>
              <w:t xml:space="preserve">which was linked to the cancelling of the regulation fees on </w:t>
            </w:r>
            <w:r w:rsidR="00E70997">
              <w:rPr>
                <w:lang w:val="en-GB"/>
              </w:rPr>
              <w:t>dispensing</w:t>
            </w:r>
            <w:r w:rsidRPr="00E8128F">
              <w:rPr>
                <w:lang w:val="en-GB"/>
              </w:rPr>
              <w:t xml:space="preserve"> of medicine on receipts and fees at the visit of a doctor</w:t>
            </w:r>
            <w:r w:rsidR="00734D0D">
              <w:rPr>
                <w:lang w:val="en-GB"/>
              </w:rPr>
              <w:t>,</w:t>
            </w:r>
            <w:r w:rsidRPr="00E8128F">
              <w:rPr>
                <w:lang w:val="en-GB"/>
              </w:rPr>
              <w:t xml:space="preserve"> also contributed to the slowdown of the price development. The weaker growth of the prices of </w:t>
            </w:r>
            <w:r w:rsidR="00734D0D">
              <w:rPr>
                <w:lang w:val="en-GB"/>
              </w:rPr>
              <w:t xml:space="preserve">restaurants and hotels </w:t>
            </w:r>
            <w:r w:rsidRPr="00E8128F">
              <w:rPr>
                <w:lang w:val="en-GB"/>
              </w:rPr>
              <w:t xml:space="preserve">and </w:t>
            </w:r>
            <w:r w:rsidR="00734D0D">
              <w:rPr>
                <w:lang w:val="en-GB"/>
              </w:rPr>
              <w:t>prices of education also participated</w:t>
            </w:r>
            <w:r w:rsidRPr="00E8128F">
              <w:rPr>
                <w:lang w:val="en-GB"/>
              </w:rPr>
              <w:t>. Mostly the prices of tobacco worked in the direction of</w:t>
            </w:r>
            <w:r w:rsidR="00734D0D">
              <w:rPr>
                <w:lang w:val="en-GB"/>
              </w:rPr>
              <w:t xml:space="preserve"> growth of</w:t>
            </w:r>
            <w:r w:rsidRPr="00E8128F">
              <w:rPr>
                <w:lang w:val="en-GB"/>
              </w:rPr>
              <w:t xml:space="preserve"> consumer prices in 2015. They increased by </w:t>
            </w:r>
            <w:r w:rsidR="00960769" w:rsidRPr="00E8128F">
              <w:rPr>
                <w:lang w:val="en-GB"/>
              </w:rPr>
              <w:t>7</w:t>
            </w:r>
            <w:r w:rsidRPr="00E8128F">
              <w:rPr>
                <w:lang w:val="en-GB"/>
              </w:rPr>
              <w:t>.</w:t>
            </w:r>
            <w:r w:rsidR="009C4152">
              <w:rPr>
                <w:lang w:val="en-GB"/>
              </w:rPr>
              <w:t>6</w:t>
            </w:r>
            <w:r w:rsidR="00960769" w:rsidRPr="00E8128F">
              <w:rPr>
                <w:lang w:val="en-GB"/>
              </w:rPr>
              <w:t xml:space="preserve">%, </w:t>
            </w:r>
            <w:r w:rsidRPr="00E8128F">
              <w:rPr>
                <w:lang w:val="en-GB"/>
              </w:rPr>
              <w:t xml:space="preserve">thanks to the raising of the </w:t>
            </w:r>
            <w:r w:rsidR="00734D0D">
              <w:rPr>
                <w:lang w:val="en-GB"/>
              </w:rPr>
              <w:t>excise duty,</w:t>
            </w:r>
            <w:r w:rsidRPr="00E8128F">
              <w:rPr>
                <w:lang w:val="en-GB"/>
              </w:rPr>
              <w:t xml:space="preserve"> and thus they contributed to a large extent to the fact, that the Czech economy remained in the positive inflation range and did not descend into deflation.</w:t>
            </w:r>
            <w:r w:rsidR="00E8128F" w:rsidRPr="00E8128F">
              <w:rPr>
                <w:lang w:val="en-GB"/>
              </w:rPr>
              <w:t xml:space="preserve"> </w:t>
            </w:r>
          </w:p>
          <w:p w:rsidR="00960769" w:rsidRPr="00E8128F" w:rsidRDefault="00960769" w:rsidP="00960769">
            <w:pPr>
              <w:pStyle w:val="Textpoznpodarou"/>
              <w:jc w:val="both"/>
              <w:rPr>
                <w:sz w:val="16"/>
                <w:szCs w:val="16"/>
                <w:lang w:val="en-GB"/>
              </w:rPr>
            </w:pPr>
          </w:p>
        </w:tc>
      </w:tr>
      <w:tr w:rsidR="00960769" w:rsidRPr="007D44C3" w:rsidTr="00960769">
        <w:tc>
          <w:tcPr>
            <w:tcW w:w="1054" w:type="pct"/>
          </w:tcPr>
          <w:p w:rsidR="00C8708D" w:rsidRPr="00C8708D" w:rsidRDefault="00C8708D" w:rsidP="004F4831">
            <w:pPr>
              <w:spacing w:line="240" w:lineRule="auto"/>
              <w:rPr>
                <w:sz w:val="16"/>
                <w:szCs w:val="16"/>
                <w:lang w:val="en-GB"/>
              </w:rPr>
            </w:pPr>
            <w:r w:rsidRPr="00C8708D">
              <w:rPr>
                <w:sz w:val="16"/>
                <w:szCs w:val="16"/>
                <w:lang w:val="en-GB"/>
              </w:rPr>
              <w:t xml:space="preserve">The price development </w:t>
            </w:r>
            <w:r w:rsidR="005C2444" w:rsidRPr="00C8708D">
              <w:rPr>
                <w:sz w:val="16"/>
                <w:szCs w:val="16"/>
                <w:lang w:val="en-GB"/>
              </w:rPr>
              <w:t xml:space="preserve">in the last two years </w:t>
            </w:r>
            <w:r w:rsidR="005C2444">
              <w:rPr>
                <w:sz w:val="16"/>
                <w:szCs w:val="16"/>
                <w:lang w:val="en-GB"/>
              </w:rPr>
              <w:t>worked mildly</w:t>
            </w:r>
            <w:r w:rsidRPr="00C8708D">
              <w:rPr>
                <w:sz w:val="16"/>
                <w:szCs w:val="16"/>
                <w:lang w:val="en-GB"/>
              </w:rPr>
              <w:t xml:space="preserve"> in the direction of </w:t>
            </w:r>
            <w:r w:rsidR="00E70997">
              <w:rPr>
                <w:sz w:val="16"/>
                <w:szCs w:val="16"/>
                <w:lang w:val="en-GB"/>
              </w:rPr>
              <w:t>straightening o</w:t>
            </w:r>
            <w:r w:rsidRPr="00C8708D">
              <w:rPr>
                <w:sz w:val="16"/>
                <w:szCs w:val="16"/>
                <w:lang w:val="en-GB"/>
              </w:rPr>
              <w:t xml:space="preserve">f social inequalities </w:t>
            </w:r>
          </w:p>
          <w:p w:rsidR="00960769" w:rsidRPr="00C8708D" w:rsidRDefault="00960769" w:rsidP="004F4831">
            <w:pPr>
              <w:spacing w:line="240" w:lineRule="auto"/>
              <w:rPr>
                <w:sz w:val="16"/>
                <w:szCs w:val="16"/>
                <w:lang w:val="en-GB"/>
              </w:rPr>
            </w:pPr>
          </w:p>
        </w:tc>
        <w:tc>
          <w:tcPr>
            <w:tcW w:w="143" w:type="pct"/>
          </w:tcPr>
          <w:p w:rsidR="00960769" w:rsidRPr="00C8708D" w:rsidRDefault="00960769" w:rsidP="00960769">
            <w:pPr>
              <w:pStyle w:val="Textpoznpodarou"/>
              <w:jc w:val="both"/>
              <w:rPr>
                <w:lang w:val="en-GB"/>
              </w:rPr>
            </w:pPr>
          </w:p>
        </w:tc>
        <w:tc>
          <w:tcPr>
            <w:tcW w:w="3803" w:type="pct"/>
          </w:tcPr>
          <w:p w:rsidR="00960769" w:rsidRPr="00C8708D" w:rsidRDefault="00C8708D" w:rsidP="00960769">
            <w:pPr>
              <w:pStyle w:val="Textpoznpodarou"/>
              <w:jc w:val="both"/>
              <w:rPr>
                <w:lang w:val="en-GB"/>
              </w:rPr>
            </w:pPr>
            <w:r w:rsidRPr="00C8708D">
              <w:rPr>
                <w:lang w:val="en-GB"/>
              </w:rPr>
              <w:t xml:space="preserve">It is positive from the point of view of social inequality development, </w:t>
            </w:r>
            <w:r w:rsidR="009C4152">
              <w:rPr>
                <w:lang w:val="en-GB"/>
              </w:rPr>
              <w:t xml:space="preserve">that the </w:t>
            </w:r>
            <w:r w:rsidRPr="00C8708D">
              <w:rPr>
                <w:lang w:val="en-GB"/>
              </w:rPr>
              <w:t>dynamics of prices fo</w:t>
            </w:r>
            <w:r>
              <w:rPr>
                <w:lang w:val="en-GB"/>
              </w:rPr>
              <w:t>r</w:t>
            </w:r>
            <w:r w:rsidRPr="00C8708D">
              <w:rPr>
                <w:lang w:val="en-GB"/>
              </w:rPr>
              <w:t xml:space="preserve"> households of pensioners </w:t>
            </w:r>
            <w:r w:rsidR="00960769" w:rsidRPr="00C8708D">
              <w:rPr>
                <w:lang w:val="en-GB"/>
              </w:rPr>
              <w:t>(+0</w:t>
            </w:r>
            <w:r w:rsidRPr="00C8708D">
              <w:rPr>
                <w:lang w:val="en-GB"/>
              </w:rPr>
              <w:t>.</w:t>
            </w:r>
            <w:r w:rsidR="009C4152">
              <w:rPr>
                <w:lang w:val="en-GB"/>
              </w:rPr>
              <w:t>1</w:t>
            </w:r>
            <w:r w:rsidR="00960769" w:rsidRPr="00C8708D">
              <w:rPr>
                <w:lang w:val="en-GB"/>
              </w:rPr>
              <w:t xml:space="preserve">%) </w:t>
            </w:r>
            <w:r w:rsidR="009C4152">
              <w:rPr>
                <w:lang w:val="en-GB"/>
              </w:rPr>
              <w:t xml:space="preserve">was weaker compared </w:t>
            </w:r>
            <w:r w:rsidRPr="00C8708D">
              <w:rPr>
                <w:lang w:val="en-GB"/>
              </w:rPr>
              <w:t xml:space="preserve">to households in total </w:t>
            </w:r>
            <w:r w:rsidR="00960769" w:rsidRPr="00C8708D">
              <w:rPr>
                <w:lang w:val="en-GB"/>
              </w:rPr>
              <w:t>(+0</w:t>
            </w:r>
            <w:r w:rsidRPr="00C8708D">
              <w:rPr>
                <w:lang w:val="en-GB"/>
              </w:rPr>
              <w:t>.</w:t>
            </w:r>
            <w:r w:rsidR="009C4152">
              <w:rPr>
                <w:lang w:val="en-GB"/>
              </w:rPr>
              <w:t>3</w:t>
            </w:r>
            <w:r w:rsidR="00960769" w:rsidRPr="00C8708D">
              <w:rPr>
                <w:lang w:val="en-GB"/>
              </w:rPr>
              <w:t>%)</w:t>
            </w:r>
            <w:r w:rsidRPr="00C8708D">
              <w:rPr>
                <w:lang w:val="en-GB"/>
              </w:rPr>
              <w:t xml:space="preserve"> in the last year. The situation from the previous year was repeated. The long term increase of the social inequalities was thus slightly mitigated during the last two years, even though they still remain</w:t>
            </w:r>
            <w:r w:rsidR="005C2444">
              <w:rPr>
                <w:lang w:val="en-GB"/>
              </w:rPr>
              <w:t>ed</w:t>
            </w:r>
            <w:r w:rsidRPr="00C8708D">
              <w:rPr>
                <w:lang w:val="en-GB"/>
              </w:rPr>
              <w:t xml:space="preserve"> considerable. If the prices rose by </w:t>
            </w:r>
            <w:r w:rsidR="00960769" w:rsidRPr="00C8708D">
              <w:rPr>
                <w:lang w:val="en-GB"/>
              </w:rPr>
              <w:t>23</w:t>
            </w:r>
            <w:r w:rsidRPr="00C8708D">
              <w:rPr>
                <w:lang w:val="en-GB"/>
              </w:rPr>
              <w:t>.</w:t>
            </w:r>
            <w:r w:rsidR="009C4152">
              <w:rPr>
                <w:lang w:val="en-GB"/>
              </w:rPr>
              <w:t>6</w:t>
            </w:r>
            <w:r w:rsidR="005C2444">
              <w:rPr>
                <w:lang w:val="en-GB"/>
              </w:rPr>
              <w:t>%</w:t>
            </w:r>
            <w:r w:rsidR="00960769" w:rsidRPr="00C8708D">
              <w:rPr>
                <w:lang w:val="en-GB"/>
              </w:rPr>
              <w:t xml:space="preserve"> </w:t>
            </w:r>
            <w:r w:rsidRPr="00C8708D">
              <w:rPr>
                <w:lang w:val="en-GB"/>
              </w:rPr>
              <w:t xml:space="preserve">from the view of households in total in the last ten years, the cost of living for households of pensioners expanded by </w:t>
            </w:r>
            <w:r w:rsidR="00960769" w:rsidRPr="00C8708D">
              <w:rPr>
                <w:lang w:val="en-GB"/>
              </w:rPr>
              <w:t>32</w:t>
            </w:r>
            <w:r w:rsidRPr="00C8708D">
              <w:rPr>
                <w:lang w:val="en-GB"/>
              </w:rPr>
              <w:t>.</w:t>
            </w:r>
            <w:r w:rsidR="009C4152">
              <w:rPr>
                <w:lang w:val="en-GB"/>
              </w:rPr>
              <w:t>4</w:t>
            </w:r>
            <w:r w:rsidR="00960769" w:rsidRPr="00C8708D">
              <w:rPr>
                <w:lang w:val="en-GB"/>
              </w:rPr>
              <w:t>%</w:t>
            </w:r>
            <w:r w:rsidRPr="00C8708D">
              <w:rPr>
                <w:lang w:val="en-GB"/>
              </w:rPr>
              <w:t xml:space="preserve"> in this period. </w:t>
            </w:r>
          </w:p>
          <w:p w:rsidR="00960769" w:rsidRPr="00C8708D" w:rsidRDefault="00960769" w:rsidP="00960769">
            <w:pPr>
              <w:pStyle w:val="Textpoznpodarou"/>
              <w:jc w:val="both"/>
              <w:rPr>
                <w:sz w:val="18"/>
                <w:szCs w:val="18"/>
                <w:lang w:val="en-GB"/>
              </w:rPr>
            </w:pPr>
          </w:p>
        </w:tc>
      </w:tr>
      <w:tr w:rsidR="00960769" w:rsidRPr="007D44C3" w:rsidTr="00960769">
        <w:tc>
          <w:tcPr>
            <w:tcW w:w="1054" w:type="pct"/>
          </w:tcPr>
          <w:p w:rsidR="00C8708D" w:rsidRPr="00C8708D" w:rsidRDefault="00C8708D" w:rsidP="004F4831">
            <w:pPr>
              <w:spacing w:line="240" w:lineRule="auto"/>
              <w:rPr>
                <w:sz w:val="16"/>
                <w:szCs w:val="16"/>
                <w:lang w:val="en-GB"/>
              </w:rPr>
            </w:pPr>
            <w:r w:rsidRPr="00C8708D">
              <w:rPr>
                <w:sz w:val="16"/>
                <w:szCs w:val="16"/>
                <w:lang w:val="en-GB"/>
              </w:rPr>
              <w:t>The prices of real estate dramatically increase in the environment of low i</w:t>
            </w:r>
            <w:r w:rsidR="00767D58">
              <w:rPr>
                <w:sz w:val="16"/>
                <w:szCs w:val="16"/>
                <w:lang w:val="en-GB"/>
              </w:rPr>
              <w:t>nterest rates. The size of rentals</w:t>
            </w:r>
            <w:r w:rsidRPr="00C8708D">
              <w:rPr>
                <w:sz w:val="16"/>
                <w:szCs w:val="16"/>
                <w:lang w:val="en-GB"/>
              </w:rPr>
              <w:t xml:space="preserve"> however does not change much</w:t>
            </w:r>
          </w:p>
          <w:p w:rsidR="00960769" w:rsidRPr="00C8708D" w:rsidRDefault="00960769" w:rsidP="004F4831">
            <w:pPr>
              <w:spacing w:line="240" w:lineRule="auto"/>
              <w:rPr>
                <w:sz w:val="16"/>
                <w:szCs w:val="16"/>
                <w:lang w:val="en-GB"/>
              </w:rPr>
            </w:pPr>
          </w:p>
        </w:tc>
        <w:tc>
          <w:tcPr>
            <w:tcW w:w="143" w:type="pct"/>
          </w:tcPr>
          <w:p w:rsidR="00960769" w:rsidRPr="00C8708D" w:rsidRDefault="00960769" w:rsidP="00960769">
            <w:pPr>
              <w:pStyle w:val="Textpoznpodarou"/>
              <w:jc w:val="both"/>
              <w:rPr>
                <w:lang w:val="en-GB"/>
              </w:rPr>
            </w:pPr>
          </w:p>
        </w:tc>
        <w:tc>
          <w:tcPr>
            <w:tcW w:w="3803" w:type="pct"/>
          </w:tcPr>
          <w:p w:rsidR="00960769" w:rsidRPr="00C8708D" w:rsidRDefault="00C8708D" w:rsidP="00960769">
            <w:pPr>
              <w:pStyle w:val="Textpoznpodarou"/>
              <w:jc w:val="both"/>
              <w:rPr>
                <w:lang w:val="en-GB"/>
              </w:rPr>
            </w:pPr>
            <w:r w:rsidRPr="00C8708D">
              <w:rPr>
                <w:lang w:val="en-GB"/>
              </w:rPr>
              <w:t xml:space="preserve">A fast growth of the real estate prices occurs in the Czech economy. The realised prices of new flats hiked up by </w:t>
            </w:r>
            <w:r w:rsidR="000B48A2" w:rsidRPr="00C8708D">
              <w:rPr>
                <w:lang w:val="en-GB"/>
              </w:rPr>
              <w:t>5</w:t>
            </w:r>
            <w:r w:rsidRPr="00C8708D">
              <w:rPr>
                <w:lang w:val="en-GB"/>
              </w:rPr>
              <w:t>.</w:t>
            </w:r>
            <w:r w:rsidR="000B48A2" w:rsidRPr="00C8708D">
              <w:rPr>
                <w:lang w:val="en-GB"/>
              </w:rPr>
              <w:t>2%</w:t>
            </w:r>
            <w:r w:rsidRPr="00C8708D">
              <w:rPr>
                <w:lang w:val="en-GB"/>
              </w:rPr>
              <w:t xml:space="preserve"> in Prague in Q4 2015 year-on-year, prices o</w:t>
            </w:r>
            <w:r w:rsidR="009C4152">
              <w:rPr>
                <w:lang w:val="en-GB"/>
              </w:rPr>
              <w:t>f</w:t>
            </w:r>
            <w:r w:rsidR="00767D58">
              <w:rPr>
                <w:lang w:val="en-GB"/>
              </w:rPr>
              <w:t xml:space="preserve"> second-hand</w:t>
            </w:r>
            <w:r w:rsidR="009C4152">
              <w:rPr>
                <w:lang w:val="en-GB"/>
              </w:rPr>
              <w:t xml:space="preserve"> flats were raised up by</w:t>
            </w:r>
            <w:r w:rsidR="000B48A2" w:rsidRPr="00C8708D">
              <w:rPr>
                <w:lang w:val="en-GB"/>
              </w:rPr>
              <w:t xml:space="preserve"> 4</w:t>
            </w:r>
            <w:r w:rsidRPr="00C8708D">
              <w:rPr>
                <w:lang w:val="en-GB"/>
              </w:rPr>
              <w:t>.</w:t>
            </w:r>
            <w:r w:rsidR="000B48A2" w:rsidRPr="00C8708D">
              <w:rPr>
                <w:lang w:val="en-GB"/>
              </w:rPr>
              <w:t>6</w:t>
            </w:r>
            <w:r w:rsidR="00960769" w:rsidRPr="00C8708D">
              <w:rPr>
                <w:lang w:val="en-GB"/>
              </w:rPr>
              <w:t xml:space="preserve">%. </w:t>
            </w:r>
            <w:r w:rsidRPr="00C8708D">
              <w:rPr>
                <w:lang w:val="en-GB"/>
              </w:rPr>
              <w:t>The development of prices was</w:t>
            </w:r>
            <w:r w:rsidR="00767D58">
              <w:rPr>
                <w:lang w:val="en-GB"/>
              </w:rPr>
              <w:t xml:space="preserve"> even</w:t>
            </w:r>
            <w:r w:rsidRPr="00C8708D">
              <w:rPr>
                <w:lang w:val="en-GB"/>
              </w:rPr>
              <w:t xml:space="preserve"> faster in other regions, since the realised prices of </w:t>
            </w:r>
            <w:r w:rsidR="00767D58">
              <w:rPr>
                <w:lang w:val="en-GB"/>
              </w:rPr>
              <w:t>second-hand</w:t>
            </w:r>
            <w:r w:rsidRPr="00C8708D">
              <w:rPr>
                <w:lang w:val="en-GB"/>
              </w:rPr>
              <w:t xml:space="preserve"> flats outside Prague increased by </w:t>
            </w:r>
            <w:r w:rsidR="000B48A2" w:rsidRPr="00C8708D">
              <w:rPr>
                <w:lang w:val="en-GB"/>
              </w:rPr>
              <w:t>7</w:t>
            </w:r>
            <w:r w:rsidRPr="00C8708D">
              <w:rPr>
                <w:lang w:val="en-GB"/>
              </w:rPr>
              <w:t>.</w:t>
            </w:r>
            <w:r w:rsidR="000B48A2" w:rsidRPr="00C8708D">
              <w:rPr>
                <w:lang w:val="en-GB"/>
              </w:rPr>
              <w:t>4</w:t>
            </w:r>
            <w:r w:rsidR="00960769" w:rsidRPr="00C8708D">
              <w:rPr>
                <w:lang w:val="en-GB"/>
              </w:rPr>
              <w:t>%</w:t>
            </w:r>
            <w:r w:rsidRPr="00C8708D">
              <w:rPr>
                <w:lang w:val="en-GB"/>
              </w:rPr>
              <w:t xml:space="preserve"> in the last quarter 2015. This development was supported by low interest rates transforming in the enlarged volume of </w:t>
            </w:r>
            <w:r w:rsidR="00767D58">
              <w:rPr>
                <w:lang w:val="en-GB"/>
              </w:rPr>
              <w:t xml:space="preserve">loans for </w:t>
            </w:r>
            <w:r w:rsidR="00767D58">
              <w:rPr>
                <w:lang w:val="en-GB"/>
              </w:rPr>
              <w:lastRenderedPageBreak/>
              <w:t>house purchase</w:t>
            </w:r>
            <w:r w:rsidRPr="00C8708D">
              <w:rPr>
                <w:lang w:val="en-GB"/>
              </w:rPr>
              <w:t>. It is however surp</w:t>
            </w:r>
            <w:r w:rsidR="009E1E6B">
              <w:rPr>
                <w:lang w:val="en-GB"/>
              </w:rPr>
              <w:t>rising, that the prices of rentals</w:t>
            </w:r>
            <w:r w:rsidRPr="00C8708D">
              <w:rPr>
                <w:lang w:val="en-GB"/>
              </w:rPr>
              <w:t xml:space="preserve"> do not react to the strong growth of real estate prices so far. The prices of </w:t>
            </w:r>
            <w:r w:rsidR="009E1E6B">
              <w:rPr>
                <w:lang w:val="en-GB"/>
              </w:rPr>
              <w:t>actual rentals for housing</w:t>
            </w:r>
            <w:r w:rsidRPr="00C8708D">
              <w:rPr>
                <w:lang w:val="en-GB"/>
              </w:rPr>
              <w:t xml:space="preserve"> increased only by</w:t>
            </w:r>
            <w:r w:rsidR="000B48A2" w:rsidRPr="00C8708D">
              <w:rPr>
                <w:spacing w:val="-2"/>
                <w:lang w:val="en-GB"/>
              </w:rPr>
              <w:t> </w:t>
            </w:r>
            <w:r w:rsidR="007C0065" w:rsidRPr="00C8708D">
              <w:rPr>
                <w:spacing w:val="-2"/>
                <w:lang w:val="en-GB"/>
              </w:rPr>
              <w:t>0</w:t>
            </w:r>
            <w:r w:rsidRPr="00C8708D">
              <w:rPr>
                <w:spacing w:val="-2"/>
                <w:lang w:val="en-GB"/>
              </w:rPr>
              <w:t>.</w:t>
            </w:r>
            <w:r w:rsidR="009C4152">
              <w:rPr>
                <w:spacing w:val="-2"/>
                <w:lang w:val="en-GB"/>
              </w:rPr>
              <w:t>8</w:t>
            </w:r>
            <w:r w:rsidR="007C0065" w:rsidRPr="00C8708D">
              <w:rPr>
                <w:spacing w:val="-2"/>
                <w:lang w:val="en-GB"/>
              </w:rPr>
              <w:t>%</w:t>
            </w:r>
            <w:r w:rsidRPr="00C8708D">
              <w:rPr>
                <w:spacing w:val="-2"/>
                <w:lang w:val="en-GB"/>
              </w:rPr>
              <w:t xml:space="preserve"> </w:t>
            </w:r>
            <w:r w:rsidRPr="00C8708D">
              <w:rPr>
                <w:lang w:val="en-GB"/>
              </w:rPr>
              <w:t xml:space="preserve">year-on-year in the last quarter of the last year and prices of </w:t>
            </w:r>
            <w:r w:rsidR="009E1E6B">
              <w:rPr>
                <w:lang w:val="en-GB"/>
              </w:rPr>
              <w:t>imputed rentals</w:t>
            </w:r>
            <w:r w:rsidRPr="00C8708D">
              <w:rPr>
                <w:lang w:val="en-GB"/>
              </w:rPr>
              <w:t xml:space="preserve"> by</w:t>
            </w:r>
            <w:r w:rsidR="007C0065" w:rsidRPr="00C8708D">
              <w:rPr>
                <w:spacing w:val="-2"/>
                <w:lang w:val="en-GB"/>
              </w:rPr>
              <w:t xml:space="preserve"> </w:t>
            </w:r>
            <w:r w:rsidR="00960769" w:rsidRPr="00C8708D">
              <w:rPr>
                <w:spacing w:val="-2"/>
                <w:lang w:val="en-GB"/>
              </w:rPr>
              <w:t>0</w:t>
            </w:r>
            <w:r w:rsidRPr="00C8708D">
              <w:rPr>
                <w:spacing w:val="-2"/>
                <w:lang w:val="en-GB"/>
              </w:rPr>
              <w:t>.</w:t>
            </w:r>
            <w:r w:rsidR="009C4152">
              <w:rPr>
                <w:lang w:val="en-GB"/>
              </w:rPr>
              <w:t>9</w:t>
            </w:r>
            <w:r w:rsidR="00960769" w:rsidRPr="00C8708D">
              <w:rPr>
                <w:lang w:val="en-GB"/>
              </w:rPr>
              <w:t>%.</w:t>
            </w:r>
          </w:p>
          <w:p w:rsidR="00960769" w:rsidRPr="00537E97" w:rsidRDefault="00960769" w:rsidP="00960769">
            <w:pPr>
              <w:pStyle w:val="Textpoznpodarou"/>
              <w:jc w:val="both"/>
              <w:rPr>
                <w:sz w:val="16"/>
                <w:szCs w:val="16"/>
                <w:lang w:val="en-GB"/>
              </w:rPr>
            </w:pPr>
          </w:p>
        </w:tc>
      </w:tr>
      <w:tr w:rsidR="00960769" w:rsidRPr="007D44C3" w:rsidTr="00960769">
        <w:tc>
          <w:tcPr>
            <w:tcW w:w="1054" w:type="pct"/>
          </w:tcPr>
          <w:p w:rsidR="00960769" w:rsidRPr="006E6976" w:rsidRDefault="006E6976" w:rsidP="004F4831">
            <w:pPr>
              <w:spacing w:line="240" w:lineRule="auto"/>
              <w:rPr>
                <w:sz w:val="16"/>
                <w:szCs w:val="16"/>
                <w:lang w:val="en-GB"/>
              </w:rPr>
            </w:pPr>
            <w:r w:rsidRPr="006E6976">
              <w:rPr>
                <w:sz w:val="16"/>
                <w:szCs w:val="16"/>
                <w:lang w:val="en-GB"/>
              </w:rPr>
              <w:lastRenderedPageBreak/>
              <w:t>Consumer prices fall mainly in the less developed economies of the EU</w:t>
            </w:r>
          </w:p>
        </w:tc>
        <w:tc>
          <w:tcPr>
            <w:tcW w:w="143" w:type="pct"/>
          </w:tcPr>
          <w:p w:rsidR="00960769" w:rsidRPr="006E6976" w:rsidRDefault="00960769" w:rsidP="00960769">
            <w:pPr>
              <w:pStyle w:val="Textpoznpodarou"/>
              <w:jc w:val="both"/>
              <w:rPr>
                <w:lang w:val="en-GB"/>
              </w:rPr>
            </w:pPr>
          </w:p>
        </w:tc>
        <w:tc>
          <w:tcPr>
            <w:tcW w:w="3803" w:type="pct"/>
          </w:tcPr>
          <w:p w:rsidR="00960769" w:rsidRPr="006E6976" w:rsidRDefault="006E6976" w:rsidP="00960769">
            <w:pPr>
              <w:pStyle w:val="Textpoznpodarou"/>
              <w:jc w:val="both"/>
              <w:rPr>
                <w:lang w:val="en-GB"/>
              </w:rPr>
            </w:pPr>
            <w:r w:rsidRPr="006E6976">
              <w:rPr>
                <w:lang w:val="en-GB"/>
              </w:rPr>
              <w:t>The slump of the oil price, initiated in summer 2014,</w:t>
            </w:r>
            <w:r w:rsidR="00E70997">
              <w:rPr>
                <w:lang w:val="en-GB"/>
              </w:rPr>
              <w:t xml:space="preserve"> </w:t>
            </w:r>
            <w:r w:rsidRPr="006E6976">
              <w:rPr>
                <w:lang w:val="en-GB"/>
              </w:rPr>
              <w:t>affected all European Union countries. The harmonised index of consumer price</w:t>
            </w:r>
            <w:r w:rsidR="00735A88">
              <w:rPr>
                <w:lang w:val="en-GB"/>
              </w:rPr>
              <w:t>s lowered only in Greece in 2013</w:t>
            </w:r>
            <w:r w:rsidRPr="006E6976">
              <w:rPr>
                <w:lang w:val="en-GB"/>
              </w:rPr>
              <w:t>. Already six Union countries faced deflation in 2014</w:t>
            </w:r>
            <w:r w:rsidR="00735A88">
              <w:rPr>
                <w:lang w:val="en-GB"/>
              </w:rPr>
              <w:t>, however,</w:t>
            </w:r>
            <w:r w:rsidRPr="006E6976">
              <w:rPr>
                <w:lang w:val="en-GB"/>
              </w:rPr>
              <w:t xml:space="preserve"> and even eleven in the last year. In addition it is interesting, that the deflation was apparent especially in the less developed countries of the EU. Only Finland among the above average developed economie</w:t>
            </w:r>
            <w:r w:rsidR="00735A88">
              <w:rPr>
                <w:lang w:val="en-GB"/>
              </w:rPr>
              <w:t>s based on GDP per capita in PPS</w:t>
            </w:r>
            <w:r w:rsidRPr="006E6976">
              <w:rPr>
                <w:lang w:val="en-GB"/>
              </w:rPr>
              <w:t xml:space="preserve"> faced deflation </w:t>
            </w:r>
            <w:r w:rsidR="00960769" w:rsidRPr="006E6976">
              <w:rPr>
                <w:lang w:val="en-GB"/>
              </w:rPr>
              <w:t>(-0</w:t>
            </w:r>
            <w:r w:rsidRPr="006E6976">
              <w:rPr>
                <w:lang w:val="en-GB"/>
              </w:rPr>
              <w:t>.</w:t>
            </w:r>
            <w:r w:rsidR="009C4152">
              <w:rPr>
                <w:lang w:val="en-GB"/>
              </w:rPr>
              <w:t>2</w:t>
            </w:r>
            <w:r w:rsidR="00960769" w:rsidRPr="006E6976">
              <w:rPr>
                <w:lang w:val="en-GB"/>
              </w:rPr>
              <w:t>%).</w:t>
            </w:r>
            <w:r w:rsidRPr="006E6976">
              <w:rPr>
                <w:lang w:val="en-GB"/>
              </w:rPr>
              <w:t xml:space="preserve"> The prices moved despite ongoing quantitative </w:t>
            </w:r>
            <w:r w:rsidR="00735A88">
              <w:rPr>
                <w:lang w:val="en-GB"/>
              </w:rPr>
              <w:t>easing</w:t>
            </w:r>
            <w:r w:rsidRPr="006E6976">
              <w:rPr>
                <w:lang w:val="en-GB"/>
              </w:rPr>
              <w:t xml:space="preserve"> from a mild growth into stagnation in the euro area, the same occurred in the whole </w:t>
            </w:r>
            <w:r w:rsidR="00735A88">
              <w:rPr>
                <w:lang w:val="en-GB"/>
              </w:rPr>
              <w:t>EU</w:t>
            </w:r>
            <w:r w:rsidRPr="006E6976">
              <w:rPr>
                <w:lang w:val="en-GB"/>
              </w:rPr>
              <w:t xml:space="preserve">. </w:t>
            </w:r>
          </w:p>
          <w:p w:rsidR="00960769" w:rsidRPr="006E6976" w:rsidRDefault="00960769" w:rsidP="00960769">
            <w:pPr>
              <w:pStyle w:val="Textpoznpodarou"/>
              <w:jc w:val="both"/>
              <w:rPr>
                <w:spacing w:val="-2"/>
                <w:sz w:val="18"/>
                <w:szCs w:val="18"/>
                <w:lang w:val="en-GB"/>
              </w:rPr>
            </w:pPr>
          </w:p>
        </w:tc>
      </w:tr>
      <w:tr w:rsidR="00960769" w:rsidRPr="007D44C3" w:rsidTr="00960769">
        <w:tc>
          <w:tcPr>
            <w:tcW w:w="1054" w:type="pct"/>
          </w:tcPr>
          <w:p w:rsidR="00960769" w:rsidRPr="00446E39" w:rsidRDefault="00A06467" w:rsidP="00A06467">
            <w:pPr>
              <w:spacing w:line="240" w:lineRule="auto"/>
              <w:rPr>
                <w:sz w:val="16"/>
                <w:szCs w:val="16"/>
                <w:lang w:val="en-GB"/>
              </w:rPr>
            </w:pPr>
            <w:r w:rsidRPr="00446E39">
              <w:rPr>
                <w:sz w:val="16"/>
                <w:szCs w:val="16"/>
                <w:lang w:val="en-GB"/>
              </w:rPr>
              <w:t>Industrial producer prices fell the fastest in history. They decreased by</w:t>
            </w:r>
            <w:r w:rsidR="00960769" w:rsidRPr="00446E39">
              <w:rPr>
                <w:sz w:val="16"/>
                <w:szCs w:val="16"/>
                <w:lang w:val="en-GB"/>
              </w:rPr>
              <w:t> 3</w:t>
            </w:r>
            <w:r w:rsidRPr="00446E39">
              <w:rPr>
                <w:sz w:val="16"/>
                <w:szCs w:val="16"/>
                <w:lang w:val="en-GB"/>
              </w:rPr>
              <w:t>.</w:t>
            </w:r>
            <w:r w:rsidR="009C4152">
              <w:rPr>
                <w:sz w:val="16"/>
                <w:szCs w:val="16"/>
                <w:lang w:val="en-GB"/>
              </w:rPr>
              <w:t>2</w:t>
            </w:r>
            <w:r w:rsidR="00960769" w:rsidRPr="00446E39">
              <w:rPr>
                <w:sz w:val="16"/>
                <w:szCs w:val="16"/>
                <w:lang w:val="en-GB"/>
              </w:rPr>
              <w:t>%, …</w:t>
            </w:r>
          </w:p>
        </w:tc>
        <w:tc>
          <w:tcPr>
            <w:tcW w:w="143" w:type="pct"/>
          </w:tcPr>
          <w:p w:rsidR="00960769" w:rsidRPr="00446E39" w:rsidRDefault="00960769" w:rsidP="00960769">
            <w:pPr>
              <w:pStyle w:val="Textpoznpodarou"/>
              <w:jc w:val="both"/>
              <w:rPr>
                <w:lang w:val="en-GB"/>
              </w:rPr>
            </w:pPr>
          </w:p>
        </w:tc>
        <w:tc>
          <w:tcPr>
            <w:tcW w:w="3803" w:type="pct"/>
          </w:tcPr>
          <w:p w:rsidR="00960769" w:rsidRPr="00446E39" w:rsidRDefault="00A06467" w:rsidP="00960769">
            <w:pPr>
              <w:pStyle w:val="Textpoznpodarou"/>
              <w:jc w:val="both"/>
              <w:rPr>
                <w:lang w:val="en-GB"/>
              </w:rPr>
            </w:pPr>
            <w:r w:rsidRPr="00446E39">
              <w:rPr>
                <w:lang w:val="en-GB"/>
              </w:rPr>
              <w:t xml:space="preserve">The industrial producer prices fell by </w:t>
            </w:r>
            <w:r w:rsidR="00960769" w:rsidRPr="00446E39">
              <w:rPr>
                <w:lang w:val="en-GB"/>
              </w:rPr>
              <w:t>3</w:t>
            </w:r>
            <w:r w:rsidRPr="00446E39">
              <w:rPr>
                <w:lang w:val="en-GB"/>
              </w:rPr>
              <w:t>.</w:t>
            </w:r>
            <w:r w:rsidR="009C4152">
              <w:rPr>
                <w:lang w:val="en-GB"/>
              </w:rPr>
              <w:t>2</w:t>
            </w:r>
            <w:r w:rsidR="00960769" w:rsidRPr="00446E39">
              <w:rPr>
                <w:lang w:val="en-GB"/>
              </w:rPr>
              <w:t xml:space="preserve">% </w:t>
            </w:r>
            <w:r w:rsidRPr="00446E39">
              <w:rPr>
                <w:lang w:val="en-GB"/>
              </w:rPr>
              <w:t xml:space="preserve">in 2015, the fastest in the history of the Czech Republic. The prices were falling faster in Q3 and </w:t>
            </w:r>
            <w:r w:rsidR="00E70997">
              <w:rPr>
                <w:lang w:val="en-GB"/>
              </w:rPr>
              <w:t>Q</w:t>
            </w:r>
            <w:r w:rsidRPr="00446E39">
              <w:rPr>
                <w:lang w:val="en-GB"/>
              </w:rPr>
              <w:t xml:space="preserve">4 with respect to the renewed slump of the prices of oil starting in the half of the year. The prices fell by </w:t>
            </w:r>
            <w:r w:rsidR="00960769" w:rsidRPr="00446E39">
              <w:rPr>
                <w:lang w:val="en-GB"/>
              </w:rPr>
              <w:t>3</w:t>
            </w:r>
            <w:r w:rsidRPr="00446E39">
              <w:rPr>
                <w:lang w:val="en-GB"/>
              </w:rPr>
              <w:t>.</w:t>
            </w:r>
            <w:r w:rsidR="009C4152">
              <w:rPr>
                <w:lang w:val="en-GB"/>
              </w:rPr>
              <w:t>3</w:t>
            </w:r>
            <w:r w:rsidR="00960769" w:rsidRPr="00446E39">
              <w:rPr>
                <w:lang w:val="en-GB"/>
              </w:rPr>
              <w:t>% a</w:t>
            </w:r>
            <w:r w:rsidRPr="00446E39">
              <w:rPr>
                <w:lang w:val="en-GB"/>
              </w:rPr>
              <w:t>nd</w:t>
            </w:r>
            <w:r w:rsidR="00960769" w:rsidRPr="00446E39">
              <w:rPr>
                <w:lang w:val="en-GB"/>
              </w:rPr>
              <w:t> 2</w:t>
            </w:r>
            <w:r w:rsidRPr="00446E39">
              <w:rPr>
                <w:lang w:val="en-GB"/>
              </w:rPr>
              <w:t>.</w:t>
            </w:r>
            <w:r w:rsidR="009C4152">
              <w:rPr>
                <w:lang w:val="en-GB"/>
              </w:rPr>
              <w:t>3</w:t>
            </w:r>
            <w:r w:rsidR="00960769" w:rsidRPr="00446E39">
              <w:rPr>
                <w:lang w:val="en-GB"/>
              </w:rPr>
              <w:t>%</w:t>
            </w:r>
            <w:r w:rsidRPr="00446E39">
              <w:rPr>
                <w:lang w:val="en-GB"/>
              </w:rPr>
              <w:t xml:space="preserve"> in the year-on-year comparison in Q1 and </w:t>
            </w:r>
            <w:r w:rsidR="00E70997">
              <w:rPr>
                <w:lang w:val="en-GB"/>
              </w:rPr>
              <w:t>Q</w:t>
            </w:r>
            <w:r w:rsidRPr="00446E39">
              <w:rPr>
                <w:lang w:val="en-GB"/>
              </w:rPr>
              <w:t>2, however already by</w:t>
            </w:r>
            <w:r w:rsidR="00446E39" w:rsidRPr="00446E39">
              <w:rPr>
                <w:lang w:val="en-GB"/>
              </w:rPr>
              <w:t xml:space="preserve"> </w:t>
            </w:r>
            <w:r w:rsidR="00960769" w:rsidRPr="00446E39">
              <w:rPr>
                <w:lang w:val="en-GB"/>
              </w:rPr>
              <w:t>3</w:t>
            </w:r>
            <w:r w:rsidR="00446E39" w:rsidRPr="00446E39">
              <w:rPr>
                <w:lang w:val="en-GB"/>
              </w:rPr>
              <w:t>.</w:t>
            </w:r>
            <w:r w:rsidR="009C4152">
              <w:rPr>
                <w:lang w:val="en-GB"/>
              </w:rPr>
              <w:t>6</w:t>
            </w:r>
            <w:r w:rsidR="00960769" w:rsidRPr="00446E39">
              <w:rPr>
                <w:lang w:val="en-GB"/>
              </w:rPr>
              <w:t>% a</w:t>
            </w:r>
            <w:r w:rsidR="00446E39" w:rsidRPr="00446E39">
              <w:rPr>
                <w:lang w:val="en-GB"/>
              </w:rPr>
              <w:t>nd</w:t>
            </w:r>
            <w:r w:rsidR="00960769" w:rsidRPr="00446E39">
              <w:rPr>
                <w:lang w:val="en-GB"/>
              </w:rPr>
              <w:t> 3</w:t>
            </w:r>
            <w:r w:rsidR="00446E39" w:rsidRPr="00446E39">
              <w:rPr>
                <w:lang w:val="en-GB"/>
              </w:rPr>
              <w:t>.</w:t>
            </w:r>
            <w:r w:rsidR="009C4152">
              <w:rPr>
                <w:lang w:val="en-GB"/>
              </w:rPr>
              <w:t>5</w:t>
            </w:r>
            <w:r w:rsidR="00735A88">
              <w:rPr>
                <w:lang w:val="en-GB"/>
              </w:rPr>
              <w:t>%</w:t>
            </w:r>
            <w:r w:rsidR="00960769" w:rsidRPr="00446E39">
              <w:rPr>
                <w:lang w:val="en-GB"/>
              </w:rPr>
              <w:t xml:space="preserve"> </w:t>
            </w:r>
            <w:r w:rsidR="00446E39" w:rsidRPr="00446E39">
              <w:rPr>
                <w:lang w:val="en-GB"/>
              </w:rPr>
              <w:t xml:space="preserve">in Q3 and </w:t>
            </w:r>
            <w:r w:rsidR="00E70997">
              <w:rPr>
                <w:lang w:val="en-GB"/>
              </w:rPr>
              <w:t>Q</w:t>
            </w:r>
            <w:r w:rsidR="00446E39" w:rsidRPr="00446E39">
              <w:rPr>
                <w:lang w:val="en-GB"/>
              </w:rPr>
              <w:t xml:space="preserve">4. The development of industrial producer prices was also similar in the EU. The fall of prices deepened </w:t>
            </w:r>
            <w:r w:rsidR="00735A88" w:rsidRPr="00446E39">
              <w:rPr>
                <w:lang w:val="en-GB"/>
              </w:rPr>
              <w:t>during the year 2015</w:t>
            </w:r>
            <w:r w:rsidR="00735A88">
              <w:rPr>
                <w:lang w:val="en-GB"/>
              </w:rPr>
              <w:t xml:space="preserve"> </w:t>
            </w:r>
            <w:r w:rsidR="00446E39" w:rsidRPr="00446E39">
              <w:rPr>
                <w:lang w:val="en-GB"/>
              </w:rPr>
              <w:t xml:space="preserve">in all </w:t>
            </w:r>
            <w:r w:rsidR="00446E39" w:rsidRPr="00735A88">
              <w:rPr>
                <w:spacing w:val="-4"/>
                <w:lang w:val="en-GB"/>
              </w:rPr>
              <w:t xml:space="preserve">member countries apart from Belgium, Poland, </w:t>
            </w:r>
            <w:r w:rsidR="00735A88" w:rsidRPr="00735A88">
              <w:rPr>
                <w:spacing w:val="-4"/>
                <w:lang w:val="en-GB"/>
              </w:rPr>
              <w:t>United Kingdom</w:t>
            </w:r>
            <w:r w:rsidR="00446E39" w:rsidRPr="00735A88">
              <w:rPr>
                <w:spacing w:val="-4"/>
                <w:lang w:val="en-GB"/>
              </w:rPr>
              <w:t>, Ireland and Hungary</w:t>
            </w:r>
            <w:r w:rsidR="00446E39" w:rsidRPr="00446E39">
              <w:rPr>
                <w:lang w:val="en-GB"/>
              </w:rPr>
              <w:t xml:space="preserve">. </w:t>
            </w:r>
          </w:p>
          <w:p w:rsidR="00960769" w:rsidRPr="00446E39" w:rsidRDefault="00960769" w:rsidP="00960769">
            <w:pPr>
              <w:pStyle w:val="Textpoznpodarou"/>
              <w:jc w:val="both"/>
              <w:rPr>
                <w:sz w:val="18"/>
                <w:szCs w:val="18"/>
                <w:lang w:val="en-GB"/>
              </w:rPr>
            </w:pPr>
          </w:p>
        </w:tc>
      </w:tr>
      <w:tr w:rsidR="00960769" w:rsidRPr="007D44C3" w:rsidTr="00960769">
        <w:tc>
          <w:tcPr>
            <w:tcW w:w="1054" w:type="pct"/>
          </w:tcPr>
          <w:p w:rsidR="00960769" w:rsidRPr="008E6073" w:rsidRDefault="00960769" w:rsidP="008E6073">
            <w:pPr>
              <w:spacing w:line="240" w:lineRule="auto"/>
              <w:rPr>
                <w:sz w:val="16"/>
                <w:szCs w:val="16"/>
                <w:lang w:val="en-GB"/>
              </w:rPr>
            </w:pPr>
            <w:r w:rsidRPr="008E6073">
              <w:rPr>
                <w:sz w:val="16"/>
                <w:szCs w:val="16"/>
                <w:lang w:val="en-GB"/>
              </w:rPr>
              <w:t xml:space="preserve">… </w:t>
            </w:r>
            <w:r w:rsidR="009C4152">
              <w:rPr>
                <w:sz w:val="16"/>
                <w:szCs w:val="16"/>
                <w:lang w:val="en-GB"/>
              </w:rPr>
              <w:t>even by 3.9</w:t>
            </w:r>
            <w:r w:rsidR="008E6073" w:rsidRPr="008E6073">
              <w:rPr>
                <w:sz w:val="16"/>
                <w:szCs w:val="16"/>
                <w:lang w:val="en-GB"/>
              </w:rPr>
              <w:t xml:space="preserve">% in manufacturing itself </w:t>
            </w:r>
          </w:p>
        </w:tc>
        <w:tc>
          <w:tcPr>
            <w:tcW w:w="143" w:type="pct"/>
          </w:tcPr>
          <w:p w:rsidR="00960769" w:rsidRPr="008E6073" w:rsidRDefault="00960769" w:rsidP="00960769">
            <w:pPr>
              <w:pStyle w:val="Textpoznpodarou"/>
              <w:jc w:val="both"/>
              <w:rPr>
                <w:lang w:val="en-GB"/>
              </w:rPr>
            </w:pPr>
          </w:p>
        </w:tc>
        <w:tc>
          <w:tcPr>
            <w:tcW w:w="3803" w:type="pct"/>
          </w:tcPr>
          <w:p w:rsidR="00960769" w:rsidRPr="004A217A" w:rsidRDefault="008E6073" w:rsidP="00960769">
            <w:pPr>
              <w:pStyle w:val="Textpoznpodarou"/>
              <w:jc w:val="both"/>
              <w:rPr>
                <w:lang w:val="en-GB"/>
              </w:rPr>
            </w:pPr>
            <w:r w:rsidRPr="004A217A">
              <w:rPr>
                <w:lang w:val="en-GB"/>
              </w:rPr>
              <w:t xml:space="preserve">The prices fell by </w:t>
            </w:r>
            <w:r w:rsidR="00960769" w:rsidRPr="004A217A">
              <w:rPr>
                <w:lang w:val="en-GB"/>
              </w:rPr>
              <w:t>3</w:t>
            </w:r>
            <w:r w:rsidRPr="004A217A">
              <w:rPr>
                <w:lang w:val="en-GB"/>
              </w:rPr>
              <w:t>.</w:t>
            </w:r>
            <w:r w:rsidR="009C4152">
              <w:rPr>
                <w:lang w:val="en-GB"/>
              </w:rPr>
              <w:t>9</w:t>
            </w:r>
            <w:r w:rsidR="00960769" w:rsidRPr="004A217A">
              <w:rPr>
                <w:lang w:val="en-GB"/>
              </w:rPr>
              <w:t>%</w:t>
            </w:r>
            <w:r w:rsidRPr="004A217A">
              <w:rPr>
                <w:lang w:val="en-GB"/>
              </w:rPr>
              <w:t xml:space="preserve"> in manufacturing in the last year, that is faster than in the industry as a whole. The deflation was the strongest in case of producers of </w:t>
            </w:r>
            <w:r w:rsidR="006E7D88">
              <w:rPr>
                <w:lang w:val="en-GB"/>
              </w:rPr>
              <w:t xml:space="preserve">coke and refined petroleum products </w:t>
            </w:r>
            <w:r w:rsidRPr="004A217A">
              <w:rPr>
                <w:lang w:val="en-GB"/>
              </w:rPr>
              <w:t xml:space="preserve">and producers of chemicals and chemical products. However, </w:t>
            </w:r>
            <w:proofErr w:type="gramStart"/>
            <w:r w:rsidRPr="004A217A">
              <w:rPr>
                <w:lang w:val="en-GB"/>
              </w:rPr>
              <w:t>neither mining and</w:t>
            </w:r>
            <w:proofErr w:type="gramEnd"/>
            <w:r w:rsidRPr="004A217A">
              <w:rPr>
                <w:lang w:val="en-GB"/>
              </w:rPr>
              <w:t xml:space="preserve"> quarrying </w:t>
            </w:r>
            <w:r w:rsidR="00960769" w:rsidRPr="004A217A">
              <w:rPr>
                <w:lang w:val="en-GB"/>
              </w:rPr>
              <w:t>(-0</w:t>
            </w:r>
            <w:r w:rsidRPr="004A217A">
              <w:rPr>
                <w:lang w:val="en-GB"/>
              </w:rPr>
              <w:t>.</w:t>
            </w:r>
            <w:r w:rsidR="009C4152">
              <w:rPr>
                <w:lang w:val="en-GB"/>
              </w:rPr>
              <w:t>6</w:t>
            </w:r>
            <w:r w:rsidR="00960769" w:rsidRPr="004A217A">
              <w:rPr>
                <w:lang w:val="en-GB"/>
              </w:rPr>
              <w:t xml:space="preserve">%), </w:t>
            </w:r>
            <w:r w:rsidRPr="004A217A">
              <w:rPr>
                <w:lang w:val="en-GB"/>
              </w:rPr>
              <w:t xml:space="preserve">where the prices fell already for the fourth time in the last year, nor energetics </w:t>
            </w:r>
            <w:r w:rsidR="00535C70">
              <w:rPr>
                <w:lang w:val="en-GB"/>
              </w:rPr>
              <w:t>(-0.</w:t>
            </w:r>
            <w:r w:rsidR="009C4152">
              <w:rPr>
                <w:lang w:val="en-GB"/>
              </w:rPr>
              <w:t>8</w:t>
            </w:r>
            <w:r w:rsidR="003B2580" w:rsidRPr="004A217A">
              <w:rPr>
                <w:lang w:val="en-GB"/>
              </w:rPr>
              <w:t>%)</w:t>
            </w:r>
            <w:r w:rsidRPr="004A217A">
              <w:rPr>
                <w:lang w:val="en-GB"/>
              </w:rPr>
              <w:t xml:space="preserve">, contributed positively to the development of </w:t>
            </w:r>
            <w:r w:rsidR="004A217A" w:rsidRPr="004A217A">
              <w:rPr>
                <w:lang w:val="en-GB"/>
              </w:rPr>
              <w:t>industrial</w:t>
            </w:r>
            <w:r w:rsidRPr="004A217A">
              <w:rPr>
                <w:lang w:val="en-GB"/>
              </w:rPr>
              <w:t xml:space="preserve"> producer prices either.</w:t>
            </w:r>
          </w:p>
          <w:p w:rsidR="00960769" w:rsidRPr="004A217A" w:rsidRDefault="00960769" w:rsidP="00960769">
            <w:pPr>
              <w:pStyle w:val="Textpoznpodarou"/>
              <w:jc w:val="both"/>
              <w:rPr>
                <w:sz w:val="18"/>
                <w:szCs w:val="18"/>
                <w:lang w:val="en-GB"/>
              </w:rPr>
            </w:pPr>
          </w:p>
        </w:tc>
      </w:tr>
      <w:tr w:rsidR="00960769" w:rsidRPr="007D44C3" w:rsidTr="00960769">
        <w:tc>
          <w:tcPr>
            <w:tcW w:w="1054" w:type="pct"/>
          </w:tcPr>
          <w:p w:rsidR="008E6073" w:rsidRPr="004A217A" w:rsidRDefault="008E6073" w:rsidP="008E6073">
            <w:pPr>
              <w:spacing w:line="240" w:lineRule="auto"/>
              <w:rPr>
                <w:sz w:val="16"/>
                <w:szCs w:val="16"/>
                <w:lang w:val="en-GB"/>
              </w:rPr>
            </w:pPr>
            <w:r w:rsidRPr="004A217A">
              <w:rPr>
                <w:sz w:val="16"/>
                <w:szCs w:val="16"/>
                <w:lang w:val="en-GB"/>
              </w:rPr>
              <w:t xml:space="preserve">Good harvest the cause of the fall of prices of the </w:t>
            </w:r>
            <w:r w:rsidR="003D4BC5">
              <w:rPr>
                <w:sz w:val="16"/>
                <w:szCs w:val="16"/>
                <w:lang w:val="en-GB"/>
              </w:rPr>
              <w:t>crop</w:t>
            </w:r>
            <w:r w:rsidRPr="004A217A">
              <w:rPr>
                <w:sz w:val="16"/>
                <w:szCs w:val="16"/>
                <w:lang w:val="en-GB"/>
              </w:rPr>
              <w:t xml:space="preserve"> pro</w:t>
            </w:r>
            <w:r w:rsidR="003D4BC5">
              <w:rPr>
                <w:sz w:val="16"/>
                <w:szCs w:val="16"/>
                <w:lang w:val="en-GB"/>
              </w:rPr>
              <w:t>ducts</w:t>
            </w:r>
            <w:r w:rsidRPr="004A217A">
              <w:rPr>
                <w:sz w:val="16"/>
                <w:szCs w:val="16"/>
                <w:lang w:val="en-GB"/>
              </w:rPr>
              <w:t xml:space="preserve">, restriction on imports to Russia and cancelling of milk quotas the cause of lower prices of </w:t>
            </w:r>
            <w:r w:rsidR="00290028">
              <w:rPr>
                <w:sz w:val="16"/>
                <w:szCs w:val="16"/>
                <w:lang w:val="en-GB"/>
              </w:rPr>
              <w:t>animals and animal products</w:t>
            </w:r>
          </w:p>
          <w:p w:rsidR="00960769" w:rsidRPr="004A217A" w:rsidRDefault="00960769" w:rsidP="00960769">
            <w:pPr>
              <w:spacing w:line="240" w:lineRule="auto"/>
              <w:rPr>
                <w:sz w:val="16"/>
                <w:szCs w:val="16"/>
                <w:lang w:val="en-GB"/>
              </w:rPr>
            </w:pPr>
          </w:p>
        </w:tc>
        <w:tc>
          <w:tcPr>
            <w:tcW w:w="143" w:type="pct"/>
          </w:tcPr>
          <w:p w:rsidR="00960769" w:rsidRPr="004A217A" w:rsidRDefault="00960769" w:rsidP="00960769">
            <w:pPr>
              <w:pStyle w:val="Textpoznpodarou"/>
              <w:jc w:val="both"/>
              <w:rPr>
                <w:lang w:val="en-GB"/>
              </w:rPr>
            </w:pPr>
          </w:p>
        </w:tc>
        <w:tc>
          <w:tcPr>
            <w:tcW w:w="3803" w:type="pct"/>
          </w:tcPr>
          <w:p w:rsidR="00960769" w:rsidRPr="004A217A" w:rsidRDefault="008E6073" w:rsidP="00960769">
            <w:pPr>
              <w:pStyle w:val="Textpoznpodarou"/>
              <w:jc w:val="both"/>
              <w:rPr>
                <w:lang w:val="en-GB"/>
              </w:rPr>
            </w:pPr>
            <w:r w:rsidRPr="004A217A">
              <w:rPr>
                <w:lang w:val="en-GB"/>
              </w:rPr>
              <w:t>Prices of agric</w:t>
            </w:r>
            <w:r w:rsidR="00290028">
              <w:rPr>
                <w:lang w:val="en-GB"/>
              </w:rPr>
              <w:t>ultural producers (incl. fish</w:t>
            </w:r>
            <w:r w:rsidRPr="004A217A">
              <w:rPr>
                <w:lang w:val="en-GB"/>
              </w:rPr>
              <w:t xml:space="preserve">) declined by </w:t>
            </w:r>
            <w:r w:rsidR="009C4152">
              <w:rPr>
                <w:lang w:val="en-GB"/>
              </w:rPr>
              <w:t>6</w:t>
            </w:r>
            <w:r w:rsidR="00960769" w:rsidRPr="004A217A">
              <w:rPr>
                <w:lang w:val="en-GB"/>
              </w:rPr>
              <w:t xml:space="preserve">% </w:t>
            </w:r>
            <w:r w:rsidRPr="004A217A">
              <w:rPr>
                <w:lang w:val="en-GB"/>
              </w:rPr>
              <w:t>in th</w:t>
            </w:r>
            <w:r w:rsidR="00290028">
              <w:rPr>
                <w:lang w:val="en-GB"/>
              </w:rPr>
              <w:t>e last year and thus followed</w:t>
            </w:r>
            <w:r w:rsidRPr="004A217A">
              <w:rPr>
                <w:lang w:val="en-GB"/>
              </w:rPr>
              <w:t xml:space="preserve"> the development </w:t>
            </w:r>
            <w:r w:rsidR="006E7D88">
              <w:rPr>
                <w:lang w:val="en-GB"/>
              </w:rPr>
              <w:t>of</w:t>
            </w:r>
            <w:r w:rsidRPr="004A217A">
              <w:rPr>
                <w:lang w:val="en-GB"/>
              </w:rPr>
              <w:t xml:space="preserve"> 2014, when they decreased by </w:t>
            </w:r>
            <w:r w:rsidR="00960769" w:rsidRPr="004A217A">
              <w:rPr>
                <w:lang w:val="en-GB"/>
              </w:rPr>
              <w:t>3</w:t>
            </w:r>
            <w:r w:rsidRPr="004A217A">
              <w:rPr>
                <w:lang w:val="en-GB"/>
              </w:rPr>
              <w:t>.</w:t>
            </w:r>
            <w:r w:rsidR="009C4152">
              <w:rPr>
                <w:lang w:val="en-GB"/>
              </w:rPr>
              <w:t>7</w:t>
            </w:r>
            <w:r w:rsidR="00960769" w:rsidRPr="004A217A">
              <w:rPr>
                <w:lang w:val="en-GB"/>
              </w:rPr>
              <w:t>%.</w:t>
            </w:r>
            <w:r w:rsidRPr="004A217A">
              <w:rPr>
                <w:lang w:val="en-GB"/>
              </w:rPr>
              <w:t xml:space="preserve"> Nevertheless, the causes of this development changed. The prices of the </w:t>
            </w:r>
            <w:r w:rsidR="00290028">
              <w:rPr>
                <w:lang w:val="en-GB"/>
              </w:rPr>
              <w:t>crop products</w:t>
            </w:r>
            <w:r w:rsidRPr="004A217A">
              <w:rPr>
                <w:lang w:val="en-GB"/>
              </w:rPr>
              <w:t xml:space="preserve"> fell </w:t>
            </w:r>
            <w:r w:rsidR="00960769" w:rsidRPr="004A217A">
              <w:rPr>
                <w:lang w:val="en-GB"/>
              </w:rPr>
              <w:t xml:space="preserve">– </w:t>
            </w:r>
            <w:r w:rsidRPr="004A217A">
              <w:rPr>
                <w:lang w:val="en-GB"/>
              </w:rPr>
              <w:t xml:space="preserve">thanks to a </w:t>
            </w:r>
            <w:r w:rsidR="00290028">
              <w:rPr>
                <w:lang w:val="en-GB"/>
              </w:rPr>
              <w:t xml:space="preserve">very </w:t>
            </w:r>
            <w:r w:rsidRPr="004A217A">
              <w:rPr>
                <w:lang w:val="en-GB"/>
              </w:rPr>
              <w:t xml:space="preserve">good harvest </w:t>
            </w:r>
            <w:r w:rsidR="00960769" w:rsidRPr="004A217A">
              <w:rPr>
                <w:lang w:val="en-GB"/>
              </w:rPr>
              <w:t xml:space="preserve">– </w:t>
            </w:r>
            <w:r w:rsidRPr="004A217A">
              <w:rPr>
                <w:lang w:val="en-GB"/>
              </w:rPr>
              <w:t xml:space="preserve">by </w:t>
            </w:r>
            <w:r w:rsidR="00960769" w:rsidRPr="004A217A">
              <w:rPr>
                <w:lang w:val="en-GB"/>
              </w:rPr>
              <w:t>10</w:t>
            </w:r>
            <w:r w:rsidRPr="004A217A">
              <w:rPr>
                <w:lang w:val="en-GB"/>
              </w:rPr>
              <w:t>.</w:t>
            </w:r>
            <w:r w:rsidR="009C4152">
              <w:rPr>
                <w:lang w:val="en-GB"/>
              </w:rPr>
              <w:t>3</w:t>
            </w:r>
            <w:r w:rsidR="00960769" w:rsidRPr="004A217A">
              <w:rPr>
                <w:lang w:val="en-GB"/>
              </w:rPr>
              <w:t>%</w:t>
            </w:r>
            <w:r w:rsidRPr="004A217A">
              <w:rPr>
                <w:lang w:val="en-GB"/>
              </w:rPr>
              <w:t xml:space="preserve"> in 2014</w:t>
            </w:r>
            <w:r w:rsidR="00960769" w:rsidRPr="004A217A">
              <w:rPr>
                <w:lang w:val="en-GB"/>
              </w:rPr>
              <w:t xml:space="preserve">. </w:t>
            </w:r>
            <w:r w:rsidR="004A217A" w:rsidRPr="004A217A">
              <w:rPr>
                <w:lang w:val="en-GB"/>
              </w:rPr>
              <w:t>On the contrary, the animal</w:t>
            </w:r>
            <w:r w:rsidR="00290028">
              <w:rPr>
                <w:lang w:val="en-GB"/>
              </w:rPr>
              <w:t>s and animal products</w:t>
            </w:r>
            <w:r w:rsidR="004A217A" w:rsidRPr="004A217A">
              <w:rPr>
                <w:lang w:val="en-GB"/>
              </w:rPr>
              <w:t xml:space="preserve"> became slightly more expensive </w:t>
            </w:r>
            <w:r w:rsidR="00960769" w:rsidRPr="004A217A">
              <w:rPr>
                <w:lang w:val="en-GB"/>
              </w:rPr>
              <w:t>(+4</w:t>
            </w:r>
            <w:r w:rsidR="004A217A" w:rsidRPr="004A217A">
              <w:rPr>
                <w:lang w:val="en-GB"/>
              </w:rPr>
              <w:t>.</w:t>
            </w:r>
            <w:r w:rsidR="009C4152">
              <w:rPr>
                <w:lang w:val="en-GB"/>
              </w:rPr>
              <w:t>9</w:t>
            </w:r>
            <w:r w:rsidR="00960769" w:rsidRPr="004A217A">
              <w:rPr>
                <w:lang w:val="en-GB"/>
              </w:rPr>
              <w:t xml:space="preserve">%). </w:t>
            </w:r>
            <w:r w:rsidR="004A217A" w:rsidRPr="004A217A">
              <w:rPr>
                <w:lang w:val="en-GB"/>
              </w:rPr>
              <w:t xml:space="preserve">The harvest of agricultural plants was also good (especially for </w:t>
            </w:r>
            <w:r w:rsidR="001C2912">
              <w:rPr>
                <w:lang w:val="en-GB"/>
              </w:rPr>
              <w:t>cereals</w:t>
            </w:r>
            <w:r w:rsidR="004A217A" w:rsidRPr="004A217A">
              <w:rPr>
                <w:lang w:val="en-GB"/>
              </w:rPr>
              <w:t xml:space="preserve">) in 2015, the prices of </w:t>
            </w:r>
            <w:r w:rsidR="00290028">
              <w:rPr>
                <w:lang w:val="en-GB"/>
              </w:rPr>
              <w:t>crop products</w:t>
            </w:r>
            <w:r w:rsidR="004A217A" w:rsidRPr="004A217A">
              <w:rPr>
                <w:lang w:val="en-GB"/>
              </w:rPr>
              <w:t xml:space="preserve"> however fell already only by </w:t>
            </w:r>
            <w:r w:rsidR="00960769" w:rsidRPr="004A217A">
              <w:rPr>
                <w:lang w:val="en-GB"/>
              </w:rPr>
              <w:t>2</w:t>
            </w:r>
            <w:r w:rsidR="004A217A" w:rsidRPr="004A217A">
              <w:rPr>
                <w:lang w:val="en-GB"/>
              </w:rPr>
              <w:t>.</w:t>
            </w:r>
            <w:r w:rsidR="009C4152">
              <w:rPr>
                <w:lang w:val="en-GB"/>
              </w:rPr>
              <w:t>2</w:t>
            </w:r>
            <w:r w:rsidR="00960769" w:rsidRPr="004A217A">
              <w:rPr>
                <w:lang w:val="en-GB"/>
              </w:rPr>
              <w:t xml:space="preserve">%. </w:t>
            </w:r>
            <w:r w:rsidR="006E7D88">
              <w:rPr>
                <w:lang w:val="en-GB"/>
              </w:rPr>
              <w:t xml:space="preserve">The purchase </w:t>
            </w:r>
            <w:r w:rsidR="004A217A" w:rsidRPr="004A217A">
              <w:rPr>
                <w:lang w:val="en-GB"/>
              </w:rPr>
              <w:t>prices of the animal</w:t>
            </w:r>
            <w:r w:rsidR="00290028">
              <w:rPr>
                <w:lang w:val="en-GB"/>
              </w:rPr>
              <w:t>s and animal products</w:t>
            </w:r>
            <w:r w:rsidR="004A217A" w:rsidRPr="004A217A">
              <w:rPr>
                <w:lang w:val="en-GB"/>
              </w:rPr>
              <w:t xml:space="preserve"> nevertheless slumped by </w:t>
            </w:r>
            <w:r w:rsidR="00960769" w:rsidRPr="004A217A">
              <w:rPr>
                <w:lang w:val="en-GB"/>
              </w:rPr>
              <w:t>10</w:t>
            </w:r>
            <w:r w:rsidR="004A217A" w:rsidRPr="004A217A">
              <w:rPr>
                <w:lang w:val="en-GB"/>
              </w:rPr>
              <w:t>.</w:t>
            </w:r>
            <w:r w:rsidR="009C4152">
              <w:rPr>
                <w:lang w:val="en-GB"/>
              </w:rPr>
              <w:t>5</w:t>
            </w:r>
            <w:r w:rsidR="00960769" w:rsidRPr="004A217A">
              <w:rPr>
                <w:lang w:val="en-GB"/>
              </w:rPr>
              <w:t>%.</w:t>
            </w:r>
            <w:r w:rsidR="00A523DF">
              <w:rPr>
                <w:lang w:val="en-GB"/>
              </w:rPr>
              <w:t xml:space="preserve"> </w:t>
            </w:r>
            <w:r w:rsidR="004A217A" w:rsidRPr="004A217A">
              <w:rPr>
                <w:lang w:val="en-GB"/>
              </w:rPr>
              <w:t>It wa</w:t>
            </w:r>
            <w:r w:rsidR="00A523DF">
              <w:rPr>
                <w:lang w:val="en-GB"/>
              </w:rPr>
              <w:t>s</w:t>
            </w:r>
            <w:r w:rsidR="004A217A" w:rsidRPr="004A217A">
              <w:rPr>
                <w:lang w:val="en-GB"/>
              </w:rPr>
              <w:t xml:space="preserve"> connected for once to the ban on imports of agricultural produc</w:t>
            </w:r>
            <w:r w:rsidR="00290028">
              <w:rPr>
                <w:lang w:val="en-GB"/>
              </w:rPr>
              <w:t>ts</w:t>
            </w:r>
            <w:r w:rsidR="004A217A" w:rsidRPr="004A217A">
              <w:rPr>
                <w:lang w:val="en-GB"/>
              </w:rPr>
              <w:t xml:space="preserve"> and food into the Rus</w:t>
            </w:r>
            <w:r w:rsidR="00290028">
              <w:rPr>
                <w:lang w:val="en-GB"/>
              </w:rPr>
              <w:t>sian federation, for second to</w:t>
            </w:r>
            <w:r w:rsidR="004A217A" w:rsidRPr="004A217A">
              <w:rPr>
                <w:lang w:val="en-GB"/>
              </w:rPr>
              <w:t xml:space="preserve"> the cancelling of the mil</w:t>
            </w:r>
            <w:r w:rsidR="004A217A">
              <w:rPr>
                <w:lang w:val="en-GB"/>
              </w:rPr>
              <w:t>k</w:t>
            </w:r>
            <w:r w:rsidR="004A217A" w:rsidRPr="004A217A">
              <w:rPr>
                <w:lang w:val="en-GB"/>
              </w:rPr>
              <w:t xml:space="preserve"> quotas, which became effective at the beginning of April. Prices of </w:t>
            </w:r>
            <w:r w:rsidR="009C4152">
              <w:rPr>
                <w:lang w:val="en-GB"/>
              </w:rPr>
              <w:t>pigs</w:t>
            </w:r>
            <w:r w:rsidR="00290028">
              <w:rPr>
                <w:lang w:val="en-GB"/>
              </w:rPr>
              <w:t xml:space="preserve"> for</w:t>
            </w:r>
            <w:r w:rsidR="009C4152">
              <w:rPr>
                <w:lang w:val="en-GB"/>
              </w:rPr>
              <w:t xml:space="preserve"> </w:t>
            </w:r>
            <w:r w:rsidR="00290028">
              <w:rPr>
                <w:lang w:val="en-GB"/>
              </w:rPr>
              <w:t xml:space="preserve">slaughter </w:t>
            </w:r>
            <w:r w:rsidR="009C4152">
              <w:rPr>
                <w:lang w:val="en-GB"/>
              </w:rPr>
              <w:t>decreased by 12</w:t>
            </w:r>
            <w:r w:rsidR="004A217A" w:rsidRPr="004A217A">
              <w:rPr>
                <w:lang w:val="en-GB"/>
              </w:rPr>
              <w:t>%</w:t>
            </w:r>
            <w:r w:rsidR="00DB19BD" w:rsidRPr="004A217A">
              <w:rPr>
                <w:lang w:val="en-GB"/>
              </w:rPr>
              <w:t> </w:t>
            </w:r>
            <w:r w:rsidR="004A217A" w:rsidRPr="004A217A">
              <w:rPr>
                <w:lang w:val="en-GB"/>
              </w:rPr>
              <w:t>in the year-on-year comparison, mil</w:t>
            </w:r>
            <w:r w:rsidR="004A217A">
              <w:rPr>
                <w:lang w:val="en-GB"/>
              </w:rPr>
              <w:t>k</w:t>
            </w:r>
            <w:r w:rsidR="004A217A" w:rsidRPr="004A217A">
              <w:rPr>
                <w:lang w:val="en-GB"/>
              </w:rPr>
              <w:t xml:space="preserve"> wa</w:t>
            </w:r>
            <w:r w:rsidR="004A217A">
              <w:rPr>
                <w:lang w:val="en-GB"/>
              </w:rPr>
              <w:t>s</w:t>
            </w:r>
            <w:r w:rsidR="004A217A" w:rsidRPr="004A217A">
              <w:rPr>
                <w:lang w:val="en-GB"/>
              </w:rPr>
              <w:t xml:space="preserve"> purchased from the agriculturers for </w:t>
            </w:r>
            <w:r w:rsidR="00960769" w:rsidRPr="004A217A">
              <w:rPr>
                <w:lang w:val="en-GB"/>
              </w:rPr>
              <w:t>17</w:t>
            </w:r>
            <w:r w:rsidR="004A217A" w:rsidRPr="004A217A">
              <w:rPr>
                <w:lang w:val="en-GB"/>
              </w:rPr>
              <w:t>.</w:t>
            </w:r>
            <w:r w:rsidR="009C4152">
              <w:rPr>
                <w:lang w:val="en-GB"/>
              </w:rPr>
              <w:t>2</w:t>
            </w:r>
            <w:r w:rsidR="00960769" w:rsidRPr="004A217A">
              <w:rPr>
                <w:lang w:val="en-GB"/>
              </w:rPr>
              <w:t xml:space="preserve">% </w:t>
            </w:r>
            <w:r w:rsidR="004A217A" w:rsidRPr="004A217A">
              <w:rPr>
                <w:lang w:val="en-GB"/>
              </w:rPr>
              <w:t>less than a year ago.</w:t>
            </w:r>
          </w:p>
          <w:p w:rsidR="00960769" w:rsidRPr="004A217A" w:rsidRDefault="00960769" w:rsidP="00960769">
            <w:pPr>
              <w:pStyle w:val="Textpoznpodarou"/>
              <w:jc w:val="both"/>
              <w:rPr>
                <w:spacing w:val="-2"/>
                <w:sz w:val="16"/>
                <w:szCs w:val="16"/>
                <w:lang w:val="en-GB"/>
              </w:rPr>
            </w:pPr>
          </w:p>
        </w:tc>
      </w:tr>
      <w:tr w:rsidR="00960769" w:rsidRPr="007D44C3" w:rsidTr="00960769">
        <w:tc>
          <w:tcPr>
            <w:tcW w:w="1054" w:type="pct"/>
          </w:tcPr>
          <w:p w:rsidR="00960769" w:rsidRPr="006E7D88" w:rsidRDefault="00A523DF" w:rsidP="00A523DF">
            <w:pPr>
              <w:spacing w:line="240" w:lineRule="auto"/>
              <w:rPr>
                <w:sz w:val="16"/>
                <w:szCs w:val="16"/>
                <w:lang w:val="en-GB"/>
              </w:rPr>
            </w:pPr>
            <w:r w:rsidRPr="006E7D88">
              <w:rPr>
                <w:sz w:val="16"/>
                <w:szCs w:val="16"/>
                <w:lang w:val="en-GB"/>
              </w:rPr>
              <w:t>Prices of</w:t>
            </w:r>
            <w:r w:rsidR="00537E97">
              <w:rPr>
                <w:sz w:val="16"/>
                <w:szCs w:val="16"/>
                <w:lang w:val="en-GB"/>
              </w:rPr>
              <w:t xml:space="preserve"> construction work</w:t>
            </w:r>
            <w:r w:rsidR="009C4152">
              <w:rPr>
                <w:sz w:val="16"/>
                <w:szCs w:val="16"/>
                <w:lang w:val="en-GB"/>
              </w:rPr>
              <w:t xml:space="preserve"> rose by 1.2</w:t>
            </w:r>
            <w:r w:rsidRPr="006E7D88">
              <w:rPr>
                <w:sz w:val="16"/>
                <w:szCs w:val="16"/>
                <w:lang w:val="en-GB"/>
              </w:rPr>
              <w:t xml:space="preserve">% in the last year </w:t>
            </w:r>
          </w:p>
        </w:tc>
        <w:tc>
          <w:tcPr>
            <w:tcW w:w="143" w:type="pct"/>
          </w:tcPr>
          <w:p w:rsidR="00960769" w:rsidRPr="006E7D88" w:rsidRDefault="00960769" w:rsidP="00960769">
            <w:pPr>
              <w:pStyle w:val="Textpoznpodarou"/>
              <w:jc w:val="both"/>
              <w:rPr>
                <w:lang w:val="en-GB"/>
              </w:rPr>
            </w:pPr>
          </w:p>
        </w:tc>
        <w:tc>
          <w:tcPr>
            <w:tcW w:w="3803" w:type="pct"/>
          </w:tcPr>
          <w:p w:rsidR="00960769" w:rsidRPr="006E7D88" w:rsidRDefault="00537E97" w:rsidP="00D501C2">
            <w:pPr>
              <w:pStyle w:val="Textpoznpodarou"/>
              <w:jc w:val="both"/>
              <w:rPr>
                <w:lang w:val="en-GB"/>
              </w:rPr>
            </w:pPr>
            <w:r>
              <w:rPr>
                <w:lang w:val="en-GB"/>
              </w:rPr>
              <w:t>Construction was</w:t>
            </w:r>
            <w:r w:rsidR="00D501C2" w:rsidRPr="006E7D88">
              <w:rPr>
                <w:lang w:val="en-GB"/>
              </w:rPr>
              <w:t xml:space="preserve"> considerably affected by the finalisation of drawing of resources from the EU fund</w:t>
            </w:r>
            <w:r>
              <w:rPr>
                <w:lang w:val="en-GB"/>
              </w:rPr>
              <w:t>s</w:t>
            </w:r>
            <w:r w:rsidR="00D501C2" w:rsidRPr="006E7D88">
              <w:rPr>
                <w:lang w:val="en-GB"/>
              </w:rPr>
              <w:t xml:space="preserve"> in the last year. 41.4 </w:t>
            </w:r>
            <w:r w:rsidR="00546888">
              <w:rPr>
                <w:lang w:val="en-GB"/>
              </w:rPr>
              <w:t xml:space="preserve">CZK </w:t>
            </w:r>
            <w:r w:rsidR="00D501C2" w:rsidRPr="006E7D88">
              <w:rPr>
                <w:lang w:val="en-GB"/>
              </w:rPr>
              <w:t xml:space="preserve">bn, by 27.9 bn more than in 2014, reached the construction companies only via the </w:t>
            </w:r>
            <w:r w:rsidR="00D3095E">
              <w:rPr>
                <w:lang w:val="en-GB"/>
              </w:rPr>
              <w:t>Operational P</w:t>
            </w:r>
            <w:r w:rsidR="00D501C2" w:rsidRPr="006E7D88">
              <w:rPr>
                <w:lang w:val="en-GB"/>
              </w:rPr>
              <w:t xml:space="preserve">rogramme </w:t>
            </w:r>
            <w:r>
              <w:rPr>
                <w:lang w:val="en-GB"/>
              </w:rPr>
              <w:t>Transport</w:t>
            </w:r>
            <w:r w:rsidRPr="006E7D88">
              <w:rPr>
                <w:lang w:val="en-GB"/>
              </w:rPr>
              <w:t xml:space="preserve"> </w:t>
            </w:r>
            <w:r w:rsidR="00D501C2" w:rsidRPr="006E7D88">
              <w:rPr>
                <w:lang w:val="en-GB"/>
              </w:rPr>
              <w:t xml:space="preserve">itself. Narrowly focused demand of the public sector, especially for the infrastructure structures, limited number of companies capable to satisfy this demand and upcoming deadline, </w:t>
            </w:r>
            <w:r>
              <w:rPr>
                <w:lang w:val="en-GB"/>
              </w:rPr>
              <w:t>to which the</w:t>
            </w:r>
            <w:r w:rsidR="00D501C2" w:rsidRPr="006E7D88">
              <w:rPr>
                <w:lang w:val="en-GB"/>
              </w:rPr>
              <w:t xml:space="preserve"> funds </w:t>
            </w:r>
            <w:r w:rsidRPr="006E7D88">
              <w:rPr>
                <w:lang w:val="en-GB"/>
              </w:rPr>
              <w:t>from the programme period 2007</w:t>
            </w:r>
            <w:r w:rsidRPr="00CF2816">
              <w:rPr>
                <w:lang w:val="en-GB"/>
              </w:rPr>
              <w:t>–</w:t>
            </w:r>
            <w:r>
              <w:rPr>
                <w:lang w:val="en-GB"/>
              </w:rPr>
              <w:t xml:space="preserve">2013 </w:t>
            </w:r>
            <w:r w:rsidR="00D501C2" w:rsidRPr="006E7D88">
              <w:rPr>
                <w:lang w:val="en-GB"/>
              </w:rPr>
              <w:t xml:space="preserve">could have been drawn </w:t>
            </w:r>
            <w:r w:rsidR="00E07D1E" w:rsidRPr="00CF2816">
              <w:rPr>
                <w:lang w:val="en-GB"/>
              </w:rPr>
              <w:t>–</w:t>
            </w:r>
            <w:r w:rsidR="00D501C2" w:rsidRPr="006E7D88">
              <w:rPr>
                <w:lang w:val="en-GB"/>
              </w:rPr>
              <w:t xml:space="preserve"> this was a combination, which resulted in the growth of construction work prices</w:t>
            </w:r>
            <w:r>
              <w:rPr>
                <w:lang w:val="en-GB"/>
              </w:rPr>
              <w:t xml:space="preserve"> by</w:t>
            </w:r>
            <w:r w:rsidR="00D501C2" w:rsidRPr="006E7D88">
              <w:rPr>
                <w:lang w:val="en-GB"/>
              </w:rPr>
              <w:t xml:space="preserve"> 1.</w:t>
            </w:r>
            <w:r w:rsidR="009C4152">
              <w:rPr>
                <w:lang w:val="en-GB"/>
              </w:rPr>
              <w:t>2</w:t>
            </w:r>
            <w:r w:rsidR="00960769" w:rsidRPr="006E7D88">
              <w:rPr>
                <w:lang w:val="en-GB"/>
              </w:rPr>
              <w:t xml:space="preserve">%. </w:t>
            </w:r>
            <w:r w:rsidR="00D501C2" w:rsidRPr="006E7D88">
              <w:rPr>
                <w:lang w:val="en-GB"/>
              </w:rPr>
              <w:t xml:space="preserve">It presented the fastest growth of prices in the last six years. </w:t>
            </w:r>
          </w:p>
          <w:p w:rsidR="00D501C2" w:rsidRPr="006E7D88" w:rsidRDefault="00D501C2" w:rsidP="00D501C2">
            <w:pPr>
              <w:pStyle w:val="Textpoznpodarou"/>
              <w:jc w:val="both"/>
              <w:rPr>
                <w:spacing w:val="-2"/>
                <w:sz w:val="16"/>
                <w:szCs w:val="16"/>
                <w:lang w:val="en-GB"/>
              </w:rPr>
            </w:pPr>
          </w:p>
        </w:tc>
      </w:tr>
      <w:tr w:rsidR="00960769" w:rsidRPr="007D44C3" w:rsidTr="00960769">
        <w:tc>
          <w:tcPr>
            <w:tcW w:w="1054" w:type="pct"/>
          </w:tcPr>
          <w:p w:rsidR="00960769" w:rsidRPr="00B048B5" w:rsidRDefault="005B489E" w:rsidP="009C4152">
            <w:pPr>
              <w:spacing w:line="240" w:lineRule="auto"/>
              <w:rPr>
                <w:sz w:val="16"/>
                <w:szCs w:val="16"/>
                <w:lang w:val="en-GB"/>
              </w:rPr>
            </w:pPr>
            <w:r w:rsidRPr="00B048B5">
              <w:rPr>
                <w:sz w:val="16"/>
                <w:szCs w:val="16"/>
                <w:lang w:val="en-GB"/>
              </w:rPr>
              <w:t xml:space="preserve">Drop of the prices of oil lowered the costs for the transporters and they </w:t>
            </w:r>
            <w:r w:rsidR="006E7D88">
              <w:rPr>
                <w:sz w:val="16"/>
                <w:szCs w:val="16"/>
                <w:lang w:val="en-GB"/>
              </w:rPr>
              <w:t>went down</w:t>
            </w:r>
            <w:r w:rsidRPr="00B048B5">
              <w:rPr>
                <w:sz w:val="16"/>
                <w:szCs w:val="16"/>
                <w:lang w:val="en-GB"/>
              </w:rPr>
              <w:t xml:space="preserve"> by </w:t>
            </w:r>
            <w:r w:rsidR="00960769" w:rsidRPr="00B048B5">
              <w:rPr>
                <w:sz w:val="16"/>
                <w:szCs w:val="16"/>
                <w:lang w:val="en-GB"/>
              </w:rPr>
              <w:t>1</w:t>
            </w:r>
            <w:r w:rsidRPr="00B048B5">
              <w:rPr>
                <w:sz w:val="16"/>
                <w:szCs w:val="16"/>
                <w:lang w:val="en-GB"/>
              </w:rPr>
              <w:t>.</w:t>
            </w:r>
            <w:r w:rsidR="00960769" w:rsidRPr="00B048B5">
              <w:rPr>
                <w:sz w:val="16"/>
                <w:szCs w:val="16"/>
                <w:lang w:val="en-GB"/>
              </w:rPr>
              <w:t>4%</w:t>
            </w:r>
          </w:p>
        </w:tc>
        <w:tc>
          <w:tcPr>
            <w:tcW w:w="143" w:type="pct"/>
          </w:tcPr>
          <w:p w:rsidR="00960769" w:rsidRPr="00B048B5" w:rsidRDefault="00960769" w:rsidP="00960769">
            <w:pPr>
              <w:pStyle w:val="Textpoznpodarou"/>
              <w:jc w:val="both"/>
              <w:rPr>
                <w:lang w:val="en-GB"/>
              </w:rPr>
            </w:pPr>
          </w:p>
        </w:tc>
        <w:tc>
          <w:tcPr>
            <w:tcW w:w="3803" w:type="pct"/>
          </w:tcPr>
          <w:p w:rsidR="00960769" w:rsidRPr="00B048B5" w:rsidRDefault="00830447" w:rsidP="00537E97">
            <w:pPr>
              <w:pStyle w:val="Textpoznpodarou"/>
              <w:jc w:val="both"/>
              <w:rPr>
                <w:spacing w:val="-2"/>
                <w:sz w:val="16"/>
                <w:szCs w:val="16"/>
                <w:lang w:val="en-GB"/>
              </w:rPr>
            </w:pPr>
            <w:r w:rsidRPr="00B048B5">
              <w:rPr>
                <w:lang w:val="en-GB"/>
              </w:rPr>
              <w:t xml:space="preserve">Prices of the market services did not change in the last year, however the development in individual quarters </w:t>
            </w:r>
            <w:proofErr w:type="gramStart"/>
            <w:r w:rsidRPr="00B048B5">
              <w:rPr>
                <w:lang w:val="en-GB"/>
              </w:rPr>
              <w:t>suggested,</w:t>
            </w:r>
            <w:proofErr w:type="gramEnd"/>
            <w:r w:rsidRPr="00B048B5">
              <w:rPr>
                <w:lang w:val="en-GB"/>
              </w:rPr>
              <w:t xml:space="preserve"> that also thi</w:t>
            </w:r>
            <w:r w:rsidR="00B048B5">
              <w:rPr>
                <w:lang w:val="en-GB"/>
              </w:rPr>
              <w:t>s</w:t>
            </w:r>
            <w:r w:rsidRPr="00B048B5">
              <w:rPr>
                <w:lang w:val="en-GB"/>
              </w:rPr>
              <w:t xml:space="preserve"> segment</w:t>
            </w:r>
            <w:r w:rsidR="00537E97">
              <w:rPr>
                <w:lang w:val="en-GB"/>
              </w:rPr>
              <w:t xml:space="preserve"> of economy</w:t>
            </w:r>
            <w:r w:rsidRPr="00B048B5">
              <w:rPr>
                <w:lang w:val="en-GB"/>
              </w:rPr>
              <w:t xml:space="preserve"> gradual</w:t>
            </w:r>
            <w:r w:rsidR="00B048B5">
              <w:rPr>
                <w:lang w:val="en-GB"/>
              </w:rPr>
              <w:t>l</w:t>
            </w:r>
            <w:r w:rsidRPr="00B048B5">
              <w:rPr>
                <w:lang w:val="en-GB"/>
              </w:rPr>
              <w:t>y des</w:t>
            </w:r>
            <w:r w:rsidR="00B048B5">
              <w:rPr>
                <w:lang w:val="en-GB"/>
              </w:rPr>
              <w:t>c</w:t>
            </w:r>
            <w:r w:rsidRPr="00B048B5">
              <w:rPr>
                <w:lang w:val="en-GB"/>
              </w:rPr>
              <w:t>ends into th</w:t>
            </w:r>
            <w:r w:rsidR="00B048B5">
              <w:rPr>
                <w:lang w:val="en-GB"/>
              </w:rPr>
              <w:t>e</w:t>
            </w:r>
            <w:r w:rsidRPr="00B048B5">
              <w:rPr>
                <w:lang w:val="en-GB"/>
              </w:rPr>
              <w:t xml:space="preserve"> deflation. The prices of market services were higher by </w:t>
            </w:r>
            <w:r w:rsidR="00960769" w:rsidRPr="00B048B5">
              <w:rPr>
                <w:lang w:val="en-GB"/>
              </w:rPr>
              <w:t>0</w:t>
            </w:r>
            <w:r w:rsidRPr="00B048B5">
              <w:rPr>
                <w:lang w:val="en-GB"/>
              </w:rPr>
              <w:t>.</w:t>
            </w:r>
            <w:r w:rsidR="009C4152">
              <w:rPr>
                <w:lang w:val="en-GB"/>
              </w:rPr>
              <w:t>3</w:t>
            </w:r>
            <w:r w:rsidR="00960769" w:rsidRPr="00B048B5">
              <w:rPr>
                <w:lang w:val="en-GB"/>
              </w:rPr>
              <w:t>% a</w:t>
            </w:r>
            <w:r w:rsidRPr="00B048B5">
              <w:rPr>
                <w:lang w:val="en-GB"/>
              </w:rPr>
              <w:t>nd</w:t>
            </w:r>
            <w:r w:rsidR="00526DB6" w:rsidRPr="00B048B5">
              <w:rPr>
                <w:lang w:val="en-GB"/>
              </w:rPr>
              <w:t> </w:t>
            </w:r>
            <w:r w:rsidR="00960769" w:rsidRPr="00B048B5">
              <w:rPr>
                <w:lang w:val="en-GB"/>
              </w:rPr>
              <w:t>0</w:t>
            </w:r>
            <w:r w:rsidRPr="00B048B5">
              <w:rPr>
                <w:lang w:val="en-GB"/>
              </w:rPr>
              <w:t>.</w:t>
            </w:r>
            <w:r w:rsidR="00537E97">
              <w:rPr>
                <w:lang w:val="en-GB"/>
              </w:rPr>
              <w:t>2%</w:t>
            </w:r>
            <w:r w:rsidR="00960769" w:rsidRPr="00B048B5">
              <w:rPr>
                <w:lang w:val="en-GB"/>
              </w:rPr>
              <w:t xml:space="preserve"> </w:t>
            </w:r>
            <w:r w:rsidRPr="00B048B5">
              <w:rPr>
                <w:lang w:val="en-GB"/>
              </w:rPr>
              <w:t xml:space="preserve">in the year-on-year comparison in Q1 and </w:t>
            </w:r>
            <w:r w:rsidR="006E7D88">
              <w:rPr>
                <w:lang w:val="en-GB"/>
              </w:rPr>
              <w:t>Q</w:t>
            </w:r>
            <w:r w:rsidRPr="00B048B5">
              <w:rPr>
                <w:lang w:val="en-GB"/>
              </w:rPr>
              <w:t xml:space="preserve">2 2015, however they were already falling </w:t>
            </w:r>
            <w:r w:rsidR="00960769" w:rsidRPr="00B048B5">
              <w:rPr>
                <w:lang w:val="en-GB"/>
              </w:rPr>
              <w:t>(-0</w:t>
            </w:r>
            <w:r w:rsidRPr="00B048B5">
              <w:rPr>
                <w:lang w:val="en-GB"/>
              </w:rPr>
              <w:t>.</w:t>
            </w:r>
            <w:r w:rsidR="009C4152">
              <w:rPr>
                <w:lang w:val="en-GB"/>
              </w:rPr>
              <w:t>2</w:t>
            </w:r>
            <w:r w:rsidR="00960769" w:rsidRPr="00B048B5">
              <w:rPr>
                <w:lang w:val="en-GB"/>
              </w:rPr>
              <w:t>%, -0</w:t>
            </w:r>
            <w:r w:rsidRPr="00B048B5">
              <w:rPr>
                <w:lang w:val="en-GB"/>
              </w:rPr>
              <w:t>.</w:t>
            </w:r>
            <w:r w:rsidR="009C4152">
              <w:rPr>
                <w:lang w:val="en-GB"/>
              </w:rPr>
              <w:t>1</w:t>
            </w:r>
            <w:r w:rsidR="00960769" w:rsidRPr="00B048B5">
              <w:rPr>
                <w:lang w:val="en-GB"/>
              </w:rPr>
              <w:t>%)</w:t>
            </w:r>
            <w:r w:rsidRPr="00B048B5">
              <w:rPr>
                <w:lang w:val="en-GB"/>
              </w:rPr>
              <w:t xml:space="preserve"> in Q3 and Q4.</w:t>
            </w:r>
            <w:r w:rsidR="00537E97">
              <w:rPr>
                <w:lang w:val="en-GB"/>
              </w:rPr>
              <w:t xml:space="preserve"> While the high growth of prices</w:t>
            </w:r>
            <w:r w:rsidRPr="00B048B5">
              <w:rPr>
                <w:lang w:val="en-GB"/>
              </w:rPr>
              <w:t xml:space="preserve"> of postal and courier services </w:t>
            </w:r>
            <w:r w:rsidR="00960769" w:rsidRPr="00B048B5">
              <w:rPr>
                <w:lang w:val="en-GB"/>
              </w:rPr>
              <w:t>(+</w:t>
            </w:r>
            <w:r w:rsidR="007159D2" w:rsidRPr="00B048B5">
              <w:rPr>
                <w:lang w:val="en-GB"/>
              </w:rPr>
              <w:t>6</w:t>
            </w:r>
            <w:r w:rsidRPr="00B048B5">
              <w:rPr>
                <w:lang w:val="en-GB"/>
              </w:rPr>
              <w:t>.</w:t>
            </w:r>
            <w:r w:rsidR="007159D2" w:rsidRPr="00B048B5">
              <w:rPr>
                <w:lang w:val="en-GB"/>
              </w:rPr>
              <w:t>4%) a</w:t>
            </w:r>
            <w:r w:rsidRPr="00B048B5">
              <w:rPr>
                <w:lang w:val="en-GB"/>
              </w:rPr>
              <w:t>nd</w:t>
            </w:r>
            <w:r w:rsidR="007159D2" w:rsidRPr="00B048B5">
              <w:rPr>
                <w:lang w:val="en-GB"/>
              </w:rPr>
              <w:t xml:space="preserve"> </w:t>
            </w:r>
            <w:r w:rsidRPr="00B048B5">
              <w:rPr>
                <w:lang w:val="en-GB"/>
              </w:rPr>
              <w:t xml:space="preserve">financial services </w:t>
            </w:r>
            <w:r w:rsidR="007159D2" w:rsidRPr="00B048B5">
              <w:rPr>
                <w:lang w:val="en-GB"/>
              </w:rPr>
              <w:t>(+3</w:t>
            </w:r>
            <w:r w:rsidR="00960769" w:rsidRPr="00B048B5">
              <w:rPr>
                <w:lang w:val="en-GB"/>
              </w:rPr>
              <w:t>%)</w:t>
            </w:r>
            <w:r w:rsidRPr="00B048B5">
              <w:rPr>
                <w:lang w:val="en-GB"/>
              </w:rPr>
              <w:t xml:space="preserve"> put some inflationary pressures in the last year, the prices fell by </w:t>
            </w:r>
            <w:r w:rsidR="00960769" w:rsidRPr="00B048B5">
              <w:rPr>
                <w:lang w:val="en-GB"/>
              </w:rPr>
              <w:t>1</w:t>
            </w:r>
            <w:r w:rsidRPr="00B048B5">
              <w:rPr>
                <w:lang w:val="en-GB"/>
              </w:rPr>
              <w:t>.</w:t>
            </w:r>
            <w:r w:rsidR="009C4152">
              <w:rPr>
                <w:lang w:val="en-GB"/>
              </w:rPr>
              <w:t>4</w:t>
            </w:r>
            <w:r w:rsidR="00960769" w:rsidRPr="00B048B5">
              <w:rPr>
                <w:lang w:val="en-GB"/>
              </w:rPr>
              <w:t>%</w:t>
            </w:r>
            <w:r w:rsidRPr="00B048B5">
              <w:rPr>
                <w:lang w:val="en-GB"/>
              </w:rPr>
              <w:t xml:space="preserve"> in the weight significant land </w:t>
            </w:r>
            <w:r w:rsidR="00537E97">
              <w:rPr>
                <w:lang w:val="en-GB"/>
              </w:rPr>
              <w:t>transport services and transport services via pipelines</w:t>
            </w:r>
            <w:r w:rsidRPr="00B048B5">
              <w:rPr>
                <w:lang w:val="en-GB"/>
              </w:rPr>
              <w:t>. The turn in the de</w:t>
            </w:r>
            <w:r w:rsidR="00537E97">
              <w:rPr>
                <w:lang w:val="en-GB"/>
              </w:rPr>
              <w:t>velopment of prices of employment services</w:t>
            </w:r>
            <w:r w:rsidRPr="00B048B5">
              <w:rPr>
                <w:lang w:val="en-GB"/>
              </w:rPr>
              <w:t>, after two year</w:t>
            </w:r>
            <w:r w:rsidR="00B048B5">
              <w:rPr>
                <w:lang w:val="en-GB"/>
              </w:rPr>
              <w:t>s</w:t>
            </w:r>
            <w:r w:rsidRPr="00B048B5">
              <w:rPr>
                <w:lang w:val="en-GB"/>
              </w:rPr>
              <w:t xml:space="preserve"> lasting growth, also contributed negatively to the price development. They fel</w:t>
            </w:r>
            <w:r w:rsidR="00B048B5">
              <w:rPr>
                <w:lang w:val="en-GB"/>
              </w:rPr>
              <w:t>l</w:t>
            </w:r>
            <w:r w:rsidRPr="00B048B5">
              <w:rPr>
                <w:lang w:val="en-GB"/>
              </w:rPr>
              <w:t xml:space="preserve"> by</w:t>
            </w:r>
            <w:r w:rsidR="00B048B5" w:rsidRPr="00B048B5">
              <w:rPr>
                <w:lang w:val="en-GB"/>
              </w:rPr>
              <w:t xml:space="preserve"> </w:t>
            </w:r>
            <w:r w:rsidR="00960769" w:rsidRPr="00B048B5">
              <w:rPr>
                <w:spacing w:val="-4"/>
                <w:lang w:val="en-GB"/>
              </w:rPr>
              <w:t>7</w:t>
            </w:r>
            <w:r w:rsidR="00B048B5" w:rsidRPr="00B048B5">
              <w:rPr>
                <w:spacing w:val="-4"/>
                <w:lang w:val="en-GB"/>
              </w:rPr>
              <w:t>.</w:t>
            </w:r>
            <w:r w:rsidR="00960769" w:rsidRPr="00B048B5">
              <w:rPr>
                <w:spacing w:val="-4"/>
                <w:lang w:val="en-GB"/>
              </w:rPr>
              <w:t>5</w:t>
            </w:r>
            <w:r w:rsidR="00960769" w:rsidRPr="00B048B5">
              <w:rPr>
                <w:lang w:val="en-GB"/>
              </w:rPr>
              <w:t>%.</w:t>
            </w:r>
          </w:p>
        </w:tc>
      </w:tr>
      <w:tr w:rsidR="00960769" w:rsidRPr="007D44C3" w:rsidTr="00960769">
        <w:tc>
          <w:tcPr>
            <w:tcW w:w="1054" w:type="pct"/>
          </w:tcPr>
          <w:p w:rsidR="00DB5669" w:rsidRPr="00DB5669" w:rsidRDefault="00DB5669" w:rsidP="00DB5669">
            <w:pPr>
              <w:spacing w:line="240" w:lineRule="auto"/>
              <w:rPr>
                <w:sz w:val="16"/>
                <w:szCs w:val="16"/>
                <w:lang w:val="en-GB"/>
              </w:rPr>
            </w:pPr>
            <w:r w:rsidRPr="00DB5669">
              <w:rPr>
                <w:sz w:val="16"/>
                <w:szCs w:val="16"/>
                <w:lang w:val="en-GB"/>
              </w:rPr>
              <w:lastRenderedPageBreak/>
              <w:t xml:space="preserve">Prices of </w:t>
            </w:r>
            <w:r w:rsidR="009C4152">
              <w:rPr>
                <w:sz w:val="16"/>
                <w:szCs w:val="16"/>
                <w:lang w:val="en-GB"/>
              </w:rPr>
              <w:t>imported goods decreased by 1.9</w:t>
            </w:r>
            <w:r w:rsidRPr="00DB5669">
              <w:rPr>
                <w:sz w:val="16"/>
                <w:szCs w:val="16"/>
                <w:lang w:val="en-GB"/>
              </w:rPr>
              <w:t>%</w:t>
            </w:r>
            <w:r w:rsidR="000D5ACF">
              <w:rPr>
                <w:sz w:val="16"/>
                <w:szCs w:val="16"/>
                <w:lang w:val="en-GB"/>
              </w:rPr>
              <w:t xml:space="preserve"> in 2015</w:t>
            </w:r>
            <w:r w:rsidRPr="00DB5669">
              <w:rPr>
                <w:sz w:val="16"/>
                <w:szCs w:val="16"/>
                <w:lang w:val="en-GB"/>
              </w:rPr>
              <w:t xml:space="preserve"> and fell already for the fifth time in the last ten years</w:t>
            </w:r>
          </w:p>
          <w:p w:rsidR="00960769" w:rsidRPr="00DB5669" w:rsidRDefault="00960769" w:rsidP="00960769">
            <w:pPr>
              <w:spacing w:line="240" w:lineRule="auto"/>
              <w:rPr>
                <w:sz w:val="16"/>
                <w:szCs w:val="16"/>
                <w:lang w:val="en-GB"/>
              </w:rPr>
            </w:pPr>
          </w:p>
        </w:tc>
        <w:tc>
          <w:tcPr>
            <w:tcW w:w="143" w:type="pct"/>
          </w:tcPr>
          <w:p w:rsidR="00960769" w:rsidRPr="00DB5669" w:rsidRDefault="00960769" w:rsidP="00960769">
            <w:pPr>
              <w:pStyle w:val="Textpoznpodarou"/>
              <w:jc w:val="both"/>
              <w:rPr>
                <w:lang w:val="en-GB"/>
              </w:rPr>
            </w:pPr>
          </w:p>
        </w:tc>
        <w:tc>
          <w:tcPr>
            <w:tcW w:w="3803" w:type="pct"/>
          </w:tcPr>
          <w:p w:rsidR="00960769" w:rsidRPr="008C509E" w:rsidRDefault="00DB5669" w:rsidP="00691374">
            <w:pPr>
              <w:pStyle w:val="Textpoznpodarou"/>
              <w:jc w:val="both"/>
              <w:rPr>
                <w:lang w:val="en-GB"/>
              </w:rPr>
            </w:pPr>
            <w:r w:rsidRPr="008C509E">
              <w:rPr>
                <w:lang w:val="en-GB"/>
              </w:rPr>
              <w:t xml:space="preserve">Import of goods became cheaper by </w:t>
            </w:r>
            <w:r w:rsidR="00960769" w:rsidRPr="008C509E">
              <w:rPr>
                <w:lang w:val="en-GB"/>
              </w:rPr>
              <w:t>1</w:t>
            </w:r>
            <w:r w:rsidRPr="008C509E">
              <w:rPr>
                <w:lang w:val="en-GB"/>
              </w:rPr>
              <w:t>.</w:t>
            </w:r>
            <w:r w:rsidR="009C4152" w:rsidRPr="008C509E">
              <w:rPr>
                <w:lang w:val="en-GB"/>
              </w:rPr>
              <w:t>9</w:t>
            </w:r>
            <w:r w:rsidR="00960769" w:rsidRPr="008C509E">
              <w:rPr>
                <w:lang w:val="en-GB"/>
              </w:rPr>
              <w:t>%</w:t>
            </w:r>
            <w:r w:rsidRPr="008C509E">
              <w:rPr>
                <w:lang w:val="en-GB"/>
              </w:rPr>
              <w:t xml:space="preserve"> in 2015, despite the </w:t>
            </w:r>
            <w:r w:rsidR="000D5ACF" w:rsidRPr="008C509E">
              <w:rPr>
                <w:lang w:val="en-GB"/>
              </w:rPr>
              <w:t>crown</w:t>
            </w:r>
            <w:r w:rsidR="007025D8" w:rsidRPr="008C509E">
              <w:rPr>
                <w:lang w:val="en-GB"/>
              </w:rPr>
              <w:t xml:space="preserve"> foreign </w:t>
            </w:r>
            <w:r w:rsidRPr="008C509E">
              <w:rPr>
                <w:lang w:val="en-GB"/>
              </w:rPr>
              <w:t xml:space="preserve">exchange </w:t>
            </w:r>
            <w:r w:rsidR="007025D8" w:rsidRPr="008C509E">
              <w:rPr>
                <w:lang w:val="en-GB"/>
              </w:rPr>
              <w:t>d</w:t>
            </w:r>
            <w:r w:rsidRPr="008C509E">
              <w:rPr>
                <w:lang w:val="en-GB"/>
              </w:rPr>
              <w:t xml:space="preserve">evelopment. The crown did strengthen </w:t>
            </w:r>
            <w:r w:rsidR="000D5ACF" w:rsidRPr="008C509E">
              <w:rPr>
                <w:lang w:val="en-GB"/>
              </w:rPr>
              <w:t>mildly</w:t>
            </w:r>
            <w:r w:rsidRPr="008C509E">
              <w:rPr>
                <w:lang w:val="en-GB"/>
              </w:rPr>
              <w:t xml:space="preserve"> against the euro (by </w:t>
            </w:r>
            <w:r w:rsidR="00960769" w:rsidRPr="008C509E">
              <w:rPr>
                <w:lang w:val="en-GB"/>
              </w:rPr>
              <w:t>0</w:t>
            </w:r>
            <w:r w:rsidRPr="008C509E">
              <w:rPr>
                <w:lang w:val="en-GB"/>
              </w:rPr>
              <w:t>.</w:t>
            </w:r>
            <w:r w:rsidR="009C4152" w:rsidRPr="008C509E">
              <w:rPr>
                <w:lang w:val="en-GB"/>
              </w:rPr>
              <w:t>9</w:t>
            </w:r>
            <w:r w:rsidR="00960769" w:rsidRPr="008C509E">
              <w:rPr>
                <w:lang w:val="en-GB"/>
              </w:rPr>
              <w:t xml:space="preserve">%), </w:t>
            </w:r>
            <w:r w:rsidRPr="008C509E">
              <w:rPr>
                <w:lang w:val="en-GB"/>
              </w:rPr>
              <w:t xml:space="preserve">which worked in the direction of decrease of prices, however it weakened against the </w:t>
            </w:r>
            <w:r w:rsidR="008C509E" w:rsidRPr="008C509E">
              <w:rPr>
                <w:lang w:val="en-GB"/>
              </w:rPr>
              <w:t>US</w:t>
            </w:r>
            <w:r w:rsidRPr="008C509E">
              <w:rPr>
                <w:lang w:val="en-GB"/>
              </w:rPr>
              <w:t xml:space="preserve"> dollar by extraordinary </w:t>
            </w:r>
            <w:r w:rsidR="00960769" w:rsidRPr="008C509E">
              <w:rPr>
                <w:lang w:val="en-GB"/>
              </w:rPr>
              <w:t>18</w:t>
            </w:r>
            <w:r w:rsidRPr="008C509E">
              <w:rPr>
                <w:lang w:val="en-GB"/>
              </w:rPr>
              <w:t>.</w:t>
            </w:r>
            <w:r w:rsidR="009C4152" w:rsidRPr="008C509E">
              <w:rPr>
                <w:lang w:val="en-GB"/>
              </w:rPr>
              <w:t>5</w:t>
            </w:r>
            <w:r w:rsidR="00960769" w:rsidRPr="008C509E">
              <w:rPr>
                <w:lang w:val="en-GB"/>
              </w:rPr>
              <w:t xml:space="preserve">%. </w:t>
            </w:r>
            <w:r w:rsidRPr="008C509E">
              <w:rPr>
                <w:lang w:val="en-GB"/>
              </w:rPr>
              <w:t xml:space="preserve">The fall of import prices was the consequence of the lower price of oil and decreasing prices in manufacturing in the euro area. Prices of mineral </w:t>
            </w:r>
            <w:r w:rsidR="008C509E" w:rsidRPr="008C509E">
              <w:rPr>
                <w:lang w:val="en-GB"/>
              </w:rPr>
              <w:t>fuels</w:t>
            </w:r>
            <w:r w:rsidRPr="008C509E">
              <w:rPr>
                <w:lang w:val="en-GB"/>
              </w:rPr>
              <w:t xml:space="preserve"> decreased by nearly one quarter </w:t>
            </w:r>
            <w:r w:rsidR="00960769" w:rsidRPr="008C509E">
              <w:rPr>
                <w:lang w:val="en-GB"/>
              </w:rPr>
              <w:t>(-23</w:t>
            </w:r>
            <w:r w:rsidRPr="008C509E">
              <w:rPr>
                <w:lang w:val="en-GB"/>
              </w:rPr>
              <w:t>.</w:t>
            </w:r>
            <w:r w:rsidR="009C4152" w:rsidRPr="008C509E">
              <w:rPr>
                <w:lang w:val="en-GB"/>
              </w:rPr>
              <w:t>8</w:t>
            </w:r>
            <w:r w:rsidR="00960769" w:rsidRPr="008C509E">
              <w:rPr>
                <w:lang w:val="en-GB"/>
              </w:rPr>
              <w:t xml:space="preserve">%), </w:t>
            </w:r>
            <w:r w:rsidR="008C509E" w:rsidRPr="008C509E">
              <w:rPr>
                <w:spacing w:val="4"/>
                <w:lang w:val="en-GB"/>
              </w:rPr>
              <w:t>crude materials</w:t>
            </w:r>
            <w:r w:rsidR="00E41F3C" w:rsidRPr="008C509E">
              <w:rPr>
                <w:spacing w:val="4"/>
                <w:lang w:val="en-GB"/>
              </w:rPr>
              <w:t xml:space="preserve"> </w:t>
            </w:r>
            <w:r w:rsidRPr="008C509E">
              <w:rPr>
                <w:spacing w:val="4"/>
                <w:lang w:val="en-GB"/>
              </w:rPr>
              <w:t>by</w:t>
            </w:r>
            <w:r w:rsidR="00960769" w:rsidRPr="008C509E">
              <w:rPr>
                <w:spacing w:val="4"/>
                <w:lang w:val="en-GB"/>
              </w:rPr>
              <w:t> 9</w:t>
            </w:r>
            <w:r w:rsidRPr="008C509E">
              <w:rPr>
                <w:spacing w:val="4"/>
                <w:lang w:val="en-GB"/>
              </w:rPr>
              <w:t>.</w:t>
            </w:r>
            <w:r w:rsidR="009C4152" w:rsidRPr="008C509E">
              <w:rPr>
                <w:spacing w:val="4"/>
                <w:lang w:val="en-GB"/>
              </w:rPr>
              <w:t>2</w:t>
            </w:r>
            <w:r w:rsidR="00960769" w:rsidRPr="008C509E">
              <w:rPr>
                <w:spacing w:val="4"/>
                <w:lang w:val="en-GB"/>
              </w:rPr>
              <w:t>% a</w:t>
            </w:r>
            <w:r w:rsidRPr="008C509E">
              <w:rPr>
                <w:spacing w:val="4"/>
                <w:lang w:val="en-GB"/>
              </w:rPr>
              <w:t xml:space="preserve">nd chemicals by </w:t>
            </w:r>
            <w:r w:rsidR="00960769" w:rsidRPr="008C509E">
              <w:rPr>
                <w:spacing w:val="4"/>
                <w:lang w:val="en-GB"/>
              </w:rPr>
              <w:t>3</w:t>
            </w:r>
            <w:r w:rsidRPr="008C509E">
              <w:rPr>
                <w:spacing w:val="4"/>
                <w:lang w:val="en-GB"/>
              </w:rPr>
              <w:t>.</w:t>
            </w:r>
            <w:r w:rsidR="009C4152" w:rsidRPr="008C509E">
              <w:rPr>
                <w:spacing w:val="4"/>
                <w:lang w:val="en-GB"/>
              </w:rPr>
              <w:t>1</w:t>
            </w:r>
            <w:r w:rsidR="00960769" w:rsidRPr="008C509E">
              <w:rPr>
                <w:spacing w:val="4"/>
                <w:lang w:val="en-GB"/>
              </w:rPr>
              <w:t xml:space="preserve">%. </w:t>
            </w:r>
            <w:r w:rsidRPr="008C509E">
              <w:rPr>
                <w:spacing w:val="4"/>
                <w:lang w:val="en-GB"/>
              </w:rPr>
              <w:t>The beverages and tobacco</w:t>
            </w:r>
            <w:r w:rsidRPr="008C509E">
              <w:rPr>
                <w:lang w:val="en-GB"/>
              </w:rPr>
              <w:t xml:space="preserve"> </w:t>
            </w:r>
            <w:r w:rsidR="00960769" w:rsidRPr="008C509E">
              <w:rPr>
                <w:lang w:val="en-GB"/>
              </w:rPr>
              <w:t>(-0</w:t>
            </w:r>
            <w:r w:rsidRPr="008C509E">
              <w:rPr>
                <w:lang w:val="en-GB"/>
              </w:rPr>
              <w:t>.</w:t>
            </w:r>
            <w:r w:rsidR="009C4152" w:rsidRPr="008C509E">
              <w:rPr>
                <w:lang w:val="en-GB"/>
              </w:rPr>
              <w:t>7</w:t>
            </w:r>
            <w:r w:rsidR="00960769" w:rsidRPr="008C509E">
              <w:rPr>
                <w:lang w:val="en-GB"/>
              </w:rPr>
              <w:t>%) a</w:t>
            </w:r>
            <w:r w:rsidRPr="008C509E">
              <w:rPr>
                <w:lang w:val="en-GB"/>
              </w:rPr>
              <w:t>nd</w:t>
            </w:r>
            <w:r w:rsidR="00812386" w:rsidRPr="008C509E">
              <w:rPr>
                <w:lang w:val="en-GB"/>
              </w:rPr>
              <w:t> </w:t>
            </w:r>
            <w:r w:rsidR="008C509E" w:rsidRPr="008C509E">
              <w:rPr>
                <w:lang w:val="en-GB"/>
              </w:rPr>
              <w:t>manufactured goods</w:t>
            </w:r>
            <w:r w:rsidR="00E41F3C" w:rsidRPr="008C509E">
              <w:rPr>
                <w:lang w:val="en-GB"/>
              </w:rPr>
              <w:t xml:space="preserve"> </w:t>
            </w:r>
            <w:r w:rsidR="00960769" w:rsidRPr="008C509E">
              <w:rPr>
                <w:lang w:val="en-GB"/>
              </w:rPr>
              <w:t>(-0</w:t>
            </w:r>
            <w:r w:rsidRPr="008C509E">
              <w:rPr>
                <w:lang w:val="en-GB"/>
              </w:rPr>
              <w:t>.</w:t>
            </w:r>
            <w:r w:rsidR="009C4152" w:rsidRPr="008C509E">
              <w:rPr>
                <w:lang w:val="en-GB"/>
              </w:rPr>
              <w:t>4</w:t>
            </w:r>
            <w:r w:rsidR="00960769" w:rsidRPr="008C509E">
              <w:rPr>
                <w:lang w:val="en-GB"/>
              </w:rPr>
              <w:t xml:space="preserve">%) </w:t>
            </w:r>
            <w:r w:rsidRPr="008C509E">
              <w:rPr>
                <w:lang w:val="en-GB"/>
              </w:rPr>
              <w:t xml:space="preserve">were also imported for lower prices into the CR than in 2014. It was the fall of the import prices that was the primary source of deflation in industry (and </w:t>
            </w:r>
            <w:r w:rsidR="006E2B48" w:rsidRPr="008C509E">
              <w:rPr>
                <w:lang w:val="en-GB"/>
              </w:rPr>
              <w:t>“</w:t>
            </w:r>
            <w:r w:rsidR="00E41F3C" w:rsidRPr="008C509E">
              <w:rPr>
                <w:lang w:val="en-GB"/>
              </w:rPr>
              <w:t>leaked</w:t>
            </w:r>
            <w:r w:rsidR="006E2B48" w:rsidRPr="008C509E">
              <w:rPr>
                <w:lang w:val="en-GB"/>
              </w:rPr>
              <w:t>”</w:t>
            </w:r>
            <w:r w:rsidR="008E0367" w:rsidRPr="008C509E">
              <w:rPr>
                <w:lang w:val="en-GB"/>
              </w:rPr>
              <w:t xml:space="preserve"> </w:t>
            </w:r>
            <w:r w:rsidRPr="008C509E">
              <w:rPr>
                <w:lang w:val="en-GB"/>
              </w:rPr>
              <w:t>also into the consumer prices). The dynamics in individ</w:t>
            </w:r>
            <w:r w:rsidR="008C509E" w:rsidRPr="008C509E">
              <w:rPr>
                <w:lang w:val="en-GB"/>
              </w:rPr>
              <w:t xml:space="preserve">ual quarters also suggests this, </w:t>
            </w:r>
            <w:r w:rsidRPr="008C509E">
              <w:rPr>
                <w:lang w:val="en-GB"/>
              </w:rPr>
              <w:t xml:space="preserve">since it was worse in the second half of the year, similarly to the industrial producer prices. The prices of imported goods into the CR decreased year-on-year by </w:t>
            </w:r>
            <w:r w:rsidR="00960769" w:rsidRPr="008C509E">
              <w:rPr>
                <w:lang w:val="en-GB"/>
              </w:rPr>
              <w:t>1</w:t>
            </w:r>
            <w:r w:rsidRPr="008C509E">
              <w:rPr>
                <w:lang w:val="en-GB"/>
              </w:rPr>
              <w:t>.</w:t>
            </w:r>
            <w:r w:rsidR="009C4152" w:rsidRPr="008C509E">
              <w:rPr>
                <w:lang w:val="en-GB"/>
              </w:rPr>
              <w:t>5</w:t>
            </w:r>
            <w:r w:rsidR="00960769" w:rsidRPr="008C509E">
              <w:rPr>
                <w:lang w:val="en-GB"/>
              </w:rPr>
              <w:t xml:space="preserve">% </w:t>
            </w:r>
            <w:r w:rsidR="009C4152" w:rsidRPr="008C509E">
              <w:rPr>
                <w:lang w:val="en-GB"/>
              </w:rPr>
              <w:t xml:space="preserve">in Q1 2015 </w:t>
            </w:r>
            <w:r w:rsidRPr="008C509E">
              <w:rPr>
                <w:lang w:val="en-GB"/>
              </w:rPr>
              <w:t xml:space="preserve">and stagnated in Q2. However, they decreased by </w:t>
            </w:r>
            <w:r w:rsidR="00960769" w:rsidRPr="008C509E">
              <w:rPr>
                <w:lang w:val="en-GB"/>
              </w:rPr>
              <w:t>2</w:t>
            </w:r>
            <w:r w:rsidRPr="008C509E">
              <w:rPr>
                <w:lang w:val="en-GB"/>
              </w:rPr>
              <w:t>.</w:t>
            </w:r>
            <w:r w:rsidR="009C4152" w:rsidRPr="008C509E">
              <w:rPr>
                <w:lang w:val="en-GB"/>
              </w:rPr>
              <w:t>6</w:t>
            </w:r>
            <w:r w:rsidR="00960769" w:rsidRPr="008C509E">
              <w:rPr>
                <w:lang w:val="en-GB"/>
              </w:rPr>
              <w:t xml:space="preserve">% </w:t>
            </w:r>
            <w:r w:rsidRPr="008C509E">
              <w:rPr>
                <w:lang w:val="en-GB"/>
              </w:rPr>
              <w:t xml:space="preserve">in Q3 and even by </w:t>
            </w:r>
            <w:r w:rsidR="00960769" w:rsidRPr="008C509E">
              <w:rPr>
                <w:lang w:val="en-GB"/>
              </w:rPr>
              <w:t>3</w:t>
            </w:r>
            <w:r w:rsidRPr="008C509E">
              <w:rPr>
                <w:lang w:val="en-GB"/>
              </w:rPr>
              <w:t>.</w:t>
            </w:r>
            <w:r w:rsidR="009C4152" w:rsidRPr="008C509E">
              <w:rPr>
                <w:lang w:val="en-GB"/>
              </w:rPr>
              <w:t>8</w:t>
            </w:r>
            <w:r w:rsidR="00960769" w:rsidRPr="008C509E">
              <w:rPr>
                <w:lang w:val="en-GB"/>
              </w:rPr>
              <w:t>%</w:t>
            </w:r>
            <w:r w:rsidRPr="008C509E">
              <w:rPr>
                <w:lang w:val="en-GB"/>
              </w:rPr>
              <w:t xml:space="preserve"> in Q4</w:t>
            </w:r>
            <w:r w:rsidR="00960769" w:rsidRPr="008C509E">
              <w:rPr>
                <w:lang w:val="en-GB"/>
              </w:rPr>
              <w:t>.</w:t>
            </w:r>
          </w:p>
          <w:p w:rsidR="00691374" w:rsidRPr="00DB5669" w:rsidRDefault="00691374" w:rsidP="00691374">
            <w:pPr>
              <w:pStyle w:val="Textpoznpodarou"/>
              <w:jc w:val="both"/>
              <w:rPr>
                <w:spacing w:val="-2"/>
                <w:lang w:val="en-GB"/>
              </w:rPr>
            </w:pPr>
          </w:p>
        </w:tc>
      </w:tr>
      <w:tr w:rsidR="00960769" w:rsidRPr="007D44C3" w:rsidTr="00960769">
        <w:tc>
          <w:tcPr>
            <w:tcW w:w="1054" w:type="pct"/>
          </w:tcPr>
          <w:p w:rsidR="00960769" w:rsidRPr="004B6EC5" w:rsidRDefault="00691374" w:rsidP="008C509E">
            <w:pPr>
              <w:spacing w:line="240" w:lineRule="auto"/>
              <w:rPr>
                <w:sz w:val="16"/>
                <w:szCs w:val="16"/>
                <w:lang w:val="en-GB"/>
              </w:rPr>
            </w:pPr>
            <w:r w:rsidRPr="004B6EC5">
              <w:rPr>
                <w:sz w:val="16"/>
                <w:szCs w:val="16"/>
                <w:lang w:val="en-GB"/>
              </w:rPr>
              <w:t xml:space="preserve">The price level lowered </w:t>
            </w:r>
            <w:r w:rsidR="008C509E" w:rsidRPr="004B6EC5">
              <w:rPr>
                <w:sz w:val="16"/>
                <w:szCs w:val="16"/>
                <w:lang w:val="en-GB"/>
              </w:rPr>
              <w:t xml:space="preserve">also </w:t>
            </w:r>
            <w:r w:rsidRPr="004B6EC5">
              <w:rPr>
                <w:sz w:val="16"/>
                <w:szCs w:val="16"/>
                <w:lang w:val="en-GB"/>
              </w:rPr>
              <w:t>on the side of exports, however slightly slower compared to imports</w:t>
            </w:r>
            <w:r w:rsidR="00960769" w:rsidRPr="004B6EC5">
              <w:rPr>
                <w:sz w:val="16"/>
                <w:szCs w:val="16"/>
                <w:lang w:val="en-GB"/>
              </w:rPr>
              <w:t xml:space="preserve"> …</w:t>
            </w:r>
          </w:p>
        </w:tc>
        <w:tc>
          <w:tcPr>
            <w:tcW w:w="143" w:type="pct"/>
          </w:tcPr>
          <w:p w:rsidR="00960769" w:rsidRPr="004B6EC5" w:rsidRDefault="00960769" w:rsidP="00960769">
            <w:pPr>
              <w:pStyle w:val="Textpoznpodarou"/>
              <w:jc w:val="both"/>
              <w:rPr>
                <w:lang w:val="en-GB"/>
              </w:rPr>
            </w:pPr>
          </w:p>
        </w:tc>
        <w:tc>
          <w:tcPr>
            <w:tcW w:w="3803" w:type="pct"/>
          </w:tcPr>
          <w:p w:rsidR="00960769" w:rsidRPr="004B6EC5" w:rsidRDefault="00691374" w:rsidP="00960769">
            <w:pPr>
              <w:pStyle w:val="Textpoznpodarou"/>
              <w:jc w:val="both"/>
              <w:rPr>
                <w:lang w:val="en-GB"/>
              </w:rPr>
            </w:pPr>
            <w:r w:rsidRPr="004B6EC5">
              <w:rPr>
                <w:lang w:val="en-GB"/>
              </w:rPr>
              <w:t>The prices of exports of go</w:t>
            </w:r>
            <w:r w:rsidR="004B6EC5">
              <w:rPr>
                <w:lang w:val="en-GB"/>
              </w:rPr>
              <w:t>o</w:t>
            </w:r>
            <w:r w:rsidRPr="004B6EC5">
              <w:rPr>
                <w:lang w:val="en-GB"/>
              </w:rPr>
              <w:t xml:space="preserve">ds fell by </w:t>
            </w:r>
            <w:r w:rsidR="00960769" w:rsidRPr="004B6EC5">
              <w:rPr>
                <w:lang w:val="en-GB"/>
              </w:rPr>
              <w:t>1</w:t>
            </w:r>
            <w:r w:rsidRPr="004B6EC5">
              <w:rPr>
                <w:lang w:val="en-GB"/>
              </w:rPr>
              <w:t>.</w:t>
            </w:r>
            <w:r w:rsidR="009C4152">
              <w:rPr>
                <w:lang w:val="en-GB"/>
              </w:rPr>
              <w:t>7</w:t>
            </w:r>
            <w:r w:rsidR="00960769" w:rsidRPr="004B6EC5">
              <w:rPr>
                <w:lang w:val="en-GB"/>
              </w:rPr>
              <w:t>%</w:t>
            </w:r>
            <w:r w:rsidRPr="004B6EC5">
              <w:rPr>
                <w:lang w:val="en-GB"/>
              </w:rPr>
              <w:t xml:space="preserve"> in the la</w:t>
            </w:r>
            <w:r w:rsidR="004B6EC5">
              <w:rPr>
                <w:lang w:val="en-GB"/>
              </w:rPr>
              <w:t>s</w:t>
            </w:r>
            <w:r w:rsidRPr="004B6EC5">
              <w:rPr>
                <w:lang w:val="en-GB"/>
              </w:rPr>
              <w:t xml:space="preserve">t year. </w:t>
            </w:r>
            <w:r w:rsidRPr="00647505">
              <w:rPr>
                <w:lang w:val="en-GB"/>
              </w:rPr>
              <w:t xml:space="preserve">All SITC </w:t>
            </w:r>
            <w:r w:rsidR="00647505">
              <w:rPr>
                <w:lang w:val="en-GB"/>
              </w:rPr>
              <w:t xml:space="preserve">sections </w:t>
            </w:r>
            <w:r w:rsidRPr="00647505">
              <w:rPr>
                <w:lang w:val="en-GB"/>
              </w:rPr>
              <w:t>were exported abroad for lower prices except fo</w:t>
            </w:r>
            <w:r w:rsidR="004B6EC5" w:rsidRPr="00647505">
              <w:rPr>
                <w:lang w:val="en-GB"/>
              </w:rPr>
              <w:t>r</w:t>
            </w:r>
            <w:r w:rsidRPr="00647505">
              <w:rPr>
                <w:lang w:val="en-GB"/>
              </w:rPr>
              <w:t xml:space="preserve"> beverages and tobacco </w:t>
            </w:r>
            <w:r w:rsidR="00960769" w:rsidRPr="00647505">
              <w:rPr>
                <w:lang w:val="en-GB"/>
              </w:rPr>
              <w:t>(+3</w:t>
            </w:r>
            <w:r w:rsidRPr="00647505">
              <w:rPr>
                <w:lang w:val="en-GB"/>
              </w:rPr>
              <w:t>.</w:t>
            </w:r>
            <w:r w:rsidR="009C4152">
              <w:rPr>
                <w:lang w:val="en-GB"/>
              </w:rPr>
              <w:t>1</w:t>
            </w:r>
            <w:r w:rsidR="00960769" w:rsidRPr="00647505">
              <w:rPr>
                <w:lang w:val="en-GB"/>
              </w:rPr>
              <w:t>%)</w:t>
            </w:r>
            <w:r w:rsidR="008C509E">
              <w:rPr>
                <w:lang w:val="en-GB"/>
              </w:rPr>
              <w:t>, which hold low</w:t>
            </w:r>
            <w:r w:rsidRPr="00647505">
              <w:rPr>
                <w:lang w:val="en-GB"/>
              </w:rPr>
              <w:t xml:space="preserve"> weight in the total. Prices of machinery and transport </w:t>
            </w:r>
            <w:r w:rsidR="008C509E">
              <w:rPr>
                <w:lang w:val="en-GB"/>
              </w:rPr>
              <w:t>equipment</w:t>
            </w:r>
            <w:r w:rsidRPr="00647505">
              <w:rPr>
                <w:lang w:val="en-GB"/>
              </w:rPr>
              <w:t xml:space="preserve"> decreased </w:t>
            </w:r>
            <w:r w:rsidR="008C509E">
              <w:rPr>
                <w:lang w:val="en-GB"/>
              </w:rPr>
              <w:t xml:space="preserve">by </w:t>
            </w:r>
            <w:r w:rsidR="00960769" w:rsidRPr="00647505">
              <w:rPr>
                <w:lang w:val="en-GB"/>
              </w:rPr>
              <w:t>0</w:t>
            </w:r>
            <w:r w:rsidRPr="00647505">
              <w:rPr>
                <w:lang w:val="en-GB"/>
              </w:rPr>
              <w:t>.</w:t>
            </w:r>
            <w:r w:rsidR="009C4152">
              <w:rPr>
                <w:lang w:val="en-GB"/>
              </w:rPr>
              <w:t>4</w:t>
            </w:r>
            <w:r w:rsidR="00960769" w:rsidRPr="00647505">
              <w:rPr>
                <w:lang w:val="en-GB"/>
              </w:rPr>
              <w:t xml:space="preserve">%, </w:t>
            </w:r>
            <w:r w:rsidR="008C509E">
              <w:rPr>
                <w:lang w:val="en-GB"/>
              </w:rPr>
              <w:t>manufactured goods</w:t>
            </w:r>
            <w:r w:rsidR="00960769" w:rsidRPr="00647505">
              <w:rPr>
                <w:lang w:val="en-GB"/>
              </w:rPr>
              <w:t xml:space="preserve"> </w:t>
            </w:r>
            <w:r w:rsidR="004B6EC5" w:rsidRPr="00647505">
              <w:rPr>
                <w:lang w:val="en-GB"/>
              </w:rPr>
              <w:t xml:space="preserve">were cheaper by </w:t>
            </w:r>
            <w:r w:rsidR="00960769" w:rsidRPr="00647505">
              <w:rPr>
                <w:lang w:val="en-GB"/>
              </w:rPr>
              <w:t>1</w:t>
            </w:r>
            <w:r w:rsidR="004B6EC5" w:rsidRPr="00647505">
              <w:rPr>
                <w:lang w:val="en-GB"/>
              </w:rPr>
              <w:t>.</w:t>
            </w:r>
            <w:r w:rsidR="009C4152">
              <w:rPr>
                <w:lang w:val="en-GB"/>
              </w:rPr>
              <w:t>6</w:t>
            </w:r>
            <w:r w:rsidR="00960769" w:rsidRPr="00647505">
              <w:rPr>
                <w:lang w:val="en-GB"/>
              </w:rPr>
              <w:t xml:space="preserve">% </w:t>
            </w:r>
            <w:r w:rsidR="004B6EC5" w:rsidRPr="00647505">
              <w:rPr>
                <w:lang w:val="en-GB"/>
              </w:rPr>
              <w:t xml:space="preserve">and </w:t>
            </w:r>
            <w:r w:rsidR="008C509E">
              <w:rPr>
                <w:lang w:val="en-GB"/>
              </w:rPr>
              <w:t>miscellaneous manufactured articles</w:t>
            </w:r>
            <w:r w:rsidR="004B6EC5" w:rsidRPr="00647505">
              <w:rPr>
                <w:lang w:val="en-GB"/>
              </w:rPr>
              <w:t xml:space="preserve"> by </w:t>
            </w:r>
            <w:r w:rsidR="00960769" w:rsidRPr="00647505">
              <w:rPr>
                <w:lang w:val="en-GB"/>
              </w:rPr>
              <w:t>0</w:t>
            </w:r>
            <w:r w:rsidR="004B6EC5" w:rsidRPr="00647505">
              <w:rPr>
                <w:lang w:val="en-GB"/>
              </w:rPr>
              <w:t>.</w:t>
            </w:r>
            <w:r w:rsidR="009C4152">
              <w:rPr>
                <w:lang w:val="en-GB"/>
              </w:rPr>
              <w:t>3</w:t>
            </w:r>
            <w:r w:rsidR="00960769" w:rsidRPr="00647505">
              <w:rPr>
                <w:lang w:val="en-GB"/>
              </w:rPr>
              <w:t xml:space="preserve">%. </w:t>
            </w:r>
            <w:r w:rsidR="008C509E">
              <w:rPr>
                <w:lang w:val="en-GB"/>
              </w:rPr>
              <w:t>The drop of</w:t>
            </w:r>
            <w:r w:rsidR="004B6EC5" w:rsidRPr="00647505">
              <w:rPr>
                <w:lang w:val="en-GB"/>
              </w:rPr>
              <w:t xml:space="preserve"> prices of mineral fuels wa</w:t>
            </w:r>
            <w:r w:rsidR="00E41F3C" w:rsidRPr="00647505">
              <w:rPr>
                <w:lang w:val="en-GB"/>
              </w:rPr>
              <w:t>s</w:t>
            </w:r>
            <w:r w:rsidR="004B6EC5" w:rsidRPr="004B6EC5">
              <w:rPr>
                <w:lang w:val="en-GB"/>
              </w:rPr>
              <w:t xml:space="preserve"> deep </w:t>
            </w:r>
            <w:r w:rsidR="00960769" w:rsidRPr="004B6EC5">
              <w:rPr>
                <w:lang w:val="en-GB"/>
              </w:rPr>
              <w:t>(-12</w:t>
            </w:r>
            <w:r w:rsidR="004B6EC5" w:rsidRPr="004B6EC5">
              <w:rPr>
                <w:lang w:val="en-GB"/>
              </w:rPr>
              <w:t>.</w:t>
            </w:r>
            <w:r w:rsidR="009C4152">
              <w:rPr>
                <w:lang w:val="en-GB"/>
              </w:rPr>
              <w:t>6</w:t>
            </w:r>
            <w:r w:rsidR="00960769" w:rsidRPr="004B6EC5">
              <w:rPr>
                <w:lang w:val="en-GB"/>
              </w:rPr>
              <w:t xml:space="preserve">%), </w:t>
            </w:r>
            <w:r w:rsidR="004B6EC5" w:rsidRPr="004B6EC5">
              <w:rPr>
                <w:lang w:val="en-GB"/>
              </w:rPr>
              <w:t xml:space="preserve">however not as much as on the import side. It is logical, as the </w:t>
            </w:r>
            <w:r w:rsidR="00E41F3C">
              <w:rPr>
                <w:lang w:val="en-GB"/>
              </w:rPr>
              <w:t xml:space="preserve">weight </w:t>
            </w:r>
            <w:r w:rsidR="004B6EC5" w:rsidRPr="004B6EC5">
              <w:rPr>
                <w:lang w:val="en-GB"/>
              </w:rPr>
              <w:t>of the trade with oil and oil pro</w:t>
            </w:r>
            <w:r w:rsidR="004B6EC5">
              <w:rPr>
                <w:lang w:val="en-GB"/>
              </w:rPr>
              <w:t>d</w:t>
            </w:r>
            <w:r w:rsidR="00707537">
              <w:rPr>
                <w:lang w:val="en-GB"/>
              </w:rPr>
              <w:t>ucts has</w:t>
            </w:r>
            <w:r w:rsidR="004B6EC5" w:rsidRPr="004B6EC5">
              <w:rPr>
                <w:lang w:val="en-GB"/>
              </w:rPr>
              <w:t xml:space="preserve"> a lower share on exports than </w:t>
            </w:r>
            <w:r w:rsidR="004B6EC5" w:rsidRPr="008C509E">
              <w:rPr>
                <w:spacing w:val="-4"/>
                <w:lang w:val="en-GB"/>
              </w:rPr>
              <w:t>on imports and thus the fall of prices of this commodity affected more the import</w:t>
            </w:r>
            <w:r w:rsidR="004B6EC5" w:rsidRPr="004B6EC5">
              <w:rPr>
                <w:lang w:val="en-GB"/>
              </w:rPr>
              <w:t xml:space="preserve"> side. </w:t>
            </w:r>
          </w:p>
          <w:p w:rsidR="00960769" w:rsidRPr="004B6EC5" w:rsidRDefault="00960769" w:rsidP="00960769">
            <w:pPr>
              <w:pStyle w:val="Textpoznpodarou"/>
              <w:jc w:val="both"/>
              <w:rPr>
                <w:lang w:val="en-GB"/>
              </w:rPr>
            </w:pPr>
          </w:p>
        </w:tc>
      </w:tr>
      <w:tr w:rsidR="00960769" w:rsidRPr="007D44C3" w:rsidTr="00960769">
        <w:tc>
          <w:tcPr>
            <w:tcW w:w="1054" w:type="pct"/>
          </w:tcPr>
          <w:p w:rsidR="00F01A31" w:rsidRPr="00F01A31" w:rsidRDefault="00960769" w:rsidP="004F4831">
            <w:pPr>
              <w:spacing w:line="240" w:lineRule="auto"/>
              <w:rPr>
                <w:sz w:val="16"/>
                <w:szCs w:val="16"/>
                <w:lang w:val="en-GB"/>
              </w:rPr>
            </w:pPr>
            <w:r w:rsidRPr="00F01A31">
              <w:rPr>
                <w:sz w:val="16"/>
                <w:szCs w:val="16"/>
                <w:lang w:val="en-GB"/>
              </w:rPr>
              <w:t xml:space="preserve">… </w:t>
            </w:r>
            <w:r w:rsidR="00F01A31" w:rsidRPr="00F01A31">
              <w:rPr>
                <w:sz w:val="16"/>
                <w:szCs w:val="16"/>
                <w:lang w:val="en-GB"/>
              </w:rPr>
              <w:t>and terms of trade remained positive for a third year in a row</w:t>
            </w:r>
          </w:p>
          <w:p w:rsidR="00960769" w:rsidRPr="00F01A31" w:rsidRDefault="00960769" w:rsidP="004F4831">
            <w:pPr>
              <w:spacing w:line="240" w:lineRule="auto"/>
              <w:rPr>
                <w:sz w:val="16"/>
                <w:szCs w:val="16"/>
                <w:lang w:val="en-GB"/>
              </w:rPr>
            </w:pPr>
          </w:p>
        </w:tc>
        <w:tc>
          <w:tcPr>
            <w:tcW w:w="143" w:type="pct"/>
          </w:tcPr>
          <w:p w:rsidR="00960769" w:rsidRPr="00F01A31" w:rsidRDefault="00960769" w:rsidP="00960769">
            <w:pPr>
              <w:pStyle w:val="Textpoznpodarou"/>
              <w:jc w:val="both"/>
              <w:rPr>
                <w:lang w:val="en-GB"/>
              </w:rPr>
            </w:pPr>
          </w:p>
        </w:tc>
        <w:tc>
          <w:tcPr>
            <w:tcW w:w="3803" w:type="pct"/>
          </w:tcPr>
          <w:p w:rsidR="00960769" w:rsidRPr="00F01A31" w:rsidRDefault="00F01A31" w:rsidP="00707537">
            <w:pPr>
              <w:pStyle w:val="Textpoznpodarou"/>
              <w:jc w:val="both"/>
              <w:rPr>
                <w:lang w:val="en-GB"/>
              </w:rPr>
            </w:pPr>
            <w:r w:rsidRPr="00F01A31">
              <w:rPr>
                <w:lang w:val="en-GB"/>
              </w:rPr>
              <w:t>Terms of trade in the foreign trade with goods</w:t>
            </w:r>
            <w:r w:rsidR="00707537" w:rsidRPr="00F01A31">
              <w:rPr>
                <w:lang w:val="en-GB"/>
              </w:rPr>
              <w:t xml:space="preserve"> remained positive</w:t>
            </w:r>
            <w:r w:rsidRPr="00F01A31">
              <w:rPr>
                <w:lang w:val="en-GB"/>
              </w:rPr>
              <w:t>. The size of additional profits of the Czech economy flo</w:t>
            </w:r>
            <w:r>
              <w:rPr>
                <w:lang w:val="en-GB"/>
              </w:rPr>
              <w:t>w</w:t>
            </w:r>
            <w:r w:rsidRPr="00F01A31">
              <w:rPr>
                <w:lang w:val="en-GB"/>
              </w:rPr>
              <w:t xml:space="preserve">ing from the favourable development of prices however considerably shrank compared to years 2013 and 2014, since the value of terms of trade fell from </w:t>
            </w:r>
            <w:r w:rsidR="00960769" w:rsidRPr="00F01A31">
              <w:rPr>
                <w:lang w:val="en-GB"/>
              </w:rPr>
              <w:t>101</w:t>
            </w:r>
            <w:r w:rsidRPr="00F01A31">
              <w:rPr>
                <w:lang w:val="en-GB"/>
              </w:rPr>
              <w:t>.</w:t>
            </w:r>
            <w:r w:rsidR="009C4152">
              <w:rPr>
                <w:lang w:val="en-GB"/>
              </w:rPr>
              <w:t>4</w:t>
            </w:r>
            <w:r w:rsidR="00960769" w:rsidRPr="00F01A31">
              <w:rPr>
                <w:lang w:val="en-GB"/>
              </w:rPr>
              <w:t>% a</w:t>
            </w:r>
            <w:r w:rsidRPr="00F01A31">
              <w:rPr>
                <w:lang w:val="en-GB"/>
              </w:rPr>
              <w:t>nd</w:t>
            </w:r>
            <w:r w:rsidR="00960769" w:rsidRPr="00F01A31">
              <w:rPr>
                <w:lang w:val="en-GB"/>
              </w:rPr>
              <w:t> 101</w:t>
            </w:r>
            <w:r w:rsidRPr="00F01A31">
              <w:rPr>
                <w:lang w:val="en-GB"/>
              </w:rPr>
              <w:t>.</w:t>
            </w:r>
            <w:r w:rsidR="009C4152">
              <w:rPr>
                <w:lang w:val="en-GB"/>
              </w:rPr>
              <w:t>6</w:t>
            </w:r>
            <w:r w:rsidR="00960769" w:rsidRPr="00F01A31">
              <w:rPr>
                <w:lang w:val="en-GB"/>
              </w:rPr>
              <w:t xml:space="preserve">% </w:t>
            </w:r>
            <w:r w:rsidRPr="00F01A31">
              <w:rPr>
                <w:lang w:val="en-GB"/>
              </w:rPr>
              <w:t xml:space="preserve">to mere </w:t>
            </w:r>
            <w:r w:rsidR="00960769" w:rsidRPr="00F01A31">
              <w:rPr>
                <w:lang w:val="en-GB"/>
              </w:rPr>
              <w:t>100</w:t>
            </w:r>
            <w:r w:rsidRPr="00F01A31">
              <w:rPr>
                <w:lang w:val="en-GB"/>
              </w:rPr>
              <w:t>.</w:t>
            </w:r>
            <w:r w:rsidR="009C4152">
              <w:rPr>
                <w:lang w:val="en-GB"/>
              </w:rPr>
              <w:t>2</w:t>
            </w:r>
            <w:r w:rsidR="00960769" w:rsidRPr="00F01A31">
              <w:rPr>
                <w:lang w:val="en-GB"/>
              </w:rPr>
              <w:t>%.</w:t>
            </w:r>
            <w:r w:rsidRPr="00F01A31">
              <w:rPr>
                <w:lang w:val="en-GB"/>
              </w:rPr>
              <w:t xml:space="preserve"> Given the individual SITC </w:t>
            </w:r>
            <w:r w:rsidR="008C509E">
              <w:rPr>
                <w:lang w:val="en-GB"/>
              </w:rPr>
              <w:t>sections</w:t>
            </w:r>
            <w:r w:rsidRPr="00F01A31">
              <w:rPr>
                <w:lang w:val="en-GB"/>
              </w:rPr>
              <w:t>, the terms of trade were hi</w:t>
            </w:r>
            <w:r w:rsidR="008C509E">
              <w:rPr>
                <w:lang w:val="en-GB"/>
              </w:rPr>
              <w:t>ghly positive for the mineral fue</w:t>
            </w:r>
            <w:r w:rsidRPr="00F01A31">
              <w:rPr>
                <w:lang w:val="en-GB"/>
              </w:rPr>
              <w:t xml:space="preserve">ls </w:t>
            </w:r>
            <w:r w:rsidR="00960769" w:rsidRPr="00F01A31">
              <w:rPr>
                <w:lang w:val="en-GB"/>
              </w:rPr>
              <w:t>(114</w:t>
            </w:r>
            <w:r w:rsidRPr="00F01A31">
              <w:rPr>
                <w:lang w:val="en-GB"/>
              </w:rPr>
              <w:t>.</w:t>
            </w:r>
            <w:r w:rsidR="009C4152">
              <w:rPr>
                <w:lang w:val="en-GB"/>
              </w:rPr>
              <w:t>7</w:t>
            </w:r>
            <w:r w:rsidR="00960769" w:rsidRPr="00F01A31">
              <w:rPr>
                <w:lang w:val="en-GB"/>
              </w:rPr>
              <w:t xml:space="preserve">%) </w:t>
            </w:r>
            <w:r w:rsidRPr="00F01A31">
              <w:rPr>
                <w:lang w:val="en-GB"/>
              </w:rPr>
              <w:t>in the la</w:t>
            </w:r>
            <w:r>
              <w:rPr>
                <w:lang w:val="en-GB"/>
              </w:rPr>
              <w:t>s</w:t>
            </w:r>
            <w:r w:rsidRPr="00F01A31">
              <w:rPr>
                <w:lang w:val="en-GB"/>
              </w:rPr>
              <w:t xml:space="preserve">t year, further however only in case of beverages and tobacco </w:t>
            </w:r>
            <w:r w:rsidR="00960769" w:rsidRPr="00F01A31">
              <w:rPr>
                <w:spacing w:val="-2"/>
                <w:lang w:val="en-GB"/>
              </w:rPr>
              <w:t>(103</w:t>
            </w:r>
            <w:r w:rsidRPr="00F01A31">
              <w:rPr>
                <w:spacing w:val="-2"/>
                <w:lang w:val="en-GB"/>
              </w:rPr>
              <w:t>.</w:t>
            </w:r>
            <w:r w:rsidR="009C4152">
              <w:rPr>
                <w:spacing w:val="-2"/>
                <w:lang w:val="en-GB"/>
              </w:rPr>
              <w:t>8</w:t>
            </w:r>
            <w:r w:rsidR="00960769" w:rsidRPr="00F01A31">
              <w:rPr>
                <w:spacing w:val="-2"/>
                <w:lang w:val="en-GB"/>
              </w:rPr>
              <w:t>%) a</w:t>
            </w:r>
            <w:r w:rsidRPr="00F01A31">
              <w:rPr>
                <w:spacing w:val="-2"/>
                <w:lang w:val="en-GB"/>
              </w:rPr>
              <w:t xml:space="preserve">nd </w:t>
            </w:r>
            <w:r w:rsidR="008C509E">
              <w:rPr>
                <w:spacing w:val="-2"/>
                <w:lang w:val="en-GB"/>
              </w:rPr>
              <w:t>crude materials</w:t>
            </w:r>
            <w:r w:rsidR="00960769" w:rsidRPr="00F01A31">
              <w:rPr>
                <w:spacing w:val="-2"/>
                <w:lang w:val="en-GB"/>
              </w:rPr>
              <w:t xml:space="preserve"> (101</w:t>
            </w:r>
            <w:r w:rsidRPr="00F01A31">
              <w:rPr>
                <w:spacing w:val="-2"/>
                <w:lang w:val="en-GB"/>
              </w:rPr>
              <w:t>.</w:t>
            </w:r>
            <w:r w:rsidR="00960769" w:rsidRPr="00F01A31">
              <w:rPr>
                <w:spacing w:val="-2"/>
                <w:lang w:val="en-GB"/>
              </w:rPr>
              <w:t>5</w:t>
            </w:r>
            <w:r w:rsidR="00960769" w:rsidRPr="00F01A31">
              <w:rPr>
                <w:lang w:val="en-GB"/>
              </w:rPr>
              <w:t>%).</w:t>
            </w:r>
          </w:p>
        </w:tc>
      </w:tr>
    </w:tbl>
    <w:p w:rsidR="00960769" w:rsidRDefault="00960769" w:rsidP="007C605B"/>
    <w:tbl>
      <w:tblPr>
        <w:tblW w:w="5000" w:type="pct"/>
        <w:tblLook w:val="04A0"/>
      </w:tblPr>
      <w:tblGrid>
        <w:gridCol w:w="820"/>
        <w:gridCol w:w="4107"/>
        <w:gridCol w:w="1136"/>
        <w:gridCol w:w="3791"/>
      </w:tblGrid>
      <w:tr w:rsidR="00960769" w:rsidRPr="005819C0" w:rsidTr="00680B3B">
        <w:tc>
          <w:tcPr>
            <w:tcW w:w="415" w:type="pct"/>
          </w:tcPr>
          <w:p w:rsidR="00960769" w:rsidRPr="005819C0" w:rsidRDefault="00866561" w:rsidP="00866561">
            <w:pPr>
              <w:pStyle w:val="Textpoznpodarou"/>
            </w:pPr>
            <w:r>
              <w:t xml:space="preserve">Chart </w:t>
            </w:r>
            <w:r w:rsidR="00960769" w:rsidRPr="005819C0">
              <w:t>11</w:t>
            </w:r>
          </w:p>
        </w:tc>
        <w:tc>
          <w:tcPr>
            <w:tcW w:w="2085" w:type="pct"/>
          </w:tcPr>
          <w:p w:rsidR="00960769" w:rsidRPr="005819C0" w:rsidRDefault="006832D5" w:rsidP="001946B9">
            <w:pPr>
              <w:pStyle w:val="Textpoznpodarou"/>
            </w:pPr>
            <w:r>
              <w:rPr>
                <w:b/>
                <w:lang w:val="en-GB"/>
              </w:rPr>
              <w:t>C</w:t>
            </w:r>
            <w:r w:rsidR="007B6A6B" w:rsidRPr="005E0476">
              <w:rPr>
                <w:b/>
                <w:lang w:val="en-GB"/>
              </w:rPr>
              <w:t xml:space="preserve">onsumer prices for individual types of households </w:t>
            </w:r>
            <w:r w:rsidR="00960769" w:rsidRPr="005819C0">
              <w:t xml:space="preserve">(y/y </w:t>
            </w:r>
            <w:r w:rsidR="001946B9">
              <w:t>in</w:t>
            </w:r>
            <w:r w:rsidR="00960769" w:rsidRPr="005819C0">
              <w:t xml:space="preserve"> %)</w:t>
            </w:r>
          </w:p>
        </w:tc>
        <w:tc>
          <w:tcPr>
            <w:tcW w:w="576" w:type="pct"/>
          </w:tcPr>
          <w:p w:rsidR="00960769" w:rsidRPr="005819C0" w:rsidRDefault="00866561" w:rsidP="00866561">
            <w:pPr>
              <w:pStyle w:val="Textpoznpodarou"/>
            </w:pPr>
            <w:r>
              <w:t xml:space="preserve">Chart </w:t>
            </w:r>
            <w:r w:rsidR="00960769" w:rsidRPr="005819C0">
              <w:t>12</w:t>
            </w:r>
          </w:p>
        </w:tc>
        <w:tc>
          <w:tcPr>
            <w:tcW w:w="1924" w:type="pct"/>
          </w:tcPr>
          <w:p w:rsidR="00960769" w:rsidRPr="005819C0" w:rsidRDefault="006832D5" w:rsidP="001946B9">
            <w:pPr>
              <w:pStyle w:val="Textpoznpodarou"/>
            </w:pPr>
            <w:r>
              <w:rPr>
                <w:b/>
                <w:lang w:val="en-GB"/>
              </w:rPr>
              <w:t>P</w:t>
            </w:r>
            <w:r w:rsidR="007B6A6B" w:rsidRPr="005E0476">
              <w:rPr>
                <w:b/>
                <w:lang w:val="en-GB"/>
              </w:rPr>
              <w:t>rices in selected CPI</w:t>
            </w:r>
            <w:r w:rsidR="007B6A6B" w:rsidRPr="005E0476">
              <w:rPr>
                <w:lang w:val="en-GB"/>
              </w:rPr>
              <w:t xml:space="preserve"> </w:t>
            </w:r>
            <w:r w:rsidR="007B6A6B" w:rsidRPr="005E0476">
              <w:rPr>
                <w:b/>
                <w:lang w:val="en-GB"/>
              </w:rPr>
              <w:t>divisions</w:t>
            </w:r>
            <w:r w:rsidR="007B6A6B" w:rsidRPr="005E0476">
              <w:rPr>
                <w:lang w:val="en-GB"/>
              </w:rPr>
              <w:t xml:space="preserve"> </w:t>
            </w:r>
            <w:r w:rsidR="00960769" w:rsidRPr="005819C0">
              <w:t>(y/y </w:t>
            </w:r>
            <w:r w:rsidR="001946B9">
              <w:t>in</w:t>
            </w:r>
            <w:r w:rsidR="00960769" w:rsidRPr="005819C0">
              <w:t xml:space="preserve"> %)</w:t>
            </w:r>
          </w:p>
        </w:tc>
      </w:tr>
      <w:tr w:rsidR="00960769" w:rsidRPr="005819C0" w:rsidTr="00680B3B">
        <w:tc>
          <w:tcPr>
            <w:tcW w:w="2500" w:type="pct"/>
            <w:gridSpan w:val="2"/>
          </w:tcPr>
          <w:p w:rsidR="00960769" w:rsidRPr="005819C0" w:rsidRDefault="00680B3B" w:rsidP="00960769">
            <w:pPr>
              <w:pStyle w:val="Textpoznpodarou"/>
              <w:jc w:val="both"/>
            </w:pPr>
            <w:r w:rsidRPr="00680B3B">
              <w:rPr>
                <w:noProof/>
              </w:rPr>
              <w:drawing>
                <wp:inline distT="0" distB="0" distL="0" distR="0">
                  <wp:extent cx="3005455" cy="2371725"/>
                  <wp:effectExtent l="19050" t="0" r="4445" b="0"/>
                  <wp:docPr id="2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3005455" cy="2371725"/>
                          </a:xfrm>
                          <a:prstGeom prst="rect">
                            <a:avLst/>
                          </a:prstGeom>
                          <a:noFill/>
                        </pic:spPr>
                      </pic:pic>
                    </a:graphicData>
                  </a:graphic>
                </wp:inline>
              </w:drawing>
            </w:r>
          </w:p>
        </w:tc>
        <w:tc>
          <w:tcPr>
            <w:tcW w:w="2500" w:type="pct"/>
            <w:gridSpan w:val="2"/>
          </w:tcPr>
          <w:p w:rsidR="00960769" w:rsidRPr="005819C0" w:rsidRDefault="00680B3B" w:rsidP="00960769">
            <w:pPr>
              <w:pStyle w:val="Textpoznpodarou"/>
              <w:jc w:val="both"/>
            </w:pPr>
            <w:r w:rsidRPr="00680B3B">
              <w:rPr>
                <w:noProof/>
              </w:rPr>
              <w:drawing>
                <wp:inline distT="0" distB="0" distL="0" distR="0">
                  <wp:extent cx="3005455" cy="2371725"/>
                  <wp:effectExtent l="19050" t="0" r="4445" b="0"/>
                  <wp:docPr id="31"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3005455" cy="2371725"/>
                          </a:xfrm>
                          <a:prstGeom prst="rect">
                            <a:avLst/>
                          </a:prstGeom>
                          <a:noFill/>
                        </pic:spPr>
                      </pic:pic>
                    </a:graphicData>
                  </a:graphic>
                </wp:inline>
              </w:drawing>
            </w:r>
          </w:p>
        </w:tc>
      </w:tr>
      <w:tr w:rsidR="00960769" w:rsidRPr="005819C0" w:rsidTr="00960769">
        <w:tc>
          <w:tcPr>
            <w:tcW w:w="5000" w:type="pct"/>
            <w:gridSpan w:val="4"/>
          </w:tcPr>
          <w:p w:rsidR="00960769" w:rsidRPr="005819C0" w:rsidRDefault="001946B9" w:rsidP="001946B9">
            <w:pPr>
              <w:pStyle w:val="Textpoznpodarou"/>
              <w:jc w:val="right"/>
              <w:rPr>
                <w:noProof/>
              </w:rPr>
            </w:pPr>
            <w:r>
              <w:rPr>
                <w:sz w:val="18"/>
                <w:szCs w:val="18"/>
              </w:rPr>
              <w:t>Source</w:t>
            </w:r>
            <w:r w:rsidR="00960769" w:rsidRPr="005819C0">
              <w:rPr>
                <w:sz w:val="18"/>
                <w:szCs w:val="18"/>
              </w:rPr>
              <w:t xml:space="preserve">: </w:t>
            </w:r>
            <w:r>
              <w:rPr>
                <w:sz w:val="18"/>
                <w:szCs w:val="18"/>
              </w:rPr>
              <w:t>CZSO</w:t>
            </w:r>
          </w:p>
        </w:tc>
      </w:tr>
    </w:tbl>
    <w:p w:rsidR="00960769" w:rsidRDefault="00960769" w:rsidP="007C605B"/>
    <w:p w:rsidR="00680B3B" w:rsidRDefault="00680B3B" w:rsidP="007C605B"/>
    <w:p w:rsidR="00680B3B" w:rsidRDefault="00680B3B" w:rsidP="007C605B"/>
    <w:p w:rsidR="00680B3B" w:rsidRDefault="00680B3B" w:rsidP="007C605B"/>
    <w:p w:rsidR="00680B3B" w:rsidRDefault="00680B3B" w:rsidP="007C605B"/>
    <w:p w:rsidR="00680B3B" w:rsidRDefault="00680B3B" w:rsidP="007C605B"/>
    <w:p w:rsidR="00680B3B" w:rsidRDefault="00680B3B" w:rsidP="007C605B"/>
    <w:p w:rsidR="00680B3B" w:rsidRDefault="00680B3B" w:rsidP="007C605B"/>
    <w:tbl>
      <w:tblPr>
        <w:tblW w:w="5000" w:type="pct"/>
        <w:tblLook w:val="04A0"/>
      </w:tblPr>
      <w:tblGrid>
        <w:gridCol w:w="1106"/>
        <w:gridCol w:w="3821"/>
        <w:gridCol w:w="713"/>
        <w:gridCol w:w="4214"/>
      </w:tblGrid>
      <w:tr w:rsidR="00960769" w:rsidRPr="005819C0" w:rsidTr="007B6A6B">
        <w:tc>
          <w:tcPr>
            <w:tcW w:w="560" w:type="pct"/>
          </w:tcPr>
          <w:p w:rsidR="00960769" w:rsidRPr="00C024DA" w:rsidRDefault="001946B9" w:rsidP="001946B9">
            <w:pPr>
              <w:pStyle w:val="Textpoznpodarou"/>
              <w:rPr>
                <w:lang w:eastAsia="en-US"/>
              </w:rPr>
            </w:pPr>
            <w:r>
              <w:rPr>
                <w:lang w:eastAsia="en-US"/>
              </w:rPr>
              <w:lastRenderedPageBreak/>
              <w:t xml:space="preserve">Chart </w:t>
            </w:r>
            <w:r w:rsidR="00960769" w:rsidRPr="00C024DA">
              <w:rPr>
                <w:lang w:eastAsia="en-US"/>
              </w:rPr>
              <w:t>13</w:t>
            </w:r>
          </w:p>
        </w:tc>
        <w:tc>
          <w:tcPr>
            <w:tcW w:w="1939" w:type="pct"/>
          </w:tcPr>
          <w:p w:rsidR="00960769" w:rsidRPr="00C024DA" w:rsidRDefault="00960769" w:rsidP="00703163">
            <w:pPr>
              <w:pStyle w:val="Textpoznpodarou"/>
              <w:rPr>
                <w:lang w:eastAsia="en-US"/>
              </w:rPr>
            </w:pPr>
            <w:r w:rsidRPr="00960769">
              <w:rPr>
                <w:b/>
                <w:lang w:eastAsia="en-US"/>
              </w:rPr>
              <w:t>Defl</w:t>
            </w:r>
            <w:r w:rsidR="00866561">
              <w:rPr>
                <w:b/>
                <w:lang w:eastAsia="en-US"/>
              </w:rPr>
              <w:t xml:space="preserve">ators </w:t>
            </w:r>
            <w:r w:rsidRPr="00C024DA">
              <w:rPr>
                <w:lang w:eastAsia="en-US"/>
              </w:rPr>
              <w:t>(</w:t>
            </w:r>
            <w:r w:rsidR="00703163">
              <w:rPr>
                <w:lang w:eastAsia="en-US"/>
              </w:rPr>
              <w:t>not</w:t>
            </w:r>
            <w:r w:rsidR="00703163" w:rsidRPr="005E0476">
              <w:rPr>
                <w:lang w:val="en-GB" w:eastAsia="en-US"/>
              </w:rPr>
              <w:t xml:space="preserve"> adjusted for seasonal and calendar effects</w:t>
            </w:r>
            <w:r w:rsidR="00703163">
              <w:rPr>
                <w:lang w:val="en-GB" w:eastAsia="en-US"/>
              </w:rPr>
              <w:t>,</w:t>
            </w:r>
            <w:r w:rsidR="00703163" w:rsidRPr="00C024DA">
              <w:rPr>
                <w:lang w:eastAsia="en-US"/>
              </w:rPr>
              <w:t xml:space="preserve"> </w:t>
            </w:r>
            <w:r w:rsidRPr="00C024DA">
              <w:rPr>
                <w:lang w:eastAsia="en-US"/>
              </w:rPr>
              <w:t xml:space="preserve">y/y </w:t>
            </w:r>
            <w:r w:rsidR="00866561">
              <w:rPr>
                <w:lang w:eastAsia="en-US"/>
              </w:rPr>
              <w:t>in</w:t>
            </w:r>
            <w:r w:rsidRPr="00C024DA">
              <w:rPr>
                <w:lang w:eastAsia="en-US"/>
              </w:rPr>
              <w:t xml:space="preserve"> %)</w:t>
            </w:r>
          </w:p>
        </w:tc>
        <w:tc>
          <w:tcPr>
            <w:tcW w:w="361" w:type="pct"/>
          </w:tcPr>
          <w:p w:rsidR="00960769" w:rsidRPr="005819C0" w:rsidRDefault="001946B9" w:rsidP="001946B9">
            <w:pPr>
              <w:pStyle w:val="Textpoznpodarou"/>
              <w:rPr>
                <w:lang w:eastAsia="en-US"/>
              </w:rPr>
            </w:pPr>
            <w:r>
              <w:rPr>
                <w:lang w:eastAsia="en-US"/>
              </w:rPr>
              <w:t xml:space="preserve">Chart </w:t>
            </w:r>
            <w:r w:rsidR="00960769" w:rsidRPr="005819C0">
              <w:rPr>
                <w:lang w:eastAsia="en-US"/>
              </w:rPr>
              <w:t>14</w:t>
            </w:r>
          </w:p>
        </w:tc>
        <w:tc>
          <w:tcPr>
            <w:tcW w:w="2140" w:type="pct"/>
          </w:tcPr>
          <w:p w:rsidR="00960769" w:rsidRPr="005819C0" w:rsidRDefault="00703163" w:rsidP="006832D5">
            <w:pPr>
              <w:pStyle w:val="Textpoznpodarou"/>
              <w:rPr>
                <w:lang w:eastAsia="en-US"/>
              </w:rPr>
            </w:pPr>
            <w:r w:rsidRPr="005E0476">
              <w:rPr>
                <w:b/>
                <w:lang w:val="en-GB" w:eastAsia="en-US"/>
              </w:rPr>
              <w:t>Producer prices</w:t>
            </w:r>
            <w:r w:rsidRPr="005E0476">
              <w:rPr>
                <w:lang w:val="en-GB" w:eastAsia="en-US"/>
              </w:rPr>
              <w:t xml:space="preserve"> </w:t>
            </w:r>
            <w:r w:rsidR="00960769" w:rsidRPr="005819C0">
              <w:rPr>
                <w:lang w:eastAsia="en-US"/>
              </w:rPr>
              <w:t xml:space="preserve">(y/y </w:t>
            </w:r>
            <w:r w:rsidR="001946B9">
              <w:rPr>
                <w:lang w:eastAsia="en-US"/>
              </w:rPr>
              <w:t>in</w:t>
            </w:r>
            <w:r w:rsidR="00960769" w:rsidRPr="005819C0">
              <w:rPr>
                <w:lang w:eastAsia="en-US"/>
              </w:rPr>
              <w:t xml:space="preserve"> %, </w:t>
            </w:r>
            <w:r w:rsidRPr="005E0476">
              <w:rPr>
                <w:color w:val="000000" w:themeColor="text1"/>
                <w:lang w:val="en-GB" w:eastAsia="en-US"/>
              </w:rPr>
              <w:t>prices</w:t>
            </w:r>
            <w:r w:rsidR="006832D5">
              <w:rPr>
                <w:color w:val="000000" w:themeColor="text1"/>
                <w:lang w:val="en-GB" w:eastAsia="en-US"/>
              </w:rPr>
              <w:t xml:space="preserve"> in the agriculture</w:t>
            </w:r>
            <w:r w:rsidRPr="005E0476">
              <w:rPr>
                <w:color w:val="000000" w:themeColor="text1"/>
                <w:lang w:val="en-GB" w:eastAsia="en-US"/>
              </w:rPr>
              <w:t xml:space="preserve"> on the right axis, other on left axis</w:t>
            </w:r>
            <w:r w:rsidR="00960769" w:rsidRPr="005819C0">
              <w:rPr>
                <w:lang w:eastAsia="en-US"/>
              </w:rPr>
              <w:t>)</w:t>
            </w:r>
          </w:p>
        </w:tc>
      </w:tr>
      <w:tr w:rsidR="00960769" w:rsidRPr="005819C0" w:rsidTr="007B6A6B">
        <w:tc>
          <w:tcPr>
            <w:tcW w:w="2499" w:type="pct"/>
            <w:gridSpan w:val="2"/>
          </w:tcPr>
          <w:p w:rsidR="00960769" w:rsidRPr="005819C0" w:rsidRDefault="00680B3B" w:rsidP="00960769">
            <w:pPr>
              <w:pStyle w:val="Textpoznpodarou"/>
              <w:jc w:val="both"/>
              <w:rPr>
                <w:lang w:eastAsia="en-US"/>
              </w:rPr>
            </w:pPr>
            <w:r w:rsidRPr="00680B3B">
              <w:rPr>
                <w:noProof/>
              </w:rPr>
              <w:drawing>
                <wp:inline distT="0" distB="0" distL="0" distR="0">
                  <wp:extent cx="3005455" cy="2371725"/>
                  <wp:effectExtent l="19050" t="0" r="4445" b="0"/>
                  <wp:docPr id="34"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3005455" cy="2371725"/>
                          </a:xfrm>
                          <a:prstGeom prst="rect">
                            <a:avLst/>
                          </a:prstGeom>
                          <a:noFill/>
                        </pic:spPr>
                      </pic:pic>
                    </a:graphicData>
                  </a:graphic>
                </wp:inline>
              </w:drawing>
            </w:r>
          </w:p>
        </w:tc>
        <w:tc>
          <w:tcPr>
            <w:tcW w:w="2501" w:type="pct"/>
            <w:gridSpan w:val="2"/>
          </w:tcPr>
          <w:p w:rsidR="00960769" w:rsidRPr="005819C0" w:rsidRDefault="00680B3B" w:rsidP="00960769">
            <w:pPr>
              <w:pStyle w:val="Textpoznpodarou"/>
              <w:jc w:val="both"/>
              <w:rPr>
                <w:lang w:eastAsia="en-US"/>
              </w:rPr>
            </w:pPr>
            <w:r w:rsidRPr="00680B3B">
              <w:rPr>
                <w:noProof/>
              </w:rPr>
              <w:drawing>
                <wp:inline distT="0" distB="0" distL="0" distR="0">
                  <wp:extent cx="3005455" cy="2371725"/>
                  <wp:effectExtent l="19050" t="0" r="4445" b="0"/>
                  <wp:docPr id="37"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3005455" cy="2371725"/>
                          </a:xfrm>
                          <a:prstGeom prst="rect">
                            <a:avLst/>
                          </a:prstGeom>
                          <a:noFill/>
                        </pic:spPr>
                      </pic:pic>
                    </a:graphicData>
                  </a:graphic>
                </wp:inline>
              </w:drawing>
            </w:r>
          </w:p>
        </w:tc>
      </w:tr>
      <w:tr w:rsidR="00960769" w:rsidRPr="005819C0" w:rsidTr="00960769">
        <w:tc>
          <w:tcPr>
            <w:tcW w:w="5000" w:type="pct"/>
            <w:gridSpan w:val="4"/>
          </w:tcPr>
          <w:p w:rsidR="00960769" w:rsidRPr="00960769" w:rsidRDefault="001946B9" w:rsidP="001946B9">
            <w:pPr>
              <w:pStyle w:val="Textpoznpodarou"/>
              <w:jc w:val="right"/>
              <w:rPr>
                <w:sz w:val="18"/>
                <w:szCs w:val="18"/>
                <w:lang w:eastAsia="en-US"/>
              </w:rPr>
            </w:pPr>
            <w:r>
              <w:rPr>
                <w:sz w:val="18"/>
                <w:szCs w:val="18"/>
                <w:lang w:eastAsia="en-US"/>
              </w:rPr>
              <w:t>Source</w:t>
            </w:r>
            <w:r w:rsidR="00960769" w:rsidRPr="00960769">
              <w:rPr>
                <w:sz w:val="18"/>
                <w:szCs w:val="18"/>
                <w:lang w:eastAsia="en-US"/>
              </w:rPr>
              <w:t xml:space="preserve">: </w:t>
            </w:r>
            <w:r>
              <w:rPr>
                <w:sz w:val="18"/>
                <w:szCs w:val="18"/>
                <w:lang w:eastAsia="en-US"/>
              </w:rPr>
              <w:t>CZSO</w:t>
            </w:r>
          </w:p>
        </w:tc>
      </w:tr>
    </w:tbl>
    <w:p w:rsidR="00680B3B" w:rsidRDefault="00680B3B" w:rsidP="007B6A6B">
      <w:pPr>
        <w:pStyle w:val="Textpoznpodarou"/>
        <w:rPr>
          <w:color w:val="000000"/>
          <w:lang w:val="en-GB"/>
        </w:rPr>
      </w:pPr>
    </w:p>
    <w:p w:rsidR="00680B3B" w:rsidRPr="00680B3B" w:rsidRDefault="00680B3B" w:rsidP="00680B3B">
      <w:pPr>
        <w:rPr>
          <w:lang w:val="en-GB"/>
        </w:rPr>
      </w:pPr>
    </w:p>
    <w:p w:rsidR="00680B3B" w:rsidRPr="00680B3B" w:rsidRDefault="00680B3B" w:rsidP="00680B3B">
      <w:pPr>
        <w:rPr>
          <w:lang w:val="en-GB"/>
        </w:rPr>
      </w:pPr>
    </w:p>
    <w:p w:rsidR="00680B3B" w:rsidRPr="00680B3B" w:rsidRDefault="00680B3B" w:rsidP="00680B3B">
      <w:pPr>
        <w:rPr>
          <w:lang w:val="en-GB"/>
        </w:rPr>
      </w:pPr>
    </w:p>
    <w:p w:rsidR="00680B3B" w:rsidRPr="00680B3B" w:rsidRDefault="00680B3B" w:rsidP="00680B3B">
      <w:pPr>
        <w:rPr>
          <w:lang w:val="en-GB"/>
        </w:rPr>
      </w:pPr>
    </w:p>
    <w:p w:rsidR="00680B3B" w:rsidRPr="00680B3B" w:rsidRDefault="00680B3B" w:rsidP="00680B3B">
      <w:pPr>
        <w:rPr>
          <w:lang w:val="en-GB"/>
        </w:rPr>
      </w:pPr>
    </w:p>
    <w:p w:rsidR="00680B3B" w:rsidRPr="00680B3B" w:rsidRDefault="00680B3B" w:rsidP="00680B3B">
      <w:pPr>
        <w:rPr>
          <w:lang w:val="en-GB"/>
        </w:rPr>
      </w:pPr>
    </w:p>
    <w:p w:rsidR="00680B3B" w:rsidRDefault="00680B3B" w:rsidP="00680B3B">
      <w:pPr>
        <w:rPr>
          <w:lang w:val="en-GB"/>
        </w:rPr>
      </w:pPr>
    </w:p>
    <w:p w:rsidR="001D1A17" w:rsidRPr="00680B3B" w:rsidRDefault="001D1A17" w:rsidP="00680B3B">
      <w:pPr>
        <w:rPr>
          <w:lang w:val="en-GB"/>
        </w:rPr>
      </w:pPr>
    </w:p>
    <w:sectPr w:rsidR="001D1A17" w:rsidRPr="00680B3B" w:rsidSect="00CC66D9">
      <w:headerReference w:type="even" r:id="rId12"/>
      <w:headerReference w:type="default" r:id="rId13"/>
      <w:footerReference w:type="even" r:id="rId14"/>
      <w:footerReference w:type="default" r:id="rId15"/>
      <w:type w:val="continuous"/>
      <w:pgSz w:w="11906" w:h="16838" w:code="9"/>
      <w:pgMar w:top="1134" w:right="1134" w:bottom="1418" w:left="1134" w:header="680" w:footer="680"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5B4" w:rsidRDefault="00A215B4" w:rsidP="00E71A58">
      <w:r>
        <w:separator/>
      </w:r>
    </w:p>
  </w:endnote>
  <w:endnote w:type="continuationSeparator" w:id="0">
    <w:p w:rsidR="00A215B4" w:rsidRDefault="00A215B4"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Default="00B21913"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sidR="007C6DB8" w:rsidRPr="005A21E0">
      <w:rPr>
        <w:rFonts w:ascii="Arial" w:hAnsi="Arial" w:cs="Arial"/>
        <w:sz w:val="16"/>
        <w:szCs w:val="16"/>
      </w:rPr>
      <w:fldChar w:fldCharType="begin"/>
    </w:r>
    <w:r w:rsidRPr="005A21E0">
      <w:rPr>
        <w:rFonts w:ascii="Arial" w:hAnsi="Arial" w:cs="Arial"/>
        <w:sz w:val="16"/>
        <w:szCs w:val="16"/>
      </w:rPr>
      <w:instrText>PAGE   \* MERGEFORMAT</w:instrText>
    </w:r>
    <w:r w:rsidR="007C6DB8" w:rsidRPr="005A21E0">
      <w:rPr>
        <w:rFonts w:ascii="Arial" w:hAnsi="Arial" w:cs="Arial"/>
        <w:sz w:val="16"/>
        <w:szCs w:val="16"/>
      </w:rPr>
      <w:fldChar w:fldCharType="separate"/>
    </w:r>
    <w:r w:rsidR="00CC66D9">
      <w:rPr>
        <w:rFonts w:ascii="Arial" w:hAnsi="Arial" w:cs="Arial"/>
        <w:noProof/>
        <w:sz w:val="16"/>
        <w:szCs w:val="16"/>
      </w:rPr>
      <w:t>16</w:t>
    </w:r>
    <w:r w:rsidR="007C6DB8" w:rsidRPr="005A21E0">
      <w:rPr>
        <w:rFonts w:ascii="Arial" w:hAnsi="Arial" w:cs="Arial"/>
        <w:sz w:val="16"/>
        <w:szCs w:val="16"/>
      </w:rPr>
      <w:fldChar w:fldCharType="end"/>
    </w:r>
    <w:r>
      <w:rPr>
        <w:rFonts w:ascii="Arial" w:hAnsi="Arial" w:cs="Arial"/>
        <w:sz w:val="16"/>
        <w:szCs w:val="16"/>
      </w:rPr>
      <w:tab/>
      <w:t>2016</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Default="00B21913"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B21913" w:rsidRPr="00223E00" w:rsidRDefault="00B21913"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7C6DB8"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7C6DB8" w:rsidRPr="00223E00">
      <w:rPr>
        <w:rFonts w:ascii="Arial" w:hAnsi="Arial" w:cs="Arial"/>
        <w:sz w:val="16"/>
        <w:szCs w:val="16"/>
      </w:rPr>
      <w:fldChar w:fldCharType="separate"/>
    </w:r>
    <w:r w:rsidR="00CC66D9">
      <w:rPr>
        <w:rFonts w:ascii="Arial" w:hAnsi="Arial" w:cs="Arial"/>
        <w:noProof/>
        <w:sz w:val="16"/>
        <w:szCs w:val="16"/>
      </w:rPr>
      <w:t>15</w:t>
    </w:r>
    <w:r w:rsidR="007C6DB8"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5B4" w:rsidRDefault="00A215B4" w:rsidP="00E71A58">
      <w:r>
        <w:separator/>
      </w:r>
    </w:p>
  </w:footnote>
  <w:footnote w:type="continuationSeparator" w:id="0">
    <w:p w:rsidR="00A215B4" w:rsidRDefault="00A215B4" w:rsidP="00E71A58">
      <w:r>
        <w:continuationSeparator/>
      </w:r>
    </w:p>
  </w:footnote>
  <w:footnote w:id="1">
    <w:p w:rsidR="00B21913" w:rsidRPr="00F555CA" w:rsidRDefault="00B21913" w:rsidP="00AC0EC6">
      <w:pPr>
        <w:pStyle w:val="Textpoznpodarou"/>
        <w:jc w:val="both"/>
        <w:rPr>
          <w:sz w:val="16"/>
          <w:szCs w:val="16"/>
          <w:lang w:val="en-GB"/>
        </w:rPr>
      </w:pPr>
      <w:r w:rsidRPr="00481C00">
        <w:rPr>
          <w:rStyle w:val="Znakapoznpodarou"/>
          <w:sz w:val="16"/>
          <w:szCs w:val="16"/>
        </w:rPr>
        <w:footnoteRef/>
      </w:r>
      <w:r w:rsidRPr="00481C00">
        <w:rPr>
          <w:sz w:val="16"/>
          <w:szCs w:val="16"/>
        </w:rPr>
        <w:t xml:space="preserve"> </w:t>
      </w:r>
      <w:r w:rsidRPr="00F555CA">
        <w:rPr>
          <w:sz w:val="16"/>
          <w:szCs w:val="16"/>
          <w:lang w:val="en-GB"/>
        </w:rPr>
        <w:t xml:space="preserve">Not adjusted for seasonal and calendar effects.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Pr="00D766EF" w:rsidRDefault="00B21913" w:rsidP="00D766EF">
    <w:pPr>
      <w:pStyle w:val="Zhlav"/>
      <w:tabs>
        <w:tab w:val="clear" w:pos="4536"/>
        <w:tab w:val="clear" w:pos="9072"/>
        <w:tab w:val="left" w:pos="-6379"/>
        <w:tab w:val="center" w:pos="4820"/>
        <w:tab w:val="right" w:pos="9639"/>
      </w:tabs>
      <w:rPr>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Pr="00D766EF" w:rsidRDefault="00B21913" w:rsidP="003B34B7">
    <w:pPr>
      <w:pStyle w:val="Zhlav"/>
      <w:tabs>
        <w:tab w:val="clear" w:pos="4536"/>
        <w:tab w:val="clear" w:pos="9072"/>
        <w:tab w:val="left" w:pos="-6379"/>
        <w:tab w:val="center" w:pos="4820"/>
        <w:tab w:val="right" w:pos="9639"/>
      </w:tabs>
      <w:rPr>
        <w:szCs w:val="16"/>
      </w:rPr>
    </w:pPr>
    <w:r>
      <w:rPr>
        <w:rFonts w:ascii="Arial" w:hAnsi="Arial" w:cs="Arial"/>
        <w:sz w:val="16"/>
        <w:szCs w:val="16"/>
      </w:rPr>
      <w:t>The Czech Economy Development in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B6623"/>
    <w:multiLevelType w:val="hybridMultilevel"/>
    <w:tmpl w:val="D97AD7F4"/>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72706"/>
  </w:hdrShapeDefaults>
  <w:footnotePr>
    <w:footnote w:id="-1"/>
    <w:footnote w:id="0"/>
  </w:footnotePr>
  <w:endnotePr>
    <w:endnote w:id="-1"/>
    <w:endnote w:id="0"/>
  </w:endnotePr>
  <w:compat/>
  <w:rsids>
    <w:rsidRoot w:val="009B70BD"/>
    <w:rsid w:val="00000FA7"/>
    <w:rsid w:val="0000191C"/>
    <w:rsid w:val="00001EFF"/>
    <w:rsid w:val="00003687"/>
    <w:rsid w:val="00003C43"/>
    <w:rsid w:val="00006026"/>
    <w:rsid w:val="00006468"/>
    <w:rsid w:val="000070E4"/>
    <w:rsid w:val="00007498"/>
    <w:rsid w:val="0000767A"/>
    <w:rsid w:val="000101F5"/>
    <w:rsid w:val="000104B9"/>
    <w:rsid w:val="000104F6"/>
    <w:rsid w:val="00010702"/>
    <w:rsid w:val="0001100E"/>
    <w:rsid w:val="00011191"/>
    <w:rsid w:val="0001159B"/>
    <w:rsid w:val="00012986"/>
    <w:rsid w:val="00014D35"/>
    <w:rsid w:val="00015195"/>
    <w:rsid w:val="0001519F"/>
    <w:rsid w:val="0001572B"/>
    <w:rsid w:val="0001573E"/>
    <w:rsid w:val="000162DB"/>
    <w:rsid w:val="00017F05"/>
    <w:rsid w:val="000202C6"/>
    <w:rsid w:val="00020946"/>
    <w:rsid w:val="00022B41"/>
    <w:rsid w:val="00022EA9"/>
    <w:rsid w:val="00023F1E"/>
    <w:rsid w:val="00024887"/>
    <w:rsid w:val="00024CBA"/>
    <w:rsid w:val="00025501"/>
    <w:rsid w:val="00026998"/>
    <w:rsid w:val="000304C4"/>
    <w:rsid w:val="0003066A"/>
    <w:rsid w:val="00030F14"/>
    <w:rsid w:val="000311C5"/>
    <w:rsid w:val="00031A35"/>
    <w:rsid w:val="00032838"/>
    <w:rsid w:val="00032C12"/>
    <w:rsid w:val="00035CCF"/>
    <w:rsid w:val="00035FC6"/>
    <w:rsid w:val="000366C7"/>
    <w:rsid w:val="00037667"/>
    <w:rsid w:val="0004075D"/>
    <w:rsid w:val="000411E1"/>
    <w:rsid w:val="00043E05"/>
    <w:rsid w:val="0004694F"/>
    <w:rsid w:val="000500DC"/>
    <w:rsid w:val="00052172"/>
    <w:rsid w:val="00053672"/>
    <w:rsid w:val="00053CBA"/>
    <w:rsid w:val="00054E43"/>
    <w:rsid w:val="00055059"/>
    <w:rsid w:val="000553E4"/>
    <w:rsid w:val="000567FA"/>
    <w:rsid w:val="00057864"/>
    <w:rsid w:val="00057C16"/>
    <w:rsid w:val="00060F26"/>
    <w:rsid w:val="00062D43"/>
    <w:rsid w:val="00062EC5"/>
    <w:rsid w:val="00064256"/>
    <w:rsid w:val="00065712"/>
    <w:rsid w:val="0006631E"/>
    <w:rsid w:val="000663A1"/>
    <w:rsid w:val="000706A4"/>
    <w:rsid w:val="00071F80"/>
    <w:rsid w:val="00072118"/>
    <w:rsid w:val="00073173"/>
    <w:rsid w:val="000773FF"/>
    <w:rsid w:val="000779AC"/>
    <w:rsid w:val="00082C2D"/>
    <w:rsid w:val="00083803"/>
    <w:rsid w:val="00084393"/>
    <w:rsid w:val="0008716A"/>
    <w:rsid w:val="00087634"/>
    <w:rsid w:val="00091237"/>
    <w:rsid w:val="0009191B"/>
    <w:rsid w:val="000920EC"/>
    <w:rsid w:val="00092208"/>
    <w:rsid w:val="00092505"/>
    <w:rsid w:val="00092C9A"/>
    <w:rsid w:val="00092E37"/>
    <w:rsid w:val="000935D1"/>
    <w:rsid w:val="0009763F"/>
    <w:rsid w:val="00097D02"/>
    <w:rsid w:val="000A1183"/>
    <w:rsid w:val="000A2121"/>
    <w:rsid w:val="000A2484"/>
    <w:rsid w:val="000A2525"/>
    <w:rsid w:val="000A26DC"/>
    <w:rsid w:val="000A36CE"/>
    <w:rsid w:val="000A59BF"/>
    <w:rsid w:val="000A66C2"/>
    <w:rsid w:val="000B1CFE"/>
    <w:rsid w:val="000B210A"/>
    <w:rsid w:val="000B249B"/>
    <w:rsid w:val="000B3DB9"/>
    <w:rsid w:val="000B3F02"/>
    <w:rsid w:val="000B4192"/>
    <w:rsid w:val="000B48A2"/>
    <w:rsid w:val="000B48E7"/>
    <w:rsid w:val="000B4F41"/>
    <w:rsid w:val="000B7663"/>
    <w:rsid w:val="000C11D3"/>
    <w:rsid w:val="000C12F5"/>
    <w:rsid w:val="000C3408"/>
    <w:rsid w:val="000C45A4"/>
    <w:rsid w:val="000C481B"/>
    <w:rsid w:val="000C5C0F"/>
    <w:rsid w:val="000C6498"/>
    <w:rsid w:val="000D0D51"/>
    <w:rsid w:val="000D14B3"/>
    <w:rsid w:val="000D208B"/>
    <w:rsid w:val="000D2B8D"/>
    <w:rsid w:val="000D2E41"/>
    <w:rsid w:val="000D342A"/>
    <w:rsid w:val="000D5ACF"/>
    <w:rsid w:val="000D5E7A"/>
    <w:rsid w:val="000D5FAA"/>
    <w:rsid w:val="000D6206"/>
    <w:rsid w:val="000D65A4"/>
    <w:rsid w:val="000D6AEF"/>
    <w:rsid w:val="000E025B"/>
    <w:rsid w:val="000E0ECB"/>
    <w:rsid w:val="000E153A"/>
    <w:rsid w:val="000E19A8"/>
    <w:rsid w:val="000E2ABE"/>
    <w:rsid w:val="000E3200"/>
    <w:rsid w:val="000E3280"/>
    <w:rsid w:val="000E4A42"/>
    <w:rsid w:val="000E6476"/>
    <w:rsid w:val="000E65AE"/>
    <w:rsid w:val="000E78D2"/>
    <w:rsid w:val="000F2E58"/>
    <w:rsid w:val="000F3332"/>
    <w:rsid w:val="000F33EE"/>
    <w:rsid w:val="000F401E"/>
    <w:rsid w:val="000F5445"/>
    <w:rsid w:val="000F5673"/>
    <w:rsid w:val="000F67B2"/>
    <w:rsid w:val="000F790F"/>
    <w:rsid w:val="000F7E1B"/>
    <w:rsid w:val="00100014"/>
    <w:rsid w:val="0010039A"/>
    <w:rsid w:val="00101FB2"/>
    <w:rsid w:val="00102CB8"/>
    <w:rsid w:val="00102F02"/>
    <w:rsid w:val="0010385D"/>
    <w:rsid w:val="00103D1B"/>
    <w:rsid w:val="00103D44"/>
    <w:rsid w:val="00103E41"/>
    <w:rsid w:val="001041B6"/>
    <w:rsid w:val="001070EA"/>
    <w:rsid w:val="0011002A"/>
    <w:rsid w:val="001107CE"/>
    <w:rsid w:val="0011110A"/>
    <w:rsid w:val="001118AF"/>
    <w:rsid w:val="00111CA5"/>
    <w:rsid w:val="0011256E"/>
    <w:rsid w:val="00112905"/>
    <w:rsid w:val="0011352E"/>
    <w:rsid w:val="00113819"/>
    <w:rsid w:val="00114FC0"/>
    <w:rsid w:val="00116DB9"/>
    <w:rsid w:val="00116F28"/>
    <w:rsid w:val="00121C39"/>
    <w:rsid w:val="00123255"/>
    <w:rsid w:val="00124D2D"/>
    <w:rsid w:val="00124DA1"/>
    <w:rsid w:val="00125326"/>
    <w:rsid w:val="00125CB5"/>
    <w:rsid w:val="00127535"/>
    <w:rsid w:val="001305C4"/>
    <w:rsid w:val="001307BE"/>
    <w:rsid w:val="00130C8F"/>
    <w:rsid w:val="001314F2"/>
    <w:rsid w:val="001317DA"/>
    <w:rsid w:val="001323BA"/>
    <w:rsid w:val="0013254D"/>
    <w:rsid w:val="00133AAC"/>
    <w:rsid w:val="00133FBD"/>
    <w:rsid w:val="00134EBC"/>
    <w:rsid w:val="00136561"/>
    <w:rsid w:val="001400E1"/>
    <w:rsid w:val="001405FA"/>
    <w:rsid w:val="001413B3"/>
    <w:rsid w:val="00141743"/>
    <w:rsid w:val="001425C3"/>
    <w:rsid w:val="00142F16"/>
    <w:rsid w:val="00143E03"/>
    <w:rsid w:val="00143E93"/>
    <w:rsid w:val="00151AC0"/>
    <w:rsid w:val="00151B27"/>
    <w:rsid w:val="00152046"/>
    <w:rsid w:val="00153047"/>
    <w:rsid w:val="00154147"/>
    <w:rsid w:val="00154F81"/>
    <w:rsid w:val="00155746"/>
    <w:rsid w:val="00156318"/>
    <w:rsid w:val="0015639A"/>
    <w:rsid w:val="0016081D"/>
    <w:rsid w:val="00160CF3"/>
    <w:rsid w:val="00160E61"/>
    <w:rsid w:val="001620FA"/>
    <w:rsid w:val="00162853"/>
    <w:rsid w:val="00162C34"/>
    <w:rsid w:val="0016373B"/>
    <w:rsid w:val="00163793"/>
    <w:rsid w:val="001648D6"/>
    <w:rsid w:val="00165935"/>
    <w:rsid w:val="001707DE"/>
    <w:rsid w:val="00170B04"/>
    <w:rsid w:val="00170F47"/>
    <w:rsid w:val="001714F2"/>
    <w:rsid w:val="00171ABF"/>
    <w:rsid w:val="00173642"/>
    <w:rsid w:val="00173AF4"/>
    <w:rsid w:val="00173CB0"/>
    <w:rsid w:val="00174CE8"/>
    <w:rsid w:val="00175351"/>
    <w:rsid w:val="00175F60"/>
    <w:rsid w:val="00175FB4"/>
    <w:rsid w:val="00176050"/>
    <w:rsid w:val="001764D8"/>
    <w:rsid w:val="0017660D"/>
    <w:rsid w:val="00176A8F"/>
    <w:rsid w:val="00180D04"/>
    <w:rsid w:val="00180D58"/>
    <w:rsid w:val="00181DB4"/>
    <w:rsid w:val="00182981"/>
    <w:rsid w:val="00184CF9"/>
    <w:rsid w:val="00185010"/>
    <w:rsid w:val="001852EC"/>
    <w:rsid w:val="00186447"/>
    <w:rsid w:val="001874CF"/>
    <w:rsid w:val="00190D9B"/>
    <w:rsid w:val="00191BAE"/>
    <w:rsid w:val="00193432"/>
    <w:rsid w:val="0019346C"/>
    <w:rsid w:val="001946B9"/>
    <w:rsid w:val="00194D0F"/>
    <w:rsid w:val="00195444"/>
    <w:rsid w:val="00197D35"/>
    <w:rsid w:val="001A199D"/>
    <w:rsid w:val="001A2BDB"/>
    <w:rsid w:val="001A30F4"/>
    <w:rsid w:val="001A4C0D"/>
    <w:rsid w:val="001A552F"/>
    <w:rsid w:val="001A56F3"/>
    <w:rsid w:val="001A750C"/>
    <w:rsid w:val="001B1D89"/>
    <w:rsid w:val="001B3110"/>
    <w:rsid w:val="001B4198"/>
    <w:rsid w:val="001B44BC"/>
    <w:rsid w:val="001B618F"/>
    <w:rsid w:val="001B639E"/>
    <w:rsid w:val="001B6545"/>
    <w:rsid w:val="001B681B"/>
    <w:rsid w:val="001B6A49"/>
    <w:rsid w:val="001B74FB"/>
    <w:rsid w:val="001B77A1"/>
    <w:rsid w:val="001C0422"/>
    <w:rsid w:val="001C0E0E"/>
    <w:rsid w:val="001C0EB9"/>
    <w:rsid w:val="001C1219"/>
    <w:rsid w:val="001C2912"/>
    <w:rsid w:val="001C357A"/>
    <w:rsid w:val="001C3A37"/>
    <w:rsid w:val="001C4384"/>
    <w:rsid w:val="001C58FF"/>
    <w:rsid w:val="001C65FF"/>
    <w:rsid w:val="001D1A17"/>
    <w:rsid w:val="001D47E5"/>
    <w:rsid w:val="001D5536"/>
    <w:rsid w:val="001D584C"/>
    <w:rsid w:val="001D5E1B"/>
    <w:rsid w:val="001D66C1"/>
    <w:rsid w:val="001D7C6F"/>
    <w:rsid w:val="001E0024"/>
    <w:rsid w:val="001E0C65"/>
    <w:rsid w:val="001E23E3"/>
    <w:rsid w:val="001E25A6"/>
    <w:rsid w:val="001E387A"/>
    <w:rsid w:val="001E3DA4"/>
    <w:rsid w:val="001E5830"/>
    <w:rsid w:val="001E684C"/>
    <w:rsid w:val="001E6EB9"/>
    <w:rsid w:val="001E701C"/>
    <w:rsid w:val="001E7C03"/>
    <w:rsid w:val="001F02AF"/>
    <w:rsid w:val="001F0649"/>
    <w:rsid w:val="001F28F4"/>
    <w:rsid w:val="001F3055"/>
    <w:rsid w:val="001F31BC"/>
    <w:rsid w:val="001F378E"/>
    <w:rsid w:val="001F3C79"/>
    <w:rsid w:val="001F3E68"/>
    <w:rsid w:val="001F4597"/>
    <w:rsid w:val="001F56A9"/>
    <w:rsid w:val="001F5C50"/>
    <w:rsid w:val="001F5C6A"/>
    <w:rsid w:val="001F670A"/>
    <w:rsid w:val="001F726C"/>
    <w:rsid w:val="00200D15"/>
    <w:rsid w:val="0020129A"/>
    <w:rsid w:val="00203074"/>
    <w:rsid w:val="00203B46"/>
    <w:rsid w:val="002048E1"/>
    <w:rsid w:val="00207DB6"/>
    <w:rsid w:val="00210278"/>
    <w:rsid w:val="0021030B"/>
    <w:rsid w:val="00210CC2"/>
    <w:rsid w:val="00210F5B"/>
    <w:rsid w:val="00210FFA"/>
    <w:rsid w:val="00211262"/>
    <w:rsid w:val="002115F5"/>
    <w:rsid w:val="00211AC9"/>
    <w:rsid w:val="0021355B"/>
    <w:rsid w:val="00214C52"/>
    <w:rsid w:val="002179F9"/>
    <w:rsid w:val="002205F2"/>
    <w:rsid w:val="0022080E"/>
    <w:rsid w:val="0022139E"/>
    <w:rsid w:val="0022168A"/>
    <w:rsid w:val="0022272B"/>
    <w:rsid w:val="00222A99"/>
    <w:rsid w:val="00223678"/>
    <w:rsid w:val="002236F7"/>
    <w:rsid w:val="00223E00"/>
    <w:rsid w:val="002252E0"/>
    <w:rsid w:val="002255F6"/>
    <w:rsid w:val="00226466"/>
    <w:rsid w:val="002266D0"/>
    <w:rsid w:val="00226887"/>
    <w:rsid w:val="00230DAD"/>
    <w:rsid w:val="0023229C"/>
    <w:rsid w:val="00232AEF"/>
    <w:rsid w:val="0023355C"/>
    <w:rsid w:val="00234280"/>
    <w:rsid w:val="00235000"/>
    <w:rsid w:val="002350E3"/>
    <w:rsid w:val="00235330"/>
    <w:rsid w:val="0023629A"/>
    <w:rsid w:val="002363AE"/>
    <w:rsid w:val="00236443"/>
    <w:rsid w:val="00240355"/>
    <w:rsid w:val="00240773"/>
    <w:rsid w:val="00240815"/>
    <w:rsid w:val="00240A5B"/>
    <w:rsid w:val="00240C76"/>
    <w:rsid w:val="002436BA"/>
    <w:rsid w:val="002444ED"/>
    <w:rsid w:val="0024481A"/>
    <w:rsid w:val="00244A15"/>
    <w:rsid w:val="00244D40"/>
    <w:rsid w:val="00246AE9"/>
    <w:rsid w:val="0024799E"/>
    <w:rsid w:val="00250C59"/>
    <w:rsid w:val="00250E0D"/>
    <w:rsid w:val="00251D59"/>
    <w:rsid w:val="00252602"/>
    <w:rsid w:val="00252FDC"/>
    <w:rsid w:val="00257613"/>
    <w:rsid w:val="00261E5B"/>
    <w:rsid w:val="00262F34"/>
    <w:rsid w:val="00263470"/>
    <w:rsid w:val="00263733"/>
    <w:rsid w:val="00264676"/>
    <w:rsid w:val="00264AF7"/>
    <w:rsid w:val="00265536"/>
    <w:rsid w:val="00265E54"/>
    <w:rsid w:val="00266F3E"/>
    <w:rsid w:val="0026715A"/>
    <w:rsid w:val="00272464"/>
    <w:rsid w:val="00273DCD"/>
    <w:rsid w:val="00274291"/>
    <w:rsid w:val="00276CFE"/>
    <w:rsid w:val="00277071"/>
    <w:rsid w:val="0027786C"/>
    <w:rsid w:val="002778B0"/>
    <w:rsid w:val="00277BF7"/>
    <w:rsid w:val="00281416"/>
    <w:rsid w:val="00285986"/>
    <w:rsid w:val="00285CD3"/>
    <w:rsid w:val="0028686A"/>
    <w:rsid w:val="00286E66"/>
    <w:rsid w:val="00290028"/>
    <w:rsid w:val="002902F0"/>
    <w:rsid w:val="002919B5"/>
    <w:rsid w:val="00293441"/>
    <w:rsid w:val="00294238"/>
    <w:rsid w:val="0029493E"/>
    <w:rsid w:val="00296C2E"/>
    <w:rsid w:val="002A1B05"/>
    <w:rsid w:val="002A2420"/>
    <w:rsid w:val="002A267F"/>
    <w:rsid w:val="002A3354"/>
    <w:rsid w:val="002A35EA"/>
    <w:rsid w:val="002A37B6"/>
    <w:rsid w:val="002A3BD5"/>
    <w:rsid w:val="002A43A2"/>
    <w:rsid w:val="002A44ED"/>
    <w:rsid w:val="002A4612"/>
    <w:rsid w:val="002A4F70"/>
    <w:rsid w:val="002A5263"/>
    <w:rsid w:val="002A5C4A"/>
    <w:rsid w:val="002A6821"/>
    <w:rsid w:val="002A74D2"/>
    <w:rsid w:val="002A7CDA"/>
    <w:rsid w:val="002A7F47"/>
    <w:rsid w:val="002B08A8"/>
    <w:rsid w:val="002B1544"/>
    <w:rsid w:val="002B36C8"/>
    <w:rsid w:val="002B7240"/>
    <w:rsid w:val="002C1A8A"/>
    <w:rsid w:val="002C2668"/>
    <w:rsid w:val="002C3B51"/>
    <w:rsid w:val="002C43BD"/>
    <w:rsid w:val="002C5261"/>
    <w:rsid w:val="002C6091"/>
    <w:rsid w:val="002D0562"/>
    <w:rsid w:val="002D1B5A"/>
    <w:rsid w:val="002D2500"/>
    <w:rsid w:val="002D3F00"/>
    <w:rsid w:val="002D4D59"/>
    <w:rsid w:val="002D54BF"/>
    <w:rsid w:val="002D5E94"/>
    <w:rsid w:val="002D632D"/>
    <w:rsid w:val="002E02A1"/>
    <w:rsid w:val="002E0982"/>
    <w:rsid w:val="002E0DB9"/>
    <w:rsid w:val="002E2CE4"/>
    <w:rsid w:val="002E34F3"/>
    <w:rsid w:val="002E435E"/>
    <w:rsid w:val="002E73F2"/>
    <w:rsid w:val="002F33FB"/>
    <w:rsid w:val="002F68A4"/>
    <w:rsid w:val="002F7594"/>
    <w:rsid w:val="00301357"/>
    <w:rsid w:val="00301D04"/>
    <w:rsid w:val="003035D4"/>
    <w:rsid w:val="00303DCB"/>
    <w:rsid w:val="00304771"/>
    <w:rsid w:val="00305736"/>
    <w:rsid w:val="00306290"/>
    <w:rsid w:val="00306C5B"/>
    <w:rsid w:val="00306E3B"/>
    <w:rsid w:val="003119B6"/>
    <w:rsid w:val="00312C3D"/>
    <w:rsid w:val="00313A6E"/>
    <w:rsid w:val="00314331"/>
    <w:rsid w:val="00316A67"/>
    <w:rsid w:val="00317E31"/>
    <w:rsid w:val="00320214"/>
    <w:rsid w:val="003209D6"/>
    <w:rsid w:val="0032109A"/>
    <w:rsid w:val="0032214F"/>
    <w:rsid w:val="00322164"/>
    <w:rsid w:val="00323CF7"/>
    <w:rsid w:val="00323E61"/>
    <w:rsid w:val="0032513D"/>
    <w:rsid w:val="00326251"/>
    <w:rsid w:val="0032739C"/>
    <w:rsid w:val="00327DEE"/>
    <w:rsid w:val="003302DA"/>
    <w:rsid w:val="00330712"/>
    <w:rsid w:val="00330EB0"/>
    <w:rsid w:val="003329F3"/>
    <w:rsid w:val="0033352E"/>
    <w:rsid w:val="00333690"/>
    <w:rsid w:val="00333D20"/>
    <w:rsid w:val="00333F53"/>
    <w:rsid w:val="003340EF"/>
    <w:rsid w:val="00334A49"/>
    <w:rsid w:val="0033536F"/>
    <w:rsid w:val="00335BB0"/>
    <w:rsid w:val="0033627B"/>
    <w:rsid w:val="003406BD"/>
    <w:rsid w:val="00340D97"/>
    <w:rsid w:val="00342932"/>
    <w:rsid w:val="00343474"/>
    <w:rsid w:val="00343F84"/>
    <w:rsid w:val="00344135"/>
    <w:rsid w:val="003450E2"/>
    <w:rsid w:val="00351B63"/>
    <w:rsid w:val="003523CC"/>
    <w:rsid w:val="00352E57"/>
    <w:rsid w:val="00353BEC"/>
    <w:rsid w:val="003541B0"/>
    <w:rsid w:val="0035457E"/>
    <w:rsid w:val="00355885"/>
    <w:rsid w:val="0035605E"/>
    <w:rsid w:val="00357449"/>
    <w:rsid w:val="0036238B"/>
    <w:rsid w:val="003651A4"/>
    <w:rsid w:val="00365680"/>
    <w:rsid w:val="003657F3"/>
    <w:rsid w:val="00365CF1"/>
    <w:rsid w:val="00367038"/>
    <w:rsid w:val="00370963"/>
    <w:rsid w:val="0037144E"/>
    <w:rsid w:val="00371B97"/>
    <w:rsid w:val="003736B5"/>
    <w:rsid w:val="00374F1E"/>
    <w:rsid w:val="00376DEC"/>
    <w:rsid w:val="00377200"/>
    <w:rsid w:val="00380CDB"/>
    <w:rsid w:val="00380E04"/>
    <w:rsid w:val="00382D95"/>
    <w:rsid w:val="00383227"/>
    <w:rsid w:val="00384D8F"/>
    <w:rsid w:val="00385D98"/>
    <w:rsid w:val="00385EC5"/>
    <w:rsid w:val="0038658E"/>
    <w:rsid w:val="00386BA4"/>
    <w:rsid w:val="0039066E"/>
    <w:rsid w:val="00391C95"/>
    <w:rsid w:val="003937D5"/>
    <w:rsid w:val="00394D49"/>
    <w:rsid w:val="00396DAC"/>
    <w:rsid w:val="003A0214"/>
    <w:rsid w:val="003A027D"/>
    <w:rsid w:val="003A1467"/>
    <w:rsid w:val="003A1D74"/>
    <w:rsid w:val="003A2B4D"/>
    <w:rsid w:val="003A2D2B"/>
    <w:rsid w:val="003A2DD4"/>
    <w:rsid w:val="003A3B1C"/>
    <w:rsid w:val="003A4088"/>
    <w:rsid w:val="003A478C"/>
    <w:rsid w:val="003A4F82"/>
    <w:rsid w:val="003A5525"/>
    <w:rsid w:val="003A6B38"/>
    <w:rsid w:val="003B2580"/>
    <w:rsid w:val="003B2E63"/>
    <w:rsid w:val="003B3189"/>
    <w:rsid w:val="003B34B7"/>
    <w:rsid w:val="003B3A9D"/>
    <w:rsid w:val="003B3DDD"/>
    <w:rsid w:val="003B5031"/>
    <w:rsid w:val="003B5A32"/>
    <w:rsid w:val="003B6105"/>
    <w:rsid w:val="003C03CC"/>
    <w:rsid w:val="003C04C4"/>
    <w:rsid w:val="003C26F4"/>
    <w:rsid w:val="003C3686"/>
    <w:rsid w:val="003C4852"/>
    <w:rsid w:val="003C5BC7"/>
    <w:rsid w:val="003C5DD4"/>
    <w:rsid w:val="003C601E"/>
    <w:rsid w:val="003C7E11"/>
    <w:rsid w:val="003D2C4E"/>
    <w:rsid w:val="003D3600"/>
    <w:rsid w:val="003D37E2"/>
    <w:rsid w:val="003D3825"/>
    <w:rsid w:val="003D3EC4"/>
    <w:rsid w:val="003D4760"/>
    <w:rsid w:val="003D49DC"/>
    <w:rsid w:val="003D4BC5"/>
    <w:rsid w:val="003D5D7A"/>
    <w:rsid w:val="003D65A7"/>
    <w:rsid w:val="003E0663"/>
    <w:rsid w:val="003E133F"/>
    <w:rsid w:val="003E39A8"/>
    <w:rsid w:val="003E49F6"/>
    <w:rsid w:val="003E699C"/>
    <w:rsid w:val="003E69F3"/>
    <w:rsid w:val="003E782E"/>
    <w:rsid w:val="003E7A0B"/>
    <w:rsid w:val="003E7B2B"/>
    <w:rsid w:val="003F181F"/>
    <w:rsid w:val="003F1A48"/>
    <w:rsid w:val="003F2B0A"/>
    <w:rsid w:val="003F313C"/>
    <w:rsid w:val="003F341B"/>
    <w:rsid w:val="003F37FC"/>
    <w:rsid w:val="003F4616"/>
    <w:rsid w:val="003F49A6"/>
    <w:rsid w:val="003F5098"/>
    <w:rsid w:val="003F5568"/>
    <w:rsid w:val="003F5A95"/>
    <w:rsid w:val="003F6D19"/>
    <w:rsid w:val="004000D5"/>
    <w:rsid w:val="004005C1"/>
    <w:rsid w:val="00401716"/>
    <w:rsid w:val="00401A09"/>
    <w:rsid w:val="0040273A"/>
    <w:rsid w:val="00402C25"/>
    <w:rsid w:val="00404AC3"/>
    <w:rsid w:val="004050D7"/>
    <w:rsid w:val="004075B0"/>
    <w:rsid w:val="004078BD"/>
    <w:rsid w:val="00410132"/>
    <w:rsid w:val="00410BCD"/>
    <w:rsid w:val="0041175D"/>
    <w:rsid w:val="004123BE"/>
    <w:rsid w:val="00414CE5"/>
    <w:rsid w:val="00416673"/>
    <w:rsid w:val="0042160D"/>
    <w:rsid w:val="004216B5"/>
    <w:rsid w:val="00423A3C"/>
    <w:rsid w:val="0042681B"/>
    <w:rsid w:val="00426E99"/>
    <w:rsid w:val="00427193"/>
    <w:rsid w:val="0043068A"/>
    <w:rsid w:val="004306E0"/>
    <w:rsid w:val="00430FC9"/>
    <w:rsid w:val="00431D54"/>
    <w:rsid w:val="004329BE"/>
    <w:rsid w:val="00432C38"/>
    <w:rsid w:val="004342EC"/>
    <w:rsid w:val="00437C76"/>
    <w:rsid w:val="0044105C"/>
    <w:rsid w:val="00443283"/>
    <w:rsid w:val="004441A0"/>
    <w:rsid w:val="00444268"/>
    <w:rsid w:val="00444326"/>
    <w:rsid w:val="004443BF"/>
    <w:rsid w:val="00444A7F"/>
    <w:rsid w:val="00444C19"/>
    <w:rsid w:val="00445218"/>
    <w:rsid w:val="00445CDD"/>
    <w:rsid w:val="00446892"/>
    <w:rsid w:val="00446E39"/>
    <w:rsid w:val="00447E36"/>
    <w:rsid w:val="00450C30"/>
    <w:rsid w:val="00451DCC"/>
    <w:rsid w:val="004540FF"/>
    <w:rsid w:val="004541F1"/>
    <w:rsid w:val="004549B0"/>
    <w:rsid w:val="00455ECA"/>
    <w:rsid w:val="00457296"/>
    <w:rsid w:val="00457320"/>
    <w:rsid w:val="00460164"/>
    <w:rsid w:val="0046039A"/>
    <w:rsid w:val="00460A6B"/>
    <w:rsid w:val="00461977"/>
    <w:rsid w:val="004629FD"/>
    <w:rsid w:val="00463B4B"/>
    <w:rsid w:val="00463F4D"/>
    <w:rsid w:val="0046471F"/>
    <w:rsid w:val="00464BD1"/>
    <w:rsid w:val="00464BE8"/>
    <w:rsid w:val="00465019"/>
    <w:rsid w:val="00465FA4"/>
    <w:rsid w:val="0046613F"/>
    <w:rsid w:val="0046655D"/>
    <w:rsid w:val="0046765E"/>
    <w:rsid w:val="004676E2"/>
    <w:rsid w:val="00471EDD"/>
    <w:rsid w:val="00473E94"/>
    <w:rsid w:val="0047400C"/>
    <w:rsid w:val="004745D9"/>
    <w:rsid w:val="004762D8"/>
    <w:rsid w:val="004765B3"/>
    <w:rsid w:val="00476D29"/>
    <w:rsid w:val="00477241"/>
    <w:rsid w:val="00477EAF"/>
    <w:rsid w:val="00477EE0"/>
    <w:rsid w:val="00480AB8"/>
    <w:rsid w:val="0048139F"/>
    <w:rsid w:val="00481C00"/>
    <w:rsid w:val="0048212D"/>
    <w:rsid w:val="00483053"/>
    <w:rsid w:val="00484874"/>
    <w:rsid w:val="00485230"/>
    <w:rsid w:val="00486D82"/>
    <w:rsid w:val="004879E9"/>
    <w:rsid w:val="00487F81"/>
    <w:rsid w:val="00490247"/>
    <w:rsid w:val="0049104F"/>
    <w:rsid w:val="00491218"/>
    <w:rsid w:val="00491CFD"/>
    <w:rsid w:val="0049263A"/>
    <w:rsid w:val="00493036"/>
    <w:rsid w:val="00493362"/>
    <w:rsid w:val="00494343"/>
    <w:rsid w:val="00496C2F"/>
    <w:rsid w:val="00496D92"/>
    <w:rsid w:val="0049729F"/>
    <w:rsid w:val="0049740D"/>
    <w:rsid w:val="004978D3"/>
    <w:rsid w:val="004A11F8"/>
    <w:rsid w:val="004A217A"/>
    <w:rsid w:val="004A22BD"/>
    <w:rsid w:val="004A22FA"/>
    <w:rsid w:val="004A269A"/>
    <w:rsid w:val="004A30FB"/>
    <w:rsid w:val="004A35DD"/>
    <w:rsid w:val="004A37D3"/>
    <w:rsid w:val="004A3AD6"/>
    <w:rsid w:val="004A3FB7"/>
    <w:rsid w:val="004A5865"/>
    <w:rsid w:val="004A77DF"/>
    <w:rsid w:val="004B0295"/>
    <w:rsid w:val="004B0803"/>
    <w:rsid w:val="004B10A8"/>
    <w:rsid w:val="004B22DA"/>
    <w:rsid w:val="004B3CB7"/>
    <w:rsid w:val="004B3D55"/>
    <w:rsid w:val="004B55B7"/>
    <w:rsid w:val="004B6EC5"/>
    <w:rsid w:val="004B7704"/>
    <w:rsid w:val="004C00A6"/>
    <w:rsid w:val="004C0BBB"/>
    <w:rsid w:val="004C1AD6"/>
    <w:rsid w:val="004C1B86"/>
    <w:rsid w:val="004C3382"/>
    <w:rsid w:val="004C3867"/>
    <w:rsid w:val="004C4AB7"/>
    <w:rsid w:val="004C4CD0"/>
    <w:rsid w:val="004C57B5"/>
    <w:rsid w:val="004C5C25"/>
    <w:rsid w:val="004C6717"/>
    <w:rsid w:val="004C6982"/>
    <w:rsid w:val="004C6CFF"/>
    <w:rsid w:val="004C70DC"/>
    <w:rsid w:val="004C7268"/>
    <w:rsid w:val="004D0211"/>
    <w:rsid w:val="004D1C9C"/>
    <w:rsid w:val="004D504B"/>
    <w:rsid w:val="004D536E"/>
    <w:rsid w:val="004D76CC"/>
    <w:rsid w:val="004E1839"/>
    <w:rsid w:val="004E4A75"/>
    <w:rsid w:val="004E541A"/>
    <w:rsid w:val="004E5A5C"/>
    <w:rsid w:val="004E7007"/>
    <w:rsid w:val="004E76D6"/>
    <w:rsid w:val="004E7F57"/>
    <w:rsid w:val="004F06F5"/>
    <w:rsid w:val="004F191F"/>
    <w:rsid w:val="004F2476"/>
    <w:rsid w:val="004F2A73"/>
    <w:rsid w:val="004F33A0"/>
    <w:rsid w:val="004F37BE"/>
    <w:rsid w:val="004F4352"/>
    <w:rsid w:val="004F4353"/>
    <w:rsid w:val="004F447D"/>
    <w:rsid w:val="004F4831"/>
    <w:rsid w:val="004F4C28"/>
    <w:rsid w:val="004F4E82"/>
    <w:rsid w:val="004F5CC5"/>
    <w:rsid w:val="004F6350"/>
    <w:rsid w:val="005028E1"/>
    <w:rsid w:val="005033F1"/>
    <w:rsid w:val="0050692E"/>
    <w:rsid w:val="00507040"/>
    <w:rsid w:val="005073C7"/>
    <w:rsid w:val="005079F8"/>
    <w:rsid w:val="00507B84"/>
    <w:rsid w:val="005100D5"/>
    <w:rsid w:val="00510189"/>
    <w:rsid w:val="005108C0"/>
    <w:rsid w:val="00511873"/>
    <w:rsid w:val="00513B7E"/>
    <w:rsid w:val="005140DE"/>
    <w:rsid w:val="00514474"/>
    <w:rsid w:val="005147E9"/>
    <w:rsid w:val="005152B2"/>
    <w:rsid w:val="00515D06"/>
    <w:rsid w:val="0051778E"/>
    <w:rsid w:val="005215EF"/>
    <w:rsid w:val="00523BEC"/>
    <w:rsid w:val="00524637"/>
    <w:rsid w:val="00524FDD"/>
    <w:rsid w:val="00525137"/>
    <w:rsid w:val="005251DD"/>
    <w:rsid w:val="00526DB6"/>
    <w:rsid w:val="0053017A"/>
    <w:rsid w:val="00530492"/>
    <w:rsid w:val="00532854"/>
    <w:rsid w:val="005342F6"/>
    <w:rsid w:val="005350F2"/>
    <w:rsid w:val="00535152"/>
    <w:rsid w:val="00535359"/>
    <w:rsid w:val="005357A2"/>
    <w:rsid w:val="00535C70"/>
    <w:rsid w:val="00535D87"/>
    <w:rsid w:val="00535EF0"/>
    <w:rsid w:val="005363DF"/>
    <w:rsid w:val="0053734B"/>
    <w:rsid w:val="005375B1"/>
    <w:rsid w:val="00537AFD"/>
    <w:rsid w:val="00537CB4"/>
    <w:rsid w:val="00537E97"/>
    <w:rsid w:val="0054516B"/>
    <w:rsid w:val="0054559E"/>
    <w:rsid w:val="00546888"/>
    <w:rsid w:val="005513D5"/>
    <w:rsid w:val="005523B9"/>
    <w:rsid w:val="005545E0"/>
    <w:rsid w:val="00554865"/>
    <w:rsid w:val="00554E57"/>
    <w:rsid w:val="00556828"/>
    <w:rsid w:val="005622CD"/>
    <w:rsid w:val="00562749"/>
    <w:rsid w:val="00562DE9"/>
    <w:rsid w:val="005638A5"/>
    <w:rsid w:val="00566381"/>
    <w:rsid w:val="0056640C"/>
    <w:rsid w:val="00566A03"/>
    <w:rsid w:val="00571932"/>
    <w:rsid w:val="00573C97"/>
    <w:rsid w:val="00574240"/>
    <w:rsid w:val="00575CDC"/>
    <w:rsid w:val="005765D5"/>
    <w:rsid w:val="00576A3E"/>
    <w:rsid w:val="0057703D"/>
    <w:rsid w:val="00577861"/>
    <w:rsid w:val="0058134C"/>
    <w:rsid w:val="005828FD"/>
    <w:rsid w:val="0058366F"/>
    <w:rsid w:val="00583D5B"/>
    <w:rsid w:val="00583FFD"/>
    <w:rsid w:val="00587CCD"/>
    <w:rsid w:val="005908AE"/>
    <w:rsid w:val="0059153E"/>
    <w:rsid w:val="0059176E"/>
    <w:rsid w:val="00591AF8"/>
    <w:rsid w:val="00592377"/>
    <w:rsid w:val="00592854"/>
    <w:rsid w:val="00593152"/>
    <w:rsid w:val="00593CA3"/>
    <w:rsid w:val="00594161"/>
    <w:rsid w:val="00594969"/>
    <w:rsid w:val="00595590"/>
    <w:rsid w:val="00596C5E"/>
    <w:rsid w:val="005A2194"/>
    <w:rsid w:val="005A21E0"/>
    <w:rsid w:val="005A33A1"/>
    <w:rsid w:val="005A54EE"/>
    <w:rsid w:val="005A563B"/>
    <w:rsid w:val="005A7500"/>
    <w:rsid w:val="005A77E4"/>
    <w:rsid w:val="005B0418"/>
    <w:rsid w:val="005B1BDB"/>
    <w:rsid w:val="005B2BAA"/>
    <w:rsid w:val="005B2D53"/>
    <w:rsid w:val="005B3247"/>
    <w:rsid w:val="005B3409"/>
    <w:rsid w:val="005B489E"/>
    <w:rsid w:val="005B498A"/>
    <w:rsid w:val="005B7B12"/>
    <w:rsid w:val="005C16CB"/>
    <w:rsid w:val="005C21D6"/>
    <w:rsid w:val="005C2444"/>
    <w:rsid w:val="005C3F9F"/>
    <w:rsid w:val="005C406F"/>
    <w:rsid w:val="005C4244"/>
    <w:rsid w:val="005C4A23"/>
    <w:rsid w:val="005C562C"/>
    <w:rsid w:val="005C5812"/>
    <w:rsid w:val="005C6400"/>
    <w:rsid w:val="005C7122"/>
    <w:rsid w:val="005C7F1E"/>
    <w:rsid w:val="005D374F"/>
    <w:rsid w:val="005D5802"/>
    <w:rsid w:val="005D6CFC"/>
    <w:rsid w:val="005D73E2"/>
    <w:rsid w:val="005D757A"/>
    <w:rsid w:val="005E1859"/>
    <w:rsid w:val="005E1E4B"/>
    <w:rsid w:val="005E362D"/>
    <w:rsid w:val="005E492C"/>
    <w:rsid w:val="005E4BAA"/>
    <w:rsid w:val="005E52EF"/>
    <w:rsid w:val="005E5525"/>
    <w:rsid w:val="005E5B56"/>
    <w:rsid w:val="005E6088"/>
    <w:rsid w:val="005E61DF"/>
    <w:rsid w:val="005E6B65"/>
    <w:rsid w:val="005E6B78"/>
    <w:rsid w:val="005E75B8"/>
    <w:rsid w:val="005F26CE"/>
    <w:rsid w:val="005F4057"/>
    <w:rsid w:val="005F4088"/>
    <w:rsid w:val="005F601D"/>
    <w:rsid w:val="005F6119"/>
    <w:rsid w:val="005F7940"/>
    <w:rsid w:val="0060107A"/>
    <w:rsid w:val="00601AFF"/>
    <w:rsid w:val="00602D1D"/>
    <w:rsid w:val="00604307"/>
    <w:rsid w:val="0060487F"/>
    <w:rsid w:val="00605814"/>
    <w:rsid w:val="00606B93"/>
    <w:rsid w:val="00607727"/>
    <w:rsid w:val="00610BD5"/>
    <w:rsid w:val="00611531"/>
    <w:rsid w:val="006118AA"/>
    <w:rsid w:val="006123FD"/>
    <w:rsid w:val="006139C7"/>
    <w:rsid w:val="006153E3"/>
    <w:rsid w:val="0061679C"/>
    <w:rsid w:val="006167AB"/>
    <w:rsid w:val="00617B14"/>
    <w:rsid w:val="00617D2D"/>
    <w:rsid w:val="00617D83"/>
    <w:rsid w:val="00620430"/>
    <w:rsid w:val="00620AC5"/>
    <w:rsid w:val="00621575"/>
    <w:rsid w:val="006215FC"/>
    <w:rsid w:val="00624093"/>
    <w:rsid w:val="00630F66"/>
    <w:rsid w:val="00631A82"/>
    <w:rsid w:val="00631FC2"/>
    <w:rsid w:val="00632171"/>
    <w:rsid w:val="0063332A"/>
    <w:rsid w:val="006347F9"/>
    <w:rsid w:val="0063494E"/>
    <w:rsid w:val="00634C90"/>
    <w:rsid w:val="00635E79"/>
    <w:rsid w:val="00636E5E"/>
    <w:rsid w:val="006379E0"/>
    <w:rsid w:val="006404A7"/>
    <w:rsid w:val="006407F3"/>
    <w:rsid w:val="006408EC"/>
    <w:rsid w:val="0064129B"/>
    <w:rsid w:val="00644DFC"/>
    <w:rsid w:val="006451E4"/>
    <w:rsid w:val="0064543C"/>
    <w:rsid w:val="006454B4"/>
    <w:rsid w:val="00645A9C"/>
    <w:rsid w:val="006460B8"/>
    <w:rsid w:val="00647505"/>
    <w:rsid w:val="006504A0"/>
    <w:rsid w:val="006520C7"/>
    <w:rsid w:val="00652CBB"/>
    <w:rsid w:val="006530B8"/>
    <w:rsid w:val="006535D6"/>
    <w:rsid w:val="00654301"/>
    <w:rsid w:val="0065614E"/>
    <w:rsid w:val="00656312"/>
    <w:rsid w:val="006572ED"/>
    <w:rsid w:val="00657E87"/>
    <w:rsid w:val="00660457"/>
    <w:rsid w:val="0066086C"/>
    <w:rsid w:val="00660917"/>
    <w:rsid w:val="00660E1E"/>
    <w:rsid w:val="006637B1"/>
    <w:rsid w:val="00664B64"/>
    <w:rsid w:val="00665D67"/>
    <w:rsid w:val="00665D77"/>
    <w:rsid w:val="006660CD"/>
    <w:rsid w:val="00666EC8"/>
    <w:rsid w:val="00666F4B"/>
    <w:rsid w:val="006676D0"/>
    <w:rsid w:val="0066796E"/>
    <w:rsid w:val="00667B3B"/>
    <w:rsid w:val="00670FAC"/>
    <w:rsid w:val="006710C9"/>
    <w:rsid w:val="006716A5"/>
    <w:rsid w:val="00672886"/>
    <w:rsid w:val="00675E37"/>
    <w:rsid w:val="00676AFC"/>
    <w:rsid w:val="00676F11"/>
    <w:rsid w:val="00680079"/>
    <w:rsid w:val="00680B3B"/>
    <w:rsid w:val="00680F68"/>
    <w:rsid w:val="0068260E"/>
    <w:rsid w:val="006832D5"/>
    <w:rsid w:val="0068373D"/>
    <w:rsid w:val="00683BFE"/>
    <w:rsid w:val="0068437D"/>
    <w:rsid w:val="006857DF"/>
    <w:rsid w:val="00685E66"/>
    <w:rsid w:val="00686B72"/>
    <w:rsid w:val="00686BF1"/>
    <w:rsid w:val="00690A09"/>
    <w:rsid w:val="00690A25"/>
    <w:rsid w:val="00691374"/>
    <w:rsid w:val="00693EA1"/>
    <w:rsid w:val="00693FEA"/>
    <w:rsid w:val="00694460"/>
    <w:rsid w:val="00694930"/>
    <w:rsid w:val="00695170"/>
    <w:rsid w:val="00695BEF"/>
    <w:rsid w:val="00695DE9"/>
    <w:rsid w:val="006960D6"/>
    <w:rsid w:val="00696AA5"/>
    <w:rsid w:val="006977F6"/>
    <w:rsid w:val="00697A13"/>
    <w:rsid w:val="006A109C"/>
    <w:rsid w:val="006A18AE"/>
    <w:rsid w:val="006A2EE8"/>
    <w:rsid w:val="006A3CF3"/>
    <w:rsid w:val="006A568F"/>
    <w:rsid w:val="006A65EF"/>
    <w:rsid w:val="006A672B"/>
    <w:rsid w:val="006A6FB8"/>
    <w:rsid w:val="006B23A9"/>
    <w:rsid w:val="006B3F8A"/>
    <w:rsid w:val="006B5CA3"/>
    <w:rsid w:val="006B5EEB"/>
    <w:rsid w:val="006B6B3B"/>
    <w:rsid w:val="006B7714"/>
    <w:rsid w:val="006B78D8"/>
    <w:rsid w:val="006C090F"/>
    <w:rsid w:val="006C0935"/>
    <w:rsid w:val="006C0BCE"/>
    <w:rsid w:val="006C113F"/>
    <w:rsid w:val="006C2AED"/>
    <w:rsid w:val="006C38DD"/>
    <w:rsid w:val="006C5577"/>
    <w:rsid w:val="006C559A"/>
    <w:rsid w:val="006C58FA"/>
    <w:rsid w:val="006D042D"/>
    <w:rsid w:val="006D06EF"/>
    <w:rsid w:val="006D142E"/>
    <w:rsid w:val="006D4497"/>
    <w:rsid w:val="006D4E6F"/>
    <w:rsid w:val="006D5C8C"/>
    <w:rsid w:val="006D61F6"/>
    <w:rsid w:val="006E0EB0"/>
    <w:rsid w:val="006E0F26"/>
    <w:rsid w:val="006E1F4C"/>
    <w:rsid w:val="006E22C8"/>
    <w:rsid w:val="006E279A"/>
    <w:rsid w:val="006E2B48"/>
    <w:rsid w:val="006E2F3F"/>
    <w:rsid w:val="006E313B"/>
    <w:rsid w:val="006E3A99"/>
    <w:rsid w:val="006E442A"/>
    <w:rsid w:val="006E4434"/>
    <w:rsid w:val="006E59FC"/>
    <w:rsid w:val="006E5CFD"/>
    <w:rsid w:val="006E6976"/>
    <w:rsid w:val="006E7D88"/>
    <w:rsid w:val="006E7E2C"/>
    <w:rsid w:val="006F1326"/>
    <w:rsid w:val="006F2BEE"/>
    <w:rsid w:val="006F3458"/>
    <w:rsid w:val="006F3708"/>
    <w:rsid w:val="006F3E6B"/>
    <w:rsid w:val="006F4619"/>
    <w:rsid w:val="006F4A59"/>
    <w:rsid w:val="00700232"/>
    <w:rsid w:val="007014C7"/>
    <w:rsid w:val="007025D8"/>
    <w:rsid w:val="00702682"/>
    <w:rsid w:val="00702D6F"/>
    <w:rsid w:val="00703163"/>
    <w:rsid w:val="00703B6C"/>
    <w:rsid w:val="00703C6B"/>
    <w:rsid w:val="007047D5"/>
    <w:rsid w:val="00705D98"/>
    <w:rsid w:val="0070675C"/>
    <w:rsid w:val="00707537"/>
    <w:rsid w:val="00707891"/>
    <w:rsid w:val="00707D43"/>
    <w:rsid w:val="00711EF1"/>
    <w:rsid w:val="0071229A"/>
    <w:rsid w:val="00712572"/>
    <w:rsid w:val="00713495"/>
    <w:rsid w:val="00713EEB"/>
    <w:rsid w:val="007159D2"/>
    <w:rsid w:val="0072050E"/>
    <w:rsid w:val="00720FA2"/>
    <w:rsid w:val="007211F5"/>
    <w:rsid w:val="00724666"/>
    <w:rsid w:val="00726043"/>
    <w:rsid w:val="0072704A"/>
    <w:rsid w:val="00730AE8"/>
    <w:rsid w:val="00731963"/>
    <w:rsid w:val="00731CA1"/>
    <w:rsid w:val="00734321"/>
    <w:rsid w:val="00734D0D"/>
    <w:rsid w:val="0073532E"/>
    <w:rsid w:val="00735A88"/>
    <w:rsid w:val="00740310"/>
    <w:rsid w:val="00740652"/>
    <w:rsid w:val="00740848"/>
    <w:rsid w:val="00740F02"/>
    <w:rsid w:val="00740FEC"/>
    <w:rsid w:val="0074132E"/>
    <w:rsid w:val="00741493"/>
    <w:rsid w:val="007426B3"/>
    <w:rsid w:val="007426FD"/>
    <w:rsid w:val="0074329D"/>
    <w:rsid w:val="00743CEB"/>
    <w:rsid w:val="00744376"/>
    <w:rsid w:val="007449EA"/>
    <w:rsid w:val="00744D00"/>
    <w:rsid w:val="00745273"/>
    <w:rsid w:val="00746DD9"/>
    <w:rsid w:val="0075057A"/>
    <w:rsid w:val="00751771"/>
    <w:rsid w:val="00751C1C"/>
    <w:rsid w:val="00751D40"/>
    <w:rsid w:val="00752180"/>
    <w:rsid w:val="007521A1"/>
    <w:rsid w:val="00752BC3"/>
    <w:rsid w:val="0075315D"/>
    <w:rsid w:val="007538F9"/>
    <w:rsid w:val="00754253"/>
    <w:rsid w:val="007552BB"/>
    <w:rsid w:val="007558D3"/>
    <w:rsid w:val="007559D7"/>
    <w:rsid w:val="00755D3A"/>
    <w:rsid w:val="00760141"/>
    <w:rsid w:val="007609C6"/>
    <w:rsid w:val="007610A0"/>
    <w:rsid w:val="007619CD"/>
    <w:rsid w:val="007620F2"/>
    <w:rsid w:val="00762EBA"/>
    <w:rsid w:val="0076359D"/>
    <w:rsid w:val="00763FEB"/>
    <w:rsid w:val="00767D58"/>
    <w:rsid w:val="0077058D"/>
    <w:rsid w:val="00772536"/>
    <w:rsid w:val="00773613"/>
    <w:rsid w:val="00774782"/>
    <w:rsid w:val="00776476"/>
    <w:rsid w:val="00776527"/>
    <w:rsid w:val="00776B92"/>
    <w:rsid w:val="007805E1"/>
    <w:rsid w:val="0078113E"/>
    <w:rsid w:val="00781834"/>
    <w:rsid w:val="007821DB"/>
    <w:rsid w:val="00782818"/>
    <w:rsid w:val="007838F1"/>
    <w:rsid w:val="007842A5"/>
    <w:rsid w:val="00784A0E"/>
    <w:rsid w:val="00784C4A"/>
    <w:rsid w:val="00787432"/>
    <w:rsid w:val="00787507"/>
    <w:rsid w:val="007879F2"/>
    <w:rsid w:val="00791CF8"/>
    <w:rsid w:val="00791EF9"/>
    <w:rsid w:val="00792262"/>
    <w:rsid w:val="00793387"/>
    <w:rsid w:val="00793BAE"/>
    <w:rsid w:val="00794E0A"/>
    <w:rsid w:val="00796642"/>
    <w:rsid w:val="007A11D9"/>
    <w:rsid w:val="007A327B"/>
    <w:rsid w:val="007A45B1"/>
    <w:rsid w:val="007A4606"/>
    <w:rsid w:val="007B0D67"/>
    <w:rsid w:val="007B1966"/>
    <w:rsid w:val="007B2779"/>
    <w:rsid w:val="007B3DCC"/>
    <w:rsid w:val="007B4518"/>
    <w:rsid w:val="007B5031"/>
    <w:rsid w:val="007B573F"/>
    <w:rsid w:val="007B6A6B"/>
    <w:rsid w:val="007C0065"/>
    <w:rsid w:val="007C010B"/>
    <w:rsid w:val="007C3384"/>
    <w:rsid w:val="007C605B"/>
    <w:rsid w:val="007C6DB8"/>
    <w:rsid w:val="007D152D"/>
    <w:rsid w:val="007D1E65"/>
    <w:rsid w:val="007D2A5A"/>
    <w:rsid w:val="007D2AD8"/>
    <w:rsid w:val="007D2C47"/>
    <w:rsid w:val="007D3167"/>
    <w:rsid w:val="007D4128"/>
    <w:rsid w:val="007D4281"/>
    <w:rsid w:val="007D42F5"/>
    <w:rsid w:val="007D44C3"/>
    <w:rsid w:val="007D5947"/>
    <w:rsid w:val="007D65C1"/>
    <w:rsid w:val="007D6DD0"/>
    <w:rsid w:val="007D71F5"/>
    <w:rsid w:val="007D7CAD"/>
    <w:rsid w:val="007E030F"/>
    <w:rsid w:val="007E0E59"/>
    <w:rsid w:val="007E0F4B"/>
    <w:rsid w:val="007E3715"/>
    <w:rsid w:val="007E3720"/>
    <w:rsid w:val="007E7E61"/>
    <w:rsid w:val="007F0012"/>
    <w:rsid w:val="007F0845"/>
    <w:rsid w:val="007F16F9"/>
    <w:rsid w:val="007F2953"/>
    <w:rsid w:val="007F37BE"/>
    <w:rsid w:val="007F3E3E"/>
    <w:rsid w:val="007F42E0"/>
    <w:rsid w:val="007F4476"/>
    <w:rsid w:val="007F48F0"/>
    <w:rsid w:val="007F500D"/>
    <w:rsid w:val="007F5F14"/>
    <w:rsid w:val="007F7737"/>
    <w:rsid w:val="007F7B54"/>
    <w:rsid w:val="00800073"/>
    <w:rsid w:val="008005D7"/>
    <w:rsid w:val="00801FDD"/>
    <w:rsid w:val="008020C2"/>
    <w:rsid w:val="0080255C"/>
    <w:rsid w:val="008042A9"/>
    <w:rsid w:val="0081187C"/>
    <w:rsid w:val="00811E24"/>
    <w:rsid w:val="00812386"/>
    <w:rsid w:val="00812E2B"/>
    <w:rsid w:val="00813A70"/>
    <w:rsid w:val="00813FE6"/>
    <w:rsid w:val="00815C6E"/>
    <w:rsid w:val="0081645F"/>
    <w:rsid w:val="00817755"/>
    <w:rsid w:val="008178C2"/>
    <w:rsid w:val="008178CF"/>
    <w:rsid w:val="00817C98"/>
    <w:rsid w:val="00820C9F"/>
    <w:rsid w:val="00821FF6"/>
    <w:rsid w:val="00823AAF"/>
    <w:rsid w:val="00824081"/>
    <w:rsid w:val="0082409A"/>
    <w:rsid w:val="008252D7"/>
    <w:rsid w:val="00825C0F"/>
    <w:rsid w:val="0082601B"/>
    <w:rsid w:val="00827181"/>
    <w:rsid w:val="0082733C"/>
    <w:rsid w:val="00827746"/>
    <w:rsid w:val="00830447"/>
    <w:rsid w:val="0083143E"/>
    <w:rsid w:val="0083159D"/>
    <w:rsid w:val="008318FF"/>
    <w:rsid w:val="00832187"/>
    <w:rsid w:val="008323E8"/>
    <w:rsid w:val="00832493"/>
    <w:rsid w:val="008330B5"/>
    <w:rsid w:val="008336D8"/>
    <w:rsid w:val="008339C4"/>
    <w:rsid w:val="00834F0A"/>
    <w:rsid w:val="00834FAA"/>
    <w:rsid w:val="00835181"/>
    <w:rsid w:val="00835991"/>
    <w:rsid w:val="00836086"/>
    <w:rsid w:val="00840699"/>
    <w:rsid w:val="00840DED"/>
    <w:rsid w:val="00841D9F"/>
    <w:rsid w:val="00842604"/>
    <w:rsid w:val="00843ECF"/>
    <w:rsid w:val="00846673"/>
    <w:rsid w:val="0085281A"/>
    <w:rsid w:val="008559FE"/>
    <w:rsid w:val="00856998"/>
    <w:rsid w:val="00857339"/>
    <w:rsid w:val="00860706"/>
    <w:rsid w:val="00862A7A"/>
    <w:rsid w:val="00862DA0"/>
    <w:rsid w:val="00863104"/>
    <w:rsid w:val="008636CD"/>
    <w:rsid w:val="00863D9E"/>
    <w:rsid w:val="00863FDC"/>
    <w:rsid w:val="008642AF"/>
    <w:rsid w:val="00865ED4"/>
    <w:rsid w:val="00866561"/>
    <w:rsid w:val="008669A7"/>
    <w:rsid w:val="00867527"/>
    <w:rsid w:val="00867E29"/>
    <w:rsid w:val="00870F2B"/>
    <w:rsid w:val="00872D92"/>
    <w:rsid w:val="00873D52"/>
    <w:rsid w:val="008746E6"/>
    <w:rsid w:val="008752FB"/>
    <w:rsid w:val="0087594C"/>
    <w:rsid w:val="00876086"/>
    <w:rsid w:val="008768D6"/>
    <w:rsid w:val="008775D1"/>
    <w:rsid w:val="008777BB"/>
    <w:rsid w:val="00877D68"/>
    <w:rsid w:val="00877E51"/>
    <w:rsid w:val="00877E5D"/>
    <w:rsid w:val="00880150"/>
    <w:rsid w:val="00880ABA"/>
    <w:rsid w:val="00881A75"/>
    <w:rsid w:val="00881F72"/>
    <w:rsid w:val="00883A67"/>
    <w:rsid w:val="00883D45"/>
    <w:rsid w:val="00884D69"/>
    <w:rsid w:val="0088503D"/>
    <w:rsid w:val="00886005"/>
    <w:rsid w:val="00886A8F"/>
    <w:rsid w:val="0088733A"/>
    <w:rsid w:val="008902DB"/>
    <w:rsid w:val="00891BE0"/>
    <w:rsid w:val="00893302"/>
    <w:rsid w:val="00893648"/>
    <w:rsid w:val="00893F3C"/>
    <w:rsid w:val="008945A1"/>
    <w:rsid w:val="00894A63"/>
    <w:rsid w:val="008954A8"/>
    <w:rsid w:val="00895A54"/>
    <w:rsid w:val="00896916"/>
    <w:rsid w:val="00896BDE"/>
    <w:rsid w:val="00897CC5"/>
    <w:rsid w:val="008A0861"/>
    <w:rsid w:val="008A0BB2"/>
    <w:rsid w:val="008A0BF6"/>
    <w:rsid w:val="008A1AB3"/>
    <w:rsid w:val="008A1D5C"/>
    <w:rsid w:val="008A3292"/>
    <w:rsid w:val="008A3A85"/>
    <w:rsid w:val="008A43E9"/>
    <w:rsid w:val="008A4CB1"/>
    <w:rsid w:val="008A615E"/>
    <w:rsid w:val="008A632B"/>
    <w:rsid w:val="008A6BFE"/>
    <w:rsid w:val="008B00C2"/>
    <w:rsid w:val="008B07EF"/>
    <w:rsid w:val="008B16DE"/>
    <w:rsid w:val="008B190E"/>
    <w:rsid w:val="008B1A8A"/>
    <w:rsid w:val="008B1C17"/>
    <w:rsid w:val="008B1FC9"/>
    <w:rsid w:val="008B6B67"/>
    <w:rsid w:val="008B7306"/>
    <w:rsid w:val="008B775F"/>
    <w:rsid w:val="008B7C02"/>
    <w:rsid w:val="008B7D13"/>
    <w:rsid w:val="008B7F9E"/>
    <w:rsid w:val="008C0E88"/>
    <w:rsid w:val="008C1AA8"/>
    <w:rsid w:val="008C22A8"/>
    <w:rsid w:val="008C509E"/>
    <w:rsid w:val="008C5B43"/>
    <w:rsid w:val="008C63FD"/>
    <w:rsid w:val="008C6CB8"/>
    <w:rsid w:val="008C7815"/>
    <w:rsid w:val="008C7A07"/>
    <w:rsid w:val="008D0171"/>
    <w:rsid w:val="008D13EA"/>
    <w:rsid w:val="008D2671"/>
    <w:rsid w:val="008D2A16"/>
    <w:rsid w:val="008D2ECF"/>
    <w:rsid w:val="008D3C87"/>
    <w:rsid w:val="008D3F3D"/>
    <w:rsid w:val="008E0367"/>
    <w:rsid w:val="008E2F41"/>
    <w:rsid w:val="008E308D"/>
    <w:rsid w:val="008E31FF"/>
    <w:rsid w:val="008E3867"/>
    <w:rsid w:val="008E46A3"/>
    <w:rsid w:val="008E5DE6"/>
    <w:rsid w:val="008E6073"/>
    <w:rsid w:val="008E6113"/>
    <w:rsid w:val="008E6AB3"/>
    <w:rsid w:val="008E6AD3"/>
    <w:rsid w:val="008E71A6"/>
    <w:rsid w:val="008E77B6"/>
    <w:rsid w:val="008E7C55"/>
    <w:rsid w:val="008F032E"/>
    <w:rsid w:val="008F0F14"/>
    <w:rsid w:val="008F40E1"/>
    <w:rsid w:val="008F4FCE"/>
    <w:rsid w:val="008F5301"/>
    <w:rsid w:val="008F6967"/>
    <w:rsid w:val="008F6A0C"/>
    <w:rsid w:val="008F7721"/>
    <w:rsid w:val="008F7D28"/>
    <w:rsid w:val="009003A8"/>
    <w:rsid w:val="009010A7"/>
    <w:rsid w:val="00902CBE"/>
    <w:rsid w:val="00902D74"/>
    <w:rsid w:val="00902EFF"/>
    <w:rsid w:val="00903E06"/>
    <w:rsid w:val="00904B9D"/>
    <w:rsid w:val="00905A11"/>
    <w:rsid w:val="009066E1"/>
    <w:rsid w:val="00907A41"/>
    <w:rsid w:val="009102BD"/>
    <w:rsid w:val="00910F93"/>
    <w:rsid w:val="0091255A"/>
    <w:rsid w:val="009128CD"/>
    <w:rsid w:val="00914426"/>
    <w:rsid w:val="00914EDB"/>
    <w:rsid w:val="0091675F"/>
    <w:rsid w:val="00917709"/>
    <w:rsid w:val="00917918"/>
    <w:rsid w:val="00920874"/>
    <w:rsid w:val="00921370"/>
    <w:rsid w:val="00921F14"/>
    <w:rsid w:val="00923750"/>
    <w:rsid w:val="009243A5"/>
    <w:rsid w:val="009250D2"/>
    <w:rsid w:val="0092540B"/>
    <w:rsid w:val="00926283"/>
    <w:rsid w:val="00934CE8"/>
    <w:rsid w:val="00937B11"/>
    <w:rsid w:val="00940F1F"/>
    <w:rsid w:val="00941250"/>
    <w:rsid w:val="0094427A"/>
    <w:rsid w:val="00944380"/>
    <w:rsid w:val="00945932"/>
    <w:rsid w:val="009459C5"/>
    <w:rsid w:val="0094626C"/>
    <w:rsid w:val="0095013A"/>
    <w:rsid w:val="009505E4"/>
    <w:rsid w:val="00953AEF"/>
    <w:rsid w:val="009551E2"/>
    <w:rsid w:val="00955783"/>
    <w:rsid w:val="00955E5F"/>
    <w:rsid w:val="009560B0"/>
    <w:rsid w:val="00956F23"/>
    <w:rsid w:val="00957871"/>
    <w:rsid w:val="00960077"/>
    <w:rsid w:val="00960769"/>
    <w:rsid w:val="00962D2E"/>
    <w:rsid w:val="00963724"/>
    <w:rsid w:val="00963FA1"/>
    <w:rsid w:val="00964498"/>
    <w:rsid w:val="0096504D"/>
    <w:rsid w:val="00965A2D"/>
    <w:rsid w:val="009663EB"/>
    <w:rsid w:val="0096650F"/>
    <w:rsid w:val="00967AD2"/>
    <w:rsid w:val="009700DB"/>
    <w:rsid w:val="00971DC6"/>
    <w:rsid w:val="00972263"/>
    <w:rsid w:val="00972492"/>
    <w:rsid w:val="00972502"/>
    <w:rsid w:val="00972D8D"/>
    <w:rsid w:val="00973AAE"/>
    <w:rsid w:val="0097476C"/>
    <w:rsid w:val="00974923"/>
    <w:rsid w:val="00974D48"/>
    <w:rsid w:val="00974D5F"/>
    <w:rsid w:val="00975017"/>
    <w:rsid w:val="009759DF"/>
    <w:rsid w:val="00977537"/>
    <w:rsid w:val="00980373"/>
    <w:rsid w:val="00980621"/>
    <w:rsid w:val="00982072"/>
    <w:rsid w:val="009833FA"/>
    <w:rsid w:val="00983DBB"/>
    <w:rsid w:val="00983ECF"/>
    <w:rsid w:val="00986745"/>
    <w:rsid w:val="009867BC"/>
    <w:rsid w:val="0098688F"/>
    <w:rsid w:val="00987109"/>
    <w:rsid w:val="00987309"/>
    <w:rsid w:val="0099012D"/>
    <w:rsid w:val="00990363"/>
    <w:rsid w:val="009954FF"/>
    <w:rsid w:val="009961BC"/>
    <w:rsid w:val="00996355"/>
    <w:rsid w:val="00997EE9"/>
    <w:rsid w:val="009A2014"/>
    <w:rsid w:val="009A3A87"/>
    <w:rsid w:val="009A4E12"/>
    <w:rsid w:val="009A5C68"/>
    <w:rsid w:val="009A6EF7"/>
    <w:rsid w:val="009B04D0"/>
    <w:rsid w:val="009B052C"/>
    <w:rsid w:val="009B0EF2"/>
    <w:rsid w:val="009B23A3"/>
    <w:rsid w:val="009B4830"/>
    <w:rsid w:val="009B4925"/>
    <w:rsid w:val="009B4B4B"/>
    <w:rsid w:val="009B5DD6"/>
    <w:rsid w:val="009B6FD3"/>
    <w:rsid w:val="009B70BD"/>
    <w:rsid w:val="009B747B"/>
    <w:rsid w:val="009C07A5"/>
    <w:rsid w:val="009C4152"/>
    <w:rsid w:val="009C7388"/>
    <w:rsid w:val="009C7A48"/>
    <w:rsid w:val="009D0CFF"/>
    <w:rsid w:val="009D1551"/>
    <w:rsid w:val="009D1C80"/>
    <w:rsid w:val="009D2859"/>
    <w:rsid w:val="009D36EC"/>
    <w:rsid w:val="009D4173"/>
    <w:rsid w:val="009D4AD5"/>
    <w:rsid w:val="009D6095"/>
    <w:rsid w:val="009D6306"/>
    <w:rsid w:val="009E048A"/>
    <w:rsid w:val="009E1E6B"/>
    <w:rsid w:val="009E1FBA"/>
    <w:rsid w:val="009E2C54"/>
    <w:rsid w:val="009E3710"/>
    <w:rsid w:val="009E7B1F"/>
    <w:rsid w:val="009F012D"/>
    <w:rsid w:val="009F168D"/>
    <w:rsid w:val="009F41C4"/>
    <w:rsid w:val="009F5846"/>
    <w:rsid w:val="009F7B52"/>
    <w:rsid w:val="009F7D77"/>
    <w:rsid w:val="00A015EA"/>
    <w:rsid w:val="00A06467"/>
    <w:rsid w:val="00A10D66"/>
    <w:rsid w:val="00A12BA8"/>
    <w:rsid w:val="00A1420C"/>
    <w:rsid w:val="00A1456C"/>
    <w:rsid w:val="00A14821"/>
    <w:rsid w:val="00A15077"/>
    <w:rsid w:val="00A16B4C"/>
    <w:rsid w:val="00A17754"/>
    <w:rsid w:val="00A2055B"/>
    <w:rsid w:val="00A215B4"/>
    <w:rsid w:val="00A2253C"/>
    <w:rsid w:val="00A23545"/>
    <w:rsid w:val="00A23A55"/>
    <w:rsid w:val="00A23E43"/>
    <w:rsid w:val="00A24F8C"/>
    <w:rsid w:val="00A262BF"/>
    <w:rsid w:val="00A271AD"/>
    <w:rsid w:val="00A276D5"/>
    <w:rsid w:val="00A30336"/>
    <w:rsid w:val="00A30BB5"/>
    <w:rsid w:val="00A3128F"/>
    <w:rsid w:val="00A31B69"/>
    <w:rsid w:val="00A32462"/>
    <w:rsid w:val="00A326D0"/>
    <w:rsid w:val="00A34AD9"/>
    <w:rsid w:val="00A35140"/>
    <w:rsid w:val="00A35287"/>
    <w:rsid w:val="00A378F8"/>
    <w:rsid w:val="00A40B19"/>
    <w:rsid w:val="00A424F8"/>
    <w:rsid w:val="00A437B7"/>
    <w:rsid w:val="00A46D48"/>
    <w:rsid w:val="00A46DE0"/>
    <w:rsid w:val="00A4778A"/>
    <w:rsid w:val="00A504C0"/>
    <w:rsid w:val="00A5067F"/>
    <w:rsid w:val="00A523DF"/>
    <w:rsid w:val="00A55301"/>
    <w:rsid w:val="00A572FB"/>
    <w:rsid w:val="00A57B3C"/>
    <w:rsid w:val="00A57F1B"/>
    <w:rsid w:val="00A6128E"/>
    <w:rsid w:val="00A62CE1"/>
    <w:rsid w:val="00A631FA"/>
    <w:rsid w:val="00A64203"/>
    <w:rsid w:val="00A64348"/>
    <w:rsid w:val="00A644E1"/>
    <w:rsid w:val="00A721FB"/>
    <w:rsid w:val="00A727BA"/>
    <w:rsid w:val="00A72D4B"/>
    <w:rsid w:val="00A732AE"/>
    <w:rsid w:val="00A75E40"/>
    <w:rsid w:val="00A77EB2"/>
    <w:rsid w:val="00A80F0A"/>
    <w:rsid w:val="00A81094"/>
    <w:rsid w:val="00A82B66"/>
    <w:rsid w:val="00A83B58"/>
    <w:rsid w:val="00A84FAF"/>
    <w:rsid w:val="00A851B6"/>
    <w:rsid w:val="00A85729"/>
    <w:rsid w:val="00A8574B"/>
    <w:rsid w:val="00A857C0"/>
    <w:rsid w:val="00A87F6E"/>
    <w:rsid w:val="00A903FE"/>
    <w:rsid w:val="00A91336"/>
    <w:rsid w:val="00A9221C"/>
    <w:rsid w:val="00A94628"/>
    <w:rsid w:val="00A955FD"/>
    <w:rsid w:val="00A96463"/>
    <w:rsid w:val="00A97E3F"/>
    <w:rsid w:val="00AA09D3"/>
    <w:rsid w:val="00AA23FB"/>
    <w:rsid w:val="00AA3948"/>
    <w:rsid w:val="00AA42AB"/>
    <w:rsid w:val="00AA559A"/>
    <w:rsid w:val="00AA756A"/>
    <w:rsid w:val="00AB104D"/>
    <w:rsid w:val="00AB2AF1"/>
    <w:rsid w:val="00AB440B"/>
    <w:rsid w:val="00AB47E3"/>
    <w:rsid w:val="00AB74C5"/>
    <w:rsid w:val="00AB7BEE"/>
    <w:rsid w:val="00AB7DF2"/>
    <w:rsid w:val="00AC0EC6"/>
    <w:rsid w:val="00AC1E3F"/>
    <w:rsid w:val="00AC219A"/>
    <w:rsid w:val="00AC4F18"/>
    <w:rsid w:val="00AD0442"/>
    <w:rsid w:val="00AD0B46"/>
    <w:rsid w:val="00AD1094"/>
    <w:rsid w:val="00AD2565"/>
    <w:rsid w:val="00AD306C"/>
    <w:rsid w:val="00AD3424"/>
    <w:rsid w:val="00AD50D1"/>
    <w:rsid w:val="00AD59BB"/>
    <w:rsid w:val="00AD5D68"/>
    <w:rsid w:val="00AD6C73"/>
    <w:rsid w:val="00AD7D49"/>
    <w:rsid w:val="00AE06D0"/>
    <w:rsid w:val="00AE0C0C"/>
    <w:rsid w:val="00AE1732"/>
    <w:rsid w:val="00AE1B8A"/>
    <w:rsid w:val="00AE39DC"/>
    <w:rsid w:val="00AE3CDA"/>
    <w:rsid w:val="00AE7968"/>
    <w:rsid w:val="00AF128B"/>
    <w:rsid w:val="00AF1AEA"/>
    <w:rsid w:val="00AF2852"/>
    <w:rsid w:val="00AF28D4"/>
    <w:rsid w:val="00AF3225"/>
    <w:rsid w:val="00AF518B"/>
    <w:rsid w:val="00AF5275"/>
    <w:rsid w:val="00AF6367"/>
    <w:rsid w:val="00AF6A79"/>
    <w:rsid w:val="00AF724E"/>
    <w:rsid w:val="00AF73A9"/>
    <w:rsid w:val="00AF7E75"/>
    <w:rsid w:val="00B01436"/>
    <w:rsid w:val="00B01C2C"/>
    <w:rsid w:val="00B0231C"/>
    <w:rsid w:val="00B04119"/>
    <w:rsid w:val="00B048B5"/>
    <w:rsid w:val="00B12B11"/>
    <w:rsid w:val="00B13681"/>
    <w:rsid w:val="00B15DCD"/>
    <w:rsid w:val="00B17E71"/>
    <w:rsid w:val="00B17FDE"/>
    <w:rsid w:val="00B208FC"/>
    <w:rsid w:val="00B20C65"/>
    <w:rsid w:val="00B21913"/>
    <w:rsid w:val="00B22E17"/>
    <w:rsid w:val="00B266C5"/>
    <w:rsid w:val="00B27293"/>
    <w:rsid w:val="00B2755D"/>
    <w:rsid w:val="00B3229E"/>
    <w:rsid w:val="00B32DDB"/>
    <w:rsid w:val="00B34EC4"/>
    <w:rsid w:val="00B35174"/>
    <w:rsid w:val="00B35BEA"/>
    <w:rsid w:val="00B37915"/>
    <w:rsid w:val="00B3793D"/>
    <w:rsid w:val="00B41BE6"/>
    <w:rsid w:val="00B428A4"/>
    <w:rsid w:val="00B457E7"/>
    <w:rsid w:val="00B45D1B"/>
    <w:rsid w:val="00B46D25"/>
    <w:rsid w:val="00B47430"/>
    <w:rsid w:val="00B5023C"/>
    <w:rsid w:val="00B50F9A"/>
    <w:rsid w:val="00B51C00"/>
    <w:rsid w:val="00B52D2D"/>
    <w:rsid w:val="00B55BA8"/>
    <w:rsid w:val="00B55F15"/>
    <w:rsid w:val="00B561A6"/>
    <w:rsid w:val="00B60062"/>
    <w:rsid w:val="00B604FE"/>
    <w:rsid w:val="00B62960"/>
    <w:rsid w:val="00B63A11"/>
    <w:rsid w:val="00B63FD0"/>
    <w:rsid w:val="00B65C84"/>
    <w:rsid w:val="00B6608F"/>
    <w:rsid w:val="00B7292D"/>
    <w:rsid w:val="00B74317"/>
    <w:rsid w:val="00B76CCC"/>
    <w:rsid w:val="00B76D1E"/>
    <w:rsid w:val="00B77BC8"/>
    <w:rsid w:val="00B800EB"/>
    <w:rsid w:val="00B822D2"/>
    <w:rsid w:val="00B83D46"/>
    <w:rsid w:val="00B848B8"/>
    <w:rsid w:val="00B84A41"/>
    <w:rsid w:val="00B84D57"/>
    <w:rsid w:val="00B8504B"/>
    <w:rsid w:val="00B85689"/>
    <w:rsid w:val="00B86748"/>
    <w:rsid w:val="00B907EA"/>
    <w:rsid w:val="00B918A9"/>
    <w:rsid w:val="00B91EC9"/>
    <w:rsid w:val="00B924CA"/>
    <w:rsid w:val="00B929B8"/>
    <w:rsid w:val="00B92A4B"/>
    <w:rsid w:val="00B93384"/>
    <w:rsid w:val="00B94417"/>
    <w:rsid w:val="00B95566"/>
    <w:rsid w:val="00B95940"/>
    <w:rsid w:val="00B95EF8"/>
    <w:rsid w:val="00B95F50"/>
    <w:rsid w:val="00B96BD9"/>
    <w:rsid w:val="00BA7797"/>
    <w:rsid w:val="00BB0274"/>
    <w:rsid w:val="00BB15EA"/>
    <w:rsid w:val="00BB1A6B"/>
    <w:rsid w:val="00BB1CFD"/>
    <w:rsid w:val="00BB291C"/>
    <w:rsid w:val="00BB2C53"/>
    <w:rsid w:val="00BB32DA"/>
    <w:rsid w:val="00BB3A54"/>
    <w:rsid w:val="00BB42A2"/>
    <w:rsid w:val="00BB4D26"/>
    <w:rsid w:val="00BB4E21"/>
    <w:rsid w:val="00BB7746"/>
    <w:rsid w:val="00BC22EB"/>
    <w:rsid w:val="00BC3BD6"/>
    <w:rsid w:val="00BC682B"/>
    <w:rsid w:val="00BC6B04"/>
    <w:rsid w:val="00BC6D27"/>
    <w:rsid w:val="00BD186B"/>
    <w:rsid w:val="00BD1EAC"/>
    <w:rsid w:val="00BD254C"/>
    <w:rsid w:val="00BD3428"/>
    <w:rsid w:val="00BD366B"/>
    <w:rsid w:val="00BD3B56"/>
    <w:rsid w:val="00BD47E8"/>
    <w:rsid w:val="00BD534C"/>
    <w:rsid w:val="00BD56BC"/>
    <w:rsid w:val="00BD5D91"/>
    <w:rsid w:val="00BD6615"/>
    <w:rsid w:val="00BD6D50"/>
    <w:rsid w:val="00BE0D79"/>
    <w:rsid w:val="00BE0DB0"/>
    <w:rsid w:val="00BE3381"/>
    <w:rsid w:val="00BE3F09"/>
    <w:rsid w:val="00BE5487"/>
    <w:rsid w:val="00BE670A"/>
    <w:rsid w:val="00BE6906"/>
    <w:rsid w:val="00BF18F4"/>
    <w:rsid w:val="00BF1A69"/>
    <w:rsid w:val="00BF3BC8"/>
    <w:rsid w:val="00BF3DF1"/>
    <w:rsid w:val="00BF4C31"/>
    <w:rsid w:val="00BF4E57"/>
    <w:rsid w:val="00BF53B8"/>
    <w:rsid w:val="00BF7CB8"/>
    <w:rsid w:val="00C00F20"/>
    <w:rsid w:val="00C01700"/>
    <w:rsid w:val="00C034E6"/>
    <w:rsid w:val="00C05715"/>
    <w:rsid w:val="00C05926"/>
    <w:rsid w:val="00C05C71"/>
    <w:rsid w:val="00C0784A"/>
    <w:rsid w:val="00C07A1C"/>
    <w:rsid w:val="00C100E3"/>
    <w:rsid w:val="00C10B28"/>
    <w:rsid w:val="00C10D62"/>
    <w:rsid w:val="00C10FAE"/>
    <w:rsid w:val="00C123B4"/>
    <w:rsid w:val="00C12A69"/>
    <w:rsid w:val="00C13737"/>
    <w:rsid w:val="00C150BE"/>
    <w:rsid w:val="00C158B0"/>
    <w:rsid w:val="00C15A0C"/>
    <w:rsid w:val="00C15DCB"/>
    <w:rsid w:val="00C1711F"/>
    <w:rsid w:val="00C17E38"/>
    <w:rsid w:val="00C2054C"/>
    <w:rsid w:val="00C20744"/>
    <w:rsid w:val="00C20C4D"/>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40F81"/>
    <w:rsid w:val="00C41463"/>
    <w:rsid w:val="00C41A72"/>
    <w:rsid w:val="00C42D45"/>
    <w:rsid w:val="00C47694"/>
    <w:rsid w:val="00C476C5"/>
    <w:rsid w:val="00C503B0"/>
    <w:rsid w:val="00C511C2"/>
    <w:rsid w:val="00C53D82"/>
    <w:rsid w:val="00C54748"/>
    <w:rsid w:val="00C60444"/>
    <w:rsid w:val="00C60696"/>
    <w:rsid w:val="00C60EEF"/>
    <w:rsid w:val="00C6121D"/>
    <w:rsid w:val="00C615F1"/>
    <w:rsid w:val="00C61627"/>
    <w:rsid w:val="00C64E60"/>
    <w:rsid w:val="00C657A4"/>
    <w:rsid w:val="00C6736C"/>
    <w:rsid w:val="00C70925"/>
    <w:rsid w:val="00C71A1D"/>
    <w:rsid w:val="00C71EC4"/>
    <w:rsid w:val="00C723AC"/>
    <w:rsid w:val="00C72A00"/>
    <w:rsid w:val="00C7591E"/>
    <w:rsid w:val="00C75C7E"/>
    <w:rsid w:val="00C75C9B"/>
    <w:rsid w:val="00C76D8E"/>
    <w:rsid w:val="00C77833"/>
    <w:rsid w:val="00C80C9B"/>
    <w:rsid w:val="00C8335E"/>
    <w:rsid w:val="00C83C08"/>
    <w:rsid w:val="00C83F9C"/>
    <w:rsid w:val="00C84CE3"/>
    <w:rsid w:val="00C85614"/>
    <w:rsid w:val="00C86127"/>
    <w:rsid w:val="00C8708D"/>
    <w:rsid w:val="00C90CF4"/>
    <w:rsid w:val="00C91C19"/>
    <w:rsid w:val="00C929A0"/>
    <w:rsid w:val="00C93389"/>
    <w:rsid w:val="00C937DB"/>
    <w:rsid w:val="00C94371"/>
    <w:rsid w:val="00C94519"/>
    <w:rsid w:val="00C94E83"/>
    <w:rsid w:val="00CA02B2"/>
    <w:rsid w:val="00CA0883"/>
    <w:rsid w:val="00CA140F"/>
    <w:rsid w:val="00CA17CC"/>
    <w:rsid w:val="00CA25C2"/>
    <w:rsid w:val="00CA37BB"/>
    <w:rsid w:val="00CA37CA"/>
    <w:rsid w:val="00CA5724"/>
    <w:rsid w:val="00CA6508"/>
    <w:rsid w:val="00CA6BA1"/>
    <w:rsid w:val="00CA6CD5"/>
    <w:rsid w:val="00CB1910"/>
    <w:rsid w:val="00CB2150"/>
    <w:rsid w:val="00CB28EE"/>
    <w:rsid w:val="00CB29C4"/>
    <w:rsid w:val="00CB43A7"/>
    <w:rsid w:val="00CB4DF1"/>
    <w:rsid w:val="00CB5996"/>
    <w:rsid w:val="00CB6809"/>
    <w:rsid w:val="00CB7452"/>
    <w:rsid w:val="00CC0E10"/>
    <w:rsid w:val="00CC1DAF"/>
    <w:rsid w:val="00CC2642"/>
    <w:rsid w:val="00CC2A36"/>
    <w:rsid w:val="00CC2E15"/>
    <w:rsid w:val="00CC3908"/>
    <w:rsid w:val="00CC5EC4"/>
    <w:rsid w:val="00CC62AD"/>
    <w:rsid w:val="00CC66D9"/>
    <w:rsid w:val="00CC6CA2"/>
    <w:rsid w:val="00CC7B80"/>
    <w:rsid w:val="00CD089D"/>
    <w:rsid w:val="00CD2B3C"/>
    <w:rsid w:val="00CD30F6"/>
    <w:rsid w:val="00CD4B29"/>
    <w:rsid w:val="00CD6954"/>
    <w:rsid w:val="00CD6DA3"/>
    <w:rsid w:val="00CD6EF1"/>
    <w:rsid w:val="00CD7E35"/>
    <w:rsid w:val="00CE21C7"/>
    <w:rsid w:val="00CE2682"/>
    <w:rsid w:val="00CE442A"/>
    <w:rsid w:val="00CE57D8"/>
    <w:rsid w:val="00CE617A"/>
    <w:rsid w:val="00CE66F6"/>
    <w:rsid w:val="00CE7F6B"/>
    <w:rsid w:val="00CF0376"/>
    <w:rsid w:val="00CF25D2"/>
    <w:rsid w:val="00CF263E"/>
    <w:rsid w:val="00CF2816"/>
    <w:rsid w:val="00CF28C2"/>
    <w:rsid w:val="00CF42BD"/>
    <w:rsid w:val="00CF51EC"/>
    <w:rsid w:val="00CF6A9D"/>
    <w:rsid w:val="00CF6CD7"/>
    <w:rsid w:val="00CF75EC"/>
    <w:rsid w:val="00CF7A70"/>
    <w:rsid w:val="00D0037A"/>
    <w:rsid w:val="00D00A5C"/>
    <w:rsid w:val="00D00CEE"/>
    <w:rsid w:val="00D00DAF"/>
    <w:rsid w:val="00D017EC"/>
    <w:rsid w:val="00D01CDA"/>
    <w:rsid w:val="00D040DD"/>
    <w:rsid w:val="00D041F9"/>
    <w:rsid w:val="00D04E1B"/>
    <w:rsid w:val="00D0547B"/>
    <w:rsid w:val="00D076DB"/>
    <w:rsid w:val="00D1067C"/>
    <w:rsid w:val="00D10F44"/>
    <w:rsid w:val="00D136D4"/>
    <w:rsid w:val="00D13830"/>
    <w:rsid w:val="00D13ECF"/>
    <w:rsid w:val="00D142E5"/>
    <w:rsid w:val="00D148CD"/>
    <w:rsid w:val="00D14EA6"/>
    <w:rsid w:val="00D1611E"/>
    <w:rsid w:val="00D16E69"/>
    <w:rsid w:val="00D205A9"/>
    <w:rsid w:val="00D208E9"/>
    <w:rsid w:val="00D217EE"/>
    <w:rsid w:val="00D245BA"/>
    <w:rsid w:val="00D26923"/>
    <w:rsid w:val="00D27063"/>
    <w:rsid w:val="00D27856"/>
    <w:rsid w:val="00D301CA"/>
    <w:rsid w:val="00D30740"/>
    <w:rsid w:val="00D3095E"/>
    <w:rsid w:val="00D31075"/>
    <w:rsid w:val="00D31445"/>
    <w:rsid w:val="00D31932"/>
    <w:rsid w:val="00D31FD1"/>
    <w:rsid w:val="00D37689"/>
    <w:rsid w:val="00D378CC"/>
    <w:rsid w:val="00D4042C"/>
    <w:rsid w:val="00D40B9E"/>
    <w:rsid w:val="00D41281"/>
    <w:rsid w:val="00D42312"/>
    <w:rsid w:val="00D43998"/>
    <w:rsid w:val="00D44A09"/>
    <w:rsid w:val="00D451E0"/>
    <w:rsid w:val="00D4615E"/>
    <w:rsid w:val="00D47318"/>
    <w:rsid w:val="00D478E2"/>
    <w:rsid w:val="00D501C2"/>
    <w:rsid w:val="00D51577"/>
    <w:rsid w:val="00D51710"/>
    <w:rsid w:val="00D5264C"/>
    <w:rsid w:val="00D547BA"/>
    <w:rsid w:val="00D55626"/>
    <w:rsid w:val="00D556BC"/>
    <w:rsid w:val="00D5626D"/>
    <w:rsid w:val="00D600C1"/>
    <w:rsid w:val="00D60277"/>
    <w:rsid w:val="00D60336"/>
    <w:rsid w:val="00D61F88"/>
    <w:rsid w:val="00D62901"/>
    <w:rsid w:val="00D6470C"/>
    <w:rsid w:val="00D64853"/>
    <w:rsid w:val="00D64CB5"/>
    <w:rsid w:val="00D66D48"/>
    <w:rsid w:val="00D7162F"/>
    <w:rsid w:val="00D72D4B"/>
    <w:rsid w:val="00D73256"/>
    <w:rsid w:val="00D73A30"/>
    <w:rsid w:val="00D74C65"/>
    <w:rsid w:val="00D75DC2"/>
    <w:rsid w:val="00D766EF"/>
    <w:rsid w:val="00D76C03"/>
    <w:rsid w:val="00D77F8D"/>
    <w:rsid w:val="00D82462"/>
    <w:rsid w:val="00D85AC2"/>
    <w:rsid w:val="00D85F94"/>
    <w:rsid w:val="00D863D1"/>
    <w:rsid w:val="00D868CE"/>
    <w:rsid w:val="00D86DAE"/>
    <w:rsid w:val="00D871A0"/>
    <w:rsid w:val="00D90C1E"/>
    <w:rsid w:val="00D91BDF"/>
    <w:rsid w:val="00D91F2C"/>
    <w:rsid w:val="00D93F09"/>
    <w:rsid w:val="00D954C2"/>
    <w:rsid w:val="00D97BB8"/>
    <w:rsid w:val="00DA1318"/>
    <w:rsid w:val="00DA1382"/>
    <w:rsid w:val="00DA28B7"/>
    <w:rsid w:val="00DA2FE8"/>
    <w:rsid w:val="00DA4AF6"/>
    <w:rsid w:val="00DB016E"/>
    <w:rsid w:val="00DB06E9"/>
    <w:rsid w:val="00DB19BD"/>
    <w:rsid w:val="00DB378E"/>
    <w:rsid w:val="00DB3E9D"/>
    <w:rsid w:val="00DB47B9"/>
    <w:rsid w:val="00DB4FB8"/>
    <w:rsid w:val="00DB53CE"/>
    <w:rsid w:val="00DB549D"/>
    <w:rsid w:val="00DB5669"/>
    <w:rsid w:val="00DB5792"/>
    <w:rsid w:val="00DB6A88"/>
    <w:rsid w:val="00DB7BA4"/>
    <w:rsid w:val="00DB7E32"/>
    <w:rsid w:val="00DC0A15"/>
    <w:rsid w:val="00DC226A"/>
    <w:rsid w:val="00DC257F"/>
    <w:rsid w:val="00DC350B"/>
    <w:rsid w:val="00DC3790"/>
    <w:rsid w:val="00DC408A"/>
    <w:rsid w:val="00DC5B3B"/>
    <w:rsid w:val="00DC6796"/>
    <w:rsid w:val="00DC7315"/>
    <w:rsid w:val="00DC78DF"/>
    <w:rsid w:val="00DC7D4C"/>
    <w:rsid w:val="00DD0821"/>
    <w:rsid w:val="00DD0E32"/>
    <w:rsid w:val="00DD1DE0"/>
    <w:rsid w:val="00DD2872"/>
    <w:rsid w:val="00DD2BFE"/>
    <w:rsid w:val="00DD373E"/>
    <w:rsid w:val="00DD57AD"/>
    <w:rsid w:val="00DE009B"/>
    <w:rsid w:val="00DE06DA"/>
    <w:rsid w:val="00DE0C31"/>
    <w:rsid w:val="00DE2ED9"/>
    <w:rsid w:val="00DE319A"/>
    <w:rsid w:val="00DE4476"/>
    <w:rsid w:val="00DF0DC3"/>
    <w:rsid w:val="00DF0DE0"/>
    <w:rsid w:val="00DF21FD"/>
    <w:rsid w:val="00DF2873"/>
    <w:rsid w:val="00DF4C74"/>
    <w:rsid w:val="00DF5578"/>
    <w:rsid w:val="00DF78DD"/>
    <w:rsid w:val="00DF7FEC"/>
    <w:rsid w:val="00E01C0E"/>
    <w:rsid w:val="00E02086"/>
    <w:rsid w:val="00E02740"/>
    <w:rsid w:val="00E03B27"/>
    <w:rsid w:val="00E03C0D"/>
    <w:rsid w:val="00E04694"/>
    <w:rsid w:val="00E049F6"/>
    <w:rsid w:val="00E04CA9"/>
    <w:rsid w:val="00E05B2B"/>
    <w:rsid w:val="00E06A2A"/>
    <w:rsid w:val="00E07D1E"/>
    <w:rsid w:val="00E07F05"/>
    <w:rsid w:val="00E127E1"/>
    <w:rsid w:val="00E13584"/>
    <w:rsid w:val="00E13FAA"/>
    <w:rsid w:val="00E144D2"/>
    <w:rsid w:val="00E144D6"/>
    <w:rsid w:val="00E15346"/>
    <w:rsid w:val="00E15B7D"/>
    <w:rsid w:val="00E2097E"/>
    <w:rsid w:val="00E215EA"/>
    <w:rsid w:val="00E21CAB"/>
    <w:rsid w:val="00E221FC"/>
    <w:rsid w:val="00E24619"/>
    <w:rsid w:val="00E25223"/>
    <w:rsid w:val="00E25CA1"/>
    <w:rsid w:val="00E30BEA"/>
    <w:rsid w:val="00E31764"/>
    <w:rsid w:val="00E32BC2"/>
    <w:rsid w:val="00E34985"/>
    <w:rsid w:val="00E34E4A"/>
    <w:rsid w:val="00E36208"/>
    <w:rsid w:val="00E365B3"/>
    <w:rsid w:val="00E366BB"/>
    <w:rsid w:val="00E37C45"/>
    <w:rsid w:val="00E40AAA"/>
    <w:rsid w:val="00E41F3C"/>
    <w:rsid w:val="00E42444"/>
    <w:rsid w:val="00E436C0"/>
    <w:rsid w:val="00E438CF"/>
    <w:rsid w:val="00E43C41"/>
    <w:rsid w:val="00E4500E"/>
    <w:rsid w:val="00E450CE"/>
    <w:rsid w:val="00E45A00"/>
    <w:rsid w:val="00E45CE7"/>
    <w:rsid w:val="00E4631F"/>
    <w:rsid w:val="00E47CB8"/>
    <w:rsid w:val="00E522BB"/>
    <w:rsid w:val="00E539E4"/>
    <w:rsid w:val="00E569C7"/>
    <w:rsid w:val="00E56B5A"/>
    <w:rsid w:val="00E571F2"/>
    <w:rsid w:val="00E57429"/>
    <w:rsid w:val="00E61EA8"/>
    <w:rsid w:val="00E63F4B"/>
    <w:rsid w:val="00E64EA1"/>
    <w:rsid w:val="00E70510"/>
    <w:rsid w:val="00E70997"/>
    <w:rsid w:val="00E71262"/>
    <w:rsid w:val="00E71A58"/>
    <w:rsid w:val="00E737F6"/>
    <w:rsid w:val="00E74100"/>
    <w:rsid w:val="00E7568F"/>
    <w:rsid w:val="00E75D63"/>
    <w:rsid w:val="00E75FB7"/>
    <w:rsid w:val="00E7724B"/>
    <w:rsid w:val="00E8128F"/>
    <w:rsid w:val="00E84F21"/>
    <w:rsid w:val="00E8532E"/>
    <w:rsid w:val="00E8618A"/>
    <w:rsid w:val="00E90A4B"/>
    <w:rsid w:val="00E90F73"/>
    <w:rsid w:val="00E910A7"/>
    <w:rsid w:val="00E91607"/>
    <w:rsid w:val="00E921C7"/>
    <w:rsid w:val="00E92995"/>
    <w:rsid w:val="00E94612"/>
    <w:rsid w:val="00E95797"/>
    <w:rsid w:val="00E9682F"/>
    <w:rsid w:val="00E96A8D"/>
    <w:rsid w:val="00E972BA"/>
    <w:rsid w:val="00E97FA2"/>
    <w:rsid w:val="00EA06CB"/>
    <w:rsid w:val="00EA0C68"/>
    <w:rsid w:val="00EA19E2"/>
    <w:rsid w:val="00EA3EBE"/>
    <w:rsid w:val="00EA3FAC"/>
    <w:rsid w:val="00EA4153"/>
    <w:rsid w:val="00EA5307"/>
    <w:rsid w:val="00EA5CD6"/>
    <w:rsid w:val="00EA76FD"/>
    <w:rsid w:val="00EB03D4"/>
    <w:rsid w:val="00EB0555"/>
    <w:rsid w:val="00EB0562"/>
    <w:rsid w:val="00EB1E12"/>
    <w:rsid w:val="00EB20A0"/>
    <w:rsid w:val="00EB30B6"/>
    <w:rsid w:val="00EB396E"/>
    <w:rsid w:val="00EB4FA4"/>
    <w:rsid w:val="00EB5146"/>
    <w:rsid w:val="00EB522B"/>
    <w:rsid w:val="00EB55E9"/>
    <w:rsid w:val="00EB5641"/>
    <w:rsid w:val="00EB5CA9"/>
    <w:rsid w:val="00EB5ED4"/>
    <w:rsid w:val="00EB6537"/>
    <w:rsid w:val="00EB6FA2"/>
    <w:rsid w:val="00EB70E1"/>
    <w:rsid w:val="00EB7EB5"/>
    <w:rsid w:val="00EC2187"/>
    <w:rsid w:val="00EC3585"/>
    <w:rsid w:val="00EC454B"/>
    <w:rsid w:val="00EC6153"/>
    <w:rsid w:val="00EC7F92"/>
    <w:rsid w:val="00ED00A8"/>
    <w:rsid w:val="00ED06A7"/>
    <w:rsid w:val="00ED0A79"/>
    <w:rsid w:val="00ED2989"/>
    <w:rsid w:val="00ED2CA5"/>
    <w:rsid w:val="00ED336F"/>
    <w:rsid w:val="00ED40F0"/>
    <w:rsid w:val="00ED4AC0"/>
    <w:rsid w:val="00ED54D6"/>
    <w:rsid w:val="00ED5726"/>
    <w:rsid w:val="00EE0113"/>
    <w:rsid w:val="00EE0298"/>
    <w:rsid w:val="00EE0384"/>
    <w:rsid w:val="00EE04C8"/>
    <w:rsid w:val="00EE10AA"/>
    <w:rsid w:val="00EE1637"/>
    <w:rsid w:val="00EE3B7A"/>
    <w:rsid w:val="00EE3E78"/>
    <w:rsid w:val="00EE495A"/>
    <w:rsid w:val="00EE539C"/>
    <w:rsid w:val="00EE5E02"/>
    <w:rsid w:val="00EE617D"/>
    <w:rsid w:val="00EE61BF"/>
    <w:rsid w:val="00EE6748"/>
    <w:rsid w:val="00EE6C6B"/>
    <w:rsid w:val="00EF0E75"/>
    <w:rsid w:val="00EF1F5A"/>
    <w:rsid w:val="00EF4685"/>
    <w:rsid w:val="00EF5397"/>
    <w:rsid w:val="00EF68CC"/>
    <w:rsid w:val="00EF6BE3"/>
    <w:rsid w:val="00F00D0E"/>
    <w:rsid w:val="00F00D3C"/>
    <w:rsid w:val="00F01A31"/>
    <w:rsid w:val="00F04811"/>
    <w:rsid w:val="00F0488C"/>
    <w:rsid w:val="00F0496E"/>
    <w:rsid w:val="00F04D10"/>
    <w:rsid w:val="00F0625B"/>
    <w:rsid w:val="00F101FF"/>
    <w:rsid w:val="00F104DF"/>
    <w:rsid w:val="00F10A33"/>
    <w:rsid w:val="00F1186C"/>
    <w:rsid w:val="00F11E59"/>
    <w:rsid w:val="00F12DCA"/>
    <w:rsid w:val="00F14ACD"/>
    <w:rsid w:val="00F15398"/>
    <w:rsid w:val="00F15BEF"/>
    <w:rsid w:val="00F172BE"/>
    <w:rsid w:val="00F1776C"/>
    <w:rsid w:val="00F2037E"/>
    <w:rsid w:val="00F20D17"/>
    <w:rsid w:val="00F2103E"/>
    <w:rsid w:val="00F214FC"/>
    <w:rsid w:val="00F21C31"/>
    <w:rsid w:val="00F23825"/>
    <w:rsid w:val="00F23FFF"/>
    <w:rsid w:val="00F2441D"/>
    <w:rsid w:val="00F24FAA"/>
    <w:rsid w:val="00F26197"/>
    <w:rsid w:val="00F266BD"/>
    <w:rsid w:val="00F273D4"/>
    <w:rsid w:val="00F307DD"/>
    <w:rsid w:val="00F318FC"/>
    <w:rsid w:val="00F31BAA"/>
    <w:rsid w:val="00F31F76"/>
    <w:rsid w:val="00F33263"/>
    <w:rsid w:val="00F3364D"/>
    <w:rsid w:val="00F34B26"/>
    <w:rsid w:val="00F35ACD"/>
    <w:rsid w:val="00F365BF"/>
    <w:rsid w:val="00F36BF8"/>
    <w:rsid w:val="00F36FAD"/>
    <w:rsid w:val="00F375BA"/>
    <w:rsid w:val="00F37760"/>
    <w:rsid w:val="00F403D1"/>
    <w:rsid w:val="00F43921"/>
    <w:rsid w:val="00F441A1"/>
    <w:rsid w:val="00F4524F"/>
    <w:rsid w:val="00F45530"/>
    <w:rsid w:val="00F4591F"/>
    <w:rsid w:val="00F4678D"/>
    <w:rsid w:val="00F4736B"/>
    <w:rsid w:val="00F47997"/>
    <w:rsid w:val="00F47D05"/>
    <w:rsid w:val="00F50030"/>
    <w:rsid w:val="00F502F5"/>
    <w:rsid w:val="00F50B9D"/>
    <w:rsid w:val="00F51FC9"/>
    <w:rsid w:val="00F52CAE"/>
    <w:rsid w:val="00F541ED"/>
    <w:rsid w:val="00F54B31"/>
    <w:rsid w:val="00F54FD3"/>
    <w:rsid w:val="00F555CA"/>
    <w:rsid w:val="00F55605"/>
    <w:rsid w:val="00F558B5"/>
    <w:rsid w:val="00F57CD7"/>
    <w:rsid w:val="00F57DB4"/>
    <w:rsid w:val="00F62F02"/>
    <w:rsid w:val="00F63DDE"/>
    <w:rsid w:val="00F63FB7"/>
    <w:rsid w:val="00F64726"/>
    <w:rsid w:val="00F6561A"/>
    <w:rsid w:val="00F67202"/>
    <w:rsid w:val="00F70309"/>
    <w:rsid w:val="00F7078A"/>
    <w:rsid w:val="00F727D5"/>
    <w:rsid w:val="00F72F44"/>
    <w:rsid w:val="00F73A0C"/>
    <w:rsid w:val="00F759DC"/>
    <w:rsid w:val="00F75EA2"/>
    <w:rsid w:val="00F7717C"/>
    <w:rsid w:val="00F771A5"/>
    <w:rsid w:val="00F817A4"/>
    <w:rsid w:val="00F81C3A"/>
    <w:rsid w:val="00F835FC"/>
    <w:rsid w:val="00F8373A"/>
    <w:rsid w:val="00F83E21"/>
    <w:rsid w:val="00F83FA4"/>
    <w:rsid w:val="00F84E18"/>
    <w:rsid w:val="00F852E5"/>
    <w:rsid w:val="00F90C35"/>
    <w:rsid w:val="00F9310A"/>
    <w:rsid w:val="00F95117"/>
    <w:rsid w:val="00FA05D7"/>
    <w:rsid w:val="00FA1C6C"/>
    <w:rsid w:val="00FA217B"/>
    <w:rsid w:val="00FA2447"/>
    <w:rsid w:val="00FA2C2A"/>
    <w:rsid w:val="00FA309A"/>
    <w:rsid w:val="00FA6293"/>
    <w:rsid w:val="00FA7644"/>
    <w:rsid w:val="00FB0A9A"/>
    <w:rsid w:val="00FB16AD"/>
    <w:rsid w:val="00FB483B"/>
    <w:rsid w:val="00FB4E8E"/>
    <w:rsid w:val="00FB56F1"/>
    <w:rsid w:val="00FB5FD4"/>
    <w:rsid w:val="00FB67F3"/>
    <w:rsid w:val="00FC0D8A"/>
    <w:rsid w:val="00FC0E5F"/>
    <w:rsid w:val="00FC135D"/>
    <w:rsid w:val="00FC3C84"/>
    <w:rsid w:val="00FC4660"/>
    <w:rsid w:val="00FC56DE"/>
    <w:rsid w:val="00FC5A8C"/>
    <w:rsid w:val="00FC5E01"/>
    <w:rsid w:val="00FD1261"/>
    <w:rsid w:val="00FD1627"/>
    <w:rsid w:val="00FD1BBD"/>
    <w:rsid w:val="00FD473D"/>
    <w:rsid w:val="00FD61C8"/>
    <w:rsid w:val="00FD63CE"/>
    <w:rsid w:val="00FD7D49"/>
    <w:rsid w:val="00FE1251"/>
    <w:rsid w:val="00FE16E6"/>
    <w:rsid w:val="00FE2F78"/>
    <w:rsid w:val="00FE3510"/>
    <w:rsid w:val="00FE371D"/>
    <w:rsid w:val="00FE375F"/>
    <w:rsid w:val="00FE3D8B"/>
    <w:rsid w:val="00FE4FCB"/>
    <w:rsid w:val="00FE705E"/>
    <w:rsid w:val="00FE7E6E"/>
    <w:rsid w:val="00FF02EB"/>
    <w:rsid w:val="00FF28E0"/>
    <w:rsid w:val="00FF2FB4"/>
    <w:rsid w:val="00FF30B3"/>
    <w:rsid w:val="00FF3C97"/>
    <w:rsid w:val="00FF3DF3"/>
    <w:rsid w:val="00FF3F4C"/>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Prosttext">
    <w:name w:val="Plain Text"/>
    <w:basedOn w:val="Normln"/>
    <w:link w:val="ProsttextChar"/>
    <w:uiPriority w:val="99"/>
    <w:semiHidden/>
    <w:unhideWhenUsed/>
    <w:locked/>
    <w:rsid w:val="001E6EB9"/>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1E6EB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Prosttext">
    <w:name w:val="Plain Text"/>
    <w:basedOn w:val="Normln"/>
    <w:link w:val="ProsttextChar"/>
    <w:uiPriority w:val="99"/>
    <w:semiHidden/>
    <w:unhideWhenUsed/>
    <w:locked/>
    <w:rsid w:val="001E6EB9"/>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1E6EB9"/>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9186744">
      <w:bodyDiv w:val="1"/>
      <w:marLeft w:val="0"/>
      <w:marRight w:val="0"/>
      <w:marTop w:val="0"/>
      <w:marBottom w:val="0"/>
      <w:divBdr>
        <w:top w:val="none" w:sz="0" w:space="0" w:color="auto"/>
        <w:left w:val="none" w:sz="0" w:space="0" w:color="auto"/>
        <w:bottom w:val="none" w:sz="0" w:space="0" w:color="auto"/>
        <w:right w:val="none" w:sz="0" w:space="0" w:color="auto"/>
      </w:divBdr>
    </w:div>
    <w:div w:id="34819328">
      <w:bodyDiv w:val="1"/>
      <w:marLeft w:val="0"/>
      <w:marRight w:val="0"/>
      <w:marTop w:val="0"/>
      <w:marBottom w:val="0"/>
      <w:divBdr>
        <w:top w:val="none" w:sz="0" w:space="0" w:color="auto"/>
        <w:left w:val="none" w:sz="0" w:space="0" w:color="auto"/>
        <w:bottom w:val="none" w:sz="0" w:space="0" w:color="auto"/>
        <w:right w:val="none" w:sz="0" w:space="0" w:color="auto"/>
      </w:divBdr>
    </w:div>
    <w:div w:id="50665514">
      <w:bodyDiv w:val="1"/>
      <w:marLeft w:val="0"/>
      <w:marRight w:val="0"/>
      <w:marTop w:val="0"/>
      <w:marBottom w:val="0"/>
      <w:divBdr>
        <w:top w:val="none" w:sz="0" w:space="0" w:color="auto"/>
        <w:left w:val="none" w:sz="0" w:space="0" w:color="auto"/>
        <w:bottom w:val="none" w:sz="0" w:space="0" w:color="auto"/>
        <w:right w:val="none" w:sz="0" w:space="0" w:color="auto"/>
      </w:divBdr>
    </w:div>
    <w:div w:id="129980672">
      <w:bodyDiv w:val="1"/>
      <w:marLeft w:val="0"/>
      <w:marRight w:val="0"/>
      <w:marTop w:val="0"/>
      <w:marBottom w:val="0"/>
      <w:divBdr>
        <w:top w:val="none" w:sz="0" w:space="0" w:color="auto"/>
        <w:left w:val="none" w:sz="0" w:space="0" w:color="auto"/>
        <w:bottom w:val="none" w:sz="0" w:space="0" w:color="auto"/>
        <w:right w:val="none" w:sz="0" w:space="0" w:color="auto"/>
      </w:divBdr>
    </w:div>
    <w:div w:id="150365725">
      <w:bodyDiv w:val="1"/>
      <w:marLeft w:val="0"/>
      <w:marRight w:val="0"/>
      <w:marTop w:val="0"/>
      <w:marBottom w:val="0"/>
      <w:divBdr>
        <w:top w:val="none" w:sz="0" w:space="0" w:color="auto"/>
        <w:left w:val="none" w:sz="0" w:space="0" w:color="auto"/>
        <w:bottom w:val="none" w:sz="0" w:space="0" w:color="auto"/>
        <w:right w:val="none" w:sz="0" w:space="0" w:color="auto"/>
      </w:divBdr>
    </w:div>
    <w:div w:id="167601131">
      <w:bodyDiv w:val="1"/>
      <w:marLeft w:val="0"/>
      <w:marRight w:val="0"/>
      <w:marTop w:val="0"/>
      <w:marBottom w:val="0"/>
      <w:divBdr>
        <w:top w:val="none" w:sz="0" w:space="0" w:color="auto"/>
        <w:left w:val="none" w:sz="0" w:space="0" w:color="auto"/>
        <w:bottom w:val="none" w:sz="0" w:space="0" w:color="auto"/>
        <w:right w:val="none" w:sz="0" w:space="0" w:color="auto"/>
      </w:divBdr>
    </w:div>
    <w:div w:id="196160471">
      <w:bodyDiv w:val="1"/>
      <w:marLeft w:val="0"/>
      <w:marRight w:val="0"/>
      <w:marTop w:val="0"/>
      <w:marBottom w:val="0"/>
      <w:divBdr>
        <w:top w:val="none" w:sz="0" w:space="0" w:color="auto"/>
        <w:left w:val="none" w:sz="0" w:space="0" w:color="auto"/>
        <w:bottom w:val="none" w:sz="0" w:space="0" w:color="auto"/>
        <w:right w:val="none" w:sz="0" w:space="0" w:color="auto"/>
      </w:divBdr>
    </w:div>
    <w:div w:id="231963246">
      <w:bodyDiv w:val="1"/>
      <w:marLeft w:val="0"/>
      <w:marRight w:val="0"/>
      <w:marTop w:val="0"/>
      <w:marBottom w:val="0"/>
      <w:divBdr>
        <w:top w:val="none" w:sz="0" w:space="0" w:color="auto"/>
        <w:left w:val="none" w:sz="0" w:space="0" w:color="auto"/>
        <w:bottom w:val="none" w:sz="0" w:space="0" w:color="auto"/>
        <w:right w:val="none" w:sz="0" w:space="0" w:color="auto"/>
      </w:divBdr>
    </w:div>
    <w:div w:id="348682053">
      <w:bodyDiv w:val="1"/>
      <w:marLeft w:val="0"/>
      <w:marRight w:val="0"/>
      <w:marTop w:val="0"/>
      <w:marBottom w:val="0"/>
      <w:divBdr>
        <w:top w:val="none" w:sz="0" w:space="0" w:color="auto"/>
        <w:left w:val="none" w:sz="0" w:space="0" w:color="auto"/>
        <w:bottom w:val="none" w:sz="0" w:space="0" w:color="auto"/>
        <w:right w:val="none" w:sz="0" w:space="0" w:color="auto"/>
      </w:divBdr>
    </w:div>
    <w:div w:id="404836916">
      <w:bodyDiv w:val="1"/>
      <w:marLeft w:val="0"/>
      <w:marRight w:val="0"/>
      <w:marTop w:val="0"/>
      <w:marBottom w:val="0"/>
      <w:divBdr>
        <w:top w:val="none" w:sz="0" w:space="0" w:color="auto"/>
        <w:left w:val="none" w:sz="0" w:space="0" w:color="auto"/>
        <w:bottom w:val="none" w:sz="0" w:space="0" w:color="auto"/>
        <w:right w:val="none" w:sz="0" w:space="0" w:color="auto"/>
      </w:divBdr>
    </w:div>
    <w:div w:id="435830190">
      <w:bodyDiv w:val="1"/>
      <w:marLeft w:val="0"/>
      <w:marRight w:val="0"/>
      <w:marTop w:val="0"/>
      <w:marBottom w:val="0"/>
      <w:divBdr>
        <w:top w:val="none" w:sz="0" w:space="0" w:color="auto"/>
        <w:left w:val="none" w:sz="0" w:space="0" w:color="auto"/>
        <w:bottom w:val="none" w:sz="0" w:space="0" w:color="auto"/>
        <w:right w:val="none" w:sz="0" w:space="0" w:color="auto"/>
      </w:divBdr>
    </w:div>
    <w:div w:id="465440216">
      <w:bodyDiv w:val="1"/>
      <w:marLeft w:val="0"/>
      <w:marRight w:val="0"/>
      <w:marTop w:val="0"/>
      <w:marBottom w:val="0"/>
      <w:divBdr>
        <w:top w:val="none" w:sz="0" w:space="0" w:color="auto"/>
        <w:left w:val="none" w:sz="0" w:space="0" w:color="auto"/>
        <w:bottom w:val="none" w:sz="0" w:space="0" w:color="auto"/>
        <w:right w:val="none" w:sz="0" w:space="0" w:color="auto"/>
      </w:divBdr>
    </w:div>
    <w:div w:id="474110357">
      <w:bodyDiv w:val="1"/>
      <w:marLeft w:val="0"/>
      <w:marRight w:val="0"/>
      <w:marTop w:val="0"/>
      <w:marBottom w:val="0"/>
      <w:divBdr>
        <w:top w:val="none" w:sz="0" w:space="0" w:color="auto"/>
        <w:left w:val="none" w:sz="0" w:space="0" w:color="auto"/>
        <w:bottom w:val="none" w:sz="0" w:space="0" w:color="auto"/>
        <w:right w:val="none" w:sz="0" w:space="0" w:color="auto"/>
      </w:divBdr>
    </w:div>
    <w:div w:id="497233491">
      <w:bodyDiv w:val="1"/>
      <w:marLeft w:val="0"/>
      <w:marRight w:val="0"/>
      <w:marTop w:val="0"/>
      <w:marBottom w:val="0"/>
      <w:divBdr>
        <w:top w:val="none" w:sz="0" w:space="0" w:color="auto"/>
        <w:left w:val="none" w:sz="0" w:space="0" w:color="auto"/>
        <w:bottom w:val="none" w:sz="0" w:space="0" w:color="auto"/>
        <w:right w:val="none" w:sz="0" w:space="0" w:color="auto"/>
      </w:divBdr>
    </w:div>
    <w:div w:id="502234822">
      <w:bodyDiv w:val="1"/>
      <w:marLeft w:val="0"/>
      <w:marRight w:val="0"/>
      <w:marTop w:val="0"/>
      <w:marBottom w:val="0"/>
      <w:divBdr>
        <w:top w:val="none" w:sz="0" w:space="0" w:color="auto"/>
        <w:left w:val="none" w:sz="0" w:space="0" w:color="auto"/>
        <w:bottom w:val="none" w:sz="0" w:space="0" w:color="auto"/>
        <w:right w:val="none" w:sz="0" w:space="0" w:color="auto"/>
      </w:divBdr>
    </w:div>
    <w:div w:id="528370466">
      <w:bodyDiv w:val="1"/>
      <w:marLeft w:val="0"/>
      <w:marRight w:val="0"/>
      <w:marTop w:val="0"/>
      <w:marBottom w:val="0"/>
      <w:divBdr>
        <w:top w:val="none" w:sz="0" w:space="0" w:color="auto"/>
        <w:left w:val="none" w:sz="0" w:space="0" w:color="auto"/>
        <w:bottom w:val="none" w:sz="0" w:space="0" w:color="auto"/>
        <w:right w:val="none" w:sz="0" w:space="0" w:color="auto"/>
      </w:divBdr>
    </w:div>
    <w:div w:id="541598979">
      <w:bodyDiv w:val="1"/>
      <w:marLeft w:val="0"/>
      <w:marRight w:val="0"/>
      <w:marTop w:val="0"/>
      <w:marBottom w:val="0"/>
      <w:divBdr>
        <w:top w:val="none" w:sz="0" w:space="0" w:color="auto"/>
        <w:left w:val="none" w:sz="0" w:space="0" w:color="auto"/>
        <w:bottom w:val="none" w:sz="0" w:space="0" w:color="auto"/>
        <w:right w:val="none" w:sz="0" w:space="0" w:color="auto"/>
      </w:divBdr>
    </w:div>
    <w:div w:id="556625086">
      <w:bodyDiv w:val="1"/>
      <w:marLeft w:val="0"/>
      <w:marRight w:val="0"/>
      <w:marTop w:val="0"/>
      <w:marBottom w:val="0"/>
      <w:divBdr>
        <w:top w:val="none" w:sz="0" w:space="0" w:color="auto"/>
        <w:left w:val="none" w:sz="0" w:space="0" w:color="auto"/>
        <w:bottom w:val="none" w:sz="0" w:space="0" w:color="auto"/>
        <w:right w:val="none" w:sz="0" w:space="0" w:color="auto"/>
      </w:divBdr>
    </w:div>
    <w:div w:id="568198273">
      <w:bodyDiv w:val="1"/>
      <w:marLeft w:val="0"/>
      <w:marRight w:val="0"/>
      <w:marTop w:val="0"/>
      <w:marBottom w:val="0"/>
      <w:divBdr>
        <w:top w:val="none" w:sz="0" w:space="0" w:color="auto"/>
        <w:left w:val="none" w:sz="0" w:space="0" w:color="auto"/>
        <w:bottom w:val="none" w:sz="0" w:space="0" w:color="auto"/>
        <w:right w:val="none" w:sz="0" w:space="0" w:color="auto"/>
      </w:divBdr>
    </w:div>
    <w:div w:id="586771128">
      <w:bodyDiv w:val="1"/>
      <w:marLeft w:val="0"/>
      <w:marRight w:val="0"/>
      <w:marTop w:val="0"/>
      <w:marBottom w:val="0"/>
      <w:divBdr>
        <w:top w:val="none" w:sz="0" w:space="0" w:color="auto"/>
        <w:left w:val="none" w:sz="0" w:space="0" w:color="auto"/>
        <w:bottom w:val="none" w:sz="0" w:space="0" w:color="auto"/>
        <w:right w:val="none" w:sz="0" w:space="0" w:color="auto"/>
      </w:divBdr>
    </w:div>
    <w:div w:id="588316833">
      <w:bodyDiv w:val="1"/>
      <w:marLeft w:val="0"/>
      <w:marRight w:val="0"/>
      <w:marTop w:val="0"/>
      <w:marBottom w:val="0"/>
      <w:divBdr>
        <w:top w:val="none" w:sz="0" w:space="0" w:color="auto"/>
        <w:left w:val="none" w:sz="0" w:space="0" w:color="auto"/>
        <w:bottom w:val="none" w:sz="0" w:space="0" w:color="auto"/>
        <w:right w:val="none" w:sz="0" w:space="0" w:color="auto"/>
      </w:divBdr>
    </w:div>
    <w:div w:id="623196708">
      <w:bodyDiv w:val="1"/>
      <w:marLeft w:val="0"/>
      <w:marRight w:val="0"/>
      <w:marTop w:val="0"/>
      <w:marBottom w:val="0"/>
      <w:divBdr>
        <w:top w:val="none" w:sz="0" w:space="0" w:color="auto"/>
        <w:left w:val="none" w:sz="0" w:space="0" w:color="auto"/>
        <w:bottom w:val="none" w:sz="0" w:space="0" w:color="auto"/>
        <w:right w:val="none" w:sz="0" w:space="0" w:color="auto"/>
      </w:divBdr>
    </w:div>
    <w:div w:id="631058813">
      <w:bodyDiv w:val="1"/>
      <w:marLeft w:val="0"/>
      <w:marRight w:val="0"/>
      <w:marTop w:val="0"/>
      <w:marBottom w:val="0"/>
      <w:divBdr>
        <w:top w:val="none" w:sz="0" w:space="0" w:color="auto"/>
        <w:left w:val="none" w:sz="0" w:space="0" w:color="auto"/>
        <w:bottom w:val="none" w:sz="0" w:space="0" w:color="auto"/>
        <w:right w:val="none" w:sz="0" w:space="0" w:color="auto"/>
      </w:divBdr>
    </w:div>
    <w:div w:id="704446898">
      <w:bodyDiv w:val="1"/>
      <w:marLeft w:val="0"/>
      <w:marRight w:val="0"/>
      <w:marTop w:val="0"/>
      <w:marBottom w:val="0"/>
      <w:divBdr>
        <w:top w:val="none" w:sz="0" w:space="0" w:color="auto"/>
        <w:left w:val="none" w:sz="0" w:space="0" w:color="auto"/>
        <w:bottom w:val="none" w:sz="0" w:space="0" w:color="auto"/>
        <w:right w:val="none" w:sz="0" w:space="0" w:color="auto"/>
      </w:divBdr>
    </w:div>
    <w:div w:id="708727306">
      <w:bodyDiv w:val="1"/>
      <w:marLeft w:val="0"/>
      <w:marRight w:val="0"/>
      <w:marTop w:val="0"/>
      <w:marBottom w:val="0"/>
      <w:divBdr>
        <w:top w:val="none" w:sz="0" w:space="0" w:color="auto"/>
        <w:left w:val="none" w:sz="0" w:space="0" w:color="auto"/>
        <w:bottom w:val="none" w:sz="0" w:space="0" w:color="auto"/>
        <w:right w:val="none" w:sz="0" w:space="0" w:color="auto"/>
      </w:divBdr>
    </w:div>
    <w:div w:id="717126479">
      <w:bodyDiv w:val="1"/>
      <w:marLeft w:val="0"/>
      <w:marRight w:val="0"/>
      <w:marTop w:val="0"/>
      <w:marBottom w:val="0"/>
      <w:divBdr>
        <w:top w:val="none" w:sz="0" w:space="0" w:color="auto"/>
        <w:left w:val="none" w:sz="0" w:space="0" w:color="auto"/>
        <w:bottom w:val="none" w:sz="0" w:space="0" w:color="auto"/>
        <w:right w:val="none" w:sz="0" w:space="0" w:color="auto"/>
      </w:divBdr>
    </w:div>
    <w:div w:id="718627241">
      <w:bodyDiv w:val="1"/>
      <w:marLeft w:val="0"/>
      <w:marRight w:val="0"/>
      <w:marTop w:val="0"/>
      <w:marBottom w:val="0"/>
      <w:divBdr>
        <w:top w:val="none" w:sz="0" w:space="0" w:color="auto"/>
        <w:left w:val="none" w:sz="0" w:space="0" w:color="auto"/>
        <w:bottom w:val="none" w:sz="0" w:space="0" w:color="auto"/>
        <w:right w:val="none" w:sz="0" w:space="0" w:color="auto"/>
      </w:divBdr>
    </w:div>
    <w:div w:id="762183815">
      <w:bodyDiv w:val="1"/>
      <w:marLeft w:val="0"/>
      <w:marRight w:val="0"/>
      <w:marTop w:val="0"/>
      <w:marBottom w:val="0"/>
      <w:divBdr>
        <w:top w:val="none" w:sz="0" w:space="0" w:color="auto"/>
        <w:left w:val="none" w:sz="0" w:space="0" w:color="auto"/>
        <w:bottom w:val="none" w:sz="0" w:space="0" w:color="auto"/>
        <w:right w:val="none" w:sz="0" w:space="0" w:color="auto"/>
      </w:divBdr>
    </w:div>
    <w:div w:id="783422102">
      <w:bodyDiv w:val="1"/>
      <w:marLeft w:val="0"/>
      <w:marRight w:val="0"/>
      <w:marTop w:val="0"/>
      <w:marBottom w:val="0"/>
      <w:divBdr>
        <w:top w:val="none" w:sz="0" w:space="0" w:color="auto"/>
        <w:left w:val="none" w:sz="0" w:space="0" w:color="auto"/>
        <w:bottom w:val="none" w:sz="0" w:space="0" w:color="auto"/>
        <w:right w:val="none" w:sz="0" w:space="0" w:color="auto"/>
      </w:divBdr>
    </w:div>
    <w:div w:id="791675927">
      <w:bodyDiv w:val="1"/>
      <w:marLeft w:val="0"/>
      <w:marRight w:val="0"/>
      <w:marTop w:val="0"/>
      <w:marBottom w:val="0"/>
      <w:divBdr>
        <w:top w:val="none" w:sz="0" w:space="0" w:color="auto"/>
        <w:left w:val="none" w:sz="0" w:space="0" w:color="auto"/>
        <w:bottom w:val="none" w:sz="0" w:space="0" w:color="auto"/>
        <w:right w:val="none" w:sz="0" w:space="0" w:color="auto"/>
      </w:divBdr>
    </w:div>
    <w:div w:id="801457157">
      <w:bodyDiv w:val="1"/>
      <w:marLeft w:val="0"/>
      <w:marRight w:val="0"/>
      <w:marTop w:val="0"/>
      <w:marBottom w:val="0"/>
      <w:divBdr>
        <w:top w:val="none" w:sz="0" w:space="0" w:color="auto"/>
        <w:left w:val="none" w:sz="0" w:space="0" w:color="auto"/>
        <w:bottom w:val="none" w:sz="0" w:space="0" w:color="auto"/>
        <w:right w:val="none" w:sz="0" w:space="0" w:color="auto"/>
      </w:divBdr>
    </w:div>
    <w:div w:id="812211366">
      <w:bodyDiv w:val="1"/>
      <w:marLeft w:val="0"/>
      <w:marRight w:val="0"/>
      <w:marTop w:val="0"/>
      <w:marBottom w:val="0"/>
      <w:divBdr>
        <w:top w:val="none" w:sz="0" w:space="0" w:color="auto"/>
        <w:left w:val="none" w:sz="0" w:space="0" w:color="auto"/>
        <w:bottom w:val="none" w:sz="0" w:space="0" w:color="auto"/>
        <w:right w:val="none" w:sz="0" w:space="0" w:color="auto"/>
      </w:divBdr>
    </w:div>
    <w:div w:id="829298221">
      <w:bodyDiv w:val="1"/>
      <w:marLeft w:val="0"/>
      <w:marRight w:val="0"/>
      <w:marTop w:val="0"/>
      <w:marBottom w:val="0"/>
      <w:divBdr>
        <w:top w:val="none" w:sz="0" w:space="0" w:color="auto"/>
        <w:left w:val="none" w:sz="0" w:space="0" w:color="auto"/>
        <w:bottom w:val="none" w:sz="0" w:space="0" w:color="auto"/>
        <w:right w:val="none" w:sz="0" w:space="0" w:color="auto"/>
      </w:divBdr>
    </w:div>
    <w:div w:id="835077351">
      <w:bodyDiv w:val="1"/>
      <w:marLeft w:val="0"/>
      <w:marRight w:val="0"/>
      <w:marTop w:val="0"/>
      <w:marBottom w:val="0"/>
      <w:divBdr>
        <w:top w:val="none" w:sz="0" w:space="0" w:color="auto"/>
        <w:left w:val="none" w:sz="0" w:space="0" w:color="auto"/>
        <w:bottom w:val="none" w:sz="0" w:space="0" w:color="auto"/>
        <w:right w:val="none" w:sz="0" w:space="0" w:color="auto"/>
      </w:divBdr>
    </w:div>
    <w:div w:id="863638094">
      <w:bodyDiv w:val="1"/>
      <w:marLeft w:val="0"/>
      <w:marRight w:val="0"/>
      <w:marTop w:val="0"/>
      <w:marBottom w:val="0"/>
      <w:divBdr>
        <w:top w:val="none" w:sz="0" w:space="0" w:color="auto"/>
        <w:left w:val="none" w:sz="0" w:space="0" w:color="auto"/>
        <w:bottom w:val="none" w:sz="0" w:space="0" w:color="auto"/>
        <w:right w:val="none" w:sz="0" w:space="0" w:color="auto"/>
      </w:divBdr>
    </w:div>
    <w:div w:id="866677845">
      <w:bodyDiv w:val="1"/>
      <w:marLeft w:val="0"/>
      <w:marRight w:val="0"/>
      <w:marTop w:val="0"/>
      <w:marBottom w:val="0"/>
      <w:divBdr>
        <w:top w:val="none" w:sz="0" w:space="0" w:color="auto"/>
        <w:left w:val="none" w:sz="0" w:space="0" w:color="auto"/>
        <w:bottom w:val="none" w:sz="0" w:space="0" w:color="auto"/>
        <w:right w:val="none" w:sz="0" w:space="0" w:color="auto"/>
      </w:divBdr>
    </w:div>
    <w:div w:id="876117020">
      <w:bodyDiv w:val="1"/>
      <w:marLeft w:val="0"/>
      <w:marRight w:val="0"/>
      <w:marTop w:val="0"/>
      <w:marBottom w:val="0"/>
      <w:divBdr>
        <w:top w:val="none" w:sz="0" w:space="0" w:color="auto"/>
        <w:left w:val="none" w:sz="0" w:space="0" w:color="auto"/>
        <w:bottom w:val="none" w:sz="0" w:space="0" w:color="auto"/>
        <w:right w:val="none" w:sz="0" w:space="0" w:color="auto"/>
      </w:divBdr>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960301085">
      <w:bodyDiv w:val="1"/>
      <w:marLeft w:val="0"/>
      <w:marRight w:val="0"/>
      <w:marTop w:val="0"/>
      <w:marBottom w:val="0"/>
      <w:divBdr>
        <w:top w:val="none" w:sz="0" w:space="0" w:color="auto"/>
        <w:left w:val="none" w:sz="0" w:space="0" w:color="auto"/>
        <w:bottom w:val="none" w:sz="0" w:space="0" w:color="auto"/>
        <w:right w:val="none" w:sz="0" w:space="0" w:color="auto"/>
      </w:divBdr>
    </w:div>
    <w:div w:id="971137082">
      <w:bodyDiv w:val="1"/>
      <w:marLeft w:val="0"/>
      <w:marRight w:val="0"/>
      <w:marTop w:val="0"/>
      <w:marBottom w:val="0"/>
      <w:divBdr>
        <w:top w:val="none" w:sz="0" w:space="0" w:color="auto"/>
        <w:left w:val="none" w:sz="0" w:space="0" w:color="auto"/>
        <w:bottom w:val="none" w:sz="0" w:space="0" w:color="auto"/>
        <w:right w:val="none" w:sz="0" w:space="0" w:color="auto"/>
      </w:divBdr>
    </w:div>
    <w:div w:id="1017540873">
      <w:bodyDiv w:val="1"/>
      <w:marLeft w:val="0"/>
      <w:marRight w:val="0"/>
      <w:marTop w:val="0"/>
      <w:marBottom w:val="0"/>
      <w:divBdr>
        <w:top w:val="none" w:sz="0" w:space="0" w:color="auto"/>
        <w:left w:val="none" w:sz="0" w:space="0" w:color="auto"/>
        <w:bottom w:val="none" w:sz="0" w:space="0" w:color="auto"/>
        <w:right w:val="none" w:sz="0" w:space="0" w:color="auto"/>
      </w:divBdr>
    </w:div>
    <w:div w:id="1023554453">
      <w:bodyDiv w:val="1"/>
      <w:marLeft w:val="0"/>
      <w:marRight w:val="0"/>
      <w:marTop w:val="0"/>
      <w:marBottom w:val="0"/>
      <w:divBdr>
        <w:top w:val="none" w:sz="0" w:space="0" w:color="auto"/>
        <w:left w:val="none" w:sz="0" w:space="0" w:color="auto"/>
        <w:bottom w:val="none" w:sz="0" w:space="0" w:color="auto"/>
        <w:right w:val="none" w:sz="0" w:space="0" w:color="auto"/>
      </w:divBdr>
    </w:div>
    <w:div w:id="1026559302">
      <w:bodyDiv w:val="1"/>
      <w:marLeft w:val="0"/>
      <w:marRight w:val="0"/>
      <w:marTop w:val="0"/>
      <w:marBottom w:val="0"/>
      <w:divBdr>
        <w:top w:val="none" w:sz="0" w:space="0" w:color="auto"/>
        <w:left w:val="none" w:sz="0" w:space="0" w:color="auto"/>
        <w:bottom w:val="none" w:sz="0" w:space="0" w:color="auto"/>
        <w:right w:val="none" w:sz="0" w:space="0" w:color="auto"/>
      </w:divBdr>
    </w:div>
    <w:div w:id="1053238174">
      <w:bodyDiv w:val="1"/>
      <w:marLeft w:val="0"/>
      <w:marRight w:val="0"/>
      <w:marTop w:val="0"/>
      <w:marBottom w:val="0"/>
      <w:divBdr>
        <w:top w:val="none" w:sz="0" w:space="0" w:color="auto"/>
        <w:left w:val="none" w:sz="0" w:space="0" w:color="auto"/>
        <w:bottom w:val="none" w:sz="0" w:space="0" w:color="auto"/>
        <w:right w:val="none" w:sz="0" w:space="0" w:color="auto"/>
      </w:divBdr>
    </w:div>
    <w:div w:id="1056398280">
      <w:bodyDiv w:val="1"/>
      <w:marLeft w:val="0"/>
      <w:marRight w:val="0"/>
      <w:marTop w:val="0"/>
      <w:marBottom w:val="0"/>
      <w:divBdr>
        <w:top w:val="none" w:sz="0" w:space="0" w:color="auto"/>
        <w:left w:val="none" w:sz="0" w:space="0" w:color="auto"/>
        <w:bottom w:val="none" w:sz="0" w:space="0" w:color="auto"/>
        <w:right w:val="none" w:sz="0" w:space="0" w:color="auto"/>
      </w:divBdr>
    </w:div>
    <w:div w:id="1084188567">
      <w:bodyDiv w:val="1"/>
      <w:marLeft w:val="0"/>
      <w:marRight w:val="0"/>
      <w:marTop w:val="0"/>
      <w:marBottom w:val="0"/>
      <w:divBdr>
        <w:top w:val="none" w:sz="0" w:space="0" w:color="auto"/>
        <w:left w:val="none" w:sz="0" w:space="0" w:color="auto"/>
        <w:bottom w:val="none" w:sz="0" w:space="0" w:color="auto"/>
        <w:right w:val="none" w:sz="0" w:space="0" w:color="auto"/>
      </w:divBdr>
    </w:div>
    <w:div w:id="1105689015">
      <w:bodyDiv w:val="1"/>
      <w:marLeft w:val="0"/>
      <w:marRight w:val="0"/>
      <w:marTop w:val="0"/>
      <w:marBottom w:val="0"/>
      <w:divBdr>
        <w:top w:val="none" w:sz="0" w:space="0" w:color="auto"/>
        <w:left w:val="none" w:sz="0" w:space="0" w:color="auto"/>
        <w:bottom w:val="none" w:sz="0" w:space="0" w:color="auto"/>
        <w:right w:val="none" w:sz="0" w:space="0" w:color="auto"/>
      </w:divBdr>
    </w:div>
    <w:div w:id="1135217867">
      <w:bodyDiv w:val="1"/>
      <w:marLeft w:val="0"/>
      <w:marRight w:val="0"/>
      <w:marTop w:val="0"/>
      <w:marBottom w:val="0"/>
      <w:divBdr>
        <w:top w:val="none" w:sz="0" w:space="0" w:color="auto"/>
        <w:left w:val="none" w:sz="0" w:space="0" w:color="auto"/>
        <w:bottom w:val="none" w:sz="0" w:space="0" w:color="auto"/>
        <w:right w:val="none" w:sz="0" w:space="0" w:color="auto"/>
      </w:divBdr>
    </w:div>
    <w:div w:id="1211721329">
      <w:bodyDiv w:val="1"/>
      <w:marLeft w:val="0"/>
      <w:marRight w:val="0"/>
      <w:marTop w:val="0"/>
      <w:marBottom w:val="0"/>
      <w:divBdr>
        <w:top w:val="none" w:sz="0" w:space="0" w:color="auto"/>
        <w:left w:val="none" w:sz="0" w:space="0" w:color="auto"/>
        <w:bottom w:val="none" w:sz="0" w:space="0" w:color="auto"/>
        <w:right w:val="none" w:sz="0" w:space="0" w:color="auto"/>
      </w:divBdr>
    </w:div>
    <w:div w:id="1217620375">
      <w:bodyDiv w:val="1"/>
      <w:marLeft w:val="0"/>
      <w:marRight w:val="0"/>
      <w:marTop w:val="0"/>
      <w:marBottom w:val="0"/>
      <w:divBdr>
        <w:top w:val="none" w:sz="0" w:space="0" w:color="auto"/>
        <w:left w:val="none" w:sz="0" w:space="0" w:color="auto"/>
        <w:bottom w:val="none" w:sz="0" w:space="0" w:color="auto"/>
        <w:right w:val="none" w:sz="0" w:space="0" w:color="auto"/>
      </w:divBdr>
    </w:div>
    <w:div w:id="1237518071">
      <w:bodyDiv w:val="1"/>
      <w:marLeft w:val="0"/>
      <w:marRight w:val="0"/>
      <w:marTop w:val="0"/>
      <w:marBottom w:val="0"/>
      <w:divBdr>
        <w:top w:val="none" w:sz="0" w:space="0" w:color="auto"/>
        <w:left w:val="none" w:sz="0" w:space="0" w:color="auto"/>
        <w:bottom w:val="none" w:sz="0" w:space="0" w:color="auto"/>
        <w:right w:val="none" w:sz="0" w:space="0" w:color="auto"/>
      </w:divBdr>
    </w:div>
    <w:div w:id="1264261019">
      <w:bodyDiv w:val="1"/>
      <w:marLeft w:val="0"/>
      <w:marRight w:val="0"/>
      <w:marTop w:val="0"/>
      <w:marBottom w:val="0"/>
      <w:divBdr>
        <w:top w:val="none" w:sz="0" w:space="0" w:color="auto"/>
        <w:left w:val="none" w:sz="0" w:space="0" w:color="auto"/>
        <w:bottom w:val="none" w:sz="0" w:space="0" w:color="auto"/>
        <w:right w:val="none" w:sz="0" w:space="0" w:color="auto"/>
      </w:divBdr>
    </w:div>
    <w:div w:id="1275138249">
      <w:bodyDiv w:val="1"/>
      <w:marLeft w:val="0"/>
      <w:marRight w:val="0"/>
      <w:marTop w:val="0"/>
      <w:marBottom w:val="0"/>
      <w:divBdr>
        <w:top w:val="none" w:sz="0" w:space="0" w:color="auto"/>
        <w:left w:val="none" w:sz="0" w:space="0" w:color="auto"/>
        <w:bottom w:val="none" w:sz="0" w:space="0" w:color="auto"/>
        <w:right w:val="none" w:sz="0" w:space="0" w:color="auto"/>
      </w:divBdr>
    </w:div>
    <w:div w:id="1305240326">
      <w:bodyDiv w:val="1"/>
      <w:marLeft w:val="0"/>
      <w:marRight w:val="0"/>
      <w:marTop w:val="0"/>
      <w:marBottom w:val="0"/>
      <w:divBdr>
        <w:top w:val="none" w:sz="0" w:space="0" w:color="auto"/>
        <w:left w:val="none" w:sz="0" w:space="0" w:color="auto"/>
        <w:bottom w:val="none" w:sz="0" w:space="0" w:color="auto"/>
        <w:right w:val="none" w:sz="0" w:space="0" w:color="auto"/>
      </w:divBdr>
    </w:div>
    <w:div w:id="1383286900">
      <w:bodyDiv w:val="1"/>
      <w:marLeft w:val="0"/>
      <w:marRight w:val="0"/>
      <w:marTop w:val="0"/>
      <w:marBottom w:val="0"/>
      <w:divBdr>
        <w:top w:val="none" w:sz="0" w:space="0" w:color="auto"/>
        <w:left w:val="none" w:sz="0" w:space="0" w:color="auto"/>
        <w:bottom w:val="none" w:sz="0" w:space="0" w:color="auto"/>
        <w:right w:val="none" w:sz="0" w:space="0" w:color="auto"/>
      </w:divBdr>
    </w:div>
    <w:div w:id="1386828185">
      <w:bodyDiv w:val="1"/>
      <w:marLeft w:val="0"/>
      <w:marRight w:val="0"/>
      <w:marTop w:val="0"/>
      <w:marBottom w:val="0"/>
      <w:divBdr>
        <w:top w:val="none" w:sz="0" w:space="0" w:color="auto"/>
        <w:left w:val="none" w:sz="0" w:space="0" w:color="auto"/>
        <w:bottom w:val="none" w:sz="0" w:space="0" w:color="auto"/>
        <w:right w:val="none" w:sz="0" w:space="0" w:color="auto"/>
      </w:divBdr>
    </w:div>
    <w:div w:id="1439056721">
      <w:bodyDiv w:val="1"/>
      <w:marLeft w:val="0"/>
      <w:marRight w:val="0"/>
      <w:marTop w:val="0"/>
      <w:marBottom w:val="0"/>
      <w:divBdr>
        <w:top w:val="none" w:sz="0" w:space="0" w:color="auto"/>
        <w:left w:val="none" w:sz="0" w:space="0" w:color="auto"/>
        <w:bottom w:val="none" w:sz="0" w:space="0" w:color="auto"/>
        <w:right w:val="none" w:sz="0" w:space="0" w:color="auto"/>
      </w:divBdr>
    </w:div>
    <w:div w:id="1445341868">
      <w:bodyDiv w:val="1"/>
      <w:marLeft w:val="0"/>
      <w:marRight w:val="0"/>
      <w:marTop w:val="0"/>
      <w:marBottom w:val="0"/>
      <w:divBdr>
        <w:top w:val="none" w:sz="0" w:space="0" w:color="auto"/>
        <w:left w:val="none" w:sz="0" w:space="0" w:color="auto"/>
        <w:bottom w:val="none" w:sz="0" w:space="0" w:color="auto"/>
        <w:right w:val="none" w:sz="0" w:space="0" w:color="auto"/>
      </w:divBdr>
    </w:div>
    <w:div w:id="1472866342">
      <w:bodyDiv w:val="1"/>
      <w:marLeft w:val="0"/>
      <w:marRight w:val="0"/>
      <w:marTop w:val="0"/>
      <w:marBottom w:val="0"/>
      <w:divBdr>
        <w:top w:val="none" w:sz="0" w:space="0" w:color="auto"/>
        <w:left w:val="none" w:sz="0" w:space="0" w:color="auto"/>
        <w:bottom w:val="none" w:sz="0" w:space="0" w:color="auto"/>
        <w:right w:val="none" w:sz="0" w:space="0" w:color="auto"/>
      </w:divBdr>
    </w:div>
    <w:div w:id="1501383924">
      <w:bodyDiv w:val="1"/>
      <w:marLeft w:val="0"/>
      <w:marRight w:val="0"/>
      <w:marTop w:val="0"/>
      <w:marBottom w:val="0"/>
      <w:divBdr>
        <w:top w:val="none" w:sz="0" w:space="0" w:color="auto"/>
        <w:left w:val="none" w:sz="0" w:space="0" w:color="auto"/>
        <w:bottom w:val="none" w:sz="0" w:space="0" w:color="auto"/>
        <w:right w:val="none" w:sz="0" w:space="0" w:color="auto"/>
      </w:divBdr>
    </w:div>
    <w:div w:id="1508590211">
      <w:bodyDiv w:val="1"/>
      <w:marLeft w:val="0"/>
      <w:marRight w:val="0"/>
      <w:marTop w:val="0"/>
      <w:marBottom w:val="0"/>
      <w:divBdr>
        <w:top w:val="none" w:sz="0" w:space="0" w:color="auto"/>
        <w:left w:val="none" w:sz="0" w:space="0" w:color="auto"/>
        <w:bottom w:val="none" w:sz="0" w:space="0" w:color="auto"/>
        <w:right w:val="none" w:sz="0" w:space="0" w:color="auto"/>
      </w:divBdr>
    </w:div>
    <w:div w:id="1515613438">
      <w:bodyDiv w:val="1"/>
      <w:marLeft w:val="0"/>
      <w:marRight w:val="0"/>
      <w:marTop w:val="0"/>
      <w:marBottom w:val="0"/>
      <w:divBdr>
        <w:top w:val="none" w:sz="0" w:space="0" w:color="auto"/>
        <w:left w:val="none" w:sz="0" w:space="0" w:color="auto"/>
        <w:bottom w:val="none" w:sz="0" w:space="0" w:color="auto"/>
        <w:right w:val="none" w:sz="0" w:space="0" w:color="auto"/>
      </w:divBdr>
    </w:div>
    <w:div w:id="1547376220">
      <w:bodyDiv w:val="1"/>
      <w:marLeft w:val="0"/>
      <w:marRight w:val="0"/>
      <w:marTop w:val="0"/>
      <w:marBottom w:val="0"/>
      <w:divBdr>
        <w:top w:val="none" w:sz="0" w:space="0" w:color="auto"/>
        <w:left w:val="none" w:sz="0" w:space="0" w:color="auto"/>
        <w:bottom w:val="none" w:sz="0" w:space="0" w:color="auto"/>
        <w:right w:val="none" w:sz="0" w:space="0" w:color="auto"/>
      </w:divBdr>
    </w:div>
    <w:div w:id="1558516333">
      <w:bodyDiv w:val="1"/>
      <w:marLeft w:val="0"/>
      <w:marRight w:val="0"/>
      <w:marTop w:val="0"/>
      <w:marBottom w:val="0"/>
      <w:divBdr>
        <w:top w:val="none" w:sz="0" w:space="0" w:color="auto"/>
        <w:left w:val="none" w:sz="0" w:space="0" w:color="auto"/>
        <w:bottom w:val="none" w:sz="0" w:space="0" w:color="auto"/>
        <w:right w:val="none" w:sz="0" w:space="0" w:color="auto"/>
      </w:divBdr>
    </w:div>
    <w:div w:id="1572108983">
      <w:bodyDiv w:val="1"/>
      <w:marLeft w:val="0"/>
      <w:marRight w:val="0"/>
      <w:marTop w:val="0"/>
      <w:marBottom w:val="0"/>
      <w:divBdr>
        <w:top w:val="none" w:sz="0" w:space="0" w:color="auto"/>
        <w:left w:val="none" w:sz="0" w:space="0" w:color="auto"/>
        <w:bottom w:val="none" w:sz="0" w:space="0" w:color="auto"/>
        <w:right w:val="none" w:sz="0" w:space="0" w:color="auto"/>
      </w:divBdr>
    </w:div>
    <w:div w:id="1578663414">
      <w:bodyDiv w:val="1"/>
      <w:marLeft w:val="0"/>
      <w:marRight w:val="0"/>
      <w:marTop w:val="0"/>
      <w:marBottom w:val="0"/>
      <w:divBdr>
        <w:top w:val="none" w:sz="0" w:space="0" w:color="auto"/>
        <w:left w:val="none" w:sz="0" w:space="0" w:color="auto"/>
        <w:bottom w:val="none" w:sz="0" w:space="0" w:color="auto"/>
        <w:right w:val="none" w:sz="0" w:space="0" w:color="auto"/>
      </w:divBdr>
    </w:div>
    <w:div w:id="1599023705">
      <w:bodyDiv w:val="1"/>
      <w:marLeft w:val="0"/>
      <w:marRight w:val="0"/>
      <w:marTop w:val="0"/>
      <w:marBottom w:val="0"/>
      <w:divBdr>
        <w:top w:val="none" w:sz="0" w:space="0" w:color="auto"/>
        <w:left w:val="none" w:sz="0" w:space="0" w:color="auto"/>
        <w:bottom w:val="none" w:sz="0" w:space="0" w:color="auto"/>
        <w:right w:val="none" w:sz="0" w:space="0" w:color="auto"/>
      </w:divBdr>
    </w:div>
    <w:div w:id="1669088500">
      <w:bodyDiv w:val="1"/>
      <w:marLeft w:val="0"/>
      <w:marRight w:val="0"/>
      <w:marTop w:val="0"/>
      <w:marBottom w:val="0"/>
      <w:divBdr>
        <w:top w:val="none" w:sz="0" w:space="0" w:color="auto"/>
        <w:left w:val="none" w:sz="0" w:space="0" w:color="auto"/>
        <w:bottom w:val="none" w:sz="0" w:space="0" w:color="auto"/>
        <w:right w:val="none" w:sz="0" w:space="0" w:color="auto"/>
      </w:divBdr>
    </w:div>
    <w:div w:id="1741908504">
      <w:bodyDiv w:val="1"/>
      <w:marLeft w:val="0"/>
      <w:marRight w:val="0"/>
      <w:marTop w:val="0"/>
      <w:marBottom w:val="0"/>
      <w:divBdr>
        <w:top w:val="none" w:sz="0" w:space="0" w:color="auto"/>
        <w:left w:val="none" w:sz="0" w:space="0" w:color="auto"/>
        <w:bottom w:val="none" w:sz="0" w:space="0" w:color="auto"/>
        <w:right w:val="none" w:sz="0" w:space="0" w:color="auto"/>
      </w:divBdr>
    </w:div>
    <w:div w:id="1757088450">
      <w:bodyDiv w:val="1"/>
      <w:marLeft w:val="0"/>
      <w:marRight w:val="0"/>
      <w:marTop w:val="0"/>
      <w:marBottom w:val="0"/>
      <w:divBdr>
        <w:top w:val="none" w:sz="0" w:space="0" w:color="auto"/>
        <w:left w:val="none" w:sz="0" w:space="0" w:color="auto"/>
        <w:bottom w:val="none" w:sz="0" w:space="0" w:color="auto"/>
        <w:right w:val="none" w:sz="0" w:space="0" w:color="auto"/>
      </w:divBdr>
    </w:div>
    <w:div w:id="1758936912">
      <w:bodyDiv w:val="1"/>
      <w:marLeft w:val="0"/>
      <w:marRight w:val="0"/>
      <w:marTop w:val="0"/>
      <w:marBottom w:val="0"/>
      <w:divBdr>
        <w:top w:val="none" w:sz="0" w:space="0" w:color="auto"/>
        <w:left w:val="none" w:sz="0" w:space="0" w:color="auto"/>
        <w:bottom w:val="none" w:sz="0" w:space="0" w:color="auto"/>
        <w:right w:val="none" w:sz="0" w:space="0" w:color="auto"/>
      </w:divBdr>
    </w:div>
    <w:div w:id="1762141816">
      <w:bodyDiv w:val="1"/>
      <w:marLeft w:val="0"/>
      <w:marRight w:val="0"/>
      <w:marTop w:val="0"/>
      <w:marBottom w:val="0"/>
      <w:divBdr>
        <w:top w:val="none" w:sz="0" w:space="0" w:color="auto"/>
        <w:left w:val="none" w:sz="0" w:space="0" w:color="auto"/>
        <w:bottom w:val="none" w:sz="0" w:space="0" w:color="auto"/>
        <w:right w:val="none" w:sz="0" w:space="0" w:color="auto"/>
      </w:divBdr>
    </w:div>
    <w:div w:id="1776512849">
      <w:bodyDiv w:val="1"/>
      <w:marLeft w:val="0"/>
      <w:marRight w:val="0"/>
      <w:marTop w:val="0"/>
      <w:marBottom w:val="0"/>
      <w:divBdr>
        <w:top w:val="none" w:sz="0" w:space="0" w:color="auto"/>
        <w:left w:val="none" w:sz="0" w:space="0" w:color="auto"/>
        <w:bottom w:val="none" w:sz="0" w:space="0" w:color="auto"/>
        <w:right w:val="none" w:sz="0" w:space="0" w:color="auto"/>
      </w:divBdr>
    </w:div>
    <w:div w:id="1838956693">
      <w:bodyDiv w:val="1"/>
      <w:marLeft w:val="0"/>
      <w:marRight w:val="0"/>
      <w:marTop w:val="0"/>
      <w:marBottom w:val="0"/>
      <w:divBdr>
        <w:top w:val="none" w:sz="0" w:space="0" w:color="auto"/>
        <w:left w:val="none" w:sz="0" w:space="0" w:color="auto"/>
        <w:bottom w:val="none" w:sz="0" w:space="0" w:color="auto"/>
        <w:right w:val="none" w:sz="0" w:space="0" w:color="auto"/>
      </w:divBdr>
    </w:div>
    <w:div w:id="1843397001">
      <w:bodyDiv w:val="1"/>
      <w:marLeft w:val="0"/>
      <w:marRight w:val="0"/>
      <w:marTop w:val="0"/>
      <w:marBottom w:val="0"/>
      <w:divBdr>
        <w:top w:val="none" w:sz="0" w:space="0" w:color="auto"/>
        <w:left w:val="none" w:sz="0" w:space="0" w:color="auto"/>
        <w:bottom w:val="none" w:sz="0" w:space="0" w:color="auto"/>
        <w:right w:val="none" w:sz="0" w:space="0" w:color="auto"/>
      </w:divBdr>
    </w:div>
    <w:div w:id="1851606538">
      <w:bodyDiv w:val="1"/>
      <w:marLeft w:val="0"/>
      <w:marRight w:val="0"/>
      <w:marTop w:val="0"/>
      <w:marBottom w:val="0"/>
      <w:divBdr>
        <w:top w:val="none" w:sz="0" w:space="0" w:color="auto"/>
        <w:left w:val="none" w:sz="0" w:space="0" w:color="auto"/>
        <w:bottom w:val="none" w:sz="0" w:space="0" w:color="auto"/>
        <w:right w:val="none" w:sz="0" w:space="0" w:color="auto"/>
      </w:divBdr>
    </w:div>
    <w:div w:id="1854998850">
      <w:bodyDiv w:val="1"/>
      <w:marLeft w:val="0"/>
      <w:marRight w:val="0"/>
      <w:marTop w:val="0"/>
      <w:marBottom w:val="0"/>
      <w:divBdr>
        <w:top w:val="none" w:sz="0" w:space="0" w:color="auto"/>
        <w:left w:val="none" w:sz="0" w:space="0" w:color="auto"/>
        <w:bottom w:val="none" w:sz="0" w:space="0" w:color="auto"/>
        <w:right w:val="none" w:sz="0" w:space="0" w:color="auto"/>
      </w:divBdr>
    </w:div>
    <w:div w:id="1858929557">
      <w:bodyDiv w:val="1"/>
      <w:marLeft w:val="0"/>
      <w:marRight w:val="0"/>
      <w:marTop w:val="0"/>
      <w:marBottom w:val="0"/>
      <w:divBdr>
        <w:top w:val="none" w:sz="0" w:space="0" w:color="auto"/>
        <w:left w:val="none" w:sz="0" w:space="0" w:color="auto"/>
        <w:bottom w:val="none" w:sz="0" w:space="0" w:color="auto"/>
        <w:right w:val="none" w:sz="0" w:space="0" w:color="auto"/>
      </w:divBdr>
    </w:div>
    <w:div w:id="1907835889">
      <w:bodyDiv w:val="1"/>
      <w:marLeft w:val="0"/>
      <w:marRight w:val="0"/>
      <w:marTop w:val="0"/>
      <w:marBottom w:val="0"/>
      <w:divBdr>
        <w:top w:val="none" w:sz="0" w:space="0" w:color="auto"/>
        <w:left w:val="none" w:sz="0" w:space="0" w:color="auto"/>
        <w:bottom w:val="none" w:sz="0" w:space="0" w:color="auto"/>
        <w:right w:val="none" w:sz="0" w:space="0" w:color="auto"/>
      </w:divBdr>
    </w:div>
    <w:div w:id="1922135995">
      <w:bodyDiv w:val="1"/>
      <w:marLeft w:val="0"/>
      <w:marRight w:val="0"/>
      <w:marTop w:val="0"/>
      <w:marBottom w:val="0"/>
      <w:divBdr>
        <w:top w:val="none" w:sz="0" w:space="0" w:color="auto"/>
        <w:left w:val="none" w:sz="0" w:space="0" w:color="auto"/>
        <w:bottom w:val="none" w:sz="0" w:space="0" w:color="auto"/>
        <w:right w:val="none" w:sz="0" w:space="0" w:color="auto"/>
      </w:divBdr>
    </w:div>
    <w:div w:id="1932740121">
      <w:bodyDiv w:val="1"/>
      <w:marLeft w:val="0"/>
      <w:marRight w:val="0"/>
      <w:marTop w:val="0"/>
      <w:marBottom w:val="0"/>
      <w:divBdr>
        <w:top w:val="none" w:sz="0" w:space="0" w:color="auto"/>
        <w:left w:val="none" w:sz="0" w:space="0" w:color="auto"/>
        <w:bottom w:val="none" w:sz="0" w:space="0" w:color="auto"/>
        <w:right w:val="none" w:sz="0" w:space="0" w:color="auto"/>
      </w:divBdr>
    </w:div>
    <w:div w:id="1934823796">
      <w:bodyDiv w:val="1"/>
      <w:marLeft w:val="0"/>
      <w:marRight w:val="0"/>
      <w:marTop w:val="0"/>
      <w:marBottom w:val="0"/>
      <w:divBdr>
        <w:top w:val="none" w:sz="0" w:space="0" w:color="auto"/>
        <w:left w:val="none" w:sz="0" w:space="0" w:color="auto"/>
        <w:bottom w:val="none" w:sz="0" w:space="0" w:color="auto"/>
        <w:right w:val="none" w:sz="0" w:space="0" w:color="auto"/>
      </w:divBdr>
    </w:div>
    <w:div w:id="1969776205">
      <w:bodyDiv w:val="1"/>
      <w:marLeft w:val="0"/>
      <w:marRight w:val="0"/>
      <w:marTop w:val="0"/>
      <w:marBottom w:val="0"/>
      <w:divBdr>
        <w:top w:val="none" w:sz="0" w:space="0" w:color="auto"/>
        <w:left w:val="none" w:sz="0" w:space="0" w:color="auto"/>
        <w:bottom w:val="none" w:sz="0" w:space="0" w:color="auto"/>
        <w:right w:val="none" w:sz="0" w:space="0" w:color="auto"/>
      </w:divBdr>
    </w:div>
    <w:div w:id="2020616666">
      <w:bodyDiv w:val="1"/>
      <w:marLeft w:val="0"/>
      <w:marRight w:val="0"/>
      <w:marTop w:val="0"/>
      <w:marBottom w:val="0"/>
      <w:divBdr>
        <w:top w:val="none" w:sz="0" w:space="0" w:color="auto"/>
        <w:left w:val="none" w:sz="0" w:space="0" w:color="auto"/>
        <w:bottom w:val="none" w:sz="0" w:space="0" w:color="auto"/>
        <w:right w:val="none" w:sz="0" w:space="0" w:color="auto"/>
      </w:divBdr>
    </w:div>
    <w:div w:id="2107074644">
      <w:bodyDiv w:val="1"/>
      <w:marLeft w:val="0"/>
      <w:marRight w:val="0"/>
      <w:marTop w:val="0"/>
      <w:marBottom w:val="0"/>
      <w:divBdr>
        <w:top w:val="none" w:sz="0" w:space="0" w:color="auto"/>
        <w:left w:val="none" w:sz="0" w:space="0" w:color="auto"/>
        <w:bottom w:val="none" w:sz="0" w:space="0" w:color="auto"/>
        <w:right w:val="none" w:sz="0" w:space="0" w:color="auto"/>
      </w:divBdr>
    </w:div>
    <w:div w:id="211597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DB5D3-65E0-437C-BFBD-01F00231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127</TotalTime>
  <Pages>4</Pages>
  <Words>1817</Words>
  <Characters>10722</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86</cp:revision>
  <cp:lastPrinted>2016-04-20T10:14:00Z</cp:lastPrinted>
  <dcterms:created xsi:type="dcterms:W3CDTF">2016-04-25T06:01:00Z</dcterms:created>
  <dcterms:modified xsi:type="dcterms:W3CDTF">2016-04-28T09:52:00Z</dcterms:modified>
</cp:coreProperties>
</file>