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5E0476" w:rsidRDefault="00576A3E" w:rsidP="00952E64">
      <w:pPr>
        <w:pStyle w:val="Nadpis1"/>
        <w:numPr>
          <w:ilvl w:val="0"/>
          <w:numId w:val="6"/>
        </w:numPr>
        <w:jc w:val="both"/>
        <w:rPr>
          <w:lang w:val="en-GB"/>
        </w:rPr>
      </w:pPr>
      <w:bookmarkStart w:id="0" w:name="_Toc433292815"/>
      <w:r w:rsidRPr="005E0476">
        <w:rPr>
          <w:lang w:val="en-GB"/>
        </w:rPr>
        <w:t>St</w:t>
      </w:r>
      <w:r w:rsidR="00B55301" w:rsidRPr="005E0476">
        <w:rPr>
          <w:lang w:val="en-GB"/>
        </w:rPr>
        <w:t>ate Budget</w:t>
      </w:r>
      <w:bookmarkEnd w:id="0"/>
    </w:p>
    <w:tbl>
      <w:tblPr>
        <w:tblW w:w="5000" w:type="pct"/>
        <w:tblCellMar>
          <w:left w:w="28" w:type="dxa"/>
          <w:right w:w="28" w:type="dxa"/>
        </w:tblCellMar>
        <w:tblLook w:val="04A0"/>
      </w:tblPr>
      <w:tblGrid>
        <w:gridCol w:w="2044"/>
        <w:gridCol w:w="275"/>
        <w:gridCol w:w="7375"/>
      </w:tblGrid>
      <w:tr w:rsidR="00D336C7" w:rsidRPr="005E0476" w:rsidTr="00B87FA6">
        <w:tc>
          <w:tcPr>
            <w:tcW w:w="1054" w:type="pct"/>
          </w:tcPr>
          <w:p w:rsidR="00D336C7" w:rsidRPr="005E0476" w:rsidRDefault="00D336C7" w:rsidP="00B87FA6">
            <w:pPr>
              <w:spacing w:line="240" w:lineRule="auto"/>
              <w:rPr>
                <w:color w:val="0D0D0D" w:themeColor="text1" w:themeTint="F2"/>
                <w:spacing w:val="-2"/>
                <w:szCs w:val="20"/>
                <w:lang w:val="en-GB"/>
              </w:rPr>
            </w:pPr>
            <w:r w:rsidRPr="005E0476">
              <w:rPr>
                <w:rFonts w:cs="Arial"/>
                <w:bCs/>
                <w:iCs/>
                <w:color w:val="0D0D0D" w:themeColor="text1" w:themeTint="F2"/>
                <w:sz w:val="16"/>
                <w:szCs w:val="16"/>
                <w:lang w:val="en-GB"/>
              </w:rPr>
              <w:t xml:space="preserve">The surplus of the state budget was the highest since the formation of the CR in H1 </w:t>
            </w:r>
          </w:p>
        </w:tc>
        <w:tc>
          <w:tcPr>
            <w:tcW w:w="142" w:type="pct"/>
          </w:tcPr>
          <w:p w:rsidR="00D336C7" w:rsidRPr="005E0476"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spacing w:val="-2"/>
                <w:lang w:val="en-GB"/>
              </w:rPr>
            </w:pPr>
            <w:r w:rsidRPr="00D336C7">
              <w:rPr>
                <w:rFonts w:cs="Arial"/>
                <w:color w:val="0D0D0D" w:themeColor="text1" w:themeTint="F2"/>
                <w:spacing w:val="-2"/>
                <w:lang w:val="en-GB"/>
              </w:rPr>
              <w:t xml:space="preserve">The results of the state budget were affected mostly by the strengthening economic growth during the first half of 2015, gradual shift from the former restrictive measures, as well as the intensive drawing of funds from the EU budget. State budget (SB) achieved (based on cash fulfilment) the surplus of 22.6 </w:t>
            </w:r>
            <w:proofErr w:type="spellStart"/>
            <w:r w:rsidRPr="00D336C7">
              <w:rPr>
                <w:rFonts w:cs="Arial"/>
                <w:color w:val="0D0D0D" w:themeColor="text1" w:themeTint="F2"/>
                <w:spacing w:val="-2"/>
                <w:lang w:val="en-GB"/>
              </w:rPr>
              <w:t>bn</w:t>
            </w:r>
            <w:proofErr w:type="spellEnd"/>
            <w:r w:rsidRPr="00D336C7">
              <w:rPr>
                <w:rFonts w:cs="Arial"/>
                <w:color w:val="0D0D0D" w:themeColor="text1" w:themeTint="F2"/>
                <w:spacing w:val="-2"/>
                <w:lang w:val="en-GB"/>
              </w:rPr>
              <w:t xml:space="preserve"> crowns, which represented the best half-yearly result in the history of the independent CR. SB balance (forming the key item of surplus or deficit of the government institutions sector) amounted to +1.0 % in relation to nominal GDP in H1 (+0.1 % last year).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5E0476" w:rsidRDefault="00D336C7" w:rsidP="00B87FA6">
            <w:pPr>
              <w:spacing w:line="240" w:lineRule="auto"/>
              <w:rPr>
                <w:color w:val="0D0D0D" w:themeColor="text1" w:themeTint="F2"/>
                <w:spacing w:val="-2"/>
                <w:szCs w:val="20"/>
                <w:lang w:val="en-GB"/>
              </w:rPr>
            </w:pPr>
            <w:r w:rsidRPr="005E0476">
              <w:rPr>
                <w:rFonts w:cs="Arial"/>
                <w:bCs/>
                <w:iCs/>
                <w:color w:val="0D0D0D" w:themeColor="text1" w:themeTint="F2"/>
                <w:sz w:val="16"/>
                <w:szCs w:val="16"/>
                <w:lang w:val="en-GB"/>
              </w:rPr>
              <w:t xml:space="preserve">Acceleration of drawing on the EU funds – state budget gained by nearly 50 </w:t>
            </w:r>
            <w:proofErr w:type="spellStart"/>
            <w:r w:rsidRPr="005E0476">
              <w:rPr>
                <w:rFonts w:cs="Arial"/>
                <w:bCs/>
                <w:iCs/>
                <w:color w:val="0D0D0D" w:themeColor="text1" w:themeTint="F2"/>
                <w:sz w:val="16"/>
                <w:szCs w:val="16"/>
                <w:lang w:val="en-GB"/>
              </w:rPr>
              <w:t>bn</w:t>
            </w:r>
            <w:proofErr w:type="spellEnd"/>
            <w:r w:rsidRPr="005E0476">
              <w:rPr>
                <w:rFonts w:cs="Arial"/>
                <w:bCs/>
                <w:iCs/>
                <w:color w:val="0D0D0D" w:themeColor="text1" w:themeTint="F2"/>
                <w:sz w:val="16"/>
                <w:szCs w:val="16"/>
                <w:lang w:val="en-GB"/>
              </w:rPr>
              <w:t xml:space="preserve"> crowns more year-on-year in H1 </w:t>
            </w:r>
          </w:p>
        </w:tc>
        <w:tc>
          <w:tcPr>
            <w:tcW w:w="142" w:type="pct"/>
          </w:tcPr>
          <w:p w:rsidR="00D336C7" w:rsidRPr="005E0476"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Non-tax revenues</w:t>
            </w:r>
            <w:r w:rsidRPr="00D336C7">
              <w:rPr>
                <w:rStyle w:val="Znakapoznpodarou"/>
                <w:color w:val="0D0D0D" w:themeColor="text1" w:themeTint="F2"/>
                <w:lang w:val="en-GB"/>
              </w:rPr>
              <w:footnoteReference w:id="1"/>
            </w:r>
            <w:r w:rsidRPr="00D336C7">
              <w:rPr>
                <w:rFonts w:cs="Arial"/>
                <w:color w:val="0D0D0D" w:themeColor="text1" w:themeTint="F2"/>
                <w:lang w:val="en-GB"/>
              </w:rPr>
              <w:t xml:space="preserve"> held a key position in the record SB balance thanks to the completion of drawing of funds from the EU at the end of the programme period. The size of revenues from the EU exceeded the level anticipated by the SB for the whole year 2015 already during June. The CR in total acquired 150.5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from the EU in H1 (nearly double year-on-year) and at the same time it represented 19 % of all „Union“ revenues gained from year 2007. Mostly the revenues from the structural funds significantly accelerated (to 96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from 35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in H1 2014). Total net position of the CR towards the EU budget thus arrived at record 126.8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in H1 and 537.1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then since the beginning of year 2004.</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Default="00D336C7" w:rsidP="00B87FA6">
            <w:pPr>
              <w:spacing w:line="240" w:lineRule="auto"/>
              <w:rPr>
                <w:rFonts w:cs="Arial"/>
                <w:bCs/>
                <w:iCs/>
                <w:color w:val="0D0D0D" w:themeColor="text1" w:themeTint="F2"/>
                <w:sz w:val="16"/>
                <w:szCs w:val="16"/>
                <w:lang w:val="en-GB"/>
              </w:rPr>
            </w:pPr>
            <w:r w:rsidRPr="008C6A4F">
              <w:rPr>
                <w:rFonts w:cs="Arial"/>
                <w:bCs/>
                <w:iCs/>
                <w:color w:val="0D0D0D" w:themeColor="text1" w:themeTint="F2"/>
                <w:sz w:val="16"/>
                <w:szCs w:val="16"/>
                <w:lang w:val="en-GB"/>
              </w:rPr>
              <w:t xml:space="preserve">State wide collection of VAT was continuously higher year-on-year since March 2015, </w:t>
            </w:r>
          </w:p>
          <w:p w:rsidR="00D336C7" w:rsidRPr="008C6A4F" w:rsidRDefault="00D336C7" w:rsidP="00B87FA6">
            <w:pPr>
              <w:spacing w:line="240" w:lineRule="auto"/>
              <w:rPr>
                <w:rFonts w:cs="Arial"/>
                <w:bCs/>
                <w:iCs/>
                <w:color w:val="0D0D0D" w:themeColor="text1" w:themeTint="F2"/>
                <w:szCs w:val="20"/>
                <w:lang w:val="en-GB"/>
              </w:rPr>
            </w:pPr>
            <w:r w:rsidRPr="008C6A4F">
              <w:rPr>
                <w:rFonts w:cs="Arial"/>
                <w:bCs/>
                <w:iCs/>
                <w:color w:val="0D0D0D" w:themeColor="text1" w:themeTint="F2"/>
                <w:sz w:val="16"/>
                <w:szCs w:val="16"/>
                <w:lang w:val="en-GB"/>
              </w:rPr>
              <w:t>total final consumption expenditure in the economy increased by 3.5 % in nominal terms in H1</w:t>
            </w:r>
          </w:p>
        </w:tc>
        <w:tc>
          <w:tcPr>
            <w:tcW w:w="142" w:type="pct"/>
          </w:tcPr>
          <w:p w:rsidR="00D336C7" w:rsidRPr="008C6A4F"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spacing w:val="-2"/>
                <w:lang w:val="en-GB"/>
              </w:rPr>
            </w:pPr>
            <w:r w:rsidRPr="00D336C7">
              <w:rPr>
                <w:rFonts w:cs="Arial"/>
                <w:color w:val="0D0D0D" w:themeColor="text1" w:themeTint="F2"/>
                <w:spacing w:val="-2"/>
                <w:lang w:val="en-GB"/>
              </w:rPr>
              <w:t>The swift economic growth was more and more visibly reflected in the collection of tax revenues during the year, even for the indirect taxes, whose year-on-year dynamics was blurred by the non-standard high last year's basis</w:t>
            </w:r>
            <w:r w:rsidRPr="00D336C7">
              <w:rPr>
                <w:rStyle w:val="Znakapoznpodarou"/>
                <w:color w:val="0D0D0D" w:themeColor="text1" w:themeTint="F2"/>
                <w:spacing w:val="-2"/>
                <w:lang w:val="en-GB"/>
              </w:rPr>
              <w:footnoteReference w:id="2"/>
            </w:r>
            <w:r w:rsidRPr="00D336C7">
              <w:rPr>
                <w:rFonts w:cs="Arial"/>
                <w:color w:val="0D0D0D" w:themeColor="text1" w:themeTint="F2"/>
                <w:spacing w:val="-2"/>
                <w:lang w:val="en-GB"/>
              </w:rPr>
              <w:t xml:space="preserve">. State-wide collection of the dominant VAT still lagged by 7.5 </w:t>
            </w:r>
            <w:proofErr w:type="spellStart"/>
            <w:r w:rsidRPr="00D336C7">
              <w:rPr>
                <w:rFonts w:cs="Arial"/>
                <w:color w:val="0D0D0D" w:themeColor="text1" w:themeTint="F2"/>
                <w:spacing w:val="-2"/>
                <w:lang w:val="en-GB"/>
              </w:rPr>
              <w:t>bn</w:t>
            </w:r>
            <w:proofErr w:type="spellEnd"/>
            <w:r w:rsidRPr="00D336C7">
              <w:rPr>
                <w:rFonts w:cs="Arial"/>
                <w:color w:val="0D0D0D" w:themeColor="text1" w:themeTint="F2"/>
                <w:spacing w:val="-2"/>
                <w:lang w:val="en-GB"/>
              </w:rPr>
              <w:t xml:space="preserve"> crowns behind the last year's result for the whole H1, however it recorded a continuous year-on-year growth already since March (and it almost reached the last year's level for the first eight months of 2015). The falling prices of automotive fuels as well as introduction of the second lowered VAT rate (books, medicaments) also influenced the VAT collection.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8C6A4F" w:rsidRDefault="00D336C7" w:rsidP="00B87FA6">
            <w:pPr>
              <w:spacing w:line="240" w:lineRule="auto"/>
              <w:rPr>
                <w:rFonts w:cs="Arial"/>
                <w:bCs/>
                <w:iCs/>
                <w:color w:val="0D0D0D" w:themeColor="text1" w:themeTint="F2"/>
                <w:szCs w:val="20"/>
                <w:lang w:val="en-GB"/>
              </w:rPr>
            </w:pPr>
            <w:r w:rsidRPr="008C6A4F">
              <w:rPr>
                <w:rFonts w:cs="Arial"/>
                <w:bCs/>
                <w:iCs/>
                <w:color w:val="0D0D0D" w:themeColor="text1" w:themeTint="F2"/>
                <w:sz w:val="16"/>
                <w:szCs w:val="16"/>
                <w:lang w:val="en-GB"/>
              </w:rPr>
              <w:t xml:space="preserve">Collection of all consumption taxes still by </w:t>
            </w:r>
            <w:r>
              <w:rPr>
                <w:rFonts w:cs="Arial"/>
                <w:bCs/>
                <w:iCs/>
                <w:color w:val="0D0D0D" w:themeColor="text1" w:themeTint="F2"/>
                <w:sz w:val="16"/>
                <w:szCs w:val="16"/>
                <w:lang w:val="en-GB"/>
              </w:rPr>
              <w:t xml:space="preserve"> </w:t>
            </w:r>
            <w:r w:rsidRPr="008C6A4F">
              <w:rPr>
                <w:rFonts w:cs="Arial"/>
                <w:bCs/>
                <w:iCs/>
                <w:color w:val="0D0D0D" w:themeColor="text1" w:themeTint="F2"/>
                <w:sz w:val="16"/>
                <w:szCs w:val="16"/>
                <w:lang w:val="en-GB"/>
              </w:rPr>
              <w:t xml:space="preserve">4 % lower year-on-year in H1 (due to the lower collection for tobacco products), however already 4 % higher at the end of August </w:t>
            </w:r>
          </w:p>
        </w:tc>
        <w:tc>
          <w:tcPr>
            <w:tcW w:w="142" w:type="pct"/>
          </w:tcPr>
          <w:p w:rsidR="00D336C7" w:rsidRPr="008C6A4F"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The state acquired by 4 % more on the tax on mineral oils (the key item of the consumption taxes). Favourable prices of the automotive fuels stimulated demand (incl. foreign carriers)</w:t>
            </w:r>
            <w:proofErr w:type="gramStart"/>
            <w:r w:rsidRPr="00D336C7">
              <w:rPr>
                <w:rFonts w:cs="Arial"/>
                <w:color w:val="0D0D0D" w:themeColor="text1" w:themeTint="F2"/>
                <w:lang w:val="en-GB"/>
              </w:rPr>
              <w:t>,</w:t>
            </w:r>
            <w:proofErr w:type="gramEnd"/>
            <w:r w:rsidRPr="00D336C7">
              <w:rPr>
                <w:rFonts w:cs="Arial"/>
                <w:color w:val="0D0D0D" w:themeColor="text1" w:themeTint="F2"/>
                <w:lang w:val="en-GB"/>
              </w:rPr>
              <w:t xml:space="preserve"> the expanding economy also contributed to the development of transportation, the repeated introduction of tax reliefs had on the contrary a negative effect (so called green fuel). The impact of last year's pre-stocking on the collection of taxes on tobacco products overshadowed the effect of the repeated increase of rates for a long time (the collection weakened by 13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for Q1 2015, by 4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for H1, it was by nearly 2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higher again by the end of August.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6974EE" w:rsidRDefault="00D336C7" w:rsidP="00B87FA6">
            <w:pPr>
              <w:spacing w:line="240" w:lineRule="auto"/>
              <w:rPr>
                <w:rFonts w:cs="Arial"/>
                <w:bCs/>
                <w:iCs/>
                <w:color w:val="0D0D0D" w:themeColor="text1" w:themeTint="F2"/>
                <w:sz w:val="16"/>
                <w:szCs w:val="16"/>
                <w:lang w:val="en-GB"/>
              </w:rPr>
            </w:pPr>
            <w:r w:rsidRPr="006974EE">
              <w:rPr>
                <w:rFonts w:cs="Arial"/>
                <w:bCs/>
                <w:iCs/>
                <w:color w:val="0D0D0D" w:themeColor="text1" w:themeTint="F2"/>
                <w:sz w:val="16"/>
                <w:szCs w:val="16"/>
                <w:lang w:val="en-GB"/>
              </w:rPr>
              <w:t>Collection of the corporate tax higher year-on-year already sixth quarter in a row, higher collection of income taxes from employees was prevented by the spread of tax reliefs</w:t>
            </w:r>
          </w:p>
          <w:p w:rsidR="00D336C7" w:rsidRPr="006974EE" w:rsidRDefault="00D336C7" w:rsidP="00B87FA6">
            <w:pPr>
              <w:spacing w:line="240" w:lineRule="auto"/>
              <w:rPr>
                <w:rFonts w:cs="Arial"/>
                <w:bCs/>
                <w:iCs/>
                <w:color w:val="0D0D0D" w:themeColor="text1" w:themeTint="F2"/>
                <w:sz w:val="16"/>
                <w:szCs w:val="16"/>
                <w:lang w:val="en-GB"/>
              </w:rPr>
            </w:pPr>
          </w:p>
          <w:p w:rsidR="00D336C7" w:rsidRPr="006974EE" w:rsidRDefault="00D336C7" w:rsidP="00B87FA6">
            <w:pPr>
              <w:spacing w:line="240" w:lineRule="auto"/>
              <w:rPr>
                <w:rFonts w:cs="Arial"/>
                <w:bCs/>
                <w:iCs/>
                <w:color w:val="0D0D0D" w:themeColor="text1" w:themeTint="F2"/>
                <w:sz w:val="16"/>
                <w:szCs w:val="16"/>
                <w:lang w:val="en-GB"/>
              </w:rPr>
            </w:pPr>
          </w:p>
          <w:p w:rsidR="00D336C7" w:rsidRPr="006974EE" w:rsidRDefault="00D336C7" w:rsidP="00B87FA6">
            <w:pPr>
              <w:spacing w:line="240" w:lineRule="auto"/>
              <w:rPr>
                <w:rFonts w:cs="Arial"/>
                <w:bCs/>
                <w:iCs/>
                <w:color w:val="0D0D0D" w:themeColor="text1" w:themeTint="F2"/>
                <w:spacing w:val="-4"/>
                <w:sz w:val="16"/>
                <w:szCs w:val="16"/>
                <w:lang w:val="en-GB"/>
              </w:rPr>
            </w:pPr>
            <w:r w:rsidRPr="006974EE">
              <w:rPr>
                <w:rFonts w:cs="Arial"/>
                <w:bCs/>
                <w:iCs/>
                <w:color w:val="0D0D0D" w:themeColor="text1" w:themeTint="F2"/>
                <w:spacing w:val="-4"/>
                <w:sz w:val="16"/>
                <w:szCs w:val="16"/>
                <w:lang w:val="en-GB"/>
              </w:rPr>
              <w:t xml:space="preserve">Lower fulfilment prevailed among the significant items of tax revenues against the budget anticipations only for VAT at the end of August </w:t>
            </w:r>
          </w:p>
          <w:p w:rsidR="00D336C7" w:rsidRPr="006974EE" w:rsidRDefault="00D336C7" w:rsidP="00B87FA6">
            <w:pPr>
              <w:spacing w:line="240" w:lineRule="auto"/>
              <w:rPr>
                <w:rFonts w:cs="Arial"/>
                <w:bCs/>
                <w:iCs/>
                <w:color w:val="0D0D0D" w:themeColor="text1" w:themeTint="F2"/>
                <w:sz w:val="6"/>
                <w:szCs w:val="6"/>
                <w:lang w:val="en-GB"/>
              </w:rPr>
            </w:pPr>
          </w:p>
        </w:tc>
        <w:tc>
          <w:tcPr>
            <w:tcW w:w="142" w:type="pct"/>
          </w:tcPr>
          <w:p w:rsidR="00D336C7" w:rsidRPr="006974EE"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lang w:val="en-GB"/>
              </w:rPr>
            </w:pPr>
            <w:r w:rsidRPr="00D336C7">
              <w:rPr>
                <w:rFonts w:cs="Arial"/>
                <w:color w:val="0D0D0D" w:themeColor="text1" w:themeTint="F2"/>
                <w:lang w:val="en-GB"/>
              </w:rPr>
              <w:t>The improved financial situation of businesses was also reflected in the state-wide collection of corporate income taxes, whose strong growth dynamics from the last year was sustained also in this year's H1 (+8.4 %). The collection of individual income taxes on wages and salaries (ITNP) on the contrary increased only modestly (+1 %), when the effect of higher employment as well as gradual acceleration of growth of wages was partially hampered by the legislative measures (increase of the concession on the second and further child, „kindergarten fee“, basic concession of working pensioners). Tax reliefs also reduced the collection of tax of unincorporated individuals in H1, which was by 2</w:t>
            </w:r>
            <w:r>
              <w:rPr>
                <w:rFonts w:cs="Arial"/>
                <w:color w:val="0D0D0D" w:themeColor="text1" w:themeTint="F2"/>
                <w:lang w:val="en-GB"/>
              </w:rPr>
              <w:t>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weaker year-on-year. State wide collection of corporate taxes was compared to its boom (H1 2008) lower by one sixth this year, collection of taxes from employees however increased by one seventh compared to the same period.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6974EE" w:rsidRDefault="00D336C7" w:rsidP="00B87FA6">
            <w:pPr>
              <w:spacing w:line="240" w:lineRule="auto"/>
              <w:rPr>
                <w:rFonts w:cs="Arial"/>
                <w:bCs/>
                <w:iCs/>
                <w:color w:val="0D0D0D" w:themeColor="text1" w:themeTint="F2"/>
                <w:sz w:val="16"/>
                <w:szCs w:val="16"/>
                <w:lang w:val="en-GB"/>
              </w:rPr>
            </w:pPr>
            <w:r w:rsidRPr="006974EE">
              <w:rPr>
                <w:rFonts w:cs="Arial"/>
                <w:bCs/>
                <w:iCs/>
                <w:color w:val="0D0D0D" w:themeColor="text1" w:themeTint="F2"/>
                <w:sz w:val="16"/>
                <w:szCs w:val="16"/>
                <w:lang w:val="en-GB"/>
              </w:rPr>
              <w:lastRenderedPageBreak/>
              <w:t>Dynamics of the SB outlays growth fastened</w:t>
            </w:r>
          </w:p>
          <w:p w:rsidR="00D336C7" w:rsidRPr="006974EE" w:rsidRDefault="00D336C7" w:rsidP="00B87FA6">
            <w:pPr>
              <w:spacing w:line="240" w:lineRule="auto"/>
              <w:rPr>
                <w:rFonts w:cs="Arial"/>
                <w:bCs/>
                <w:iCs/>
                <w:color w:val="0D0D0D" w:themeColor="text1" w:themeTint="F2"/>
                <w:sz w:val="16"/>
                <w:szCs w:val="16"/>
                <w:lang w:val="en-GB"/>
              </w:rPr>
            </w:pPr>
          </w:p>
          <w:p w:rsidR="00D336C7" w:rsidRPr="006974EE" w:rsidRDefault="00D336C7" w:rsidP="00B87FA6">
            <w:pPr>
              <w:spacing w:line="240" w:lineRule="auto"/>
              <w:rPr>
                <w:rFonts w:cs="Arial"/>
                <w:bCs/>
                <w:iCs/>
                <w:color w:val="0D0D0D" w:themeColor="text1" w:themeTint="F2"/>
                <w:sz w:val="16"/>
                <w:szCs w:val="16"/>
                <w:lang w:val="en-GB"/>
              </w:rPr>
            </w:pPr>
          </w:p>
          <w:p w:rsidR="00D336C7" w:rsidRPr="006974EE" w:rsidRDefault="00D336C7" w:rsidP="00B87FA6">
            <w:pPr>
              <w:spacing w:line="240" w:lineRule="auto"/>
              <w:rPr>
                <w:rFonts w:cs="Arial"/>
                <w:bCs/>
                <w:iCs/>
                <w:color w:val="0D0D0D" w:themeColor="text1" w:themeTint="F2"/>
                <w:sz w:val="16"/>
                <w:szCs w:val="16"/>
                <w:lang w:val="en-GB"/>
              </w:rPr>
            </w:pPr>
            <w:r>
              <w:rPr>
                <w:rFonts w:cs="Arial"/>
                <w:bCs/>
                <w:iCs/>
                <w:color w:val="0D0D0D" w:themeColor="text1" w:themeTint="F2"/>
                <w:sz w:val="16"/>
                <w:szCs w:val="16"/>
                <w:lang w:val="en-GB"/>
              </w:rPr>
              <w:t>E</w:t>
            </w:r>
            <w:r w:rsidRPr="006974EE">
              <w:rPr>
                <w:rFonts w:cs="Arial"/>
                <w:bCs/>
                <w:iCs/>
                <w:color w:val="0D0D0D" w:themeColor="text1" w:themeTint="F2"/>
                <w:sz w:val="16"/>
                <w:szCs w:val="16"/>
                <w:lang w:val="en-GB"/>
              </w:rPr>
              <w:t xml:space="preserve">conomic growth is fully reflected in higher collection of insurance on pensions, pension account deficit </w:t>
            </w:r>
            <w:r>
              <w:rPr>
                <w:rFonts w:cs="Arial"/>
                <w:bCs/>
                <w:iCs/>
                <w:color w:val="0D0D0D" w:themeColor="text1" w:themeTint="F2"/>
                <w:sz w:val="16"/>
                <w:szCs w:val="16"/>
                <w:lang w:val="en-GB"/>
              </w:rPr>
              <w:t xml:space="preserve">was </w:t>
            </w:r>
            <w:r w:rsidRPr="006974EE">
              <w:rPr>
                <w:rFonts w:cs="Arial"/>
                <w:bCs/>
                <w:iCs/>
                <w:color w:val="0D0D0D" w:themeColor="text1" w:themeTint="F2"/>
                <w:sz w:val="16"/>
                <w:szCs w:val="16"/>
                <w:lang w:val="en-GB"/>
              </w:rPr>
              <w:t xml:space="preserve">the most favourable this year since H1 2009 </w:t>
            </w:r>
          </w:p>
          <w:p w:rsidR="00D336C7" w:rsidRPr="006974EE" w:rsidRDefault="00D336C7" w:rsidP="00B87FA6">
            <w:pPr>
              <w:spacing w:line="240" w:lineRule="auto"/>
              <w:rPr>
                <w:rFonts w:cs="Arial"/>
                <w:bCs/>
                <w:iCs/>
                <w:color w:val="0D0D0D" w:themeColor="text1" w:themeTint="F2"/>
                <w:szCs w:val="20"/>
                <w:lang w:val="en-GB"/>
              </w:rPr>
            </w:pPr>
          </w:p>
        </w:tc>
        <w:tc>
          <w:tcPr>
            <w:tcW w:w="142" w:type="pct"/>
          </w:tcPr>
          <w:p w:rsidR="00D336C7" w:rsidRPr="006974EE"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Total SB outlays increased by 5.2 % in H1 following their stagnation in the previous three years, the most after year 2009. Investment participated on this result in nearly two thirds, current outlays then to a lesser extent (+11.4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Social benefits, the key component of outlays, rose by a more modest pace year-on-year (+2.7 %). Social benefits cut straight 40 % out of all SB outlays (40.9 % a year ago). More than three quarters of social benefits were directed for pensions, influenced by a restoration of a former adjustment scheme, partially also by the intergenerational change of pensioners (their numbers stagnate for the last three years). Even though the growth of outlays on pensions (by 3.1 % year-on-year) was the highest this year after year 2012, deficit of the pension account balance (the difference between revenues and outlays on pensions from the SB) kept further falling (to 13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thanks to the dynamic growth of the retirement contributions (+4.8 %, the highest in the last seven years within H1).</w:t>
            </w:r>
          </w:p>
          <w:p w:rsidR="00D336C7" w:rsidRPr="00D336C7" w:rsidRDefault="00D336C7" w:rsidP="00B87FA6">
            <w:pPr>
              <w:pStyle w:val="Textpoznpodarou"/>
              <w:jc w:val="both"/>
              <w:rPr>
                <w:rFonts w:cs="Arial"/>
                <w:color w:val="0D0D0D" w:themeColor="text1" w:themeTint="F2"/>
                <w:lang w:val="en-GB"/>
              </w:rPr>
            </w:pPr>
          </w:p>
          <w:p w:rsidR="00D336C7" w:rsidRPr="00D336C7" w:rsidRDefault="00D336C7" w:rsidP="00B87FA6">
            <w:pPr>
              <w:pStyle w:val="Textpoznpodarou"/>
              <w:jc w:val="both"/>
              <w:rPr>
                <w:rFonts w:cs="Arial"/>
                <w:color w:val="0D0D0D" w:themeColor="text1" w:themeTint="F2"/>
                <w:sz w:val="6"/>
                <w:szCs w:val="6"/>
                <w:lang w:val="en-GB"/>
              </w:rPr>
            </w:pPr>
          </w:p>
        </w:tc>
      </w:tr>
      <w:tr w:rsidR="00D336C7" w:rsidRPr="005E0476" w:rsidTr="00B87FA6">
        <w:tc>
          <w:tcPr>
            <w:tcW w:w="1054" w:type="pct"/>
          </w:tcPr>
          <w:p w:rsidR="00D336C7" w:rsidRPr="00266520" w:rsidRDefault="00D336C7" w:rsidP="00B87FA6">
            <w:pPr>
              <w:spacing w:line="240" w:lineRule="auto"/>
              <w:rPr>
                <w:rFonts w:cs="Arial"/>
                <w:bCs/>
                <w:iCs/>
                <w:color w:val="0D0D0D" w:themeColor="text1" w:themeTint="F2"/>
                <w:sz w:val="16"/>
                <w:szCs w:val="16"/>
                <w:lang w:val="en-GB"/>
              </w:rPr>
            </w:pPr>
            <w:r w:rsidRPr="00266520">
              <w:rPr>
                <w:rFonts w:cs="Arial"/>
                <w:bCs/>
                <w:iCs/>
                <w:color w:val="0D0D0D" w:themeColor="text1" w:themeTint="F2"/>
                <w:sz w:val="16"/>
                <w:szCs w:val="16"/>
                <w:lang w:val="en-GB"/>
              </w:rPr>
              <w:t>The dynamics of social benefits outlays (apart from pensions) slows down since 2013, only the sickness benefits rise more significantly</w:t>
            </w:r>
          </w:p>
          <w:p w:rsidR="00D336C7" w:rsidRPr="00266520" w:rsidRDefault="00D336C7" w:rsidP="00B87FA6">
            <w:pPr>
              <w:spacing w:line="240" w:lineRule="auto"/>
              <w:rPr>
                <w:rFonts w:cs="Arial"/>
                <w:bCs/>
                <w:iCs/>
                <w:color w:val="0D0D0D" w:themeColor="text1" w:themeTint="F2"/>
                <w:szCs w:val="20"/>
                <w:lang w:val="en-GB"/>
              </w:rPr>
            </w:pPr>
          </w:p>
        </w:tc>
        <w:tc>
          <w:tcPr>
            <w:tcW w:w="142" w:type="pct"/>
          </w:tcPr>
          <w:p w:rsidR="00D336C7" w:rsidRPr="00266520"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The growth of sickness benefits (11 %) was reflected in the higher outlays on other social benefits (+1.2 %), due to the repeated payment of sickness benefits already from the 15</w:t>
            </w:r>
            <w:r w:rsidRPr="00D336C7">
              <w:rPr>
                <w:rFonts w:cs="Arial"/>
                <w:color w:val="0D0D0D" w:themeColor="text1" w:themeTint="F2"/>
                <w:vertAlign w:val="superscript"/>
                <w:lang w:val="en-GB"/>
              </w:rPr>
              <w:t>th</w:t>
            </w:r>
            <w:r w:rsidRPr="00D336C7">
              <w:rPr>
                <w:rFonts w:cs="Arial"/>
                <w:color w:val="0D0D0D" w:themeColor="text1" w:themeTint="F2"/>
                <w:lang w:val="en-GB"/>
              </w:rPr>
              <w:t xml:space="preserve"> day as well as the growth of incapacity for work. Social care benefits also grew but considerably less (+1 %) as a result of higher contributions on care as well as benefits for the persons with disabilities (on the contrary, the supplementary payments for housing growing strongly in the past fell mildly year-on-year in H1). Less was directed to the state social support (when only the contributions for housing, maternity grant and benefits for foster parents grew) and the unemployment benefits (-12 %).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266520" w:rsidRDefault="00D336C7" w:rsidP="00B87FA6">
            <w:pPr>
              <w:spacing w:line="240" w:lineRule="auto"/>
              <w:rPr>
                <w:rFonts w:cs="Arial"/>
                <w:bCs/>
                <w:iCs/>
                <w:color w:val="0D0D0D" w:themeColor="text1" w:themeTint="F2"/>
                <w:spacing w:val="-4"/>
                <w:szCs w:val="20"/>
                <w:lang w:val="en-GB"/>
              </w:rPr>
            </w:pPr>
            <w:r w:rsidRPr="00266520">
              <w:rPr>
                <w:rFonts w:cs="Arial"/>
                <w:bCs/>
                <w:iCs/>
                <w:color w:val="0D0D0D" w:themeColor="text1" w:themeTint="F2"/>
                <w:sz w:val="16"/>
                <w:szCs w:val="16"/>
                <w:lang w:val="en-GB"/>
              </w:rPr>
              <w:t>Outlays on state employees’</w:t>
            </w:r>
            <w:r>
              <w:rPr>
                <w:rFonts w:cs="Arial"/>
                <w:bCs/>
                <w:iCs/>
                <w:color w:val="0D0D0D" w:themeColor="text1" w:themeTint="F2"/>
                <w:sz w:val="16"/>
                <w:szCs w:val="16"/>
                <w:lang w:val="en-GB"/>
              </w:rPr>
              <w:t xml:space="preserve"> </w:t>
            </w:r>
            <w:r w:rsidRPr="00266520">
              <w:rPr>
                <w:rFonts w:cs="Arial"/>
                <w:bCs/>
                <w:iCs/>
                <w:color w:val="0D0D0D" w:themeColor="text1" w:themeTint="F2"/>
                <w:sz w:val="16"/>
                <w:szCs w:val="16"/>
                <w:lang w:val="en-GB"/>
              </w:rPr>
              <w:t xml:space="preserve"> wages overtook the level from years 2009-2010 for the first time </w:t>
            </w:r>
          </w:p>
        </w:tc>
        <w:tc>
          <w:tcPr>
            <w:tcW w:w="142" w:type="pct"/>
          </w:tcPr>
          <w:p w:rsidR="00D336C7" w:rsidRPr="00266520"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 xml:space="preserve">Retreat from the former restrictive measures was also reflected in higher non-capital transfers to the local budgets by one eighth year-on-year (e.g. teacher salaries or contribution on the state governance performance in municipalities) as well as the growth of outlays on wages of the state employees (by 9.9 %, partially also due to the preparation for the new civil service act). The SB saved on the outlays on the state debt similarly to the last year (-3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or payments to the EU budget.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5E0476" w:rsidRDefault="00D336C7" w:rsidP="00B87FA6">
            <w:pPr>
              <w:spacing w:line="240" w:lineRule="auto"/>
              <w:rPr>
                <w:rFonts w:cs="Arial"/>
                <w:bCs/>
                <w:iCs/>
                <w:color w:val="0D0D0D" w:themeColor="text1" w:themeTint="F2"/>
                <w:spacing w:val="-4"/>
                <w:sz w:val="16"/>
                <w:szCs w:val="16"/>
                <w:lang w:val="en-GB"/>
              </w:rPr>
            </w:pPr>
            <w:r>
              <w:rPr>
                <w:rFonts w:cs="Arial"/>
                <w:bCs/>
                <w:iCs/>
                <w:color w:val="0D0D0D" w:themeColor="text1" w:themeTint="F2"/>
                <w:spacing w:val="-4"/>
                <w:sz w:val="16"/>
                <w:szCs w:val="16"/>
                <w:lang w:val="en-GB"/>
              </w:rPr>
              <w:t xml:space="preserve">Intensive completion of drawings from the EU funds catapulted the size of SB investment to the level from the first half of years </w:t>
            </w:r>
            <w:r w:rsidRPr="005E0476">
              <w:rPr>
                <w:rFonts w:cs="Arial"/>
                <w:bCs/>
                <w:iCs/>
                <w:color w:val="0D0D0D" w:themeColor="text1" w:themeTint="F2"/>
                <w:spacing w:val="-4"/>
                <w:sz w:val="16"/>
                <w:szCs w:val="16"/>
                <w:lang w:val="en-GB"/>
              </w:rPr>
              <w:t xml:space="preserve"> 2008-2010</w:t>
            </w:r>
          </w:p>
          <w:p w:rsidR="00D336C7" w:rsidRPr="005E0476" w:rsidRDefault="00D336C7" w:rsidP="00B87FA6">
            <w:pPr>
              <w:spacing w:line="240" w:lineRule="auto"/>
              <w:rPr>
                <w:rFonts w:cs="Arial"/>
                <w:bCs/>
                <w:iCs/>
                <w:color w:val="0D0D0D" w:themeColor="text1" w:themeTint="F2"/>
                <w:szCs w:val="20"/>
                <w:lang w:val="en-GB"/>
              </w:rPr>
            </w:pPr>
          </w:p>
        </w:tc>
        <w:tc>
          <w:tcPr>
            <w:tcW w:w="142" w:type="pct"/>
          </w:tcPr>
          <w:p w:rsidR="00D336C7" w:rsidRPr="005E0476"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 xml:space="preserve">Continuous fall of the capital outlays halted after four years (within H1), when the investment grew by strong 55 % year-on-year. Full 85 % of outlays consisted of </w:t>
            </w:r>
            <w:proofErr w:type="spellStart"/>
            <w:r w:rsidRPr="00D336C7">
              <w:rPr>
                <w:rFonts w:cs="Arial"/>
                <w:color w:val="0D0D0D" w:themeColor="text1" w:themeTint="F2"/>
                <w:lang w:val="en-GB"/>
              </w:rPr>
              <w:t>cofinancing</w:t>
            </w:r>
            <w:proofErr w:type="spellEnd"/>
            <w:r w:rsidRPr="00D336C7">
              <w:rPr>
                <w:rFonts w:cs="Arial"/>
                <w:color w:val="0D0D0D" w:themeColor="text1" w:themeTint="F2"/>
                <w:lang w:val="en-GB"/>
              </w:rPr>
              <w:t xml:space="preserve"> projects with the EU (mostly into the transportation infrastructure, entrepreneurship and innovation, environment and also within the framework of the Regional operational programme). The SB investment apart from the </w:t>
            </w:r>
            <w:proofErr w:type="spellStart"/>
            <w:r w:rsidRPr="00D336C7">
              <w:rPr>
                <w:rFonts w:cs="Arial"/>
                <w:color w:val="0D0D0D" w:themeColor="text1" w:themeTint="F2"/>
                <w:lang w:val="en-GB"/>
              </w:rPr>
              <w:t>cofinancing</w:t>
            </w:r>
            <w:proofErr w:type="spellEnd"/>
            <w:r w:rsidRPr="00D336C7">
              <w:rPr>
                <w:rFonts w:cs="Arial"/>
                <w:color w:val="0D0D0D" w:themeColor="text1" w:themeTint="F2"/>
                <w:lang w:val="en-GB"/>
              </w:rPr>
              <w:t xml:space="preserve"> of projects with the EU played with respect to their volume as well as the year-on-year dynamics a marginal role.  The total investment presented 8.7 % of the SB outlays in H1 2015, they moved close to the level from the first half of years 2008-2010 in the absolute amount. </w:t>
            </w:r>
          </w:p>
          <w:p w:rsidR="00D336C7" w:rsidRPr="00D336C7" w:rsidRDefault="00D336C7" w:rsidP="00B87FA6">
            <w:pPr>
              <w:pStyle w:val="Textpoznpodarou"/>
              <w:jc w:val="both"/>
              <w:rPr>
                <w:rFonts w:cs="Arial"/>
                <w:color w:val="0D0D0D" w:themeColor="text1" w:themeTint="F2"/>
                <w:lang w:val="en-GB"/>
              </w:rPr>
            </w:pPr>
          </w:p>
        </w:tc>
      </w:tr>
      <w:tr w:rsidR="00D336C7" w:rsidRPr="005E0476" w:rsidTr="00B87FA6">
        <w:tc>
          <w:tcPr>
            <w:tcW w:w="1054" w:type="pct"/>
          </w:tcPr>
          <w:p w:rsidR="00D336C7" w:rsidRPr="005E0476" w:rsidRDefault="00D336C7" w:rsidP="00B87FA6">
            <w:pPr>
              <w:spacing w:line="240" w:lineRule="auto"/>
              <w:rPr>
                <w:rFonts w:cs="Arial"/>
                <w:bCs/>
                <w:iCs/>
                <w:color w:val="000000" w:themeColor="text1"/>
                <w:sz w:val="16"/>
                <w:szCs w:val="16"/>
                <w:lang w:val="en-GB"/>
              </w:rPr>
            </w:pPr>
            <w:r w:rsidRPr="005E0476">
              <w:rPr>
                <w:rFonts w:cs="Arial"/>
                <w:bCs/>
                <w:iCs/>
                <w:color w:val="000000" w:themeColor="text1"/>
                <w:sz w:val="16"/>
                <w:szCs w:val="16"/>
                <w:lang w:val="en-GB"/>
              </w:rPr>
              <w:t>The stabilization of the size of the state debt in process already for nearly two years, the state borrowing needs focus on the domestic market</w:t>
            </w:r>
          </w:p>
          <w:p w:rsidR="00D336C7" w:rsidRPr="005E0476" w:rsidRDefault="00D336C7" w:rsidP="00B87FA6">
            <w:pPr>
              <w:spacing w:line="240" w:lineRule="auto"/>
              <w:rPr>
                <w:rFonts w:cs="Arial"/>
                <w:bCs/>
                <w:iCs/>
                <w:color w:val="0D0D0D" w:themeColor="text1" w:themeTint="F2"/>
                <w:szCs w:val="20"/>
                <w:lang w:val="en-GB"/>
              </w:rPr>
            </w:pPr>
          </w:p>
        </w:tc>
        <w:tc>
          <w:tcPr>
            <w:tcW w:w="142" w:type="pct"/>
          </w:tcPr>
          <w:p w:rsidR="00D336C7" w:rsidRPr="005E0476" w:rsidRDefault="00D336C7" w:rsidP="00B87FA6">
            <w:pPr>
              <w:pStyle w:val="Textpoznpodarou"/>
              <w:jc w:val="both"/>
              <w:rPr>
                <w:color w:val="0D0D0D" w:themeColor="text1" w:themeTint="F2"/>
                <w:lang w:val="en-GB"/>
              </w:rPr>
            </w:pPr>
          </w:p>
        </w:tc>
        <w:tc>
          <w:tcPr>
            <w:tcW w:w="3804" w:type="pct"/>
          </w:tcPr>
          <w:p w:rsidR="00D336C7" w:rsidRPr="00D336C7" w:rsidRDefault="00D336C7" w:rsidP="00B87FA6">
            <w:pPr>
              <w:pStyle w:val="Textpoznpodarou"/>
              <w:jc w:val="both"/>
              <w:rPr>
                <w:rFonts w:cs="Arial"/>
                <w:color w:val="0D0D0D" w:themeColor="text1" w:themeTint="F2"/>
                <w:lang w:val="en-GB"/>
              </w:rPr>
            </w:pPr>
            <w:r w:rsidRPr="00D336C7">
              <w:rPr>
                <w:rFonts w:cs="Arial"/>
                <w:color w:val="0D0D0D" w:themeColor="text1" w:themeTint="F2"/>
                <w:lang w:val="en-GB"/>
              </w:rPr>
              <w:t xml:space="preserve">The stabilisation of the state debt, whose size has been practically stagnating for nearly two years, continued also in H1. It amounted to 1 663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towards the end of Q2, featuring minimal movement regarding both the external and internal debt since the beginning of the year. The total debt decreased by 20.3 </w:t>
            </w:r>
            <w:proofErr w:type="spellStart"/>
            <w:r w:rsidRPr="00D336C7">
              <w:rPr>
                <w:rFonts w:cs="Arial"/>
                <w:color w:val="0D0D0D" w:themeColor="text1" w:themeTint="F2"/>
                <w:lang w:val="en-GB"/>
              </w:rPr>
              <w:t>bn</w:t>
            </w:r>
            <w:proofErr w:type="spellEnd"/>
            <w:r w:rsidRPr="00D336C7">
              <w:rPr>
                <w:rFonts w:cs="Arial"/>
                <w:color w:val="0D0D0D" w:themeColor="text1" w:themeTint="F2"/>
                <w:lang w:val="en-GB"/>
              </w:rPr>
              <w:t xml:space="preserve"> crowns year-on-year. The significant reduction of the external debt contributed to this result </w:t>
            </w:r>
            <w:r w:rsidRPr="00D336C7">
              <w:rPr>
                <w:rFonts w:cs="Arial"/>
                <w:color w:val="000000" w:themeColor="text1"/>
                <w:lang w:val="en-GB"/>
              </w:rPr>
              <w:t>(-13.8 %), when the state preferred to realise its new borrowings on the domestic market, internal indebtedness on the contrary increased by 2 %. External debt shared in the total state debt by near 17.8 % (the least since the beginning of year 2008).</w:t>
            </w:r>
          </w:p>
        </w:tc>
      </w:tr>
    </w:tbl>
    <w:p w:rsidR="00873C15" w:rsidRDefault="00873C15" w:rsidP="00E00393">
      <w:pPr>
        <w:pStyle w:val="Textpoznpodarou"/>
        <w:rPr>
          <w:lang w:val="en-GB"/>
        </w:rPr>
      </w:pPr>
    </w:p>
    <w:p w:rsidR="00952E64" w:rsidRDefault="00952E64" w:rsidP="00E00393">
      <w:pPr>
        <w:pStyle w:val="Textpoznpodarou"/>
        <w:rPr>
          <w:lang w:val="en-GB"/>
        </w:rPr>
      </w:pPr>
    </w:p>
    <w:p w:rsidR="00952E64" w:rsidRDefault="00952E64" w:rsidP="00E00393">
      <w:pPr>
        <w:pStyle w:val="Textpoznpodarou"/>
        <w:rPr>
          <w:lang w:val="en-GB"/>
        </w:rPr>
      </w:pPr>
    </w:p>
    <w:p w:rsidR="00952E64" w:rsidRDefault="00952E64" w:rsidP="00E00393">
      <w:pPr>
        <w:pStyle w:val="Textpoznpodarou"/>
        <w:rPr>
          <w:lang w:val="en-GB"/>
        </w:rPr>
      </w:pPr>
    </w:p>
    <w:p w:rsidR="00952E64" w:rsidRDefault="00952E64" w:rsidP="00E00393">
      <w:pPr>
        <w:pStyle w:val="Textpoznpodarou"/>
        <w:rPr>
          <w:lang w:val="en-GB"/>
        </w:rPr>
      </w:pPr>
    </w:p>
    <w:p w:rsidR="00952E64" w:rsidRDefault="00952E64" w:rsidP="00E00393">
      <w:pPr>
        <w:pStyle w:val="Textpoznpodarou"/>
        <w:rPr>
          <w:lang w:val="en-GB"/>
        </w:rPr>
      </w:pPr>
    </w:p>
    <w:p w:rsidR="00952E64" w:rsidRDefault="00952E64" w:rsidP="00E00393">
      <w:pPr>
        <w:pStyle w:val="Textpoznpodarou"/>
        <w:rPr>
          <w:lang w:val="en-GB"/>
        </w:rPr>
      </w:pPr>
    </w:p>
    <w:p w:rsidR="00952E64" w:rsidRDefault="00952E64" w:rsidP="00E00393">
      <w:pPr>
        <w:pStyle w:val="Textpoznpodarou"/>
        <w:rPr>
          <w:lang w:val="en-GB"/>
        </w:rPr>
      </w:pPr>
    </w:p>
    <w:p w:rsidR="00952E64" w:rsidRDefault="00952E64" w:rsidP="00E00393">
      <w:pPr>
        <w:pStyle w:val="Textpoznpodarou"/>
        <w:rPr>
          <w:lang w:val="en-GB"/>
        </w:rPr>
      </w:pPr>
    </w:p>
    <w:p w:rsidR="00952E64" w:rsidRDefault="00952E64" w:rsidP="00E00393">
      <w:pPr>
        <w:pStyle w:val="Textpoznpodarou"/>
        <w:rPr>
          <w:lang w:val="en-GB"/>
        </w:rPr>
      </w:pPr>
    </w:p>
    <w:tbl>
      <w:tblPr>
        <w:tblW w:w="5087" w:type="pct"/>
        <w:tblCellMar>
          <w:left w:w="28" w:type="dxa"/>
          <w:right w:w="28" w:type="dxa"/>
        </w:tblCellMar>
        <w:tblLook w:val="04A0"/>
      </w:tblPr>
      <w:tblGrid>
        <w:gridCol w:w="886"/>
        <w:gridCol w:w="4061"/>
        <w:gridCol w:w="716"/>
        <w:gridCol w:w="4200"/>
      </w:tblGrid>
      <w:tr w:rsidR="00D336C7" w:rsidRPr="005E0476" w:rsidTr="00D336C7">
        <w:tc>
          <w:tcPr>
            <w:tcW w:w="449" w:type="pct"/>
          </w:tcPr>
          <w:p w:rsidR="00D336C7" w:rsidRPr="005E0476" w:rsidRDefault="00D336C7" w:rsidP="00B87FA6">
            <w:pPr>
              <w:spacing w:line="240" w:lineRule="auto"/>
              <w:rPr>
                <w:lang w:val="en-GB"/>
              </w:rPr>
            </w:pPr>
            <w:r w:rsidRPr="005E0476">
              <w:rPr>
                <w:lang w:val="en-GB"/>
              </w:rPr>
              <w:lastRenderedPageBreak/>
              <w:t>Chart 19</w:t>
            </w:r>
          </w:p>
        </w:tc>
        <w:tc>
          <w:tcPr>
            <w:tcW w:w="2059" w:type="pct"/>
          </w:tcPr>
          <w:p w:rsidR="00D336C7" w:rsidRDefault="00D336C7" w:rsidP="00B87FA6">
            <w:pPr>
              <w:spacing w:line="240" w:lineRule="auto"/>
              <w:rPr>
                <w:rFonts w:cs="Arial"/>
                <w:b/>
                <w:bCs/>
                <w:lang w:val="en-GB"/>
              </w:rPr>
            </w:pPr>
            <w:r w:rsidRPr="005E0476">
              <w:rPr>
                <w:rFonts w:cs="Arial"/>
                <w:b/>
                <w:bCs/>
                <w:lang w:val="en-GB"/>
              </w:rPr>
              <w:t xml:space="preserve">State-wide collection of tax revenues </w:t>
            </w:r>
          </w:p>
          <w:p w:rsidR="00D336C7" w:rsidRDefault="00D336C7" w:rsidP="00B87FA6">
            <w:pPr>
              <w:spacing w:line="240" w:lineRule="auto"/>
              <w:rPr>
                <w:rFonts w:cs="Arial"/>
                <w:b/>
                <w:bCs/>
                <w:lang w:val="en-GB"/>
              </w:rPr>
            </w:pPr>
            <w:r w:rsidRPr="005E0476">
              <w:rPr>
                <w:rFonts w:cs="Arial"/>
                <w:bCs/>
                <w:lang w:val="en-GB"/>
              </w:rPr>
              <w:t xml:space="preserve">(y/y, in %) </w:t>
            </w:r>
            <w:r w:rsidRPr="005E0476">
              <w:rPr>
                <w:rFonts w:cs="Arial"/>
                <w:b/>
                <w:bCs/>
                <w:lang w:val="en-GB"/>
              </w:rPr>
              <w:t>and state budget balance</w:t>
            </w:r>
            <w:r>
              <w:rPr>
                <w:rFonts w:cs="Arial"/>
                <w:b/>
                <w:bCs/>
                <w:lang w:val="en-GB"/>
              </w:rPr>
              <w:t xml:space="preserve"> </w:t>
            </w:r>
          </w:p>
          <w:p w:rsidR="00D336C7" w:rsidRPr="005E0476" w:rsidRDefault="00D336C7" w:rsidP="00B87FA6">
            <w:pPr>
              <w:spacing w:line="240" w:lineRule="auto"/>
              <w:rPr>
                <w:lang w:val="en-GB"/>
              </w:rPr>
            </w:pPr>
            <w:r w:rsidRPr="005E0476">
              <w:rPr>
                <w:rFonts w:cs="Arial"/>
                <w:bCs/>
                <w:lang w:val="en-GB"/>
              </w:rPr>
              <w:t xml:space="preserve">(in </w:t>
            </w:r>
            <w:proofErr w:type="spellStart"/>
            <w:r w:rsidRPr="005E0476">
              <w:rPr>
                <w:rFonts w:cs="Arial"/>
                <w:bCs/>
                <w:lang w:val="en-GB"/>
              </w:rPr>
              <w:t>bn</w:t>
            </w:r>
            <w:proofErr w:type="spellEnd"/>
            <w:r w:rsidRPr="005E0476">
              <w:rPr>
                <w:rFonts w:cs="Arial"/>
                <w:bCs/>
                <w:lang w:val="en-GB"/>
              </w:rPr>
              <w:t xml:space="preserve"> crowns, data for individual half-years)</w:t>
            </w:r>
          </w:p>
        </w:tc>
        <w:tc>
          <w:tcPr>
            <w:tcW w:w="363" w:type="pct"/>
          </w:tcPr>
          <w:p w:rsidR="00D336C7" w:rsidRPr="005E0476" w:rsidRDefault="00D336C7" w:rsidP="00B87FA6">
            <w:pPr>
              <w:spacing w:line="240" w:lineRule="auto"/>
              <w:rPr>
                <w:lang w:val="en-GB"/>
              </w:rPr>
            </w:pPr>
            <w:r w:rsidRPr="005E0476">
              <w:rPr>
                <w:lang w:val="en-GB"/>
              </w:rPr>
              <w:t>Chart 20</w:t>
            </w:r>
          </w:p>
        </w:tc>
        <w:tc>
          <w:tcPr>
            <w:tcW w:w="2130" w:type="pct"/>
          </w:tcPr>
          <w:p w:rsidR="00D336C7" w:rsidRDefault="00D336C7" w:rsidP="00B87FA6">
            <w:pPr>
              <w:spacing w:line="240" w:lineRule="auto"/>
              <w:rPr>
                <w:rFonts w:cs="Arial"/>
                <w:b/>
                <w:bCs/>
                <w:lang w:val="en-GB"/>
              </w:rPr>
            </w:pPr>
            <w:r w:rsidRPr="005E0476">
              <w:rPr>
                <w:rFonts w:cs="Arial"/>
                <w:b/>
                <w:bCs/>
                <w:lang w:val="en-GB"/>
              </w:rPr>
              <w:t xml:space="preserve">Selected state budget expenditures </w:t>
            </w:r>
          </w:p>
          <w:p w:rsidR="00D336C7" w:rsidRPr="005E0476" w:rsidRDefault="00D336C7" w:rsidP="00B87FA6">
            <w:pPr>
              <w:spacing w:line="240" w:lineRule="auto"/>
              <w:rPr>
                <w:rFonts w:cs="Arial"/>
                <w:b/>
                <w:bCs/>
                <w:spacing w:val="-2"/>
                <w:lang w:val="en-GB"/>
              </w:rPr>
            </w:pPr>
            <w:r w:rsidRPr="005E0476">
              <w:rPr>
                <w:rFonts w:cs="Arial"/>
                <w:bCs/>
                <w:lang w:val="en-GB"/>
              </w:rPr>
              <w:t>(1</w:t>
            </w:r>
            <w:r w:rsidRPr="00E770D3">
              <w:rPr>
                <w:rFonts w:cs="Arial"/>
                <w:bCs/>
                <w:vertAlign w:val="superscript"/>
                <w:lang w:val="en-GB"/>
              </w:rPr>
              <w:t>st</w:t>
            </w:r>
            <w:r w:rsidRPr="005E0476">
              <w:rPr>
                <w:rFonts w:cs="Arial"/>
                <w:bCs/>
                <w:lang w:val="en-GB"/>
              </w:rPr>
              <w:t xml:space="preserve"> half-year, in </w:t>
            </w:r>
            <w:proofErr w:type="spellStart"/>
            <w:r w:rsidRPr="005E0476">
              <w:rPr>
                <w:rFonts w:cs="Arial"/>
                <w:bCs/>
                <w:lang w:val="en-GB"/>
              </w:rPr>
              <w:t>bn</w:t>
            </w:r>
            <w:proofErr w:type="spellEnd"/>
            <w:r w:rsidRPr="005E0476">
              <w:rPr>
                <w:rFonts w:cs="Arial"/>
                <w:bCs/>
                <w:lang w:val="en-GB"/>
              </w:rPr>
              <w:t xml:space="preserve"> crowns)</w:t>
            </w:r>
          </w:p>
        </w:tc>
      </w:tr>
      <w:tr w:rsidR="00D336C7" w:rsidRPr="005E0476" w:rsidTr="00D336C7">
        <w:tc>
          <w:tcPr>
            <w:tcW w:w="2508" w:type="pct"/>
            <w:gridSpan w:val="2"/>
          </w:tcPr>
          <w:p w:rsidR="00D336C7" w:rsidRPr="005E0476" w:rsidRDefault="00D336C7" w:rsidP="00B87FA6">
            <w:pPr>
              <w:pStyle w:val="Textpoznpodarou"/>
              <w:jc w:val="both"/>
              <w:rPr>
                <w:lang w:val="en-GB"/>
              </w:rPr>
            </w:pPr>
            <w:r>
              <w:rPr>
                <w:noProof/>
              </w:rPr>
              <w:drawing>
                <wp:inline distT="0" distB="0" distL="0" distR="0">
                  <wp:extent cx="3084195" cy="2429510"/>
                  <wp:effectExtent l="19050" t="0" r="1905" b="0"/>
                  <wp:docPr id="3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084195" cy="2429510"/>
                          </a:xfrm>
                          <a:prstGeom prst="rect">
                            <a:avLst/>
                          </a:prstGeom>
                          <a:noFill/>
                          <a:ln w="9525">
                            <a:noFill/>
                            <a:miter lim="800000"/>
                            <a:headEnd/>
                            <a:tailEnd/>
                          </a:ln>
                        </pic:spPr>
                      </pic:pic>
                    </a:graphicData>
                  </a:graphic>
                </wp:inline>
              </w:drawing>
            </w:r>
          </w:p>
        </w:tc>
        <w:tc>
          <w:tcPr>
            <w:tcW w:w="2492" w:type="pct"/>
            <w:gridSpan w:val="2"/>
          </w:tcPr>
          <w:p w:rsidR="00D336C7" w:rsidRPr="005E0476" w:rsidRDefault="00D336C7" w:rsidP="00B87FA6">
            <w:pPr>
              <w:pStyle w:val="Textpoznpodarou"/>
              <w:jc w:val="both"/>
              <w:rPr>
                <w:lang w:val="en-GB"/>
              </w:rPr>
            </w:pPr>
            <w:r>
              <w:rPr>
                <w:noProof/>
              </w:rPr>
              <w:drawing>
                <wp:inline distT="0" distB="0" distL="0" distR="0">
                  <wp:extent cx="3062169" cy="2429302"/>
                  <wp:effectExtent l="19050" t="0" r="4881" b="0"/>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63875" cy="2430655"/>
                          </a:xfrm>
                          <a:prstGeom prst="rect">
                            <a:avLst/>
                          </a:prstGeom>
                          <a:noFill/>
                          <a:ln w="9525">
                            <a:noFill/>
                            <a:miter lim="800000"/>
                            <a:headEnd/>
                            <a:tailEnd/>
                          </a:ln>
                        </pic:spPr>
                      </pic:pic>
                    </a:graphicData>
                  </a:graphic>
                </wp:inline>
              </w:drawing>
            </w:r>
          </w:p>
        </w:tc>
      </w:tr>
      <w:tr w:rsidR="00D336C7" w:rsidRPr="005E0476" w:rsidTr="00D336C7">
        <w:tc>
          <w:tcPr>
            <w:tcW w:w="2508" w:type="pct"/>
            <w:gridSpan w:val="2"/>
          </w:tcPr>
          <w:p w:rsidR="00D336C7" w:rsidRPr="005E0476" w:rsidRDefault="00D336C7" w:rsidP="00B87FA6">
            <w:pPr>
              <w:spacing w:line="240" w:lineRule="auto"/>
              <w:rPr>
                <w:lang w:val="en-GB"/>
              </w:rPr>
            </w:pPr>
          </w:p>
        </w:tc>
        <w:tc>
          <w:tcPr>
            <w:tcW w:w="2492" w:type="pct"/>
            <w:gridSpan w:val="2"/>
          </w:tcPr>
          <w:p w:rsidR="00D336C7" w:rsidRPr="00252E1B" w:rsidRDefault="00D336C7" w:rsidP="00252E1B">
            <w:pPr>
              <w:pStyle w:val="Textpoznpodarou"/>
              <w:rPr>
                <w:rFonts w:cs="Arial"/>
                <w:sz w:val="18"/>
                <w:szCs w:val="18"/>
                <w:lang w:val="en-GB"/>
              </w:rPr>
            </w:pPr>
            <w:r w:rsidRPr="00252E1B">
              <w:rPr>
                <w:rFonts w:cs="Arial"/>
                <w:sz w:val="18"/>
                <w:szCs w:val="18"/>
                <w:lang w:val="en-GB"/>
              </w:rPr>
              <w:t>*incl. foster care benefits</w:t>
            </w:r>
          </w:p>
          <w:p w:rsidR="00D336C7" w:rsidRPr="00252E1B" w:rsidRDefault="00D336C7" w:rsidP="00252E1B">
            <w:pPr>
              <w:pStyle w:val="Textpoznpodarou"/>
              <w:rPr>
                <w:rFonts w:cs="Arial"/>
                <w:sz w:val="18"/>
                <w:szCs w:val="18"/>
                <w:lang w:val="en-GB"/>
              </w:rPr>
            </w:pPr>
            <w:r w:rsidRPr="00252E1B">
              <w:rPr>
                <w:rFonts w:cs="Arial"/>
                <w:sz w:val="18"/>
                <w:szCs w:val="18"/>
                <w:lang w:val="en-GB"/>
              </w:rPr>
              <w:t>**material deprivation assistance benefits, disability benefits,</w:t>
            </w:r>
          </w:p>
          <w:p w:rsidR="00D336C7" w:rsidRPr="005E0476" w:rsidRDefault="00D336C7" w:rsidP="00252E1B">
            <w:pPr>
              <w:pStyle w:val="Textpoznpodarou"/>
              <w:rPr>
                <w:rFonts w:cs="Arial"/>
                <w:b/>
                <w:bCs/>
                <w:spacing w:val="-2"/>
                <w:lang w:val="en-GB"/>
              </w:rPr>
            </w:pPr>
            <w:r w:rsidRPr="00252E1B">
              <w:rPr>
                <w:rFonts w:cs="Arial"/>
                <w:sz w:val="18"/>
                <w:szCs w:val="18"/>
                <w:lang w:val="en-GB"/>
              </w:rPr>
              <w:t>contribution to care based on Act on State Social Support</w:t>
            </w:r>
          </w:p>
        </w:tc>
      </w:tr>
      <w:tr w:rsidR="00D336C7" w:rsidRPr="005E0476" w:rsidTr="00D336C7">
        <w:tc>
          <w:tcPr>
            <w:tcW w:w="2508" w:type="pct"/>
            <w:gridSpan w:val="2"/>
          </w:tcPr>
          <w:p w:rsidR="00D336C7" w:rsidRPr="005E0476" w:rsidRDefault="00D336C7" w:rsidP="00B87FA6">
            <w:pPr>
              <w:pStyle w:val="Textpoznpodarou"/>
              <w:jc w:val="both"/>
              <w:rPr>
                <w:lang w:val="en-GB"/>
              </w:rPr>
            </w:pPr>
          </w:p>
        </w:tc>
        <w:tc>
          <w:tcPr>
            <w:tcW w:w="2492" w:type="pct"/>
            <w:gridSpan w:val="2"/>
          </w:tcPr>
          <w:p w:rsidR="00D336C7" w:rsidRPr="00E770D3" w:rsidRDefault="00D336C7" w:rsidP="00B87FA6">
            <w:pPr>
              <w:pStyle w:val="Textpoznpodarou"/>
              <w:jc w:val="right"/>
              <w:rPr>
                <w:rFonts w:cs="Arial"/>
                <w:sz w:val="18"/>
                <w:szCs w:val="18"/>
                <w:lang w:val="en-GB"/>
              </w:rPr>
            </w:pPr>
            <w:r w:rsidRPr="005E0476">
              <w:rPr>
                <w:rFonts w:cs="Arial"/>
                <w:sz w:val="18"/>
                <w:szCs w:val="18"/>
                <w:lang w:val="en-GB"/>
              </w:rPr>
              <w:t>Source: MF CR</w:t>
            </w:r>
          </w:p>
        </w:tc>
      </w:tr>
    </w:tbl>
    <w:p w:rsidR="00B55BA8" w:rsidRPr="005E0476" w:rsidRDefault="00B55BA8" w:rsidP="00B55BA8">
      <w:pPr>
        <w:pStyle w:val="Bezmezer"/>
        <w:rPr>
          <w:lang w:val="en-GB" w:eastAsia="ar-SA"/>
        </w:rPr>
      </w:pPr>
    </w:p>
    <w:sectPr w:rsidR="00B55BA8" w:rsidRPr="005E0476" w:rsidSect="00952E64">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F7" w:rsidRDefault="003D34F7" w:rsidP="00E71A58">
      <w:r>
        <w:separator/>
      </w:r>
    </w:p>
  </w:endnote>
  <w:endnote w:type="continuationSeparator" w:id="0">
    <w:p w:rsidR="003D34F7" w:rsidRDefault="003D34F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A547EC" w:rsidRPr="005A21E0">
      <w:rPr>
        <w:rFonts w:ascii="Arial" w:hAnsi="Arial" w:cs="Arial"/>
        <w:sz w:val="16"/>
        <w:szCs w:val="16"/>
      </w:rPr>
      <w:fldChar w:fldCharType="begin"/>
    </w:r>
    <w:r w:rsidRPr="005A21E0">
      <w:rPr>
        <w:rFonts w:ascii="Arial" w:hAnsi="Arial" w:cs="Arial"/>
        <w:sz w:val="16"/>
        <w:szCs w:val="16"/>
      </w:rPr>
      <w:instrText>PAGE   \* MERGEFORMAT</w:instrText>
    </w:r>
    <w:r w:rsidR="00A547EC" w:rsidRPr="005A21E0">
      <w:rPr>
        <w:rFonts w:ascii="Arial" w:hAnsi="Arial" w:cs="Arial"/>
        <w:sz w:val="16"/>
        <w:szCs w:val="16"/>
      </w:rPr>
      <w:fldChar w:fldCharType="separate"/>
    </w:r>
    <w:r w:rsidR="00952E64">
      <w:rPr>
        <w:rFonts w:ascii="Arial" w:hAnsi="Arial" w:cs="Arial"/>
        <w:noProof/>
        <w:sz w:val="16"/>
        <w:szCs w:val="16"/>
      </w:rPr>
      <w:t>24</w:t>
    </w:r>
    <w:r w:rsidR="00A547EC" w:rsidRPr="005A21E0">
      <w:rPr>
        <w:rFonts w:ascii="Arial" w:hAnsi="Arial" w:cs="Arial"/>
        <w:sz w:val="16"/>
        <w:szCs w:val="16"/>
      </w:rPr>
      <w:fldChar w:fldCharType="end"/>
    </w:r>
    <w:r>
      <w:rPr>
        <w:rFonts w:ascii="Arial" w:hAnsi="Arial" w:cs="Arial"/>
        <w:sz w:val="16"/>
        <w:szCs w:val="16"/>
      </w:rPr>
      <w:tab/>
      <w:t>2015</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C2201D" w:rsidRPr="00223E00" w:rsidRDefault="00C2201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A547EC"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A547EC" w:rsidRPr="00223E00">
      <w:rPr>
        <w:rFonts w:ascii="Arial" w:hAnsi="Arial" w:cs="Arial"/>
        <w:sz w:val="16"/>
        <w:szCs w:val="16"/>
      </w:rPr>
      <w:fldChar w:fldCharType="separate"/>
    </w:r>
    <w:r w:rsidR="00952E64">
      <w:rPr>
        <w:rFonts w:ascii="Arial" w:hAnsi="Arial" w:cs="Arial"/>
        <w:noProof/>
        <w:sz w:val="16"/>
        <w:szCs w:val="16"/>
      </w:rPr>
      <w:t>23</w:t>
    </w:r>
    <w:r w:rsidR="00A547EC"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F7" w:rsidRDefault="003D34F7" w:rsidP="00E71A58">
      <w:r>
        <w:separator/>
      </w:r>
    </w:p>
  </w:footnote>
  <w:footnote w:type="continuationSeparator" w:id="0">
    <w:p w:rsidR="003D34F7" w:rsidRDefault="003D34F7" w:rsidP="00E71A58">
      <w:r>
        <w:continuationSeparator/>
      </w:r>
    </w:p>
  </w:footnote>
  <w:footnote w:id="1">
    <w:p w:rsidR="00D336C7" w:rsidRPr="006004C6" w:rsidRDefault="00D336C7" w:rsidP="00D336C7">
      <w:pPr>
        <w:pStyle w:val="Textpoznpodarou"/>
        <w:jc w:val="both"/>
        <w:rPr>
          <w:lang w:val="en-GB"/>
        </w:rPr>
      </w:pPr>
      <w:r>
        <w:rPr>
          <w:rStyle w:val="Znakapoznpodarou"/>
        </w:rPr>
        <w:footnoteRef/>
      </w:r>
      <w:r>
        <w:t xml:space="preserve"> </w:t>
      </w:r>
      <w:r w:rsidRPr="00F57B3A">
        <w:rPr>
          <w:iCs/>
          <w:spacing w:val="-2"/>
          <w:sz w:val="16"/>
          <w:lang w:val="en-GB"/>
        </w:rPr>
        <w:t>Non-tax revenues</w:t>
      </w:r>
      <w:r w:rsidRPr="006004C6">
        <w:rPr>
          <w:iCs/>
          <w:spacing w:val="-2"/>
          <w:sz w:val="16"/>
          <w:lang w:val="en-GB"/>
        </w:rPr>
        <w:t xml:space="preserve"> </w:t>
      </w:r>
      <w:r>
        <w:rPr>
          <w:iCs/>
          <w:spacing w:val="-2"/>
          <w:sz w:val="16"/>
          <w:lang w:val="en-GB"/>
        </w:rPr>
        <w:t>were i</w:t>
      </w:r>
      <w:r w:rsidRPr="006004C6">
        <w:rPr>
          <w:iCs/>
          <w:spacing w:val="-2"/>
          <w:sz w:val="16"/>
          <w:lang w:val="en-GB"/>
        </w:rPr>
        <w:t xml:space="preserve">ncreased by some extraordinary revenues in the last year (especially the auction of frequency bands for high speed mobile network for 8.5 </w:t>
      </w:r>
      <w:proofErr w:type="spellStart"/>
      <w:r w:rsidRPr="006004C6">
        <w:rPr>
          <w:iCs/>
          <w:spacing w:val="-2"/>
          <w:sz w:val="16"/>
          <w:lang w:val="en-GB"/>
        </w:rPr>
        <w:t>bn</w:t>
      </w:r>
      <w:proofErr w:type="spellEnd"/>
      <w:r w:rsidRPr="006004C6">
        <w:rPr>
          <w:iCs/>
          <w:spacing w:val="-2"/>
          <w:sz w:val="16"/>
          <w:lang w:val="en-GB"/>
        </w:rPr>
        <w:t xml:space="preserve"> crowns</w:t>
      </w:r>
      <w:r w:rsidRPr="006004C6">
        <w:rPr>
          <w:spacing w:val="-2"/>
          <w:sz w:val="16"/>
          <w:lang w:val="en-GB"/>
        </w:rPr>
        <w:t>).</w:t>
      </w:r>
    </w:p>
  </w:footnote>
  <w:footnote w:id="2">
    <w:p w:rsidR="00D336C7" w:rsidRPr="00F57B3A" w:rsidRDefault="00D336C7" w:rsidP="00D336C7">
      <w:pPr>
        <w:pStyle w:val="Textpoznpodarou"/>
        <w:jc w:val="both"/>
        <w:rPr>
          <w:lang w:val="en-GB"/>
        </w:rPr>
      </w:pPr>
      <w:r>
        <w:rPr>
          <w:rStyle w:val="Znakapoznpodarou"/>
        </w:rPr>
        <w:footnoteRef/>
      </w:r>
      <w:r>
        <w:t xml:space="preserve"> </w:t>
      </w:r>
      <w:r w:rsidRPr="000B0638">
        <w:rPr>
          <w:spacing w:val="-2"/>
          <w:sz w:val="16"/>
          <w:lang w:val="en-GB"/>
        </w:rPr>
        <w:t>The last year’s higher collection of consumer tax on tobacco products was linked to the intensive pre-stocking of traders at the end of year 2013 for the reason of</w:t>
      </w:r>
      <w:r>
        <w:rPr>
          <w:spacing w:val="-2"/>
          <w:sz w:val="16"/>
          <w:lang w:val="en-GB"/>
        </w:rPr>
        <w:t xml:space="preserve"> subsequent increase of rates. As of 1.12.</w:t>
      </w:r>
      <w:r w:rsidRPr="000B0638">
        <w:rPr>
          <w:spacing w:val="-2"/>
          <w:sz w:val="16"/>
          <w:lang w:val="en-GB"/>
        </w:rPr>
        <w:t>2014</w:t>
      </w:r>
      <w:r>
        <w:rPr>
          <w:spacing w:val="-2"/>
          <w:sz w:val="16"/>
          <w:lang w:val="en-GB"/>
        </w:rPr>
        <w:t xml:space="preserve">, another increase of the consumer tax rates occurred for the tobacco products, but was supplemented also by the regulation of the pre-stocking. Higher VAT basis was associated with the temporary deferring of payment of the part of excessive deductions at the beginning of year </w:t>
      </w:r>
      <w:r w:rsidRPr="000B0638">
        <w:rPr>
          <w:spacing w:val="-2"/>
          <w:sz w:val="16"/>
          <w:lang w:val="en-GB"/>
        </w:rPr>
        <w:t>2014 (</w:t>
      </w:r>
      <w:r>
        <w:rPr>
          <w:spacing w:val="-2"/>
          <w:sz w:val="16"/>
          <w:lang w:val="en-GB"/>
        </w:rPr>
        <w:t xml:space="preserve">in the amount of </w:t>
      </w:r>
      <w:r w:rsidRPr="000B0638">
        <w:rPr>
          <w:spacing w:val="-2"/>
          <w:sz w:val="16"/>
          <w:lang w:val="en-GB"/>
        </w:rPr>
        <w:t>8</w:t>
      </w:r>
      <w:r>
        <w:rPr>
          <w:spacing w:val="-2"/>
          <w:sz w:val="16"/>
          <w:lang w:val="en-GB"/>
        </w:rPr>
        <w:t>.</w:t>
      </w:r>
      <w:r w:rsidRPr="000B0638">
        <w:rPr>
          <w:spacing w:val="-2"/>
          <w:sz w:val="16"/>
          <w:lang w:val="en-GB"/>
        </w:rPr>
        <w:t>4 </w:t>
      </w:r>
      <w:proofErr w:type="spellStart"/>
      <w:r>
        <w:rPr>
          <w:spacing w:val="-2"/>
          <w:sz w:val="16"/>
          <w:lang w:val="en-GB"/>
        </w:rPr>
        <w:t>bn</w:t>
      </w:r>
      <w:proofErr w:type="spellEnd"/>
      <w:r>
        <w:rPr>
          <w:spacing w:val="-2"/>
          <w:sz w:val="16"/>
          <w:lang w:val="en-GB"/>
        </w:rPr>
        <w:t xml:space="preserve"> crowns</w:t>
      </w:r>
      <w:r w:rsidRPr="000B0638">
        <w:rPr>
          <w:spacing w:val="-2"/>
          <w:sz w:val="16"/>
          <w:lang w:val="en-GB"/>
        </w:rPr>
        <w:t xml:space="preserve">) </w:t>
      </w:r>
      <w:r>
        <w:rPr>
          <w:spacing w:val="-2"/>
          <w:sz w:val="16"/>
          <w:lang w:val="en-GB"/>
        </w:rPr>
        <w:t xml:space="preserve">for the non-settled VAT payers.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Pr="00D766EF" w:rsidRDefault="00C2201D"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7B" w:rsidRDefault="007F337B" w:rsidP="007F337B">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w:t>
    </w:r>
    <w:r w:rsidR="008E789F">
      <w:rPr>
        <w:rFonts w:ascii="Arial" w:hAnsi="Arial" w:cs="Arial"/>
        <w:sz w:val="16"/>
        <w:szCs w:val="16"/>
      </w:rPr>
      <w:t>ech</w:t>
    </w:r>
    <w:proofErr w:type="spellEnd"/>
    <w:r w:rsidR="008E789F">
      <w:rPr>
        <w:rFonts w:ascii="Arial" w:hAnsi="Arial" w:cs="Arial"/>
        <w:sz w:val="16"/>
        <w:szCs w:val="16"/>
      </w:rPr>
      <w:t xml:space="preserve"> </w:t>
    </w:r>
    <w:proofErr w:type="spellStart"/>
    <w:r w:rsidR="008E789F">
      <w:rPr>
        <w:rFonts w:ascii="Arial" w:hAnsi="Arial" w:cs="Arial"/>
        <w:sz w:val="16"/>
        <w:szCs w:val="16"/>
      </w:rPr>
      <w:t>Economy</w:t>
    </w:r>
    <w:proofErr w:type="spellEnd"/>
    <w:r w:rsidR="008E789F">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p w:rsidR="00C2201D" w:rsidRPr="007F337B" w:rsidRDefault="00C2201D" w:rsidP="007F337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73BB2"/>
    <w:multiLevelType w:val="hybridMultilevel"/>
    <w:tmpl w:val="0F06B12E"/>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9B70BD"/>
    <w:rsid w:val="00000FA7"/>
    <w:rsid w:val="00003687"/>
    <w:rsid w:val="00003C43"/>
    <w:rsid w:val="00007498"/>
    <w:rsid w:val="0000767A"/>
    <w:rsid w:val="000101F5"/>
    <w:rsid w:val="000104B9"/>
    <w:rsid w:val="00010702"/>
    <w:rsid w:val="00011191"/>
    <w:rsid w:val="0001159B"/>
    <w:rsid w:val="00012986"/>
    <w:rsid w:val="00014D3A"/>
    <w:rsid w:val="0001573E"/>
    <w:rsid w:val="00017F05"/>
    <w:rsid w:val="000202C6"/>
    <w:rsid w:val="00020946"/>
    <w:rsid w:val="00024887"/>
    <w:rsid w:val="00024CBA"/>
    <w:rsid w:val="00025501"/>
    <w:rsid w:val="00026998"/>
    <w:rsid w:val="0003066A"/>
    <w:rsid w:val="000309BD"/>
    <w:rsid w:val="00032838"/>
    <w:rsid w:val="00032C12"/>
    <w:rsid w:val="0003409E"/>
    <w:rsid w:val="00035FC6"/>
    <w:rsid w:val="00037667"/>
    <w:rsid w:val="000411E1"/>
    <w:rsid w:val="00041E1C"/>
    <w:rsid w:val="00043E05"/>
    <w:rsid w:val="0004694F"/>
    <w:rsid w:val="000500DC"/>
    <w:rsid w:val="00052172"/>
    <w:rsid w:val="000541DA"/>
    <w:rsid w:val="00055059"/>
    <w:rsid w:val="000553E4"/>
    <w:rsid w:val="000626FB"/>
    <w:rsid w:val="00062EC5"/>
    <w:rsid w:val="00064256"/>
    <w:rsid w:val="000706A4"/>
    <w:rsid w:val="00072118"/>
    <w:rsid w:val="00073173"/>
    <w:rsid w:val="000779AC"/>
    <w:rsid w:val="00083803"/>
    <w:rsid w:val="00086DE6"/>
    <w:rsid w:val="0008716A"/>
    <w:rsid w:val="00087634"/>
    <w:rsid w:val="00091237"/>
    <w:rsid w:val="0009191B"/>
    <w:rsid w:val="000920EC"/>
    <w:rsid w:val="00092208"/>
    <w:rsid w:val="00092505"/>
    <w:rsid w:val="00097D02"/>
    <w:rsid w:val="000A1183"/>
    <w:rsid w:val="000A2121"/>
    <w:rsid w:val="000A2484"/>
    <w:rsid w:val="000A66F6"/>
    <w:rsid w:val="000B0638"/>
    <w:rsid w:val="000B1CFE"/>
    <w:rsid w:val="000B210A"/>
    <w:rsid w:val="000B249B"/>
    <w:rsid w:val="000B3DB9"/>
    <w:rsid w:val="000B3F02"/>
    <w:rsid w:val="000B48E7"/>
    <w:rsid w:val="000B5963"/>
    <w:rsid w:val="000B6A0A"/>
    <w:rsid w:val="000B7663"/>
    <w:rsid w:val="000C1072"/>
    <w:rsid w:val="000C11D3"/>
    <w:rsid w:val="000C12F5"/>
    <w:rsid w:val="000C3408"/>
    <w:rsid w:val="000C42C6"/>
    <w:rsid w:val="000D0D51"/>
    <w:rsid w:val="000D14B3"/>
    <w:rsid w:val="000D208B"/>
    <w:rsid w:val="000D2B8D"/>
    <w:rsid w:val="000D2E41"/>
    <w:rsid w:val="000D4273"/>
    <w:rsid w:val="000D5E7A"/>
    <w:rsid w:val="000D5FAA"/>
    <w:rsid w:val="000D65A4"/>
    <w:rsid w:val="000D6AEF"/>
    <w:rsid w:val="000E025B"/>
    <w:rsid w:val="000E153A"/>
    <w:rsid w:val="000E19A8"/>
    <w:rsid w:val="000E4A42"/>
    <w:rsid w:val="000E6476"/>
    <w:rsid w:val="000E65FB"/>
    <w:rsid w:val="000E78D2"/>
    <w:rsid w:val="000F3332"/>
    <w:rsid w:val="000F33EE"/>
    <w:rsid w:val="000F3E5F"/>
    <w:rsid w:val="000F401E"/>
    <w:rsid w:val="000F5445"/>
    <w:rsid w:val="000F67B2"/>
    <w:rsid w:val="000F790F"/>
    <w:rsid w:val="000F7D03"/>
    <w:rsid w:val="000F7E1B"/>
    <w:rsid w:val="00100014"/>
    <w:rsid w:val="0010039A"/>
    <w:rsid w:val="00101FB2"/>
    <w:rsid w:val="00102F02"/>
    <w:rsid w:val="001041B6"/>
    <w:rsid w:val="001070EA"/>
    <w:rsid w:val="0011002A"/>
    <w:rsid w:val="0011110A"/>
    <w:rsid w:val="001118AF"/>
    <w:rsid w:val="0011256E"/>
    <w:rsid w:val="00112A7C"/>
    <w:rsid w:val="0011352E"/>
    <w:rsid w:val="001158D1"/>
    <w:rsid w:val="00116DB9"/>
    <w:rsid w:val="00116F28"/>
    <w:rsid w:val="00117A7E"/>
    <w:rsid w:val="00121C39"/>
    <w:rsid w:val="00123255"/>
    <w:rsid w:val="00124D2D"/>
    <w:rsid w:val="001307BE"/>
    <w:rsid w:val="00130C8F"/>
    <w:rsid w:val="001314F2"/>
    <w:rsid w:val="001317DA"/>
    <w:rsid w:val="001323BA"/>
    <w:rsid w:val="0013254D"/>
    <w:rsid w:val="00133251"/>
    <w:rsid w:val="00133AAC"/>
    <w:rsid w:val="00136561"/>
    <w:rsid w:val="001400E1"/>
    <w:rsid w:val="001405FA"/>
    <w:rsid w:val="001413B3"/>
    <w:rsid w:val="001425C3"/>
    <w:rsid w:val="00142F16"/>
    <w:rsid w:val="00143E03"/>
    <w:rsid w:val="00143E93"/>
    <w:rsid w:val="00145877"/>
    <w:rsid w:val="00147262"/>
    <w:rsid w:val="00151AC0"/>
    <w:rsid w:val="00152046"/>
    <w:rsid w:val="00154147"/>
    <w:rsid w:val="00156318"/>
    <w:rsid w:val="0015639A"/>
    <w:rsid w:val="0016081D"/>
    <w:rsid w:val="00160CF3"/>
    <w:rsid w:val="001620FA"/>
    <w:rsid w:val="00162853"/>
    <w:rsid w:val="00163793"/>
    <w:rsid w:val="0016699E"/>
    <w:rsid w:val="001707DE"/>
    <w:rsid w:val="00170B04"/>
    <w:rsid w:val="00170F47"/>
    <w:rsid w:val="001714F2"/>
    <w:rsid w:val="00173642"/>
    <w:rsid w:val="00174CE8"/>
    <w:rsid w:val="00176050"/>
    <w:rsid w:val="001764D8"/>
    <w:rsid w:val="00176A8F"/>
    <w:rsid w:val="00180D58"/>
    <w:rsid w:val="00182981"/>
    <w:rsid w:val="001835E7"/>
    <w:rsid w:val="00184CF9"/>
    <w:rsid w:val="00185010"/>
    <w:rsid w:val="001852EC"/>
    <w:rsid w:val="001874CF"/>
    <w:rsid w:val="00190D9B"/>
    <w:rsid w:val="00191BAE"/>
    <w:rsid w:val="00193432"/>
    <w:rsid w:val="00193BA1"/>
    <w:rsid w:val="00195444"/>
    <w:rsid w:val="001A2BDB"/>
    <w:rsid w:val="001A30F4"/>
    <w:rsid w:val="001A552F"/>
    <w:rsid w:val="001A56F3"/>
    <w:rsid w:val="001A750C"/>
    <w:rsid w:val="001B1D89"/>
    <w:rsid w:val="001B3110"/>
    <w:rsid w:val="001B417A"/>
    <w:rsid w:val="001B44BC"/>
    <w:rsid w:val="001B6545"/>
    <w:rsid w:val="001B681B"/>
    <w:rsid w:val="001B694C"/>
    <w:rsid w:val="001B6A49"/>
    <w:rsid w:val="001B74FB"/>
    <w:rsid w:val="001B77A1"/>
    <w:rsid w:val="001C0422"/>
    <w:rsid w:val="001C0E0E"/>
    <w:rsid w:val="001C1219"/>
    <w:rsid w:val="001C357A"/>
    <w:rsid w:val="001C3A37"/>
    <w:rsid w:val="001C4384"/>
    <w:rsid w:val="001C5240"/>
    <w:rsid w:val="001C65FF"/>
    <w:rsid w:val="001D47E5"/>
    <w:rsid w:val="001D584C"/>
    <w:rsid w:val="001D66C1"/>
    <w:rsid w:val="001E0C65"/>
    <w:rsid w:val="001E23E3"/>
    <w:rsid w:val="001E387A"/>
    <w:rsid w:val="001E3DA4"/>
    <w:rsid w:val="001E5830"/>
    <w:rsid w:val="001E684C"/>
    <w:rsid w:val="001E701C"/>
    <w:rsid w:val="001E7C03"/>
    <w:rsid w:val="001F02AF"/>
    <w:rsid w:val="001F28F4"/>
    <w:rsid w:val="001F3C79"/>
    <w:rsid w:val="001F3E68"/>
    <w:rsid w:val="001F4597"/>
    <w:rsid w:val="00200D15"/>
    <w:rsid w:val="00203074"/>
    <w:rsid w:val="00203B46"/>
    <w:rsid w:val="002048E1"/>
    <w:rsid w:val="00210278"/>
    <w:rsid w:val="00210CC2"/>
    <w:rsid w:val="00210F5B"/>
    <w:rsid w:val="00211262"/>
    <w:rsid w:val="00211AC9"/>
    <w:rsid w:val="0021355B"/>
    <w:rsid w:val="00216098"/>
    <w:rsid w:val="002205F2"/>
    <w:rsid w:val="0022080E"/>
    <w:rsid w:val="0022139E"/>
    <w:rsid w:val="0022272B"/>
    <w:rsid w:val="00222A99"/>
    <w:rsid w:val="00223678"/>
    <w:rsid w:val="00223E00"/>
    <w:rsid w:val="002252E0"/>
    <w:rsid w:val="002255F6"/>
    <w:rsid w:val="00226466"/>
    <w:rsid w:val="002266D0"/>
    <w:rsid w:val="002303A6"/>
    <w:rsid w:val="00230DAD"/>
    <w:rsid w:val="0023229C"/>
    <w:rsid w:val="00234280"/>
    <w:rsid w:val="00235000"/>
    <w:rsid w:val="002350E3"/>
    <w:rsid w:val="00235938"/>
    <w:rsid w:val="00236443"/>
    <w:rsid w:val="00236E20"/>
    <w:rsid w:val="00240A5B"/>
    <w:rsid w:val="002436BA"/>
    <w:rsid w:val="002444ED"/>
    <w:rsid w:val="00244A15"/>
    <w:rsid w:val="00244D40"/>
    <w:rsid w:val="00246AE9"/>
    <w:rsid w:val="0024799E"/>
    <w:rsid w:val="00250C59"/>
    <w:rsid w:val="00251D59"/>
    <w:rsid w:val="002522CD"/>
    <w:rsid w:val="002524C4"/>
    <w:rsid w:val="00252602"/>
    <w:rsid w:val="00252E1B"/>
    <w:rsid w:val="00252FDC"/>
    <w:rsid w:val="00261E5B"/>
    <w:rsid w:val="00263470"/>
    <w:rsid w:val="00263733"/>
    <w:rsid w:val="00264676"/>
    <w:rsid w:val="00264772"/>
    <w:rsid w:val="00265536"/>
    <w:rsid w:val="00265E54"/>
    <w:rsid w:val="00266520"/>
    <w:rsid w:val="00266F3E"/>
    <w:rsid w:val="0026788B"/>
    <w:rsid w:val="00272464"/>
    <w:rsid w:val="00273DCD"/>
    <w:rsid w:val="00273E1C"/>
    <w:rsid w:val="00274291"/>
    <w:rsid w:val="00274E3B"/>
    <w:rsid w:val="00276CFE"/>
    <w:rsid w:val="00277071"/>
    <w:rsid w:val="0027786C"/>
    <w:rsid w:val="00277BF7"/>
    <w:rsid w:val="00281416"/>
    <w:rsid w:val="00281B77"/>
    <w:rsid w:val="00285CD3"/>
    <w:rsid w:val="0028686A"/>
    <w:rsid w:val="00286E66"/>
    <w:rsid w:val="002919B5"/>
    <w:rsid w:val="00293441"/>
    <w:rsid w:val="0029493E"/>
    <w:rsid w:val="00296C2E"/>
    <w:rsid w:val="002A1B05"/>
    <w:rsid w:val="002A3354"/>
    <w:rsid w:val="002A35EA"/>
    <w:rsid w:val="002A37B6"/>
    <w:rsid w:val="002A3BD5"/>
    <w:rsid w:val="002A43A2"/>
    <w:rsid w:val="002A4612"/>
    <w:rsid w:val="002A5263"/>
    <w:rsid w:val="002A6821"/>
    <w:rsid w:val="002A74D2"/>
    <w:rsid w:val="002B1494"/>
    <w:rsid w:val="002B1544"/>
    <w:rsid w:val="002B36C8"/>
    <w:rsid w:val="002B4689"/>
    <w:rsid w:val="002B7240"/>
    <w:rsid w:val="002C01D2"/>
    <w:rsid w:val="002C2668"/>
    <w:rsid w:val="002C4036"/>
    <w:rsid w:val="002C43BD"/>
    <w:rsid w:val="002C446F"/>
    <w:rsid w:val="002C5261"/>
    <w:rsid w:val="002C5F84"/>
    <w:rsid w:val="002C6091"/>
    <w:rsid w:val="002D0562"/>
    <w:rsid w:val="002D1B31"/>
    <w:rsid w:val="002D1B5A"/>
    <w:rsid w:val="002D2BF3"/>
    <w:rsid w:val="002D3F00"/>
    <w:rsid w:val="002D4D59"/>
    <w:rsid w:val="002D54BF"/>
    <w:rsid w:val="002D5E94"/>
    <w:rsid w:val="002D632D"/>
    <w:rsid w:val="002E02A1"/>
    <w:rsid w:val="002E0982"/>
    <w:rsid w:val="002E0DB9"/>
    <w:rsid w:val="002E2CE4"/>
    <w:rsid w:val="002F33FB"/>
    <w:rsid w:val="002F69FF"/>
    <w:rsid w:val="002F7594"/>
    <w:rsid w:val="00301357"/>
    <w:rsid w:val="00301620"/>
    <w:rsid w:val="00301D04"/>
    <w:rsid w:val="00304771"/>
    <w:rsid w:val="00305736"/>
    <w:rsid w:val="00306C5B"/>
    <w:rsid w:val="00306E3B"/>
    <w:rsid w:val="00312C3D"/>
    <w:rsid w:val="00314331"/>
    <w:rsid w:val="003168E9"/>
    <w:rsid w:val="00317E31"/>
    <w:rsid w:val="00320214"/>
    <w:rsid w:val="003209D6"/>
    <w:rsid w:val="0032109A"/>
    <w:rsid w:val="00321A11"/>
    <w:rsid w:val="0032214F"/>
    <w:rsid w:val="00322164"/>
    <w:rsid w:val="0032513D"/>
    <w:rsid w:val="00326251"/>
    <w:rsid w:val="00327DEE"/>
    <w:rsid w:val="003304AD"/>
    <w:rsid w:val="003329F3"/>
    <w:rsid w:val="0033352E"/>
    <w:rsid w:val="00333690"/>
    <w:rsid w:val="00333D20"/>
    <w:rsid w:val="003340EF"/>
    <w:rsid w:val="00334A49"/>
    <w:rsid w:val="00335BB0"/>
    <w:rsid w:val="0033627B"/>
    <w:rsid w:val="003406BD"/>
    <w:rsid w:val="00341131"/>
    <w:rsid w:val="00343F84"/>
    <w:rsid w:val="00344135"/>
    <w:rsid w:val="00347C83"/>
    <w:rsid w:val="00351B63"/>
    <w:rsid w:val="00352E57"/>
    <w:rsid w:val="003541B0"/>
    <w:rsid w:val="00355885"/>
    <w:rsid w:val="0035605E"/>
    <w:rsid w:val="00357449"/>
    <w:rsid w:val="0036238B"/>
    <w:rsid w:val="003629E4"/>
    <w:rsid w:val="00365680"/>
    <w:rsid w:val="003657F3"/>
    <w:rsid w:val="00367038"/>
    <w:rsid w:val="003709DE"/>
    <w:rsid w:val="0037144E"/>
    <w:rsid w:val="003736B5"/>
    <w:rsid w:val="00374F1E"/>
    <w:rsid w:val="00376DEC"/>
    <w:rsid w:val="00380E04"/>
    <w:rsid w:val="00383227"/>
    <w:rsid w:val="00384D8F"/>
    <w:rsid w:val="00385D98"/>
    <w:rsid w:val="00385EC5"/>
    <w:rsid w:val="003870B8"/>
    <w:rsid w:val="0039066E"/>
    <w:rsid w:val="00391C95"/>
    <w:rsid w:val="00393BCA"/>
    <w:rsid w:val="00396DAC"/>
    <w:rsid w:val="003A0214"/>
    <w:rsid w:val="003A027D"/>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0DE"/>
    <w:rsid w:val="003C4852"/>
    <w:rsid w:val="003C5BAB"/>
    <w:rsid w:val="003C601E"/>
    <w:rsid w:val="003D34F7"/>
    <w:rsid w:val="003D3600"/>
    <w:rsid w:val="003D3825"/>
    <w:rsid w:val="003D3EC4"/>
    <w:rsid w:val="003D4760"/>
    <w:rsid w:val="003D49DC"/>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273A"/>
    <w:rsid w:val="00402C25"/>
    <w:rsid w:val="004050D7"/>
    <w:rsid w:val="004078BD"/>
    <w:rsid w:val="00410132"/>
    <w:rsid w:val="00410BCD"/>
    <w:rsid w:val="0041175D"/>
    <w:rsid w:val="004123BE"/>
    <w:rsid w:val="004127EA"/>
    <w:rsid w:val="0041369F"/>
    <w:rsid w:val="00414CE5"/>
    <w:rsid w:val="00416673"/>
    <w:rsid w:val="0042160D"/>
    <w:rsid w:val="0042681B"/>
    <w:rsid w:val="0043068A"/>
    <w:rsid w:val="004306E0"/>
    <w:rsid w:val="004329BE"/>
    <w:rsid w:val="00432C38"/>
    <w:rsid w:val="00437C76"/>
    <w:rsid w:val="004441A0"/>
    <w:rsid w:val="00444268"/>
    <w:rsid w:val="004443BF"/>
    <w:rsid w:val="00444C19"/>
    <w:rsid w:val="00445413"/>
    <w:rsid w:val="00446892"/>
    <w:rsid w:val="00450C30"/>
    <w:rsid w:val="004543AE"/>
    <w:rsid w:val="00455ECA"/>
    <w:rsid w:val="00460164"/>
    <w:rsid w:val="0046039A"/>
    <w:rsid w:val="00460A6B"/>
    <w:rsid w:val="00461977"/>
    <w:rsid w:val="004629FD"/>
    <w:rsid w:val="00463F4D"/>
    <w:rsid w:val="0046471F"/>
    <w:rsid w:val="00464BE8"/>
    <w:rsid w:val="00465019"/>
    <w:rsid w:val="0046613F"/>
    <w:rsid w:val="0046655D"/>
    <w:rsid w:val="0046765E"/>
    <w:rsid w:val="004676E2"/>
    <w:rsid w:val="00471EDD"/>
    <w:rsid w:val="004731AA"/>
    <w:rsid w:val="00473E94"/>
    <w:rsid w:val="0047400C"/>
    <w:rsid w:val="004745D9"/>
    <w:rsid w:val="004762D8"/>
    <w:rsid w:val="004765B3"/>
    <w:rsid w:val="00476D29"/>
    <w:rsid w:val="00477241"/>
    <w:rsid w:val="00477EAF"/>
    <w:rsid w:val="00477EE0"/>
    <w:rsid w:val="0048139F"/>
    <w:rsid w:val="00482DE0"/>
    <w:rsid w:val="00483053"/>
    <w:rsid w:val="00485CCE"/>
    <w:rsid w:val="00486B6F"/>
    <w:rsid w:val="004879E9"/>
    <w:rsid w:val="0049104F"/>
    <w:rsid w:val="00491218"/>
    <w:rsid w:val="00493362"/>
    <w:rsid w:val="00496C2F"/>
    <w:rsid w:val="0049740D"/>
    <w:rsid w:val="004978D3"/>
    <w:rsid w:val="004A11F8"/>
    <w:rsid w:val="004A22FA"/>
    <w:rsid w:val="004A269A"/>
    <w:rsid w:val="004A30FB"/>
    <w:rsid w:val="004A35DD"/>
    <w:rsid w:val="004A37D3"/>
    <w:rsid w:val="004A3AD6"/>
    <w:rsid w:val="004A41CD"/>
    <w:rsid w:val="004A5865"/>
    <w:rsid w:val="004A77DF"/>
    <w:rsid w:val="004B0295"/>
    <w:rsid w:val="004B10A8"/>
    <w:rsid w:val="004B22DA"/>
    <w:rsid w:val="004B3CB7"/>
    <w:rsid w:val="004B3D55"/>
    <w:rsid w:val="004B55B7"/>
    <w:rsid w:val="004C00A6"/>
    <w:rsid w:val="004C0BBB"/>
    <w:rsid w:val="004C1B86"/>
    <w:rsid w:val="004C3382"/>
    <w:rsid w:val="004C3867"/>
    <w:rsid w:val="004C4AB7"/>
    <w:rsid w:val="004C4CD0"/>
    <w:rsid w:val="004C51F2"/>
    <w:rsid w:val="004C57B5"/>
    <w:rsid w:val="004C5C25"/>
    <w:rsid w:val="004C6717"/>
    <w:rsid w:val="004C6CFF"/>
    <w:rsid w:val="004C70DC"/>
    <w:rsid w:val="004C7268"/>
    <w:rsid w:val="004D0211"/>
    <w:rsid w:val="004D1C9C"/>
    <w:rsid w:val="004D504B"/>
    <w:rsid w:val="004D536E"/>
    <w:rsid w:val="004E0CD2"/>
    <w:rsid w:val="004E1839"/>
    <w:rsid w:val="004E4A75"/>
    <w:rsid w:val="004E541A"/>
    <w:rsid w:val="004E5A5C"/>
    <w:rsid w:val="004E76D6"/>
    <w:rsid w:val="004F06F5"/>
    <w:rsid w:val="004F191F"/>
    <w:rsid w:val="004F2A73"/>
    <w:rsid w:val="004F33A0"/>
    <w:rsid w:val="004F4353"/>
    <w:rsid w:val="004F447D"/>
    <w:rsid w:val="004F4C28"/>
    <w:rsid w:val="004F5CC5"/>
    <w:rsid w:val="004F6261"/>
    <w:rsid w:val="00505ADA"/>
    <w:rsid w:val="00507040"/>
    <w:rsid w:val="005079F8"/>
    <w:rsid w:val="00510189"/>
    <w:rsid w:val="0051024D"/>
    <w:rsid w:val="005108C0"/>
    <w:rsid w:val="00511873"/>
    <w:rsid w:val="00513B7E"/>
    <w:rsid w:val="00514474"/>
    <w:rsid w:val="00514EBE"/>
    <w:rsid w:val="005215EF"/>
    <w:rsid w:val="00524637"/>
    <w:rsid w:val="00525137"/>
    <w:rsid w:val="005251DD"/>
    <w:rsid w:val="00527913"/>
    <w:rsid w:val="0053017A"/>
    <w:rsid w:val="00530492"/>
    <w:rsid w:val="00532854"/>
    <w:rsid w:val="00532BE8"/>
    <w:rsid w:val="005350F2"/>
    <w:rsid w:val="00535152"/>
    <w:rsid w:val="005351B6"/>
    <w:rsid w:val="00535359"/>
    <w:rsid w:val="005356C8"/>
    <w:rsid w:val="005357A2"/>
    <w:rsid w:val="00535D87"/>
    <w:rsid w:val="00535EF0"/>
    <w:rsid w:val="0053734B"/>
    <w:rsid w:val="00537AFD"/>
    <w:rsid w:val="00537CB4"/>
    <w:rsid w:val="00540895"/>
    <w:rsid w:val="00541B19"/>
    <w:rsid w:val="0054516B"/>
    <w:rsid w:val="0054559E"/>
    <w:rsid w:val="005513D5"/>
    <w:rsid w:val="005523B9"/>
    <w:rsid w:val="005545E0"/>
    <w:rsid w:val="00554865"/>
    <w:rsid w:val="00554E57"/>
    <w:rsid w:val="00562749"/>
    <w:rsid w:val="00562DE9"/>
    <w:rsid w:val="00563674"/>
    <w:rsid w:val="005638A5"/>
    <w:rsid w:val="00566381"/>
    <w:rsid w:val="00566A03"/>
    <w:rsid w:val="00571932"/>
    <w:rsid w:val="00573C97"/>
    <w:rsid w:val="00574240"/>
    <w:rsid w:val="00575CDC"/>
    <w:rsid w:val="005765D5"/>
    <w:rsid w:val="00576A3E"/>
    <w:rsid w:val="0058031B"/>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5F6C"/>
    <w:rsid w:val="005A7500"/>
    <w:rsid w:val="005B1BDB"/>
    <w:rsid w:val="005B2BAA"/>
    <w:rsid w:val="005B2D53"/>
    <w:rsid w:val="005B3060"/>
    <w:rsid w:val="005B3247"/>
    <w:rsid w:val="005B3409"/>
    <w:rsid w:val="005B7B12"/>
    <w:rsid w:val="005C0AC0"/>
    <w:rsid w:val="005C16CB"/>
    <w:rsid w:val="005C3F9F"/>
    <w:rsid w:val="005C4A23"/>
    <w:rsid w:val="005C6400"/>
    <w:rsid w:val="005C7F1E"/>
    <w:rsid w:val="005D374F"/>
    <w:rsid w:val="005D5802"/>
    <w:rsid w:val="005D6CFC"/>
    <w:rsid w:val="005D73E2"/>
    <w:rsid w:val="005E0476"/>
    <w:rsid w:val="005E1884"/>
    <w:rsid w:val="005E1E4B"/>
    <w:rsid w:val="005E362D"/>
    <w:rsid w:val="005E492C"/>
    <w:rsid w:val="005E4BAA"/>
    <w:rsid w:val="005E52EF"/>
    <w:rsid w:val="005E5B56"/>
    <w:rsid w:val="005E6088"/>
    <w:rsid w:val="005E61DF"/>
    <w:rsid w:val="005E6B78"/>
    <w:rsid w:val="005F4057"/>
    <w:rsid w:val="005F4088"/>
    <w:rsid w:val="005F6119"/>
    <w:rsid w:val="006004C6"/>
    <w:rsid w:val="0060107A"/>
    <w:rsid w:val="00601AFF"/>
    <w:rsid w:val="00602D1D"/>
    <w:rsid w:val="00604307"/>
    <w:rsid w:val="0060487F"/>
    <w:rsid w:val="00605814"/>
    <w:rsid w:val="00606B93"/>
    <w:rsid w:val="00607727"/>
    <w:rsid w:val="006118AA"/>
    <w:rsid w:val="006139C7"/>
    <w:rsid w:val="006153E3"/>
    <w:rsid w:val="00617D2D"/>
    <w:rsid w:val="00617D83"/>
    <w:rsid w:val="00620AC5"/>
    <w:rsid w:val="00620D38"/>
    <w:rsid w:val="00621575"/>
    <w:rsid w:val="006215FC"/>
    <w:rsid w:val="00624093"/>
    <w:rsid w:val="00630F66"/>
    <w:rsid w:val="00631FC2"/>
    <w:rsid w:val="00632171"/>
    <w:rsid w:val="0063284E"/>
    <w:rsid w:val="0063332A"/>
    <w:rsid w:val="006347F9"/>
    <w:rsid w:val="00634C90"/>
    <w:rsid w:val="00635E79"/>
    <w:rsid w:val="00636E5E"/>
    <w:rsid w:val="006404A7"/>
    <w:rsid w:val="006407F3"/>
    <w:rsid w:val="00644DFC"/>
    <w:rsid w:val="006451E4"/>
    <w:rsid w:val="006460B8"/>
    <w:rsid w:val="006520C7"/>
    <w:rsid w:val="0065277F"/>
    <w:rsid w:val="006530B8"/>
    <w:rsid w:val="006535D6"/>
    <w:rsid w:val="0065559D"/>
    <w:rsid w:val="006572ED"/>
    <w:rsid w:val="00657E87"/>
    <w:rsid w:val="00660457"/>
    <w:rsid w:val="00660E1E"/>
    <w:rsid w:val="006637B1"/>
    <w:rsid w:val="00665D67"/>
    <w:rsid w:val="00665D77"/>
    <w:rsid w:val="006660CD"/>
    <w:rsid w:val="006662B5"/>
    <w:rsid w:val="00666F4B"/>
    <w:rsid w:val="006676D0"/>
    <w:rsid w:val="00670FAC"/>
    <w:rsid w:val="006710C9"/>
    <w:rsid w:val="00675E37"/>
    <w:rsid w:val="00676F11"/>
    <w:rsid w:val="00680079"/>
    <w:rsid w:val="00680F68"/>
    <w:rsid w:val="0068260E"/>
    <w:rsid w:val="0068373D"/>
    <w:rsid w:val="00683BFE"/>
    <w:rsid w:val="00685069"/>
    <w:rsid w:val="006857DF"/>
    <w:rsid w:val="00685E66"/>
    <w:rsid w:val="00686B72"/>
    <w:rsid w:val="00686BF1"/>
    <w:rsid w:val="00690A09"/>
    <w:rsid w:val="00693FEA"/>
    <w:rsid w:val="00694930"/>
    <w:rsid w:val="00695170"/>
    <w:rsid w:val="00695BEF"/>
    <w:rsid w:val="006960D6"/>
    <w:rsid w:val="00696AA5"/>
    <w:rsid w:val="006974EE"/>
    <w:rsid w:val="006977F6"/>
    <w:rsid w:val="00697A13"/>
    <w:rsid w:val="006A109C"/>
    <w:rsid w:val="006A3CF3"/>
    <w:rsid w:val="006A672B"/>
    <w:rsid w:val="006B3F8A"/>
    <w:rsid w:val="006B5CA3"/>
    <w:rsid w:val="006B6B3B"/>
    <w:rsid w:val="006B7714"/>
    <w:rsid w:val="006B7816"/>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32F0"/>
    <w:rsid w:val="00703B6C"/>
    <w:rsid w:val="007047D5"/>
    <w:rsid w:val="00705D98"/>
    <w:rsid w:val="00707891"/>
    <w:rsid w:val="007078EE"/>
    <w:rsid w:val="00707D43"/>
    <w:rsid w:val="00711EF1"/>
    <w:rsid w:val="0071229A"/>
    <w:rsid w:val="00712572"/>
    <w:rsid w:val="00713495"/>
    <w:rsid w:val="00720FA2"/>
    <w:rsid w:val="007211F5"/>
    <w:rsid w:val="00724666"/>
    <w:rsid w:val="00726043"/>
    <w:rsid w:val="0072704A"/>
    <w:rsid w:val="00730AE8"/>
    <w:rsid w:val="00731963"/>
    <w:rsid w:val="00734321"/>
    <w:rsid w:val="00737289"/>
    <w:rsid w:val="00740310"/>
    <w:rsid w:val="00740652"/>
    <w:rsid w:val="00740F02"/>
    <w:rsid w:val="00740FEC"/>
    <w:rsid w:val="0074132E"/>
    <w:rsid w:val="00741493"/>
    <w:rsid w:val="007426B3"/>
    <w:rsid w:val="007426FD"/>
    <w:rsid w:val="0074329D"/>
    <w:rsid w:val="00744376"/>
    <w:rsid w:val="007449EA"/>
    <w:rsid w:val="007451AE"/>
    <w:rsid w:val="00746DD9"/>
    <w:rsid w:val="0075057A"/>
    <w:rsid w:val="00751771"/>
    <w:rsid w:val="00751C1C"/>
    <w:rsid w:val="00752180"/>
    <w:rsid w:val="007521A1"/>
    <w:rsid w:val="0075315D"/>
    <w:rsid w:val="007538F9"/>
    <w:rsid w:val="00753AFD"/>
    <w:rsid w:val="00754253"/>
    <w:rsid w:val="007552BB"/>
    <w:rsid w:val="007558D3"/>
    <w:rsid w:val="007559D7"/>
    <w:rsid w:val="00755D3A"/>
    <w:rsid w:val="00760141"/>
    <w:rsid w:val="007609C6"/>
    <w:rsid w:val="007610A0"/>
    <w:rsid w:val="007620F2"/>
    <w:rsid w:val="00762E34"/>
    <w:rsid w:val="00762EBA"/>
    <w:rsid w:val="0076359D"/>
    <w:rsid w:val="00772536"/>
    <w:rsid w:val="00773613"/>
    <w:rsid w:val="007736AA"/>
    <w:rsid w:val="00774782"/>
    <w:rsid w:val="00776527"/>
    <w:rsid w:val="0078113E"/>
    <w:rsid w:val="00781834"/>
    <w:rsid w:val="007821DB"/>
    <w:rsid w:val="00782744"/>
    <w:rsid w:val="00782818"/>
    <w:rsid w:val="00783C86"/>
    <w:rsid w:val="00784C4A"/>
    <w:rsid w:val="00786884"/>
    <w:rsid w:val="00787432"/>
    <w:rsid w:val="00787507"/>
    <w:rsid w:val="007879F2"/>
    <w:rsid w:val="00787D78"/>
    <w:rsid w:val="00791CF8"/>
    <w:rsid w:val="00792262"/>
    <w:rsid w:val="00793387"/>
    <w:rsid w:val="00793BAE"/>
    <w:rsid w:val="00794E0A"/>
    <w:rsid w:val="00796642"/>
    <w:rsid w:val="007A11D9"/>
    <w:rsid w:val="007A327B"/>
    <w:rsid w:val="007A4019"/>
    <w:rsid w:val="007A4606"/>
    <w:rsid w:val="007B1966"/>
    <w:rsid w:val="007B3DCC"/>
    <w:rsid w:val="007B4518"/>
    <w:rsid w:val="007B5031"/>
    <w:rsid w:val="007B517F"/>
    <w:rsid w:val="007B573F"/>
    <w:rsid w:val="007C3976"/>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1DC0"/>
    <w:rsid w:val="007F337B"/>
    <w:rsid w:val="007F37BA"/>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6B74"/>
    <w:rsid w:val="008178C2"/>
    <w:rsid w:val="008178CF"/>
    <w:rsid w:val="00817C98"/>
    <w:rsid w:val="00820C9F"/>
    <w:rsid w:val="00821FF6"/>
    <w:rsid w:val="00823A05"/>
    <w:rsid w:val="00823AAF"/>
    <w:rsid w:val="00824081"/>
    <w:rsid w:val="0082409A"/>
    <w:rsid w:val="00827181"/>
    <w:rsid w:val="00827746"/>
    <w:rsid w:val="0083143E"/>
    <w:rsid w:val="0083159D"/>
    <w:rsid w:val="00832187"/>
    <w:rsid w:val="008336D8"/>
    <w:rsid w:val="008339C4"/>
    <w:rsid w:val="00834A2F"/>
    <w:rsid w:val="00834F0A"/>
    <w:rsid w:val="00834FAA"/>
    <w:rsid w:val="00836086"/>
    <w:rsid w:val="008373E9"/>
    <w:rsid w:val="00841D9F"/>
    <w:rsid w:val="00842604"/>
    <w:rsid w:val="00843ECF"/>
    <w:rsid w:val="00846673"/>
    <w:rsid w:val="00846BB6"/>
    <w:rsid w:val="00847380"/>
    <w:rsid w:val="0085281A"/>
    <w:rsid w:val="008559FE"/>
    <w:rsid w:val="00857339"/>
    <w:rsid w:val="008575E1"/>
    <w:rsid w:val="00862A7A"/>
    <w:rsid w:val="00863D9E"/>
    <w:rsid w:val="008642AF"/>
    <w:rsid w:val="00865986"/>
    <w:rsid w:val="00867E29"/>
    <w:rsid w:val="00870F2B"/>
    <w:rsid w:val="00873C15"/>
    <w:rsid w:val="008746E6"/>
    <w:rsid w:val="00876086"/>
    <w:rsid w:val="008768D6"/>
    <w:rsid w:val="008775D1"/>
    <w:rsid w:val="008777BB"/>
    <w:rsid w:val="00877D68"/>
    <w:rsid w:val="00877E5D"/>
    <w:rsid w:val="0088733A"/>
    <w:rsid w:val="008875EB"/>
    <w:rsid w:val="00891906"/>
    <w:rsid w:val="00891BE0"/>
    <w:rsid w:val="00893302"/>
    <w:rsid w:val="008945A1"/>
    <w:rsid w:val="00894A63"/>
    <w:rsid w:val="00895A54"/>
    <w:rsid w:val="00896916"/>
    <w:rsid w:val="00896BDE"/>
    <w:rsid w:val="00896C64"/>
    <w:rsid w:val="008A0436"/>
    <w:rsid w:val="008A0861"/>
    <w:rsid w:val="008A0BB2"/>
    <w:rsid w:val="008A1AB3"/>
    <w:rsid w:val="008A1C82"/>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431"/>
    <w:rsid w:val="008C0E88"/>
    <w:rsid w:val="008C1AA8"/>
    <w:rsid w:val="008C22A8"/>
    <w:rsid w:val="008C63FD"/>
    <w:rsid w:val="008C6A4F"/>
    <w:rsid w:val="008C6CB8"/>
    <w:rsid w:val="008C7815"/>
    <w:rsid w:val="008C7A07"/>
    <w:rsid w:val="008D0171"/>
    <w:rsid w:val="008D2A16"/>
    <w:rsid w:val="008D2ECF"/>
    <w:rsid w:val="008D3F3D"/>
    <w:rsid w:val="008E31FF"/>
    <w:rsid w:val="008E3FB2"/>
    <w:rsid w:val="008E5DE6"/>
    <w:rsid w:val="008E6113"/>
    <w:rsid w:val="008E6AB3"/>
    <w:rsid w:val="008E6AD3"/>
    <w:rsid w:val="008E71A6"/>
    <w:rsid w:val="008E77B6"/>
    <w:rsid w:val="008E789F"/>
    <w:rsid w:val="008F032E"/>
    <w:rsid w:val="008F0F14"/>
    <w:rsid w:val="008F4FCE"/>
    <w:rsid w:val="008F5301"/>
    <w:rsid w:val="008F7D28"/>
    <w:rsid w:val="009003A8"/>
    <w:rsid w:val="00902CBE"/>
    <w:rsid w:val="00902D74"/>
    <w:rsid w:val="00902EFF"/>
    <w:rsid w:val="00903E06"/>
    <w:rsid w:val="00904B9D"/>
    <w:rsid w:val="009066E1"/>
    <w:rsid w:val="00907A41"/>
    <w:rsid w:val="009102BD"/>
    <w:rsid w:val="00910F93"/>
    <w:rsid w:val="00914426"/>
    <w:rsid w:val="0091675F"/>
    <w:rsid w:val="00916B87"/>
    <w:rsid w:val="00917709"/>
    <w:rsid w:val="00917918"/>
    <w:rsid w:val="00921F14"/>
    <w:rsid w:val="00923750"/>
    <w:rsid w:val="009243A5"/>
    <w:rsid w:val="009250D2"/>
    <w:rsid w:val="00926283"/>
    <w:rsid w:val="00926959"/>
    <w:rsid w:val="009340A2"/>
    <w:rsid w:val="00937B11"/>
    <w:rsid w:val="00940F1F"/>
    <w:rsid w:val="00941250"/>
    <w:rsid w:val="00942B5F"/>
    <w:rsid w:val="00943AF9"/>
    <w:rsid w:val="0094427A"/>
    <w:rsid w:val="009459C5"/>
    <w:rsid w:val="0094626C"/>
    <w:rsid w:val="0095013A"/>
    <w:rsid w:val="00952E64"/>
    <w:rsid w:val="00953AEF"/>
    <w:rsid w:val="00953B56"/>
    <w:rsid w:val="00954026"/>
    <w:rsid w:val="00954E23"/>
    <w:rsid w:val="009551E2"/>
    <w:rsid w:val="00955783"/>
    <w:rsid w:val="00955E5F"/>
    <w:rsid w:val="009560B0"/>
    <w:rsid w:val="00957871"/>
    <w:rsid w:val="00964498"/>
    <w:rsid w:val="009663EB"/>
    <w:rsid w:val="0096650F"/>
    <w:rsid w:val="009700DB"/>
    <w:rsid w:val="00972263"/>
    <w:rsid w:val="009726B9"/>
    <w:rsid w:val="00972D8D"/>
    <w:rsid w:val="00973AAE"/>
    <w:rsid w:val="0097476C"/>
    <w:rsid w:val="00974923"/>
    <w:rsid w:val="00974D48"/>
    <w:rsid w:val="00974D5F"/>
    <w:rsid w:val="00975017"/>
    <w:rsid w:val="009759DF"/>
    <w:rsid w:val="009778B0"/>
    <w:rsid w:val="00980621"/>
    <w:rsid w:val="00982072"/>
    <w:rsid w:val="00983ECF"/>
    <w:rsid w:val="00986745"/>
    <w:rsid w:val="00987109"/>
    <w:rsid w:val="00987309"/>
    <w:rsid w:val="0099012D"/>
    <w:rsid w:val="009954FF"/>
    <w:rsid w:val="00996355"/>
    <w:rsid w:val="009978B4"/>
    <w:rsid w:val="009A2014"/>
    <w:rsid w:val="009A4E12"/>
    <w:rsid w:val="009A5C68"/>
    <w:rsid w:val="009B04D0"/>
    <w:rsid w:val="009B052C"/>
    <w:rsid w:val="009B0EF2"/>
    <w:rsid w:val="009B23A3"/>
    <w:rsid w:val="009B4925"/>
    <w:rsid w:val="009B4B4B"/>
    <w:rsid w:val="009B6CE7"/>
    <w:rsid w:val="009B6FD3"/>
    <w:rsid w:val="009B70BD"/>
    <w:rsid w:val="009C07A5"/>
    <w:rsid w:val="009C7388"/>
    <w:rsid w:val="009D1551"/>
    <w:rsid w:val="009D2859"/>
    <w:rsid w:val="009D4173"/>
    <w:rsid w:val="009D48AD"/>
    <w:rsid w:val="009D6095"/>
    <w:rsid w:val="009D6306"/>
    <w:rsid w:val="009D7047"/>
    <w:rsid w:val="009E048A"/>
    <w:rsid w:val="009E1FBA"/>
    <w:rsid w:val="009E2C54"/>
    <w:rsid w:val="009E3710"/>
    <w:rsid w:val="009E7B1F"/>
    <w:rsid w:val="009F41C4"/>
    <w:rsid w:val="009F5846"/>
    <w:rsid w:val="009F7D77"/>
    <w:rsid w:val="00A07E68"/>
    <w:rsid w:val="00A10D66"/>
    <w:rsid w:val="00A13A17"/>
    <w:rsid w:val="00A1420C"/>
    <w:rsid w:val="00A14821"/>
    <w:rsid w:val="00A17754"/>
    <w:rsid w:val="00A2055B"/>
    <w:rsid w:val="00A2253C"/>
    <w:rsid w:val="00A23545"/>
    <w:rsid w:val="00A23A55"/>
    <w:rsid w:val="00A23E43"/>
    <w:rsid w:val="00A24F8C"/>
    <w:rsid w:val="00A262BF"/>
    <w:rsid w:val="00A271AD"/>
    <w:rsid w:val="00A27581"/>
    <w:rsid w:val="00A276D5"/>
    <w:rsid w:val="00A30336"/>
    <w:rsid w:val="00A30BB5"/>
    <w:rsid w:val="00A3128F"/>
    <w:rsid w:val="00A326D0"/>
    <w:rsid w:val="00A347A4"/>
    <w:rsid w:val="00A35287"/>
    <w:rsid w:val="00A378F8"/>
    <w:rsid w:val="00A40B19"/>
    <w:rsid w:val="00A424F8"/>
    <w:rsid w:val="00A437B7"/>
    <w:rsid w:val="00A46DE0"/>
    <w:rsid w:val="00A4778A"/>
    <w:rsid w:val="00A5067F"/>
    <w:rsid w:val="00A547EC"/>
    <w:rsid w:val="00A550B7"/>
    <w:rsid w:val="00A55301"/>
    <w:rsid w:val="00A57B3C"/>
    <w:rsid w:val="00A60FD0"/>
    <w:rsid w:val="00A6128E"/>
    <w:rsid w:val="00A62CE1"/>
    <w:rsid w:val="00A631FA"/>
    <w:rsid w:val="00A64203"/>
    <w:rsid w:val="00A64348"/>
    <w:rsid w:val="00A6591D"/>
    <w:rsid w:val="00A66999"/>
    <w:rsid w:val="00A721FB"/>
    <w:rsid w:val="00A727BA"/>
    <w:rsid w:val="00A72D4B"/>
    <w:rsid w:val="00A732AE"/>
    <w:rsid w:val="00A75E40"/>
    <w:rsid w:val="00A77E8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2FC7"/>
    <w:rsid w:val="00AB440B"/>
    <w:rsid w:val="00AB47E3"/>
    <w:rsid w:val="00AB74C5"/>
    <w:rsid w:val="00AB7DF2"/>
    <w:rsid w:val="00AC1E3F"/>
    <w:rsid w:val="00AC4F18"/>
    <w:rsid w:val="00AC6C4D"/>
    <w:rsid w:val="00AD0B46"/>
    <w:rsid w:val="00AD1094"/>
    <w:rsid w:val="00AD2565"/>
    <w:rsid w:val="00AD306C"/>
    <w:rsid w:val="00AD3424"/>
    <w:rsid w:val="00AD50D1"/>
    <w:rsid w:val="00AD59BB"/>
    <w:rsid w:val="00AD5D68"/>
    <w:rsid w:val="00AD6C73"/>
    <w:rsid w:val="00AE06D0"/>
    <w:rsid w:val="00AE2DA2"/>
    <w:rsid w:val="00AE39DC"/>
    <w:rsid w:val="00AE3CDA"/>
    <w:rsid w:val="00AE3CEF"/>
    <w:rsid w:val="00AE7968"/>
    <w:rsid w:val="00AF128B"/>
    <w:rsid w:val="00AF1AEA"/>
    <w:rsid w:val="00AF2852"/>
    <w:rsid w:val="00AF3225"/>
    <w:rsid w:val="00AF518B"/>
    <w:rsid w:val="00AF5275"/>
    <w:rsid w:val="00AF6367"/>
    <w:rsid w:val="00AF6A79"/>
    <w:rsid w:val="00AF724E"/>
    <w:rsid w:val="00AF73A9"/>
    <w:rsid w:val="00B01C2C"/>
    <w:rsid w:val="00B0231C"/>
    <w:rsid w:val="00B07DA3"/>
    <w:rsid w:val="00B15DCD"/>
    <w:rsid w:val="00B17E71"/>
    <w:rsid w:val="00B17FDE"/>
    <w:rsid w:val="00B208FC"/>
    <w:rsid w:val="00B20C65"/>
    <w:rsid w:val="00B22E17"/>
    <w:rsid w:val="00B26015"/>
    <w:rsid w:val="00B26964"/>
    <w:rsid w:val="00B27293"/>
    <w:rsid w:val="00B2763E"/>
    <w:rsid w:val="00B30B30"/>
    <w:rsid w:val="00B3229E"/>
    <w:rsid w:val="00B32DDB"/>
    <w:rsid w:val="00B35174"/>
    <w:rsid w:val="00B35BEA"/>
    <w:rsid w:val="00B3793D"/>
    <w:rsid w:val="00B41BE6"/>
    <w:rsid w:val="00B457E7"/>
    <w:rsid w:val="00B45D1B"/>
    <w:rsid w:val="00B46D25"/>
    <w:rsid w:val="00B47430"/>
    <w:rsid w:val="00B52D2D"/>
    <w:rsid w:val="00B55301"/>
    <w:rsid w:val="00B55BA8"/>
    <w:rsid w:val="00B55F15"/>
    <w:rsid w:val="00B561A6"/>
    <w:rsid w:val="00B60062"/>
    <w:rsid w:val="00B62960"/>
    <w:rsid w:val="00B63A11"/>
    <w:rsid w:val="00B63FD0"/>
    <w:rsid w:val="00B65C84"/>
    <w:rsid w:val="00B6608F"/>
    <w:rsid w:val="00B71069"/>
    <w:rsid w:val="00B74317"/>
    <w:rsid w:val="00B76D1E"/>
    <w:rsid w:val="00B800EB"/>
    <w:rsid w:val="00B822D2"/>
    <w:rsid w:val="00B848B8"/>
    <w:rsid w:val="00B84A41"/>
    <w:rsid w:val="00B84D57"/>
    <w:rsid w:val="00B85689"/>
    <w:rsid w:val="00B85C07"/>
    <w:rsid w:val="00B86748"/>
    <w:rsid w:val="00B87DF4"/>
    <w:rsid w:val="00B907EA"/>
    <w:rsid w:val="00B91EC9"/>
    <w:rsid w:val="00B924CA"/>
    <w:rsid w:val="00B93384"/>
    <w:rsid w:val="00B94417"/>
    <w:rsid w:val="00B95940"/>
    <w:rsid w:val="00B95EF8"/>
    <w:rsid w:val="00B95F50"/>
    <w:rsid w:val="00B96BD9"/>
    <w:rsid w:val="00BA58FD"/>
    <w:rsid w:val="00BB1CFD"/>
    <w:rsid w:val="00BB2C53"/>
    <w:rsid w:val="00BB32DA"/>
    <w:rsid w:val="00BB3A54"/>
    <w:rsid w:val="00BB4E21"/>
    <w:rsid w:val="00BB7746"/>
    <w:rsid w:val="00BC22EB"/>
    <w:rsid w:val="00BC3475"/>
    <w:rsid w:val="00BC682B"/>
    <w:rsid w:val="00BC6B04"/>
    <w:rsid w:val="00BD186B"/>
    <w:rsid w:val="00BD1EAC"/>
    <w:rsid w:val="00BD3428"/>
    <w:rsid w:val="00BD366B"/>
    <w:rsid w:val="00BD534C"/>
    <w:rsid w:val="00BD56BC"/>
    <w:rsid w:val="00BD5D91"/>
    <w:rsid w:val="00BD6615"/>
    <w:rsid w:val="00BD69DC"/>
    <w:rsid w:val="00BD6D50"/>
    <w:rsid w:val="00BE0D79"/>
    <w:rsid w:val="00BE0DB0"/>
    <w:rsid w:val="00BE2583"/>
    <w:rsid w:val="00BE3381"/>
    <w:rsid w:val="00BE3F09"/>
    <w:rsid w:val="00BE670A"/>
    <w:rsid w:val="00BE6906"/>
    <w:rsid w:val="00BF18F4"/>
    <w:rsid w:val="00BF1A69"/>
    <w:rsid w:val="00BF3BC8"/>
    <w:rsid w:val="00BF3DF1"/>
    <w:rsid w:val="00BF4C31"/>
    <w:rsid w:val="00BF4E57"/>
    <w:rsid w:val="00C00F20"/>
    <w:rsid w:val="00C034E6"/>
    <w:rsid w:val="00C04E1D"/>
    <w:rsid w:val="00C0784A"/>
    <w:rsid w:val="00C10B28"/>
    <w:rsid w:val="00C10FAE"/>
    <w:rsid w:val="00C12A69"/>
    <w:rsid w:val="00C150BE"/>
    <w:rsid w:val="00C15A0C"/>
    <w:rsid w:val="00C15DCB"/>
    <w:rsid w:val="00C1711F"/>
    <w:rsid w:val="00C20744"/>
    <w:rsid w:val="00C20C4D"/>
    <w:rsid w:val="00C21D46"/>
    <w:rsid w:val="00C21F94"/>
    <w:rsid w:val="00C2201D"/>
    <w:rsid w:val="00C222A1"/>
    <w:rsid w:val="00C23CBD"/>
    <w:rsid w:val="00C23D22"/>
    <w:rsid w:val="00C2463B"/>
    <w:rsid w:val="00C24E77"/>
    <w:rsid w:val="00C2732D"/>
    <w:rsid w:val="00C273C6"/>
    <w:rsid w:val="00C27913"/>
    <w:rsid w:val="00C300C6"/>
    <w:rsid w:val="00C3271C"/>
    <w:rsid w:val="00C34FDE"/>
    <w:rsid w:val="00C35C16"/>
    <w:rsid w:val="00C375E9"/>
    <w:rsid w:val="00C40F81"/>
    <w:rsid w:val="00C41463"/>
    <w:rsid w:val="00C41A72"/>
    <w:rsid w:val="00C42192"/>
    <w:rsid w:val="00C431F5"/>
    <w:rsid w:val="00C476C5"/>
    <w:rsid w:val="00C503B0"/>
    <w:rsid w:val="00C511C2"/>
    <w:rsid w:val="00C53D82"/>
    <w:rsid w:val="00C60696"/>
    <w:rsid w:val="00C615F1"/>
    <w:rsid w:val="00C61627"/>
    <w:rsid w:val="00C63B21"/>
    <w:rsid w:val="00C64E60"/>
    <w:rsid w:val="00C657A4"/>
    <w:rsid w:val="00C6736C"/>
    <w:rsid w:val="00C71A1D"/>
    <w:rsid w:val="00C75C7E"/>
    <w:rsid w:val="00C75C9B"/>
    <w:rsid w:val="00C76D8E"/>
    <w:rsid w:val="00C77833"/>
    <w:rsid w:val="00C803C0"/>
    <w:rsid w:val="00C80C9B"/>
    <w:rsid w:val="00C8335E"/>
    <w:rsid w:val="00C83F9C"/>
    <w:rsid w:val="00C84CE3"/>
    <w:rsid w:val="00C85614"/>
    <w:rsid w:val="00C90CF4"/>
    <w:rsid w:val="00C91C19"/>
    <w:rsid w:val="00C929A0"/>
    <w:rsid w:val="00C93389"/>
    <w:rsid w:val="00C937DB"/>
    <w:rsid w:val="00C94519"/>
    <w:rsid w:val="00C94677"/>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93D"/>
    <w:rsid w:val="00CD6EF1"/>
    <w:rsid w:val="00CE21C7"/>
    <w:rsid w:val="00CE329C"/>
    <w:rsid w:val="00CE3DE9"/>
    <w:rsid w:val="00CE57D8"/>
    <w:rsid w:val="00CE617A"/>
    <w:rsid w:val="00CF28C2"/>
    <w:rsid w:val="00CF42BD"/>
    <w:rsid w:val="00CF51EC"/>
    <w:rsid w:val="00CF6CD7"/>
    <w:rsid w:val="00D0037A"/>
    <w:rsid w:val="00D00DAF"/>
    <w:rsid w:val="00D017EC"/>
    <w:rsid w:val="00D01CDA"/>
    <w:rsid w:val="00D02DB2"/>
    <w:rsid w:val="00D040DD"/>
    <w:rsid w:val="00D04E1B"/>
    <w:rsid w:val="00D06E5B"/>
    <w:rsid w:val="00D076DB"/>
    <w:rsid w:val="00D1067C"/>
    <w:rsid w:val="00D136D4"/>
    <w:rsid w:val="00D13830"/>
    <w:rsid w:val="00D13ECF"/>
    <w:rsid w:val="00D142E5"/>
    <w:rsid w:val="00D148CD"/>
    <w:rsid w:val="00D152C1"/>
    <w:rsid w:val="00D1611E"/>
    <w:rsid w:val="00D16E69"/>
    <w:rsid w:val="00D205A9"/>
    <w:rsid w:val="00D217EE"/>
    <w:rsid w:val="00D23442"/>
    <w:rsid w:val="00D245BA"/>
    <w:rsid w:val="00D26923"/>
    <w:rsid w:val="00D27856"/>
    <w:rsid w:val="00D301CA"/>
    <w:rsid w:val="00D30740"/>
    <w:rsid w:val="00D31075"/>
    <w:rsid w:val="00D31445"/>
    <w:rsid w:val="00D31932"/>
    <w:rsid w:val="00D336C7"/>
    <w:rsid w:val="00D3526E"/>
    <w:rsid w:val="00D378CC"/>
    <w:rsid w:val="00D4042C"/>
    <w:rsid w:val="00D42312"/>
    <w:rsid w:val="00D43998"/>
    <w:rsid w:val="00D4615E"/>
    <w:rsid w:val="00D478E2"/>
    <w:rsid w:val="00D50D80"/>
    <w:rsid w:val="00D5261D"/>
    <w:rsid w:val="00D5264C"/>
    <w:rsid w:val="00D547BA"/>
    <w:rsid w:val="00D55626"/>
    <w:rsid w:val="00D556BC"/>
    <w:rsid w:val="00D5626D"/>
    <w:rsid w:val="00D60277"/>
    <w:rsid w:val="00D6034A"/>
    <w:rsid w:val="00D61F88"/>
    <w:rsid w:val="00D62901"/>
    <w:rsid w:val="00D639A5"/>
    <w:rsid w:val="00D6470C"/>
    <w:rsid w:val="00D64853"/>
    <w:rsid w:val="00D64CB5"/>
    <w:rsid w:val="00D66D48"/>
    <w:rsid w:val="00D73256"/>
    <w:rsid w:val="00D73A30"/>
    <w:rsid w:val="00D74C65"/>
    <w:rsid w:val="00D75DC2"/>
    <w:rsid w:val="00D766EF"/>
    <w:rsid w:val="00D76C03"/>
    <w:rsid w:val="00D82462"/>
    <w:rsid w:val="00D83627"/>
    <w:rsid w:val="00D868CE"/>
    <w:rsid w:val="00D86DAE"/>
    <w:rsid w:val="00D87030"/>
    <w:rsid w:val="00D907C3"/>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B64DD"/>
    <w:rsid w:val="00DC257F"/>
    <w:rsid w:val="00DC3790"/>
    <w:rsid w:val="00DC408A"/>
    <w:rsid w:val="00DC5B3B"/>
    <w:rsid w:val="00DC6796"/>
    <w:rsid w:val="00DC78DF"/>
    <w:rsid w:val="00DD0821"/>
    <w:rsid w:val="00DD0E32"/>
    <w:rsid w:val="00DD36D8"/>
    <w:rsid w:val="00DD373E"/>
    <w:rsid w:val="00DD57AD"/>
    <w:rsid w:val="00DD76A8"/>
    <w:rsid w:val="00DE009B"/>
    <w:rsid w:val="00DE1447"/>
    <w:rsid w:val="00DE2ED9"/>
    <w:rsid w:val="00DE319A"/>
    <w:rsid w:val="00DE4E12"/>
    <w:rsid w:val="00DF0DC3"/>
    <w:rsid w:val="00DF21FD"/>
    <w:rsid w:val="00DF2873"/>
    <w:rsid w:val="00DF5578"/>
    <w:rsid w:val="00DF78DD"/>
    <w:rsid w:val="00DF7FEC"/>
    <w:rsid w:val="00E00393"/>
    <w:rsid w:val="00E01C0E"/>
    <w:rsid w:val="00E02CF7"/>
    <w:rsid w:val="00E03B27"/>
    <w:rsid w:val="00E04694"/>
    <w:rsid w:val="00E05B2B"/>
    <w:rsid w:val="00E06A2A"/>
    <w:rsid w:val="00E07937"/>
    <w:rsid w:val="00E07F05"/>
    <w:rsid w:val="00E111C2"/>
    <w:rsid w:val="00E127E1"/>
    <w:rsid w:val="00E144D2"/>
    <w:rsid w:val="00E15346"/>
    <w:rsid w:val="00E15B7D"/>
    <w:rsid w:val="00E215EA"/>
    <w:rsid w:val="00E234BA"/>
    <w:rsid w:val="00E24619"/>
    <w:rsid w:val="00E25223"/>
    <w:rsid w:val="00E30BEA"/>
    <w:rsid w:val="00E31764"/>
    <w:rsid w:val="00E34985"/>
    <w:rsid w:val="00E34E4A"/>
    <w:rsid w:val="00E365B3"/>
    <w:rsid w:val="00E366BB"/>
    <w:rsid w:val="00E36F05"/>
    <w:rsid w:val="00E37C45"/>
    <w:rsid w:val="00E40AAA"/>
    <w:rsid w:val="00E438CF"/>
    <w:rsid w:val="00E43C41"/>
    <w:rsid w:val="00E450CE"/>
    <w:rsid w:val="00E45A00"/>
    <w:rsid w:val="00E45CE7"/>
    <w:rsid w:val="00E4631F"/>
    <w:rsid w:val="00E522BB"/>
    <w:rsid w:val="00E539E4"/>
    <w:rsid w:val="00E569C7"/>
    <w:rsid w:val="00E571F2"/>
    <w:rsid w:val="00E57429"/>
    <w:rsid w:val="00E67B4E"/>
    <w:rsid w:val="00E70510"/>
    <w:rsid w:val="00E71262"/>
    <w:rsid w:val="00E71A58"/>
    <w:rsid w:val="00E7724B"/>
    <w:rsid w:val="00E81DC2"/>
    <w:rsid w:val="00E84F21"/>
    <w:rsid w:val="00E90C03"/>
    <w:rsid w:val="00E90F73"/>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A6689"/>
    <w:rsid w:val="00EB20A0"/>
    <w:rsid w:val="00EB30B6"/>
    <w:rsid w:val="00EB4D7C"/>
    <w:rsid w:val="00EB4FA4"/>
    <w:rsid w:val="00EB5146"/>
    <w:rsid w:val="00EB55E9"/>
    <w:rsid w:val="00EB5641"/>
    <w:rsid w:val="00EB5CA9"/>
    <w:rsid w:val="00EB5ED4"/>
    <w:rsid w:val="00EB6537"/>
    <w:rsid w:val="00EB70E1"/>
    <w:rsid w:val="00EB763A"/>
    <w:rsid w:val="00EB7EB5"/>
    <w:rsid w:val="00EC454B"/>
    <w:rsid w:val="00EC6153"/>
    <w:rsid w:val="00EC7F92"/>
    <w:rsid w:val="00ED00A8"/>
    <w:rsid w:val="00ED0A79"/>
    <w:rsid w:val="00ED2961"/>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199"/>
    <w:rsid w:val="00EF4685"/>
    <w:rsid w:val="00EF5397"/>
    <w:rsid w:val="00EF6BE3"/>
    <w:rsid w:val="00F00D0E"/>
    <w:rsid w:val="00F00D3C"/>
    <w:rsid w:val="00F04811"/>
    <w:rsid w:val="00F0488C"/>
    <w:rsid w:val="00F0496E"/>
    <w:rsid w:val="00F04D10"/>
    <w:rsid w:val="00F0625B"/>
    <w:rsid w:val="00F101FF"/>
    <w:rsid w:val="00F10A33"/>
    <w:rsid w:val="00F14CF4"/>
    <w:rsid w:val="00F15BEF"/>
    <w:rsid w:val="00F172BE"/>
    <w:rsid w:val="00F1776C"/>
    <w:rsid w:val="00F2037E"/>
    <w:rsid w:val="00F20D17"/>
    <w:rsid w:val="00F2103E"/>
    <w:rsid w:val="00F214FC"/>
    <w:rsid w:val="00F21C31"/>
    <w:rsid w:val="00F22FCD"/>
    <w:rsid w:val="00F23825"/>
    <w:rsid w:val="00F23FFF"/>
    <w:rsid w:val="00F2441D"/>
    <w:rsid w:val="00F24FAA"/>
    <w:rsid w:val="00F26197"/>
    <w:rsid w:val="00F318FC"/>
    <w:rsid w:val="00F31F76"/>
    <w:rsid w:val="00F3364D"/>
    <w:rsid w:val="00F34858"/>
    <w:rsid w:val="00F35899"/>
    <w:rsid w:val="00F35ACD"/>
    <w:rsid w:val="00F365BF"/>
    <w:rsid w:val="00F36BF8"/>
    <w:rsid w:val="00F37760"/>
    <w:rsid w:val="00F403D1"/>
    <w:rsid w:val="00F43921"/>
    <w:rsid w:val="00F4591F"/>
    <w:rsid w:val="00F4736B"/>
    <w:rsid w:val="00F47D05"/>
    <w:rsid w:val="00F50030"/>
    <w:rsid w:val="00F51FC9"/>
    <w:rsid w:val="00F54B31"/>
    <w:rsid w:val="00F54FD3"/>
    <w:rsid w:val="00F55605"/>
    <w:rsid w:val="00F62F02"/>
    <w:rsid w:val="00F63DDE"/>
    <w:rsid w:val="00F63FB7"/>
    <w:rsid w:val="00F64726"/>
    <w:rsid w:val="00F6561A"/>
    <w:rsid w:val="00F727D5"/>
    <w:rsid w:val="00F72F44"/>
    <w:rsid w:val="00F73A0C"/>
    <w:rsid w:val="00F759DC"/>
    <w:rsid w:val="00F76E62"/>
    <w:rsid w:val="00F771A5"/>
    <w:rsid w:val="00F817A4"/>
    <w:rsid w:val="00F81C3A"/>
    <w:rsid w:val="00F8309A"/>
    <w:rsid w:val="00F835FC"/>
    <w:rsid w:val="00F83E21"/>
    <w:rsid w:val="00F84E18"/>
    <w:rsid w:val="00F852E5"/>
    <w:rsid w:val="00F95117"/>
    <w:rsid w:val="00FA05D7"/>
    <w:rsid w:val="00FA1C6C"/>
    <w:rsid w:val="00FA2C2A"/>
    <w:rsid w:val="00FA309A"/>
    <w:rsid w:val="00FA7644"/>
    <w:rsid w:val="00FB0A9A"/>
    <w:rsid w:val="00FB483B"/>
    <w:rsid w:val="00FB5551"/>
    <w:rsid w:val="00FB56F1"/>
    <w:rsid w:val="00FB5FD4"/>
    <w:rsid w:val="00FB67F3"/>
    <w:rsid w:val="00FB7E06"/>
    <w:rsid w:val="00FC0D8A"/>
    <w:rsid w:val="00FC0E5F"/>
    <w:rsid w:val="00FC135D"/>
    <w:rsid w:val="00FC3C84"/>
    <w:rsid w:val="00FC4660"/>
    <w:rsid w:val="00FC56DE"/>
    <w:rsid w:val="00FC5BBF"/>
    <w:rsid w:val="00FD1261"/>
    <w:rsid w:val="00FD1627"/>
    <w:rsid w:val="00FD473D"/>
    <w:rsid w:val="00FD61C8"/>
    <w:rsid w:val="00FD63CE"/>
    <w:rsid w:val="00FD7D49"/>
    <w:rsid w:val="00FE1251"/>
    <w:rsid w:val="00FE27AE"/>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7169547">
      <w:bodyDiv w:val="1"/>
      <w:marLeft w:val="0"/>
      <w:marRight w:val="0"/>
      <w:marTop w:val="0"/>
      <w:marBottom w:val="0"/>
      <w:divBdr>
        <w:top w:val="none" w:sz="0" w:space="0" w:color="auto"/>
        <w:left w:val="none" w:sz="0" w:space="0" w:color="auto"/>
        <w:bottom w:val="none" w:sz="0" w:space="0" w:color="auto"/>
        <w:right w:val="none" w:sz="0" w:space="0" w:color="auto"/>
      </w:divBdr>
    </w:div>
    <w:div w:id="94638251">
      <w:bodyDiv w:val="1"/>
      <w:marLeft w:val="0"/>
      <w:marRight w:val="0"/>
      <w:marTop w:val="0"/>
      <w:marBottom w:val="0"/>
      <w:divBdr>
        <w:top w:val="none" w:sz="0" w:space="0" w:color="auto"/>
        <w:left w:val="none" w:sz="0" w:space="0" w:color="auto"/>
        <w:bottom w:val="none" w:sz="0" w:space="0" w:color="auto"/>
        <w:right w:val="none" w:sz="0" w:space="0" w:color="auto"/>
      </w:divBdr>
    </w:div>
    <w:div w:id="238252420">
      <w:bodyDiv w:val="1"/>
      <w:marLeft w:val="0"/>
      <w:marRight w:val="0"/>
      <w:marTop w:val="0"/>
      <w:marBottom w:val="0"/>
      <w:divBdr>
        <w:top w:val="none" w:sz="0" w:space="0" w:color="auto"/>
        <w:left w:val="none" w:sz="0" w:space="0" w:color="auto"/>
        <w:bottom w:val="none" w:sz="0" w:space="0" w:color="auto"/>
        <w:right w:val="none" w:sz="0" w:space="0" w:color="auto"/>
      </w:divBdr>
    </w:div>
    <w:div w:id="240262598">
      <w:bodyDiv w:val="1"/>
      <w:marLeft w:val="0"/>
      <w:marRight w:val="0"/>
      <w:marTop w:val="0"/>
      <w:marBottom w:val="0"/>
      <w:divBdr>
        <w:top w:val="none" w:sz="0" w:space="0" w:color="auto"/>
        <w:left w:val="none" w:sz="0" w:space="0" w:color="auto"/>
        <w:bottom w:val="none" w:sz="0" w:space="0" w:color="auto"/>
        <w:right w:val="none" w:sz="0" w:space="0" w:color="auto"/>
      </w:divBdr>
    </w:div>
    <w:div w:id="276839719">
      <w:bodyDiv w:val="1"/>
      <w:marLeft w:val="0"/>
      <w:marRight w:val="0"/>
      <w:marTop w:val="0"/>
      <w:marBottom w:val="0"/>
      <w:divBdr>
        <w:top w:val="none" w:sz="0" w:space="0" w:color="auto"/>
        <w:left w:val="none" w:sz="0" w:space="0" w:color="auto"/>
        <w:bottom w:val="none" w:sz="0" w:space="0" w:color="auto"/>
        <w:right w:val="none" w:sz="0" w:space="0" w:color="auto"/>
      </w:divBdr>
    </w:div>
    <w:div w:id="280721696">
      <w:bodyDiv w:val="1"/>
      <w:marLeft w:val="0"/>
      <w:marRight w:val="0"/>
      <w:marTop w:val="0"/>
      <w:marBottom w:val="0"/>
      <w:divBdr>
        <w:top w:val="none" w:sz="0" w:space="0" w:color="auto"/>
        <w:left w:val="none" w:sz="0" w:space="0" w:color="auto"/>
        <w:bottom w:val="none" w:sz="0" w:space="0" w:color="auto"/>
        <w:right w:val="none" w:sz="0" w:space="0" w:color="auto"/>
      </w:divBdr>
    </w:div>
    <w:div w:id="416294190">
      <w:bodyDiv w:val="1"/>
      <w:marLeft w:val="0"/>
      <w:marRight w:val="0"/>
      <w:marTop w:val="0"/>
      <w:marBottom w:val="0"/>
      <w:divBdr>
        <w:top w:val="none" w:sz="0" w:space="0" w:color="auto"/>
        <w:left w:val="none" w:sz="0" w:space="0" w:color="auto"/>
        <w:bottom w:val="none" w:sz="0" w:space="0" w:color="auto"/>
        <w:right w:val="none" w:sz="0" w:space="0" w:color="auto"/>
      </w:divBdr>
    </w:div>
    <w:div w:id="430976118">
      <w:bodyDiv w:val="1"/>
      <w:marLeft w:val="0"/>
      <w:marRight w:val="0"/>
      <w:marTop w:val="0"/>
      <w:marBottom w:val="0"/>
      <w:divBdr>
        <w:top w:val="none" w:sz="0" w:space="0" w:color="auto"/>
        <w:left w:val="none" w:sz="0" w:space="0" w:color="auto"/>
        <w:bottom w:val="none" w:sz="0" w:space="0" w:color="auto"/>
        <w:right w:val="none" w:sz="0" w:space="0" w:color="auto"/>
      </w:divBdr>
    </w:div>
    <w:div w:id="446777837">
      <w:bodyDiv w:val="1"/>
      <w:marLeft w:val="0"/>
      <w:marRight w:val="0"/>
      <w:marTop w:val="0"/>
      <w:marBottom w:val="0"/>
      <w:divBdr>
        <w:top w:val="none" w:sz="0" w:space="0" w:color="auto"/>
        <w:left w:val="none" w:sz="0" w:space="0" w:color="auto"/>
        <w:bottom w:val="none" w:sz="0" w:space="0" w:color="auto"/>
        <w:right w:val="none" w:sz="0" w:space="0" w:color="auto"/>
      </w:divBdr>
    </w:div>
    <w:div w:id="501699546">
      <w:bodyDiv w:val="1"/>
      <w:marLeft w:val="0"/>
      <w:marRight w:val="0"/>
      <w:marTop w:val="0"/>
      <w:marBottom w:val="0"/>
      <w:divBdr>
        <w:top w:val="none" w:sz="0" w:space="0" w:color="auto"/>
        <w:left w:val="none" w:sz="0" w:space="0" w:color="auto"/>
        <w:bottom w:val="none" w:sz="0" w:space="0" w:color="auto"/>
        <w:right w:val="none" w:sz="0" w:space="0" w:color="auto"/>
      </w:divBdr>
    </w:div>
    <w:div w:id="526065032">
      <w:bodyDiv w:val="1"/>
      <w:marLeft w:val="0"/>
      <w:marRight w:val="0"/>
      <w:marTop w:val="0"/>
      <w:marBottom w:val="0"/>
      <w:divBdr>
        <w:top w:val="none" w:sz="0" w:space="0" w:color="auto"/>
        <w:left w:val="none" w:sz="0" w:space="0" w:color="auto"/>
        <w:bottom w:val="none" w:sz="0" w:space="0" w:color="auto"/>
        <w:right w:val="none" w:sz="0" w:space="0" w:color="auto"/>
      </w:divBdr>
    </w:div>
    <w:div w:id="633877307">
      <w:bodyDiv w:val="1"/>
      <w:marLeft w:val="0"/>
      <w:marRight w:val="0"/>
      <w:marTop w:val="0"/>
      <w:marBottom w:val="0"/>
      <w:divBdr>
        <w:top w:val="none" w:sz="0" w:space="0" w:color="auto"/>
        <w:left w:val="none" w:sz="0" w:space="0" w:color="auto"/>
        <w:bottom w:val="none" w:sz="0" w:space="0" w:color="auto"/>
        <w:right w:val="none" w:sz="0" w:space="0" w:color="auto"/>
      </w:divBdr>
    </w:div>
    <w:div w:id="655425969">
      <w:bodyDiv w:val="1"/>
      <w:marLeft w:val="0"/>
      <w:marRight w:val="0"/>
      <w:marTop w:val="0"/>
      <w:marBottom w:val="0"/>
      <w:divBdr>
        <w:top w:val="none" w:sz="0" w:space="0" w:color="auto"/>
        <w:left w:val="none" w:sz="0" w:space="0" w:color="auto"/>
        <w:bottom w:val="none" w:sz="0" w:space="0" w:color="auto"/>
        <w:right w:val="none" w:sz="0" w:space="0" w:color="auto"/>
      </w:divBdr>
    </w:div>
    <w:div w:id="755201583">
      <w:bodyDiv w:val="1"/>
      <w:marLeft w:val="0"/>
      <w:marRight w:val="0"/>
      <w:marTop w:val="0"/>
      <w:marBottom w:val="0"/>
      <w:divBdr>
        <w:top w:val="none" w:sz="0" w:space="0" w:color="auto"/>
        <w:left w:val="none" w:sz="0" w:space="0" w:color="auto"/>
        <w:bottom w:val="none" w:sz="0" w:space="0" w:color="auto"/>
        <w:right w:val="none" w:sz="0" w:space="0" w:color="auto"/>
      </w:divBdr>
    </w:div>
    <w:div w:id="759831249">
      <w:bodyDiv w:val="1"/>
      <w:marLeft w:val="0"/>
      <w:marRight w:val="0"/>
      <w:marTop w:val="0"/>
      <w:marBottom w:val="0"/>
      <w:divBdr>
        <w:top w:val="none" w:sz="0" w:space="0" w:color="auto"/>
        <w:left w:val="none" w:sz="0" w:space="0" w:color="auto"/>
        <w:bottom w:val="none" w:sz="0" w:space="0" w:color="auto"/>
        <w:right w:val="none" w:sz="0" w:space="0" w:color="auto"/>
      </w:divBdr>
    </w:div>
    <w:div w:id="765347354">
      <w:bodyDiv w:val="1"/>
      <w:marLeft w:val="0"/>
      <w:marRight w:val="0"/>
      <w:marTop w:val="0"/>
      <w:marBottom w:val="0"/>
      <w:divBdr>
        <w:top w:val="none" w:sz="0" w:space="0" w:color="auto"/>
        <w:left w:val="none" w:sz="0" w:space="0" w:color="auto"/>
        <w:bottom w:val="none" w:sz="0" w:space="0" w:color="auto"/>
        <w:right w:val="none" w:sz="0" w:space="0" w:color="auto"/>
      </w:divBdr>
    </w:div>
    <w:div w:id="803425400">
      <w:bodyDiv w:val="1"/>
      <w:marLeft w:val="0"/>
      <w:marRight w:val="0"/>
      <w:marTop w:val="0"/>
      <w:marBottom w:val="0"/>
      <w:divBdr>
        <w:top w:val="none" w:sz="0" w:space="0" w:color="auto"/>
        <w:left w:val="none" w:sz="0" w:space="0" w:color="auto"/>
        <w:bottom w:val="none" w:sz="0" w:space="0" w:color="auto"/>
        <w:right w:val="none" w:sz="0" w:space="0" w:color="auto"/>
      </w:divBdr>
    </w:div>
    <w:div w:id="816725141">
      <w:bodyDiv w:val="1"/>
      <w:marLeft w:val="0"/>
      <w:marRight w:val="0"/>
      <w:marTop w:val="0"/>
      <w:marBottom w:val="0"/>
      <w:divBdr>
        <w:top w:val="none" w:sz="0" w:space="0" w:color="auto"/>
        <w:left w:val="none" w:sz="0" w:space="0" w:color="auto"/>
        <w:bottom w:val="none" w:sz="0" w:space="0" w:color="auto"/>
        <w:right w:val="none" w:sz="0" w:space="0" w:color="auto"/>
      </w:divBdr>
    </w:div>
    <w:div w:id="817041319">
      <w:bodyDiv w:val="1"/>
      <w:marLeft w:val="0"/>
      <w:marRight w:val="0"/>
      <w:marTop w:val="0"/>
      <w:marBottom w:val="0"/>
      <w:divBdr>
        <w:top w:val="none" w:sz="0" w:space="0" w:color="auto"/>
        <w:left w:val="none" w:sz="0" w:space="0" w:color="auto"/>
        <w:bottom w:val="none" w:sz="0" w:space="0" w:color="auto"/>
        <w:right w:val="none" w:sz="0" w:space="0" w:color="auto"/>
      </w:divBdr>
    </w:div>
    <w:div w:id="883492507">
      <w:bodyDiv w:val="1"/>
      <w:marLeft w:val="0"/>
      <w:marRight w:val="0"/>
      <w:marTop w:val="0"/>
      <w:marBottom w:val="0"/>
      <w:divBdr>
        <w:top w:val="none" w:sz="0" w:space="0" w:color="auto"/>
        <w:left w:val="none" w:sz="0" w:space="0" w:color="auto"/>
        <w:bottom w:val="none" w:sz="0" w:space="0" w:color="auto"/>
        <w:right w:val="none" w:sz="0" w:space="0" w:color="auto"/>
      </w:divBdr>
    </w:div>
    <w:div w:id="890190768">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00095529">
      <w:bodyDiv w:val="1"/>
      <w:marLeft w:val="0"/>
      <w:marRight w:val="0"/>
      <w:marTop w:val="0"/>
      <w:marBottom w:val="0"/>
      <w:divBdr>
        <w:top w:val="none" w:sz="0" w:space="0" w:color="auto"/>
        <w:left w:val="none" w:sz="0" w:space="0" w:color="auto"/>
        <w:bottom w:val="none" w:sz="0" w:space="0" w:color="auto"/>
        <w:right w:val="none" w:sz="0" w:space="0" w:color="auto"/>
      </w:divBdr>
    </w:div>
    <w:div w:id="926504429">
      <w:bodyDiv w:val="1"/>
      <w:marLeft w:val="0"/>
      <w:marRight w:val="0"/>
      <w:marTop w:val="0"/>
      <w:marBottom w:val="0"/>
      <w:divBdr>
        <w:top w:val="none" w:sz="0" w:space="0" w:color="auto"/>
        <w:left w:val="none" w:sz="0" w:space="0" w:color="auto"/>
        <w:bottom w:val="none" w:sz="0" w:space="0" w:color="auto"/>
        <w:right w:val="none" w:sz="0" w:space="0" w:color="auto"/>
      </w:divBdr>
    </w:div>
    <w:div w:id="934442324">
      <w:bodyDiv w:val="1"/>
      <w:marLeft w:val="0"/>
      <w:marRight w:val="0"/>
      <w:marTop w:val="0"/>
      <w:marBottom w:val="0"/>
      <w:divBdr>
        <w:top w:val="none" w:sz="0" w:space="0" w:color="auto"/>
        <w:left w:val="none" w:sz="0" w:space="0" w:color="auto"/>
        <w:bottom w:val="none" w:sz="0" w:space="0" w:color="auto"/>
        <w:right w:val="none" w:sz="0" w:space="0" w:color="auto"/>
      </w:divBdr>
    </w:div>
    <w:div w:id="941379557">
      <w:bodyDiv w:val="1"/>
      <w:marLeft w:val="0"/>
      <w:marRight w:val="0"/>
      <w:marTop w:val="0"/>
      <w:marBottom w:val="0"/>
      <w:divBdr>
        <w:top w:val="none" w:sz="0" w:space="0" w:color="auto"/>
        <w:left w:val="none" w:sz="0" w:space="0" w:color="auto"/>
        <w:bottom w:val="none" w:sz="0" w:space="0" w:color="auto"/>
        <w:right w:val="none" w:sz="0" w:space="0" w:color="auto"/>
      </w:divBdr>
    </w:div>
    <w:div w:id="996543097">
      <w:bodyDiv w:val="1"/>
      <w:marLeft w:val="0"/>
      <w:marRight w:val="0"/>
      <w:marTop w:val="0"/>
      <w:marBottom w:val="0"/>
      <w:divBdr>
        <w:top w:val="none" w:sz="0" w:space="0" w:color="auto"/>
        <w:left w:val="none" w:sz="0" w:space="0" w:color="auto"/>
        <w:bottom w:val="none" w:sz="0" w:space="0" w:color="auto"/>
        <w:right w:val="none" w:sz="0" w:space="0" w:color="auto"/>
      </w:divBdr>
    </w:div>
    <w:div w:id="1051003694">
      <w:bodyDiv w:val="1"/>
      <w:marLeft w:val="0"/>
      <w:marRight w:val="0"/>
      <w:marTop w:val="0"/>
      <w:marBottom w:val="0"/>
      <w:divBdr>
        <w:top w:val="none" w:sz="0" w:space="0" w:color="auto"/>
        <w:left w:val="none" w:sz="0" w:space="0" w:color="auto"/>
        <w:bottom w:val="none" w:sz="0" w:space="0" w:color="auto"/>
        <w:right w:val="none" w:sz="0" w:space="0" w:color="auto"/>
      </w:divBdr>
    </w:div>
    <w:div w:id="1090586133">
      <w:bodyDiv w:val="1"/>
      <w:marLeft w:val="0"/>
      <w:marRight w:val="0"/>
      <w:marTop w:val="0"/>
      <w:marBottom w:val="0"/>
      <w:divBdr>
        <w:top w:val="none" w:sz="0" w:space="0" w:color="auto"/>
        <w:left w:val="none" w:sz="0" w:space="0" w:color="auto"/>
        <w:bottom w:val="none" w:sz="0" w:space="0" w:color="auto"/>
        <w:right w:val="none" w:sz="0" w:space="0" w:color="auto"/>
      </w:divBdr>
    </w:div>
    <w:div w:id="1102263713">
      <w:bodyDiv w:val="1"/>
      <w:marLeft w:val="0"/>
      <w:marRight w:val="0"/>
      <w:marTop w:val="0"/>
      <w:marBottom w:val="0"/>
      <w:divBdr>
        <w:top w:val="none" w:sz="0" w:space="0" w:color="auto"/>
        <w:left w:val="none" w:sz="0" w:space="0" w:color="auto"/>
        <w:bottom w:val="none" w:sz="0" w:space="0" w:color="auto"/>
        <w:right w:val="none" w:sz="0" w:space="0" w:color="auto"/>
      </w:divBdr>
    </w:div>
    <w:div w:id="1110204967">
      <w:bodyDiv w:val="1"/>
      <w:marLeft w:val="0"/>
      <w:marRight w:val="0"/>
      <w:marTop w:val="0"/>
      <w:marBottom w:val="0"/>
      <w:divBdr>
        <w:top w:val="none" w:sz="0" w:space="0" w:color="auto"/>
        <w:left w:val="none" w:sz="0" w:space="0" w:color="auto"/>
        <w:bottom w:val="none" w:sz="0" w:space="0" w:color="auto"/>
        <w:right w:val="none" w:sz="0" w:space="0" w:color="auto"/>
      </w:divBdr>
    </w:div>
    <w:div w:id="1132141109">
      <w:bodyDiv w:val="1"/>
      <w:marLeft w:val="0"/>
      <w:marRight w:val="0"/>
      <w:marTop w:val="0"/>
      <w:marBottom w:val="0"/>
      <w:divBdr>
        <w:top w:val="none" w:sz="0" w:space="0" w:color="auto"/>
        <w:left w:val="none" w:sz="0" w:space="0" w:color="auto"/>
        <w:bottom w:val="none" w:sz="0" w:space="0" w:color="auto"/>
        <w:right w:val="none" w:sz="0" w:space="0" w:color="auto"/>
      </w:divBdr>
    </w:div>
    <w:div w:id="1143425707">
      <w:bodyDiv w:val="1"/>
      <w:marLeft w:val="0"/>
      <w:marRight w:val="0"/>
      <w:marTop w:val="0"/>
      <w:marBottom w:val="0"/>
      <w:divBdr>
        <w:top w:val="none" w:sz="0" w:space="0" w:color="auto"/>
        <w:left w:val="none" w:sz="0" w:space="0" w:color="auto"/>
        <w:bottom w:val="none" w:sz="0" w:space="0" w:color="auto"/>
        <w:right w:val="none" w:sz="0" w:space="0" w:color="auto"/>
      </w:divBdr>
    </w:div>
    <w:div w:id="1220703716">
      <w:bodyDiv w:val="1"/>
      <w:marLeft w:val="0"/>
      <w:marRight w:val="0"/>
      <w:marTop w:val="0"/>
      <w:marBottom w:val="0"/>
      <w:divBdr>
        <w:top w:val="none" w:sz="0" w:space="0" w:color="auto"/>
        <w:left w:val="none" w:sz="0" w:space="0" w:color="auto"/>
        <w:bottom w:val="none" w:sz="0" w:space="0" w:color="auto"/>
        <w:right w:val="none" w:sz="0" w:space="0" w:color="auto"/>
      </w:divBdr>
    </w:div>
    <w:div w:id="1271741142">
      <w:bodyDiv w:val="1"/>
      <w:marLeft w:val="0"/>
      <w:marRight w:val="0"/>
      <w:marTop w:val="0"/>
      <w:marBottom w:val="0"/>
      <w:divBdr>
        <w:top w:val="none" w:sz="0" w:space="0" w:color="auto"/>
        <w:left w:val="none" w:sz="0" w:space="0" w:color="auto"/>
        <w:bottom w:val="none" w:sz="0" w:space="0" w:color="auto"/>
        <w:right w:val="none" w:sz="0" w:space="0" w:color="auto"/>
      </w:divBdr>
    </w:div>
    <w:div w:id="1284654697">
      <w:bodyDiv w:val="1"/>
      <w:marLeft w:val="0"/>
      <w:marRight w:val="0"/>
      <w:marTop w:val="0"/>
      <w:marBottom w:val="0"/>
      <w:divBdr>
        <w:top w:val="none" w:sz="0" w:space="0" w:color="auto"/>
        <w:left w:val="none" w:sz="0" w:space="0" w:color="auto"/>
        <w:bottom w:val="none" w:sz="0" w:space="0" w:color="auto"/>
        <w:right w:val="none" w:sz="0" w:space="0" w:color="auto"/>
      </w:divBdr>
    </w:div>
    <w:div w:id="1320186090">
      <w:bodyDiv w:val="1"/>
      <w:marLeft w:val="0"/>
      <w:marRight w:val="0"/>
      <w:marTop w:val="0"/>
      <w:marBottom w:val="0"/>
      <w:divBdr>
        <w:top w:val="none" w:sz="0" w:space="0" w:color="auto"/>
        <w:left w:val="none" w:sz="0" w:space="0" w:color="auto"/>
        <w:bottom w:val="none" w:sz="0" w:space="0" w:color="auto"/>
        <w:right w:val="none" w:sz="0" w:space="0" w:color="auto"/>
      </w:divBdr>
    </w:div>
    <w:div w:id="1337806368">
      <w:bodyDiv w:val="1"/>
      <w:marLeft w:val="0"/>
      <w:marRight w:val="0"/>
      <w:marTop w:val="0"/>
      <w:marBottom w:val="0"/>
      <w:divBdr>
        <w:top w:val="none" w:sz="0" w:space="0" w:color="auto"/>
        <w:left w:val="none" w:sz="0" w:space="0" w:color="auto"/>
        <w:bottom w:val="none" w:sz="0" w:space="0" w:color="auto"/>
        <w:right w:val="none" w:sz="0" w:space="0" w:color="auto"/>
      </w:divBdr>
    </w:div>
    <w:div w:id="1354727420">
      <w:bodyDiv w:val="1"/>
      <w:marLeft w:val="0"/>
      <w:marRight w:val="0"/>
      <w:marTop w:val="0"/>
      <w:marBottom w:val="0"/>
      <w:divBdr>
        <w:top w:val="none" w:sz="0" w:space="0" w:color="auto"/>
        <w:left w:val="none" w:sz="0" w:space="0" w:color="auto"/>
        <w:bottom w:val="none" w:sz="0" w:space="0" w:color="auto"/>
        <w:right w:val="none" w:sz="0" w:space="0" w:color="auto"/>
      </w:divBdr>
    </w:div>
    <w:div w:id="1412505286">
      <w:bodyDiv w:val="1"/>
      <w:marLeft w:val="0"/>
      <w:marRight w:val="0"/>
      <w:marTop w:val="0"/>
      <w:marBottom w:val="0"/>
      <w:divBdr>
        <w:top w:val="none" w:sz="0" w:space="0" w:color="auto"/>
        <w:left w:val="none" w:sz="0" w:space="0" w:color="auto"/>
        <w:bottom w:val="none" w:sz="0" w:space="0" w:color="auto"/>
        <w:right w:val="none" w:sz="0" w:space="0" w:color="auto"/>
      </w:divBdr>
    </w:div>
    <w:div w:id="1428430566">
      <w:bodyDiv w:val="1"/>
      <w:marLeft w:val="0"/>
      <w:marRight w:val="0"/>
      <w:marTop w:val="0"/>
      <w:marBottom w:val="0"/>
      <w:divBdr>
        <w:top w:val="none" w:sz="0" w:space="0" w:color="auto"/>
        <w:left w:val="none" w:sz="0" w:space="0" w:color="auto"/>
        <w:bottom w:val="none" w:sz="0" w:space="0" w:color="auto"/>
        <w:right w:val="none" w:sz="0" w:space="0" w:color="auto"/>
      </w:divBdr>
    </w:div>
    <w:div w:id="1452939911">
      <w:bodyDiv w:val="1"/>
      <w:marLeft w:val="0"/>
      <w:marRight w:val="0"/>
      <w:marTop w:val="0"/>
      <w:marBottom w:val="0"/>
      <w:divBdr>
        <w:top w:val="none" w:sz="0" w:space="0" w:color="auto"/>
        <w:left w:val="none" w:sz="0" w:space="0" w:color="auto"/>
        <w:bottom w:val="none" w:sz="0" w:space="0" w:color="auto"/>
        <w:right w:val="none" w:sz="0" w:space="0" w:color="auto"/>
      </w:divBdr>
    </w:div>
    <w:div w:id="1475829924">
      <w:bodyDiv w:val="1"/>
      <w:marLeft w:val="0"/>
      <w:marRight w:val="0"/>
      <w:marTop w:val="0"/>
      <w:marBottom w:val="0"/>
      <w:divBdr>
        <w:top w:val="none" w:sz="0" w:space="0" w:color="auto"/>
        <w:left w:val="none" w:sz="0" w:space="0" w:color="auto"/>
        <w:bottom w:val="none" w:sz="0" w:space="0" w:color="auto"/>
        <w:right w:val="none" w:sz="0" w:space="0" w:color="auto"/>
      </w:divBdr>
    </w:div>
    <w:div w:id="1490751030">
      <w:bodyDiv w:val="1"/>
      <w:marLeft w:val="0"/>
      <w:marRight w:val="0"/>
      <w:marTop w:val="0"/>
      <w:marBottom w:val="0"/>
      <w:divBdr>
        <w:top w:val="none" w:sz="0" w:space="0" w:color="auto"/>
        <w:left w:val="none" w:sz="0" w:space="0" w:color="auto"/>
        <w:bottom w:val="none" w:sz="0" w:space="0" w:color="auto"/>
        <w:right w:val="none" w:sz="0" w:space="0" w:color="auto"/>
      </w:divBdr>
    </w:div>
    <w:div w:id="1541553533">
      <w:bodyDiv w:val="1"/>
      <w:marLeft w:val="0"/>
      <w:marRight w:val="0"/>
      <w:marTop w:val="0"/>
      <w:marBottom w:val="0"/>
      <w:divBdr>
        <w:top w:val="none" w:sz="0" w:space="0" w:color="auto"/>
        <w:left w:val="none" w:sz="0" w:space="0" w:color="auto"/>
        <w:bottom w:val="none" w:sz="0" w:space="0" w:color="auto"/>
        <w:right w:val="none" w:sz="0" w:space="0" w:color="auto"/>
      </w:divBdr>
    </w:div>
    <w:div w:id="1676346549">
      <w:bodyDiv w:val="1"/>
      <w:marLeft w:val="0"/>
      <w:marRight w:val="0"/>
      <w:marTop w:val="0"/>
      <w:marBottom w:val="0"/>
      <w:divBdr>
        <w:top w:val="none" w:sz="0" w:space="0" w:color="auto"/>
        <w:left w:val="none" w:sz="0" w:space="0" w:color="auto"/>
        <w:bottom w:val="none" w:sz="0" w:space="0" w:color="auto"/>
        <w:right w:val="none" w:sz="0" w:space="0" w:color="auto"/>
      </w:divBdr>
    </w:div>
    <w:div w:id="1681084771">
      <w:bodyDiv w:val="1"/>
      <w:marLeft w:val="0"/>
      <w:marRight w:val="0"/>
      <w:marTop w:val="0"/>
      <w:marBottom w:val="0"/>
      <w:divBdr>
        <w:top w:val="none" w:sz="0" w:space="0" w:color="auto"/>
        <w:left w:val="none" w:sz="0" w:space="0" w:color="auto"/>
        <w:bottom w:val="none" w:sz="0" w:space="0" w:color="auto"/>
        <w:right w:val="none" w:sz="0" w:space="0" w:color="auto"/>
      </w:divBdr>
    </w:div>
    <w:div w:id="1709647987">
      <w:bodyDiv w:val="1"/>
      <w:marLeft w:val="0"/>
      <w:marRight w:val="0"/>
      <w:marTop w:val="0"/>
      <w:marBottom w:val="0"/>
      <w:divBdr>
        <w:top w:val="none" w:sz="0" w:space="0" w:color="auto"/>
        <w:left w:val="none" w:sz="0" w:space="0" w:color="auto"/>
        <w:bottom w:val="none" w:sz="0" w:space="0" w:color="auto"/>
        <w:right w:val="none" w:sz="0" w:space="0" w:color="auto"/>
      </w:divBdr>
    </w:div>
    <w:div w:id="1757282627">
      <w:bodyDiv w:val="1"/>
      <w:marLeft w:val="0"/>
      <w:marRight w:val="0"/>
      <w:marTop w:val="0"/>
      <w:marBottom w:val="0"/>
      <w:divBdr>
        <w:top w:val="none" w:sz="0" w:space="0" w:color="auto"/>
        <w:left w:val="none" w:sz="0" w:space="0" w:color="auto"/>
        <w:bottom w:val="none" w:sz="0" w:space="0" w:color="auto"/>
        <w:right w:val="none" w:sz="0" w:space="0" w:color="auto"/>
      </w:divBdr>
    </w:div>
    <w:div w:id="1766148915">
      <w:bodyDiv w:val="1"/>
      <w:marLeft w:val="0"/>
      <w:marRight w:val="0"/>
      <w:marTop w:val="0"/>
      <w:marBottom w:val="0"/>
      <w:divBdr>
        <w:top w:val="none" w:sz="0" w:space="0" w:color="auto"/>
        <w:left w:val="none" w:sz="0" w:space="0" w:color="auto"/>
        <w:bottom w:val="none" w:sz="0" w:space="0" w:color="auto"/>
        <w:right w:val="none" w:sz="0" w:space="0" w:color="auto"/>
      </w:divBdr>
    </w:div>
    <w:div w:id="1784571533">
      <w:bodyDiv w:val="1"/>
      <w:marLeft w:val="0"/>
      <w:marRight w:val="0"/>
      <w:marTop w:val="0"/>
      <w:marBottom w:val="0"/>
      <w:divBdr>
        <w:top w:val="none" w:sz="0" w:space="0" w:color="auto"/>
        <w:left w:val="none" w:sz="0" w:space="0" w:color="auto"/>
        <w:bottom w:val="none" w:sz="0" w:space="0" w:color="auto"/>
        <w:right w:val="none" w:sz="0" w:space="0" w:color="auto"/>
      </w:divBdr>
    </w:div>
    <w:div w:id="1801260551">
      <w:bodyDiv w:val="1"/>
      <w:marLeft w:val="0"/>
      <w:marRight w:val="0"/>
      <w:marTop w:val="0"/>
      <w:marBottom w:val="0"/>
      <w:divBdr>
        <w:top w:val="none" w:sz="0" w:space="0" w:color="auto"/>
        <w:left w:val="none" w:sz="0" w:space="0" w:color="auto"/>
        <w:bottom w:val="none" w:sz="0" w:space="0" w:color="auto"/>
        <w:right w:val="none" w:sz="0" w:space="0" w:color="auto"/>
      </w:divBdr>
    </w:div>
    <w:div w:id="1803962700">
      <w:bodyDiv w:val="1"/>
      <w:marLeft w:val="0"/>
      <w:marRight w:val="0"/>
      <w:marTop w:val="0"/>
      <w:marBottom w:val="0"/>
      <w:divBdr>
        <w:top w:val="none" w:sz="0" w:space="0" w:color="auto"/>
        <w:left w:val="none" w:sz="0" w:space="0" w:color="auto"/>
        <w:bottom w:val="none" w:sz="0" w:space="0" w:color="auto"/>
        <w:right w:val="none" w:sz="0" w:space="0" w:color="auto"/>
      </w:divBdr>
    </w:div>
    <w:div w:id="1838225288">
      <w:bodyDiv w:val="1"/>
      <w:marLeft w:val="0"/>
      <w:marRight w:val="0"/>
      <w:marTop w:val="0"/>
      <w:marBottom w:val="0"/>
      <w:divBdr>
        <w:top w:val="none" w:sz="0" w:space="0" w:color="auto"/>
        <w:left w:val="none" w:sz="0" w:space="0" w:color="auto"/>
        <w:bottom w:val="none" w:sz="0" w:space="0" w:color="auto"/>
        <w:right w:val="none" w:sz="0" w:space="0" w:color="auto"/>
      </w:divBdr>
    </w:div>
    <w:div w:id="1838423186">
      <w:bodyDiv w:val="1"/>
      <w:marLeft w:val="0"/>
      <w:marRight w:val="0"/>
      <w:marTop w:val="0"/>
      <w:marBottom w:val="0"/>
      <w:divBdr>
        <w:top w:val="none" w:sz="0" w:space="0" w:color="auto"/>
        <w:left w:val="none" w:sz="0" w:space="0" w:color="auto"/>
        <w:bottom w:val="none" w:sz="0" w:space="0" w:color="auto"/>
        <w:right w:val="none" w:sz="0" w:space="0" w:color="auto"/>
      </w:divBdr>
    </w:div>
    <w:div w:id="1903640905">
      <w:bodyDiv w:val="1"/>
      <w:marLeft w:val="0"/>
      <w:marRight w:val="0"/>
      <w:marTop w:val="0"/>
      <w:marBottom w:val="0"/>
      <w:divBdr>
        <w:top w:val="none" w:sz="0" w:space="0" w:color="auto"/>
        <w:left w:val="none" w:sz="0" w:space="0" w:color="auto"/>
        <w:bottom w:val="none" w:sz="0" w:space="0" w:color="auto"/>
        <w:right w:val="none" w:sz="0" w:space="0" w:color="auto"/>
      </w:divBdr>
    </w:div>
    <w:div w:id="1909654868">
      <w:bodyDiv w:val="1"/>
      <w:marLeft w:val="0"/>
      <w:marRight w:val="0"/>
      <w:marTop w:val="0"/>
      <w:marBottom w:val="0"/>
      <w:divBdr>
        <w:top w:val="none" w:sz="0" w:space="0" w:color="auto"/>
        <w:left w:val="none" w:sz="0" w:space="0" w:color="auto"/>
        <w:bottom w:val="none" w:sz="0" w:space="0" w:color="auto"/>
        <w:right w:val="none" w:sz="0" w:space="0" w:color="auto"/>
      </w:divBdr>
    </w:div>
    <w:div w:id="1932425964">
      <w:bodyDiv w:val="1"/>
      <w:marLeft w:val="0"/>
      <w:marRight w:val="0"/>
      <w:marTop w:val="0"/>
      <w:marBottom w:val="0"/>
      <w:divBdr>
        <w:top w:val="none" w:sz="0" w:space="0" w:color="auto"/>
        <w:left w:val="none" w:sz="0" w:space="0" w:color="auto"/>
        <w:bottom w:val="none" w:sz="0" w:space="0" w:color="auto"/>
        <w:right w:val="none" w:sz="0" w:space="0" w:color="auto"/>
      </w:divBdr>
    </w:div>
    <w:div w:id="1981303221">
      <w:bodyDiv w:val="1"/>
      <w:marLeft w:val="0"/>
      <w:marRight w:val="0"/>
      <w:marTop w:val="0"/>
      <w:marBottom w:val="0"/>
      <w:divBdr>
        <w:top w:val="none" w:sz="0" w:space="0" w:color="auto"/>
        <w:left w:val="none" w:sz="0" w:space="0" w:color="auto"/>
        <w:bottom w:val="none" w:sz="0" w:space="0" w:color="auto"/>
        <w:right w:val="none" w:sz="0" w:space="0" w:color="auto"/>
      </w:divBdr>
    </w:div>
    <w:div w:id="2055083959">
      <w:bodyDiv w:val="1"/>
      <w:marLeft w:val="0"/>
      <w:marRight w:val="0"/>
      <w:marTop w:val="0"/>
      <w:marBottom w:val="0"/>
      <w:divBdr>
        <w:top w:val="none" w:sz="0" w:space="0" w:color="auto"/>
        <w:left w:val="none" w:sz="0" w:space="0" w:color="auto"/>
        <w:bottom w:val="none" w:sz="0" w:space="0" w:color="auto"/>
        <w:right w:val="none" w:sz="0" w:space="0" w:color="auto"/>
      </w:divBdr>
    </w:div>
    <w:div w:id="2062904191">
      <w:bodyDiv w:val="1"/>
      <w:marLeft w:val="0"/>
      <w:marRight w:val="0"/>
      <w:marTop w:val="0"/>
      <w:marBottom w:val="0"/>
      <w:divBdr>
        <w:top w:val="none" w:sz="0" w:space="0" w:color="auto"/>
        <w:left w:val="none" w:sz="0" w:space="0" w:color="auto"/>
        <w:bottom w:val="none" w:sz="0" w:space="0" w:color="auto"/>
        <w:right w:val="none" w:sz="0" w:space="0" w:color="auto"/>
      </w:divBdr>
    </w:div>
    <w:div w:id="20692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3E1C8-0682-49AF-A2B0-230DD43E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85</TotalTime>
  <Pages>3</Pages>
  <Words>1509</Words>
  <Characters>7648</Characters>
  <Application>Microsoft Office Word</Application>
  <DocSecurity>0</DocSecurity>
  <Lines>63</Lines>
  <Paragraphs>18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146</cp:revision>
  <cp:lastPrinted>2015-09-22T11:29:00Z</cp:lastPrinted>
  <dcterms:created xsi:type="dcterms:W3CDTF">2015-09-22T12:04:00Z</dcterms:created>
  <dcterms:modified xsi:type="dcterms:W3CDTF">2015-10-22T14:32:00Z</dcterms:modified>
</cp:coreProperties>
</file>