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281" w:rsidRPr="005E0476" w:rsidRDefault="00B55301" w:rsidP="00E836AD">
      <w:pPr>
        <w:pStyle w:val="Nadpis1"/>
        <w:numPr>
          <w:ilvl w:val="0"/>
          <w:numId w:val="6"/>
        </w:numPr>
        <w:jc w:val="both"/>
        <w:rPr>
          <w:lang w:val="en-GB"/>
        </w:rPr>
      </w:pPr>
      <w:bookmarkStart w:id="0" w:name="_Toc433292813"/>
      <w:r w:rsidRPr="005E0476">
        <w:rPr>
          <w:lang w:val="en-GB"/>
        </w:rPr>
        <w:t>Labour Market</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77"/>
        <w:gridCol w:w="282"/>
        <w:gridCol w:w="7495"/>
      </w:tblGrid>
      <w:tr w:rsidR="00347C83" w:rsidRPr="005E0476" w:rsidTr="00326F8C">
        <w:tc>
          <w:tcPr>
            <w:tcW w:w="1054" w:type="pct"/>
            <w:tcBorders>
              <w:top w:val="nil"/>
              <w:left w:val="nil"/>
              <w:bottom w:val="nil"/>
              <w:right w:val="nil"/>
            </w:tcBorders>
          </w:tcPr>
          <w:p w:rsidR="00347C83" w:rsidRPr="00D40914" w:rsidRDefault="00347C83" w:rsidP="00326F8C">
            <w:pPr>
              <w:spacing w:line="240" w:lineRule="auto"/>
              <w:rPr>
                <w:sz w:val="16"/>
                <w:szCs w:val="16"/>
                <w:lang w:val="en-GB"/>
              </w:rPr>
            </w:pPr>
            <w:r w:rsidRPr="00D40914">
              <w:rPr>
                <w:sz w:val="16"/>
                <w:szCs w:val="16"/>
                <w:lang w:val="en-GB"/>
              </w:rPr>
              <w:t xml:space="preserve">Favourable development of the Czech economy spills also to the labour market </w:t>
            </w:r>
          </w:p>
        </w:tc>
        <w:tc>
          <w:tcPr>
            <w:tcW w:w="143" w:type="pct"/>
            <w:tcBorders>
              <w:top w:val="nil"/>
              <w:left w:val="nil"/>
              <w:bottom w:val="nil"/>
              <w:right w:val="nil"/>
            </w:tcBorders>
          </w:tcPr>
          <w:p w:rsidR="00347C83" w:rsidRPr="00D40914" w:rsidRDefault="00347C83" w:rsidP="00326F8C">
            <w:pPr>
              <w:pStyle w:val="Textpoznpodarou"/>
              <w:jc w:val="both"/>
              <w:rPr>
                <w:lang w:val="en-GB"/>
              </w:rPr>
            </w:pPr>
          </w:p>
        </w:tc>
        <w:tc>
          <w:tcPr>
            <w:tcW w:w="3803" w:type="pct"/>
            <w:tcBorders>
              <w:top w:val="nil"/>
              <w:left w:val="nil"/>
              <w:bottom w:val="nil"/>
              <w:right w:val="nil"/>
            </w:tcBorders>
          </w:tcPr>
          <w:p w:rsidR="00347C83" w:rsidRPr="00D40914" w:rsidRDefault="00347C83" w:rsidP="00326F8C">
            <w:pPr>
              <w:pStyle w:val="Textpoznpodarou"/>
              <w:jc w:val="both"/>
              <w:rPr>
                <w:lang w:val="en-GB"/>
              </w:rPr>
            </w:pPr>
            <w:r w:rsidRPr="00D40914">
              <w:rPr>
                <w:lang w:val="en-GB"/>
              </w:rPr>
              <w:t>Current trends on the labour market fully correspond to the development of the real economy. Total employment went up in the year-on-year comparison in both quarters of 2015, the numbers of vacant positions</w:t>
            </w:r>
            <w:r>
              <w:rPr>
                <w:lang w:val="en-GB"/>
              </w:rPr>
              <w:t xml:space="preserve"> also</w:t>
            </w:r>
            <w:r w:rsidRPr="00D40914">
              <w:rPr>
                <w:lang w:val="en-GB"/>
              </w:rPr>
              <w:t xml:space="preserve"> increased. Number of persons seeking employment as well as their share in the total labour force was decreasing. Nominal growth of wages, which was only modest in the last year and at the beginning of year 2015 and did not develop in line with the expectations, already accelerated in Q2. </w:t>
            </w:r>
          </w:p>
          <w:p w:rsidR="00347C83" w:rsidRPr="00D40914" w:rsidRDefault="00347C83" w:rsidP="00326F8C">
            <w:pPr>
              <w:pStyle w:val="Textpoznpodarou"/>
              <w:jc w:val="both"/>
              <w:rPr>
                <w:spacing w:val="-2"/>
                <w:lang w:val="en-GB"/>
              </w:rPr>
            </w:pPr>
          </w:p>
        </w:tc>
      </w:tr>
      <w:tr w:rsidR="00347C83" w:rsidRPr="005E0476" w:rsidTr="00326F8C">
        <w:tc>
          <w:tcPr>
            <w:tcW w:w="1054" w:type="pct"/>
            <w:tcBorders>
              <w:top w:val="nil"/>
              <w:left w:val="nil"/>
              <w:bottom w:val="nil"/>
              <w:right w:val="nil"/>
            </w:tcBorders>
          </w:tcPr>
          <w:p w:rsidR="00347C83" w:rsidRPr="00D40914" w:rsidRDefault="00347C83" w:rsidP="00326F8C">
            <w:pPr>
              <w:spacing w:line="240" w:lineRule="auto"/>
              <w:rPr>
                <w:sz w:val="16"/>
                <w:szCs w:val="16"/>
                <w:lang w:val="en-GB"/>
              </w:rPr>
            </w:pPr>
            <w:r w:rsidRPr="00D40914">
              <w:rPr>
                <w:sz w:val="16"/>
                <w:szCs w:val="16"/>
                <w:lang w:val="en-GB"/>
              </w:rPr>
              <w:t>Total employment increased already by 1.4 % year-on-year in Q2 2015, …</w:t>
            </w:r>
          </w:p>
        </w:tc>
        <w:tc>
          <w:tcPr>
            <w:tcW w:w="143" w:type="pct"/>
            <w:tcBorders>
              <w:top w:val="nil"/>
              <w:left w:val="nil"/>
              <w:bottom w:val="nil"/>
              <w:right w:val="nil"/>
            </w:tcBorders>
          </w:tcPr>
          <w:p w:rsidR="00347C83" w:rsidRPr="00D40914" w:rsidRDefault="00347C83" w:rsidP="00326F8C">
            <w:pPr>
              <w:pStyle w:val="Textpoznpodarou"/>
              <w:jc w:val="both"/>
              <w:rPr>
                <w:lang w:val="en-GB"/>
              </w:rPr>
            </w:pPr>
          </w:p>
        </w:tc>
        <w:tc>
          <w:tcPr>
            <w:tcW w:w="3803" w:type="pct"/>
            <w:tcBorders>
              <w:top w:val="nil"/>
              <w:left w:val="nil"/>
              <w:bottom w:val="nil"/>
              <w:right w:val="nil"/>
            </w:tcBorders>
          </w:tcPr>
          <w:p w:rsidR="00347C83" w:rsidRPr="00D40914" w:rsidRDefault="00347C83" w:rsidP="00326F8C">
            <w:pPr>
              <w:pStyle w:val="Textpoznpodarou"/>
              <w:jc w:val="both"/>
              <w:rPr>
                <w:lang w:val="en-GB"/>
              </w:rPr>
            </w:pPr>
            <w:r w:rsidRPr="00D40914">
              <w:rPr>
                <w:lang w:val="en-GB"/>
              </w:rPr>
              <w:t>Total employment</w:t>
            </w:r>
            <w:r w:rsidRPr="00D40914">
              <w:rPr>
                <w:rStyle w:val="Znakapoznpodarou"/>
                <w:lang w:val="en-GB"/>
              </w:rPr>
              <w:footnoteReference w:id="1"/>
            </w:r>
            <w:r w:rsidRPr="00D40914">
              <w:rPr>
                <w:lang w:val="en-GB"/>
              </w:rPr>
              <w:t xml:space="preserve"> rose by 1.3 % year-on-year in total for the entire H1 of this year and thus it increased the fastest since the 2</w:t>
            </w:r>
            <w:r w:rsidRPr="00D40914">
              <w:rPr>
                <w:vertAlign w:val="superscript"/>
                <w:lang w:val="en-GB"/>
              </w:rPr>
              <w:t>nd</w:t>
            </w:r>
            <w:r w:rsidRPr="00D40914">
              <w:rPr>
                <w:lang w:val="en-GB"/>
              </w:rPr>
              <w:t xml:space="preserve"> half of the pre-crisis year 2008 (+2.2 %). Additionally it is apparent, that its increments are continually expanding. If the number of employed persons was practically the same in Q2 2014 as in the same period of the previous year, it was already higher by 1.1 % year-on-year in Q1 2015 and even by 1.4 % in Q2. </w:t>
            </w:r>
          </w:p>
          <w:p w:rsidR="00347C83" w:rsidRPr="00D40914" w:rsidRDefault="00347C83" w:rsidP="00326F8C">
            <w:pPr>
              <w:pStyle w:val="Textpoznpodarou"/>
              <w:jc w:val="both"/>
              <w:rPr>
                <w:spacing w:val="-2"/>
                <w:lang w:val="en-GB"/>
              </w:rPr>
            </w:pPr>
          </w:p>
        </w:tc>
      </w:tr>
      <w:tr w:rsidR="00347C83" w:rsidRPr="005E0476" w:rsidTr="00326F8C">
        <w:tc>
          <w:tcPr>
            <w:tcW w:w="1054" w:type="pct"/>
            <w:tcBorders>
              <w:top w:val="nil"/>
              <w:left w:val="nil"/>
              <w:bottom w:val="nil"/>
              <w:right w:val="nil"/>
            </w:tcBorders>
          </w:tcPr>
          <w:p w:rsidR="00347C83" w:rsidRPr="00D40914" w:rsidRDefault="00347C83" w:rsidP="00326F8C">
            <w:pPr>
              <w:spacing w:line="240" w:lineRule="auto"/>
              <w:rPr>
                <w:sz w:val="16"/>
                <w:szCs w:val="16"/>
                <w:lang w:val="en-GB"/>
              </w:rPr>
            </w:pPr>
            <w:r w:rsidRPr="00D40914">
              <w:rPr>
                <w:sz w:val="16"/>
                <w:szCs w:val="16"/>
                <w:lang w:val="en-GB"/>
              </w:rPr>
              <w:t>… especially due to the increase of number of employed in trade, transportation, accommodation and food service, in the manufacturing and in branches with the prevalence of the public sector</w:t>
            </w:r>
          </w:p>
        </w:tc>
        <w:tc>
          <w:tcPr>
            <w:tcW w:w="143" w:type="pct"/>
            <w:tcBorders>
              <w:top w:val="nil"/>
              <w:left w:val="nil"/>
              <w:bottom w:val="nil"/>
              <w:right w:val="nil"/>
            </w:tcBorders>
          </w:tcPr>
          <w:p w:rsidR="00347C83" w:rsidRPr="00D40914" w:rsidRDefault="00347C83" w:rsidP="00326F8C">
            <w:pPr>
              <w:pStyle w:val="Textpoznpodarou"/>
              <w:jc w:val="both"/>
              <w:rPr>
                <w:lang w:val="en-GB"/>
              </w:rPr>
            </w:pPr>
          </w:p>
        </w:tc>
        <w:tc>
          <w:tcPr>
            <w:tcW w:w="3803" w:type="pct"/>
            <w:tcBorders>
              <w:top w:val="nil"/>
              <w:left w:val="nil"/>
              <w:bottom w:val="nil"/>
              <w:right w:val="nil"/>
            </w:tcBorders>
          </w:tcPr>
          <w:p w:rsidR="00347C83" w:rsidRPr="00D40914" w:rsidRDefault="00347C83" w:rsidP="00326F8C">
            <w:pPr>
              <w:pStyle w:val="Textpoznpodarou"/>
              <w:jc w:val="both"/>
              <w:rPr>
                <w:lang w:val="en-GB"/>
              </w:rPr>
            </w:pPr>
            <w:r w:rsidRPr="00D40914">
              <w:rPr>
                <w:lang w:val="en-GB"/>
              </w:rPr>
              <w:t>The increase of employment mingled nearly throughout the entire economy, except for only the financial and insurance activities (which registered by 0.2 thousand workers less on a year ago in Q2 2015), industrial branches apart from the manufacturing (-0.6 thousand) and „traditionally</w:t>
            </w:r>
            <w:proofErr w:type="gramStart"/>
            <w:r w:rsidRPr="00D40914">
              <w:rPr>
                <w:lang w:val="en-GB"/>
              </w:rPr>
              <w:t>“ already</w:t>
            </w:r>
            <w:proofErr w:type="gramEnd"/>
            <w:r w:rsidRPr="00D40914">
              <w:rPr>
                <w:lang w:val="en-GB"/>
              </w:rPr>
              <w:t xml:space="preserve"> the construction (where the number of employed persons lowered by 9.3 thousand). The two largest branches of the Czech economy (from the view of the number of employed persons) absorbed the most people, that is trade, transportation, accommodation and food service (+29.2 thousand) and the manufacturing (+27.2 thousand). The employment also significantly rose in the group of branches with the predominance of the public sector (public administration, education, health and social work; +10.3 thousand persons).</w:t>
            </w:r>
          </w:p>
          <w:p w:rsidR="00347C83" w:rsidRPr="00D40914" w:rsidRDefault="00347C83" w:rsidP="00326F8C">
            <w:pPr>
              <w:pStyle w:val="Textpoznpodarou"/>
              <w:jc w:val="both"/>
              <w:rPr>
                <w:lang w:val="en-GB"/>
              </w:rPr>
            </w:pPr>
          </w:p>
        </w:tc>
      </w:tr>
      <w:tr w:rsidR="00347C83" w:rsidRPr="005E0476" w:rsidTr="00326F8C">
        <w:tc>
          <w:tcPr>
            <w:tcW w:w="1054" w:type="pct"/>
            <w:tcBorders>
              <w:top w:val="nil"/>
              <w:left w:val="nil"/>
              <w:bottom w:val="nil"/>
              <w:right w:val="nil"/>
            </w:tcBorders>
          </w:tcPr>
          <w:p w:rsidR="00347C83" w:rsidRPr="00D40914" w:rsidRDefault="00347C83" w:rsidP="00326F8C">
            <w:pPr>
              <w:spacing w:line="240" w:lineRule="auto"/>
              <w:rPr>
                <w:sz w:val="16"/>
                <w:szCs w:val="16"/>
                <w:lang w:val="en-GB"/>
              </w:rPr>
            </w:pPr>
            <w:r w:rsidRPr="00D40914">
              <w:rPr>
                <w:sz w:val="16"/>
                <w:szCs w:val="16"/>
                <w:lang w:val="en-GB"/>
              </w:rPr>
              <w:t xml:space="preserve">Continuing higher growth of the number of employees compared to the growth of total employment suggested, that the number of self-employed persons also decreased in Q2 2015 </w:t>
            </w:r>
          </w:p>
        </w:tc>
        <w:tc>
          <w:tcPr>
            <w:tcW w:w="143" w:type="pct"/>
            <w:tcBorders>
              <w:top w:val="nil"/>
              <w:left w:val="nil"/>
              <w:bottom w:val="nil"/>
              <w:right w:val="nil"/>
            </w:tcBorders>
          </w:tcPr>
          <w:p w:rsidR="00347C83" w:rsidRPr="00D40914" w:rsidRDefault="00347C83" w:rsidP="00326F8C">
            <w:pPr>
              <w:pStyle w:val="Textpoznpodarou"/>
              <w:jc w:val="both"/>
              <w:rPr>
                <w:lang w:val="en-GB"/>
              </w:rPr>
            </w:pPr>
          </w:p>
        </w:tc>
        <w:tc>
          <w:tcPr>
            <w:tcW w:w="3803" w:type="pct"/>
            <w:tcBorders>
              <w:top w:val="nil"/>
              <w:left w:val="nil"/>
              <w:bottom w:val="nil"/>
              <w:right w:val="nil"/>
            </w:tcBorders>
          </w:tcPr>
          <w:p w:rsidR="00347C83" w:rsidRPr="00D40914" w:rsidRDefault="00347C83" w:rsidP="00326F8C">
            <w:pPr>
              <w:pStyle w:val="Textpoznpodarou"/>
              <w:jc w:val="both"/>
              <w:rPr>
                <w:lang w:val="en-GB"/>
              </w:rPr>
            </w:pPr>
            <w:r w:rsidRPr="00D40914">
              <w:rPr>
                <w:lang w:val="en-GB"/>
              </w:rPr>
              <w:t>Favourable development of the Czech economy was not reflected only in the growth of the total employment that is in the growth of the number of persons, who have a job. This development also altered its structure. While the number of employees grew, the number of self-employed (i.e. persons, who worked so</w:t>
            </w:r>
            <w:r>
              <w:rPr>
                <w:lang w:val="en-GB"/>
              </w:rPr>
              <w:t> </w:t>
            </w:r>
            <w:r w:rsidRPr="00D40914">
              <w:rPr>
                <w:lang w:val="en-GB"/>
              </w:rPr>
              <w:t xml:space="preserve">called for themselves) was declining. </w:t>
            </w:r>
            <w:r>
              <w:rPr>
                <w:lang w:val="en-GB"/>
              </w:rPr>
              <w:t>These tendencies – whose origin had been most probably lying</w:t>
            </w:r>
            <w:r w:rsidRPr="00D40914">
              <w:rPr>
                <w:lang w:val="en-GB"/>
              </w:rPr>
              <w:t xml:space="preserve"> partially in the transfer of workers from the „</w:t>
            </w:r>
            <w:proofErr w:type="spellStart"/>
            <w:r w:rsidRPr="00D40914">
              <w:rPr>
                <w:lang w:val="en-GB"/>
              </w:rPr>
              <w:t>svarc</w:t>
            </w:r>
            <w:proofErr w:type="spellEnd"/>
            <w:r w:rsidRPr="00D40914">
              <w:rPr>
                <w:lang w:val="en-GB"/>
              </w:rPr>
              <w:t xml:space="preserve"> system“ back among the classical employees, but partially also in the effort of self-employed to shift into the more certain employee positions</w:t>
            </w:r>
            <w:r>
              <w:rPr>
                <w:lang w:val="en-GB"/>
              </w:rPr>
              <w:t xml:space="preserve"> – were pointed by t</w:t>
            </w:r>
            <w:r w:rsidRPr="00D40914">
              <w:rPr>
                <w:lang w:val="en-GB"/>
              </w:rPr>
              <w:t>he „discrepancy“ between the year-on-year growth of the number of employees and total employment</w:t>
            </w:r>
            <w:r>
              <w:rPr>
                <w:lang w:val="en-GB"/>
              </w:rPr>
              <w:t>. This d</w:t>
            </w:r>
            <w:r w:rsidRPr="00D40914">
              <w:rPr>
                <w:lang w:val="en-GB"/>
              </w:rPr>
              <w:t xml:space="preserve">iscrepancy was apparent already for four quarters and it had rather a tendency to expand. If the increase of number of employees was higher than the growth of the total employment by 0.4 p. p. and 0.3 p. p. in Q3 and Q4 2014, this defined „discrepancy“ already amounted to 0.7 p. p. and 0.6 p. p. in Q1 and Q2 2015. </w:t>
            </w:r>
          </w:p>
          <w:p w:rsidR="00347C83" w:rsidRPr="00D40914" w:rsidRDefault="00347C83" w:rsidP="00326F8C">
            <w:pPr>
              <w:pStyle w:val="Textpoznpodarou"/>
              <w:jc w:val="both"/>
              <w:rPr>
                <w:lang w:val="en-GB"/>
              </w:rPr>
            </w:pPr>
          </w:p>
        </w:tc>
      </w:tr>
      <w:tr w:rsidR="00347C83" w:rsidRPr="005E0476" w:rsidTr="00326F8C">
        <w:tc>
          <w:tcPr>
            <w:tcW w:w="1054" w:type="pct"/>
            <w:tcBorders>
              <w:top w:val="nil"/>
              <w:left w:val="nil"/>
              <w:bottom w:val="nil"/>
              <w:right w:val="nil"/>
            </w:tcBorders>
          </w:tcPr>
          <w:p w:rsidR="00347C83" w:rsidRPr="00D40914" w:rsidRDefault="00347C83" w:rsidP="00326F8C">
            <w:pPr>
              <w:spacing w:line="240" w:lineRule="auto"/>
              <w:rPr>
                <w:sz w:val="16"/>
                <w:szCs w:val="16"/>
                <w:lang w:val="en-GB"/>
              </w:rPr>
            </w:pPr>
            <w:r w:rsidRPr="00D40914">
              <w:rPr>
                <w:sz w:val="16"/>
                <w:szCs w:val="16"/>
                <w:lang w:val="en-GB"/>
              </w:rPr>
              <w:t xml:space="preserve">Hour labour productivity had been growing in the year-on-year comparison already seven quarters in a row </w:t>
            </w:r>
          </w:p>
        </w:tc>
        <w:tc>
          <w:tcPr>
            <w:tcW w:w="143" w:type="pct"/>
            <w:tcBorders>
              <w:top w:val="nil"/>
              <w:left w:val="nil"/>
              <w:bottom w:val="nil"/>
              <w:right w:val="nil"/>
            </w:tcBorders>
          </w:tcPr>
          <w:p w:rsidR="00347C83" w:rsidRPr="00D40914" w:rsidRDefault="00347C83" w:rsidP="00326F8C">
            <w:pPr>
              <w:pStyle w:val="Textpoznpodarou"/>
              <w:jc w:val="both"/>
              <w:rPr>
                <w:lang w:val="en-GB"/>
              </w:rPr>
            </w:pPr>
          </w:p>
        </w:tc>
        <w:tc>
          <w:tcPr>
            <w:tcW w:w="3803" w:type="pct"/>
            <w:tcBorders>
              <w:top w:val="nil"/>
              <w:left w:val="nil"/>
              <w:bottom w:val="nil"/>
              <w:right w:val="nil"/>
            </w:tcBorders>
          </w:tcPr>
          <w:p w:rsidR="00347C83" w:rsidRPr="00D40914" w:rsidRDefault="00347C83" w:rsidP="00326F8C">
            <w:pPr>
              <w:pStyle w:val="Textpoznpodarou"/>
              <w:jc w:val="both"/>
              <w:rPr>
                <w:lang w:val="en-GB"/>
              </w:rPr>
            </w:pPr>
            <w:r w:rsidRPr="00D40914">
              <w:rPr>
                <w:lang w:val="en-GB"/>
              </w:rPr>
              <w:t xml:space="preserve">The growth of the economy occurred practically with a stable number of hours worked in the last quarter of 2014 and in Q1 2015 (gross value added rose by 3.4 % year-on-year in both quarters, total number of hours worked however nearly did not change). The acceleration of the economy in Q2, when the gross value added grew by 3.8 %, however already demanded a larger time resources (total number of hours worked rose by 2.2 %). If the hour labour productivity (gross value added related to the total number of hours worked) thus increased by very high 3.4 % year-on-year in Q4 2014 and even by 3.6 % in Q1 2015 (that was the strongest growth since the second part of 2010), its dynamics slowed down </w:t>
            </w:r>
            <w:r>
              <w:rPr>
                <w:lang w:val="en-GB"/>
              </w:rPr>
              <w:t>to +1.5 %</w:t>
            </w:r>
            <w:r w:rsidRPr="00D40914">
              <w:rPr>
                <w:lang w:val="en-GB"/>
              </w:rPr>
              <w:t xml:space="preserve"> in Q2</w:t>
            </w:r>
            <w:r>
              <w:rPr>
                <w:lang w:val="en-GB"/>
              </w:rPr>
              <w:t>.</w:t>
            </w:r>
          </w:p>
          <w:p w:rsidR="00347C83" w:rsidRPr="00D40914" w:rsidRDefault="00347C83" w:rsidP="00326F8C">
            <w:pPr>
              <w:pStyle w:val="Textpoznpodarou"/>
              <w:jc w:val="both"/>
              <w:rPr>
                <w:lang w:val="en-GB"/>
              </w:rPr>
            </w:pPr>
          </w:p>
        </w:tc>
      </w:tr>
      <w:tr w:rsidR="00347C83" w:rsidRPr="005E0476" w:rsidTr="00326F8C">
        <w:tc>
          <w:tcPr>
            <w:tcW w:w="1054" w:type="pct"/>
            <w:tcBorders>
              <w:top w:val="nil"/>
              <w:left w:val="nil"/>
              <w:bottom w:val="nil"/>
              <w:right w:val="nil"/>
            </w:tcBorders>
          </w:tcPr>
          <w:p w:rsidR="00347C83" w:rsidRPr="00D40914" w:rsidRDefault="00347C83" w:rsidP="00326F8C">
            <w:pPr>
              <w:spacing w:line="240" w:lineRule="auto"/>
              <w:rPr>
                <w:sz w:val="16"/>
                <w:szCs w:val="16"/>
                <w:lang w:val="en-GB"/>
              </w:rPr>
            </w:pPr>
            <w:r w:rsidRPr="00D40914">
              <w:rPr>
                <w:sz w:val="16"/>
                <w:szCs w:val="16"/>
                <w:lang w:val="en-GB"/>
              </w:rPr>
              <w:t xml:space="preserve">Number of vacancies similar to the beginning of deep recession </w:t>
            </w:r>
          </w:p>
        </w:tc>
        <w:tc>
          <w:tcPr>
            <w:tcW w:w="143" w:type="pct"/>
            <w:tcBorders>
              <w:top w:val="nil"/>
              <w:left w:val="nil"/>
              <w:bottom w:val="nil"/>
              <w:right w:val="nil"/>
            </w:tcBorders>
          </w:tcPr>
          <w:p w:rsidR="00347C83" w:rsidRPr="00D40914" w:rsidRDefault="00347C83" w:rsidP="00326F8C">
            <w:pPr>
              <w:pStyle w:val="Textpoznpodarou"/>
              <w:jc w:val="both"/>
              <w:rPr>
                <w:lang w:val="en-GB"/>
              </w:rPr>
            </w:pPr>
          </w:p>
        </w:tc>
        <w:tc>
          <w:tcPr>
            <w:tcW w:w="3803" w:type="pct"/>
            <w:tcBorders>
              <w:top w:val="nil"/>
              <w:left w:val="nil"/>
              <w:bottom w:val="nil"/>
              <w:right w:val="nil"/>
            </w:tcBorders>
          </w:tcPr>
          <w:p w:rsidR="00347C83" w:rsidRPr="00D40914" w:rsidRDefault="00347C83" w:rsidP="00326F8C">
            <w:pPr>
              <w:pStyle w:val="Textpoznpodarou"/>
              <w:jc w:val="both"/>
              <w:rPr>
                <w:lang w:val="en-GB"/>
              </w:rPr>
            </w:pPr>
            <w:r w:rsidRPr="00D40914">
              <w:rPr>
                <w:lang w:val="en-GB"/>
              </w:rPr>
              <w:t xml:space="preserve">New positions were being created fast and employers did not keep up with filling these by suitable candidates. The number of vacancies was thus growing – there </w:t>
            </w:r>
            <w:r w:rsidRPr="00D40914">
              <w:rPr>
                <w:lang w:val="en-GB"/>
              </w:rPr>
              <w:lastRenderedPageBreak/>
              <w:t>were already 97.0 thousand vacant positions based on the data of the Ministry of Labour and Social Affairs (MLSA) as of the last June 2015, i.e. roughly by 20 thousand more than at the end of Q1</w:t>
            </w:r>
            <w:r>
              <w:rPr>
                <w:lang w:val="en-GB"/>
              </w:rPr>
              <w:t xml:space="preserve"> 2015</w:t>
            </w:r>
            <w:r w:rsidRPr="00D40914">
              <w:rPr>
                <w:lang w:val="en-GB"/>
              </w:rPr>
              <w:t xml:space="preserve">. Their number was the highest since November 2008. </w:t>
            </w:r>
          </w:p>
          <w:p w:rsidR="00347C83" w:rsidRPr="00D40914" w:rsidRDefault="00347C83" w:rsidP="00326F8C">
            <w:pPr>
              <w:pStyle w:val="Textpoznpodarou"/>
              <w:jc w:val="both"/>
              <w:rPr>
                <w:lang w:val="en-GB"/>
              </w:rPr>
            </w:pPr>
          </w:p>
        </w:tc>
      </w:tr>
      <w:tr w:rsidR="00347C83" w:rsidRPr="005E0476" w:rsidTr="00326F8C">
        <w:tc>
          <w:tcPr>
            <w:tcW w:w="1054" w:type="pct"/>
            <w:tcBorders>
              <w:top w:val="nil"/>
              <w:left w:val="nil"/>
              <w:bottom w:val="nil"/>
              <w:right w:val="nil"/>
            </w:tcBorders>
          </w:tcPr>
          <w:p w:rsidR="00347C83" w:rsidRPr="00D40914" w:rsidRDefault="00347C83" w:rsidP="00326F8C">
            <w:pPr>
              <w:spacing w:line="240" w:lineRule="auto"/>
              <w:rPr>
                <w:spacing w:val="-6"/>
                <w:sz w:val="16"/>
                <w:szCs w:val="16"/>
                <w:lang w:val="en-GB"/>
              </w:rPr>
            </w:pPr>
            <w:r w:rsidRPr="00D40914">
              <w:rPr>
                <w:sz w:val="16"/>
                <w:szCs w:val="16"/>
                <w:lang w:val="en-GB"/>
              </w:rPr>
              <w:lastRenderedPageBreak/>
              <w:t>Further lowering of the number of unemployed persons will likely be difficult with respect to the</w:t>
            </w:r>
            <w:r>
              <w:rPr>
                <w:sz w:val="16"/>
                <w:szCs w:val="16"/>
                <w:lang w:val="en-GB"/>
              </w:rPr>
              <w:t xml:space="preserve"> differing structure of the </w:t>
            </w:r>
            <w:r w:rsidRPr="00D40914">
              <w:rPr>
                <w:sz w:val="16"/>
                <w:szCs w:val="16"/>
                <w:lang w:val="en-GB"/>
              </w:rPr>
              <w:t>supply</w:t>
            </w:r>
            <w:r>
              <w:rPr>
                <w:sz w:val="16"/>
                <w:szCs w:val="16"/>
                <w:lang w:val="en-GB"/>
              </w:rPr>
              <w:t xml:space="preserve"> of labour force</w:t>
            </w:r>
            <w:r w:rsidRPr="00D40914">
              <w:rPr>
                <w:sz w:val="16"/>
                <w:szCs w:val="16"/>
                <w:lang w:val="en-GB"/>
              </w:rPr>
              <w:t xml:space="preserve"> compared with the demand structure </w:t>
            </w:r>
          </w:p>
        </w:tc>
        <w:tc>
          <w:tcPr>
            <w:tcW w:w="143" w:type="pct"/>
            <w:tcBorders>
              <w:top w:val="nil"/>
              <w:left w:val="nil"/>
              <w:bottom w:val="nil"/>
              <w:right w:val="nil"/>
            </w:tcBorders>
          </w:tcPr>
          <w:p w:rsidR="00347C83" w:rsidRPr="00D40914" w:rsidRDefault="00347C83" w:rsidP="00326F8C">
            <w:pPr>
              <w:pStyle w:val="Textpoznpodarou"/>
              <w:jc w:val="both"/>
              <w:rPr>
                <w:lang w:val="en-GB"/>
              </w:rPr>
            </w:pPr>
          </w:p>
        </w:tc>
        <w:tc>
          <w:tcPr>
            <w:tcW w:w="3803" w:type="pct"/>
            <w:tcBorders>
              <w:top w:val="nil"/>
              <w:left w:val="nil"/>
              <w:bottom w:val="nil"/>
              <w:right w:val="nil"/>
            </w:tcBorders>
          </w:tcPr>
          <w:p w:rsidR="00347C83" w:rsidRPr="00D40914" w:rsidRDefault="00347C83" w:rsidP="00326F8C">
            <w:pPr>
              <w:pStyle w:val="Textpoznpodarou"/>
              <w:jc w:val="both"/>
              <w:rPr>
                <w:lang w:val="en-GB"/>
              </w:rPr>
            </w:pPr>
            <w:r w:rsidRPr="00D40914">
              <w:rPr>
                <w:lang w:val="en-GB"/>
              </w:rPr>
              <w:t xml:space="preserve">Differing structure of the job applicants compared to the structure of the vacant positions suggested, that the supply did not match the demand on the labour market. While there were for example 12.8 times more job applicants for administrative positions than vacancies at the end of June (calculated from the MLSA data), the number of applicants for qualified jobs in agriculture, forestry and fishing exceeded the relevant job vacancies 7.5 times and the numbers of applicants for assistant and unskilled jobs 7.0 times. These persons thus founded employment only with difficulties. On the contrary, a low excess of persons searching employment as workmen and servicemen (2.7 times more compared to the relevant job vacancies) or operation of machines and equipment or a </w:t>
            </w:r>
            <w:proofErr w:type="spellStart"/>
            <w:r w:rsidRPr="00D40914">
              <w:rPr>
                <w:lang w:val="en-GB"/>
              </w:rPr>
              <w:t>mechanician</w:t>
            </w:r>
            <w:proofErr w:type="spellEnd"/>
            <w:r w:rsidRPr="00D40914">
              <w:rPr>
                <w:lang w:val="en-GB"/>
              </w:rPr>
              <w:t xml:space="preserve"> (2.1 times) can signal a high demand for these employees on the part of businesses and their difficulties to find suitable workers.</w:t>
            </w:r>
          </w:p>
          <w:p w:rsidR="00347C83" w:rsidRPr="00D40914" w:rsidRDefault="00347C83" w:rsidP="00326F8C">
            <w:pPr>
              <w:pStyle w:val="Textpoznpodarou"/>
              <w:jc w:val="both"/>
              <w:rPr>
                <w:lang w:val="en-GB"/>
              </w:rPr>
            </w:pPr>
          </w:p>
        </w:tc>
      </w:tr>
      <w:tr w:rsidR="00347C83" w:rsidRPr="005E0476" w:rsidTr="00326F8C">
        <w:tc>
          <w:tcPr>
            <w:tcW w:w="1054" w:type="pct"/>
            <w:tcBorders>
              <w:top w:val="nil"/>
              <w:left w:val="nil"/>
              <w:bottom w:val="nil"/>
              <w:right w:val="nil"/>
            </w:tcBorders>
          </w:tcPr>
          <w:p w:rsidR="00347C83" w:rsidRPr="00D40914" w:rsidRDefault="00347C83" w:rsidP="00326F8C">
            <w:pPr>
              <w:spacing w:line="240" w:lineRule="auto"/>
              <w:rPr>
                <w:sz w:val="16"/>
                <w:szCs w:val="16"/>
                <w:lang w:val="en-GB"/>
              </w:rPr>
            </w:pPr>
            <w:r w:rsidRPr="00D40914">
              <w:rPr>
                <w:sz w:val="16"/>
                <w:szCs w:val="16"/>
                <w:lang w:val="en-GB"/>
              </w:rPr>
              <w:t>General unemployment rate lower on a year ago in June 2015. Improvement realised mainly for females</w:t>
            </w:r>
          </w:p>
        </w:tc>
        <w:tc>
          <w:tcPr>
            <w:tcW w:w="143" w:type="pct"/>
            <w:tcBorders>
              <w:top w:val="nil"/>
              <w:left w:val="nil"/>
              <w:bottom w:val="nil"/>
              <w:right w:val="nil"/>
            </w:tcBorders>
          </w:tcPr>
          <w:p w:rsidR="00347C83" w:rsidRPr="00D40914" w:rsidRDefault="00347C83" w:rsidP="00326F8C">
            <w:pPr>
              <w:pStyle w:val="Textpoznpodarou"/>
              <w:jc w:val="both"/>
              <w:rPr>
                <w:lang w:val="en-GB"/>
              </w:rPr>
            </w:pPr>
          </w:p>
        </w:tc>
        <w:tc>
          <w:tcPr>
            <w:tcW w:w="3803" w:type="pct"/>
            <w:tcBorders>
              <w:top w:val="nil"/>
              <w:left w:val="nil"/>
              <w:bottom w:val="nil"/>
              <w:right w:val="nil"/>
            </w:tcBorders>
          </w:tcPr>
          <w:p w:rsidR="00347C83" w:rsidRPr="00D40914" w:rsidRDefault="00347C83" w:rsidP="00326F8C">
            <w:pPr>
              <w:pStyle w:val="Textpoznpodarou"/>
              <w:jc w:val="both"/>
              <w:rPr>
                <w:lang w:val="en-GB"/>
              </w:rPr>
            </w:pPr>
            <w:r w:rsidRPr="00D40914">
              <w:rPr>
                <w:lang w:val="en-GB"/>
              </w:rPr>
              <w:t xml:space="preserve">General unemployment rate for persons aged 15-64 years, based on the Labour Force Sample Survey (LFSS) and seasonally adjusted, lowered from 5.9 % in January to 5.1 % in June 2015. June share of unemployed in total labour force was lower by 1.1 p. p. </w:t>
            </w:r>
            <w:proofErr w:type="gramStart"/>
            <w:r w:rsidRPr="00D40914">
              <w:rPr>
                <w:lang w:val="en-GB"/>
              </w:rPr>
              <w:t>year-on-year</w:t>
            </w:r>
            <w:proofErr w:type="gramEnd"/>
            <w:r w:rsidRPr="00D40914">
              <w:rPr>
                <w:lang w:val="en-GB"/>
              </w:rPr>
              <w:t xml:space="preserve"> and suggested, that the number of persons seeking employment fell down by 55.8 thousand. Regarding males, in their case the general unemployment rate amounted to 4.2 % in June and it was lower by 0.9 p. p. </w:t>
            </w:r>
            <w:proofErr w:type="gramStart"/>
            <w:r w:rsidRPr="00D40914">
              <w:rPr>
                <w:lang w:val="en-GB"/>
              </w:rPr>
              <w:t>year-on-year</w:t>
            </w:r>
            <w:proofErr w:type="gramEnd"/>
            <w:r w:rsidRPr="00D40914">
              <w:rPr>
                <w:lang w:val="en-GB"/>
              </w:rPr>
              <w:t xml:space="preserve">. In case of females it still remained by roughly 2 p. p. higher (6.2 %), however it fell more than for males year-on-year (-1.4 p. p.). </w:t>
            </w:r>
          </w:p>
          <w:p w:rsidR="00347C83" w:rsidRPr="00D40914" w:rsidRDefault="00347C83" w:rsidP="00326F8C">
            <w:pPr>
              <w:pStyle w:val="Textpoznpodarou"/>
              <w:jc w:val="both"/>
              <w:rPr>
                <w:lang w:val="en-GB"/>
              </w:rPr>
            </w:pPr>
          </w:p>
        </w:tc>
      </w:tr>
      <w:tr w:rsidR="00347C83" w:rsidRPr="005E0476" w:rsidTr="00326F8C">
        <w:tc>
          <w:tcPr>
            <w:tcW w:w="1054" w:type="pct"/>
            <w:tcBorders>
              <w:top w:val="nil"/>
              <w:left w:val="nil"/>
              <w:bottom w:val="nil"/>
              <w:right w:val="nil"/>
            </w:tcBorders>
          </w:tcPr>
          <w:p w:rsidR="00347C83" w:rsidRPr="00D40914" w:rsidRDefault="00347C83" w:rsidP="00326F8C">
            <w:pPr>
              <w:spacing w:line="240" w:lineRule="auto"/>
              <w:rPr>
                <w:sz w:val="16"/>
                <w:szCs w:val="16"/>
                <w:lang w:val="en-GB"/>
              </w:rPr>
            </w:pPr>
            <w:r w:rsidRPr="00D40914">
              <w:rPr>
                <w:sz w:val="16"/>
                <w:szCs w:val="16"/>
                <w:lang w:val="en-GB"/>
              </w:rPr>
              <w:t>Situation on the labour market</w:t>
            </w:r>
            <w:r>
              <w:rPr>
                <w:sz w:val="16"/>
                <w:szCs w:val="16"/>
                <w:lang w:val="en-GB"/>
              </w:rPr>
              <w:t xml:space="preserve"> in the CR</w:t>
            </w:r>
            <w:r w:rsidRPr="00D40914">
              <w:rPr>
                <w:sz w:val="16"/>
                <w:szCs w:val="16"/>
                <w:lang w:val="en-GB"/>
              </w:rPr>
              <w:t xml:space="preserve"> more favourable compared to the vast majority of the EU countries in Q2</w:t>
            </w:r>
          </w:p>
        </w:tc>
        <w:tc>
          <w:tcPr>
            <w:tcW w:w="143" w:type="pct"/>
            <w:tcBorders>
              <w:top w:val="nil"/>
              <w:left w:val="nil"/>
              <w:bottom w:val="nil"/>
              <w:right w:val="nil"/>
            </w:tcBorders>
          </w:tcPr>
          <w:p w:rsidR="00347C83" w:rsidRPr="00D40914" w:rsidRDefault="00347C83" w:rsidP="00326F8C">
            <w:pPr>
              <w:pStyle w:val="Textpoznpodarou"/>
              <w:jc w:val="both"/>
              <w:rPr>
                <w:lang w:val="en-GB"/>
              </w:rPr>
            </w:pPr>
          </w:p>
        </w:tc>
        <w:tc>
          <w:tcPr>
            <w:tcW w:w="3803" w:type="pct"/>
            <w:tcBorders>
              <w:top w:val="nil"/>
              <w:left w:val="nil"/>
              <w:bottom w:val="nil"/>
              <w:right w:val="nil"/>
            </w:tcBorders>
          </w:tcPr>
          <w:p w:rsidR="00347C83" w:rsidRPr="00D40914" w:rsidRDefault="00347C83" w:rsidP="00326F8C">
            <w:pPr>
              <w:pStyle w:val="Textpoznpodarou"/>
              <w:jc w:val="both"/>
              <w:rPr>
                <w:lang w:val="en-GB"/>
              </w:rPr>
            </w:pPr>
            <w:r w:rsidRPr="00D40914">
              <w:rPr>
                <w:lang w:val="en-GB"/>
              </w:rPr>
              <w:t xml:space="preserve">The general unemployment rate in the CR had been low in comparison to the EU countries already for a long time, the position of the domestic economy nevertheless improved even further in this respect during H1 2015. While 5.9 % of labour force aged 15-74 years were seeking employment in the CR in January and it represented the fifth best result among the Union countries, this proportion fell to 5.3 % in April and it was the second best within the whole 28 countries. The CR kept a second position till the end of the quarter, only Germany registered a lower proportion of unemployed on the total labour force in these months. </w:t>
            </w:r>
          </w:p>
          <w:p w:rsidR="00347C83" w:rsidRPr="00D40914" w:rsidRDefault="00347C83" w:rsidP="00326F8C">
            <w:pPr>
              <w:pStyle w:val="Textpoznpodarou"/>
              <w:jc w:val="both"/>
              <w:rPr>
                <w:lang w:val="en-GB"/>
              </w:rPr>
            </w:pPr>
          </w:p>
        </w:tc>
      </w:tr>
      <w:tr w:rsidR="00347C83" w:rsidRPr="005E0476" w:rsidTr="00326F8C">
        <w:tc>
          <w:tcPr>
            <w:tcW w:w="1054" w:type="pct"/>
            <w:tcBorders>
              <w:top w:val="nil"/>
              <w:left w:val="nil"/>
              <w:bottom w:val="nil"/>
              <w:right w:val="nil"/>
            </w:tcBorders>
          </w:tcPr>
          <w:p w:rsidR="00347C83" w:rsidRPr="00D40914" w:rsidRDefault="00347C83" w:rsidP="00326F8C">
            <w:pPr>
              <w:spacing w:line="240" w:lineRule="auto"/>
              <w:rPr>
                <w:sz w:val="16"/>
                <w:szCs w:val="16"/>
                <w:lang w:val="en-GB"/>
              </w:rPr>
            </w:pPr>
            <w:r w:rsidRPr="00D40914">
              <w:rPr>
                <w:sz w:val="16"/>
                <w:szCs w:val="16"/>
                <w:lang w:val="en-GB"/>
              </w:rPr>
              <w:t xml:space="preserve">Year-on-year growth of the average wage increased to +3.4 % in nominal terms in Q2… </w:t>
            </w:r>
          </w:p>
        </w:tc>
        <w:tc>
          <w:tcPr>
            <w:tcW w:w="143" w:type="pct"/>
            <w:tcBorders>
              <w:top w:val="nil"/>
              <w:left w:val="nil"/>
              <w:bottom w:val="nil"/>
              <w:right w:val="nil"/>
            </w:tcBorders>
          </w:tcPr>
          <w:p w:rsidR="00347C83" w:rsidRPr="00D40914" w:rsidRDefault="00347C83" w:rsidP="00326F8C">
            <w:pPr>
              <w:pStyle w:val="Textpoznpodarou"/>
              <w:jc w:val="both"/>
              <w:rPr>
                <w:lang w:val="en-GB"/>
              </w:rPr>
            </w:pPr>
          </w:p>
        </w:tc>
        <w:tc>
          <w:tcPr>
            <w:tcW w:w="3803" w:type="pct"/>
            <w:tcBorders>
              <w:top w:val="nil"/>
              <w:left w:val="nil"/>
              <w:bottom w:val="nil"/>
              <w:right w:val="nil"/>
            </w:tcBorders>
          </w:tcPr>
          <w:p w:rsidR="00347C83" w:rsidRPr="00EB4D7C" w:rsidRDefault="00347C83" w:rsidP="00326F8C">
            <w:pPr>
              <w:pStyle w:val="Textpoznpodarou"/>
              <w:jc w:val="both"/>
              <w:rPr>
                <w:spacing w:val="-2"/>
                <w:lang w:val="en-GB"/>
              </w:rPr>
            </w:pPr>
            <w:r w:rsidRPr="00EB4D7C">
              <w:rPr>
                <w:spacing w:val="-2"/>
                <w:lang w:val="en-GB"/>
              </w:rPr>
              <w:t>Average gross monthly wage per full-time equivalent employee, which was raised only by 2.3 % in nominal terms in year-on-year comparison in total for the entire year 2014 and similarly in Q1 of this year, already started to grow more dynamically in Q2 (+3.4 %). It is apparent from more detailed data, that the average wage significantly increased for employees in accommodation and food service activities (+6.1 %) and in construction (+5.1 %), the earnings however notably increased – due to the growth of wages of public employees at the end of 2014 – also for example in the public administration and defence (+5.6 %) and in the human health and social work activities (+5.0 %). The fact, that the wage median (+4.3 % year-on-year) grew faster than the average wage, was a positive aspect of the wage development in Q2. It suggested</w:t>
            </w:r>
            <w:proofErr w:type="gramStart"/>
            <w:r w:rsidRPr="00EB4D7C">
              <w:rPr>
                <w:spacing w:val="-2"/>
                <w:lang w:val="en-GB"/>
              </w:rPr>
              <w:t>,</w:t>
            </w:r>
            <w:proofErr w:type="gramEnd"/>
            <w:r w:rsidRPr="00EB4D7C">
              <w:rPr>
                <w:spacing w:val="-2"/>
                <w:lang w:val="en-GB"/>
              </w:rPr>
              <w:t xml:space="preserve"> that the earnings increased especially for employees with relatively low level of wages and thus can be assumed, that it was connected mostly with the increase of the minimal wage. </w:t>
            </w:r>
          </w:p>
          <w:p w:rsidR="00347C83" w:rsidRPr="00D40914" w:rsidRDefault="00347C83" w:rsidP="00326F8C">
            <w:pPr>
              <w:pStyle w:val="Textpoznpodarou"/>
              <w:jc w:val="both"/>
              <w:rPr>
                <w:lang w:val="en-GB"/>
              </w:rPr>
            </w:pPr>
          </w:p>
        </w:tc>
      </w:tr>
      <w:tr w:rsidR="00347C83" w:rsidRPr="005E0476" w:rsidTr="00326F8C">
        <w:tc>
          <w:tcPr>
            <w:tcW w:w="1054" w:type="pct"/>
            <w:tcBorders>
              <w:top w:val="nil"/>
              <w:left w:val="nil"/>
              <w:bottom w:val="nil"/>
              <w:right w:val="nil"/>
            </w:tcBorders>
          </w:tcPr>
          <w:p w:rsidR="00347C83" w:rsidRPr="00D40914" w:rsidRDefault="00347C83" w:rsidP="00326F8C">
            <w:pPr>
              <w:spacing w:line="240" w:lineRule="auto"/>
              <w:rPr>
                <w:sz w:val="16"/>
                <w:szCs w:val="16"/>
                <w:lang w:val="en-GB"/>
              </w:rPr>
            </w:pPr>
            <w:r w:rsidRPr="00D40914">
              <w:rPr>
                <w:sz w:val="16"/>
                <w:szCs w:val="16"/>
                <w:lang w:val="en-GB"/>
              </w:rPr>
              <w:t>...and was also reflected in faster growth of the purchasing power of employees</w:t>
            </w:r>
          </w:p>
        </w:tc>
        <w:tc>
          <w:tcPr>
            <w:tcW w:w="143" w:type="pct"/>
            <w:tcBorders>
              <w:top w:val="nil"/>
              <w:left w:val="nil"/>
              <w:bottom w:val="nil"/>
              <w:right w:val="nil"/>
            </w:tcBorders>
          </w:tcPr>
          <w:p w:rsidR="00347C83" w:rsidRPr="00D40914" w:rsidRDefault="00347C83" w:rsidP="00326F8C">
            <w:pPr>
              <w:pStyle w:val="Textpoznpodarou"/>
              <w:jc w:val="both"/>
              <w:rPr>
                <w:lang w:val="en-GB"/>
              </w:rPr>
            </w:pPr>
          </w:p>
        </w:tc>
        <w:tc>
          <w:tcPr>
            <w:tcW w:w="3803" w:type="pct"/>
            <w:tcBorders>
              <w:top w:val="nil"/>
              <w:left w:val="nil"/>
              <w:bottom w:val="nil"/>
              <w:right w:val="nil"/>
            </w:tcBorders>
          </w:tcPr>
          <w:p w:rsidR="00347C83" w:rsidRPr="00D40914" w:rsidRDefault="00347C83" w:rsidP="00326F8C">
            <w:pPr>
              <w:pStyle w:val="Textpoznpodarou"/>
              <w:jc w:val="both"/>
              <w:rPr>
                <w:lang w:val="en-GB"/>
              </w:rPr>
            </w:pPr>
            <w:r w:rsidRPr="00D40914">
              <w:rPr>
                <w:lang w:val="en-GB"/>
              </w:rPr>
              <w:t>Nominal growth of the average wage year-on-year was already quite strong in Q2 2015 and even a higher inflation rate did not prevent a faster growth of the purchasing power of employees in comparison to Q1. While the real average wage increased by 2.2 % then, it increased by 2.7 % in Q2.</w:t>
            </w:r>
          </w:p>
        </w:tc>
      </w:tr>
    </w:tbl>
    <w:p w:rsidR="00873C15" w:rsidRDefault="00873C15" w:rsidP="004762D8">
      <w:pPr>
        <w:rPr>
          <w:color w:val="FF0000"/>
          <w:sz w:val="18"/>
          <w:szCs w:val="18"/>
          <w:lang w:val="en-GB" w:eastAsia="ar-SA"/>
        </w:rPr>
      </w:pPr>
    </w:p>
    <w:p w:rsidR="00E836AD" w:rsidRDefault="00E836AD" w:rsidP="004762D8">
      <w:pPr>
        <w:rPr>
          <w:color w:val="FF0000"/>
          <w:sz w:val="18"/>
          <w:szCs w:val="18"/>
          <w:lang w:val="en-GB" w:eastAsia="ar-SA"/>
        </w:rPr>
      </w:pPr>
    </w:p>
    <w:p w:rsidR="00E836AD" w:rsidRDefault="00E836AD" w:rsidP="004762D8">
      <w:pPr>
        <w:rPr>
          <w:color w:val="FF0000"/>
          <w:sz w:val="18"/>
          <w:szCs w:val="18"/>
          <w:lang w:val="en-GB" w:eastAsia="ar-SA"/>
        </w:rPr>
      </w:pPr>
    </w:p>
    <w:p w:rsidR="00E836AD" w:rsidRDefault="00E836AD" w:rsidP="004762D8">
      <w:pPr>
        <w:rPr>
          <w:color w:val="FF0000"/>
          <w:sz w:val="18"/>
          <w:szCs w:val="18"/>
          <w:lang w:val="en-GB" w:eastAsia="ar-SA"/>
        </w:rPr>
      </w:pPr>
    </w:p>
    <w:p w:rsidR="00E836AD" w:rsidRDefault="00E836AD" w:rsidP="004762D8">
      <w:pPr>
        <w:rPr>
          <w:color w:val="FF0000"/>
          <w:sz w:val="18"/>
          <w:szCs w:val="18"/>
          <w:lang w:val="en-GB" w:eastAsia="ar-SA"/>
        </w:rPr>
      </w:pPr>
    </w:p>
    <w:p w:rsidR="00E836AD" w:rsidRDefault="00E836AD" w:rsidP="004762D8">
      <w:pPr>
        <w:rPr>
          <w:color w:val="FF0000"/>
          <w:sz w:val="18"/>
          <w:szCs w:val="18"/>
          <w:lang w:val="en-GB" w:eastAsia="ar-SA"/>
        </w:rPr>
      </w:pPr>
    </w:p>
    <w:p w:rsidR="00E836AD" w:rsidRDefault="00E836AD" w:rsidP="004762D8">
      <w:pPr>
        <w:rPr>
          <w:color w:val="FF0000"/>
          <w:sz w:val="18"/>
          <w:szCs w:val="18"/>
          <w:lang w:val="en-GB" w:eastAsia="ar-SA"/>
        </w:rPr>
      </w:pPr>
    </w:p>
    <w:tbl>
      <w:tblPr>
        <w:tblW w:w="5000" w:type="pct"/>
        <w:tblLook w:val="04A0"/>
      </w:tblPr>
      <w:tblGrid>
        <w:gridCol w:w="828"/>
        <w:gridCol w:w="4095"/>
        <w:gridCol w:w="724"/>
        <w:gridCol w:w="4207"/>
      </w:tblGrid>
      <w:tr w:rsidR="00347C83" w:rsidRPr="005E0476" w:rsidTr="00EB4D7C">
        <w:tc>
          <w:tcPr>
            <w:tcW w:w="419" w:type="pct"/>
          </w:tcPr>
          <w:p w:rsidR="00347C83" w:rsidRPr="005E0476" w:rsidRDefault="00347C83" w:rsidP="00326F8C">
            <w:pPr>
              <w:pStyle w:val="Textpoznpodarou"/>
              <w:rPr>
                <w:lang w:val="en-GB" w:eastAsia="en-US"/>
              </w:rPr>
            </w:pPr>
            <w:r w:rsidRPr="005E0476">
              <w:rPr>
                <w:lang w:val="en-GB" w:eastAsia="en-US"/>
              </w:rPr>
              <w:lastRenderedPageBreak/>
              <w:t>Chart 15</w:t>
            </w:r>
          </w:p>
        </w:tc>
        <w:tc>
          <w:tcPr>
            <w:tcW w:w="2079" w:type="pct"/>
          </w:tcPr>
          <w:p w:rsidR="00347C83" w:rsidRPr="005E0476" w:rsidRDefault="00347C83" w:rsidP="00326F8C">
            <w:pPr>
              <w:pStyle w:val="Textpoznpodarou"/>
              <w:rPr>
                <w:lang w:val="en-GB" w:eastAsia="en-US"/>
              </w:rPr>
            </w:pPr>
            <w:r w:rsidRPr="005E0476">
              <w:rPr>
                <w:b/>
                <w:lang w:val="en-GB" w:eastAsia="en-US"/>
              </w:rPr>
              <w:t xml:space="preserve">Number of employed persons and employees </w:t>
            </w:r>
            <w:r w:rsidRPr="005E0476">
              <w:rPr>
                <w:lang w:val="en-GB" w:eastAsia="en-US"/>
              </w:rPr>
              <w:t>(national accounts data, seasonally adjusted, y/y in %)</w:t>
            </w:r>
          </w:p>
        </w:tc>
        <w:tc>
          <w:tcPr>
            <w:tcW w:w="366" w:type="pct"/>
          </w:tcPr>
          <w:p w:rsidR="00347C83" w:rsidRPr="005E0476" w:rsidRDefault="00347C83" w:rsidP="00326F8C">
            <w:pPr>
              <w:pStyle w:val="Textpoznpodarou"/>
              <w:rPr>
                <w:lang w:val="en-GB" w:eastAsia="en-US"/>
              </w:rPr>
            </w:pPr>
            <w:r w:rsidRPr="005E0476">
              <w:rPr>
                <w:lang w:val="en-GB" w:eastAsia="en-US"/>
              </w:rPr>
              <w:t>Chart 16</w:t>
            </w:r>
          </w:p>
        </w:tc>
        <w:tc>
          <w:tcPr>
            <w:tcW w:w="2136" w:type="pct"/>
          </w:tcPr>
          <w:p w:rsidR="00347C83" w:rsidRPr="008A31A6" w:rsidRDefault="00347C83" w:rsidP="00326F8C">
            <w:pPr>
              <w:pStyle w:val="Textpoznpodarou"/>
              <w:rPr>
                <w:lang w:val="en-GB" w:eastAsia="en-US"/>
              </w:rPr>
            </w:pPr>
            <w:r w:rsidRPr="008A31A6">
              <w:rPr>
                <w:b/>
                <w:lang w:val="en-GB" w:eastAsia="en-US"/>
              </w:rPr>
              <w:t xml:space="preserve">Average gross monthly wage, nominal and real </w:t>
            </w:r>
            <w:r w:rsidRPr="008A31A6">
              <w:rPr>
                <w:lang w:val="en-GB" w:eastAsia="en-US"/>
              </w:rPr>
              <w:t>(per full-time equivalent employee, y/y in %)</w:t>
            </w:r>
          </w:p>
        </w:tc>
      </w:tr>
      <w:tr w:rsidR="00347C83" w:rsidRPr="005E0476" w:rsidTr="00326F8C">
        <w:tc>
          <w:tcPr>
            <w:tcW w:w="2498" w:type="pct"/>
            <w:gridSpan w:val="2"/>
          </w:tcPr>
          <w:p w:rsidR="00347C83" w:rsidRPr="005E0476" w:rsidRDefault="00347C83" w:rsidP="00326F8C">
            <w:pPr>
              <w:pStyle w:val="Textpoznpodarou"/>
              <w:jc w:val="both"/>
              <w:rPr>
                <w:color w:val="FF0000"/>
                <w:lang w:val="en-GB" w:eastAsia="en-US"/>
              </w:rPr>
            </w:pPr>
            <w:r w:rsidRPr="00CE1C4F">
              <w:rPr>
                <w:noProof/>
                <w:color w:val="FF0000"/>
              </w:rPr>
              <w:drawing>
                <wp:inline distT="0" distB="0" distL="0" distR="0">
                  <wp:extent cx="3011805" cy="2377440"/>
                  <wp:effectExtent l="19050" t="0" r="0" b="0"/>
                  <wp:docPr id="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011805" cy="2377440"/>
                          </a:xfrm>
                          <a:prstGeom prst="rect">
                            <a:avLst/>
                          </a:prstGeom>
                          <a:noFill/>
                        </pic:spPr>
                      </pic:pic>
                    </a:graphicData>
                  </a:graphic>
                </wp:inline>
              </w:drawing>
            </w:r>
          </w:p>
        </w:tc>
        <w:tc>
          <w:tcPr>
            <w:tcW w:w="2502" w:type="pct"/>
            <w:gridSpan w:val="2"/>
          </w:tcPr>
          <w:p w:rsidR="00347C83" w:rsidRPr="005E0476" w:rsidRDefault="00347C83" w:rsidP="00326F8C">
            <w:pPr>
              <w:pStyle w:val="Textpoznpodarou"/>
              <w:jc w:val="both"/>
              <w:rPr>
                <w:color w:val="FF0000"/>
                <w:lang w:val="en-GB" w:eastAsia="en-US"/>
              </w:rPr>
            </w:pPr>
            <w:r w:rsidRPr="00CE1C4F">
              <w:rPr>
                <w:noProof/>
                <w:color w:val="FF0000"/>
              </w:rPr>
              <w:drawing>
                <wp:inline distT="0" distB="0" distL="0" distR="0">
                  <wp:extent cx="3017520" cy="2377440"/>
                  <wp:effectExtent l="19050" t="0" r="0" b="0"/>
                  <wp:docPr id="9"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017520" cy="2377440"/>
                          </a:xfrm>
                          <a:prstGeom prst="rect">
                            <a:avLst/>
                          </a:prstGeom>
                          <a:noFill/>
                        </pic:spPr>
                      </pic:pic>
                    </a:graphicData>
                  </a:graphic>
                </wp:inline>
              </w:drawing>
            </w:r>
          </w:p>
        </w:tc>
      </w:tr>
      <w:tr w:rsidR="00347C83" w:rsidRPr="005E0476" w:rsidTr="00326F8C">
        <w:tc>
          <w:tcPr>
            <w:tcW w:w="5000" w:type="pct"/>
            <w:gridSpan w:val="4"/>
          </w:tcPr>
          <w:p w:rsidR="00347C83" w:rsidRPr="005E0476" w:rsidRDefault="00347C83" w:rsidP="00326F8C">
            <w:pPr>
              <w:pStyle w:val="Textpoznpodarou"/>
              <w:jc w:val="right"/>
              <w:rPr>
                <w:sz w:val="18"/>
                <w:szCs w:val="18"/>
                <w:lang w:val="en-GB" w:eastAsia="en-US"/>
              </w:rPr>
            </w:pPr>
            <w:r w:rsidRPr="005E0476">
              <w:rPr>
                <w:sz w:val="18"/>
                <w:szCs w:val="18"/>
                <w:lang w:val="en-GB" w:eastAsia="en-US"/>
              </w:rPr>
              <w:t>Source: CZSO</w:t>
            </w:r>
          </w:p>
        </w:tc>
      </w:tr>
    </w:tbl>
    <w:p w:rsidR="00B55BA8" w:rsidRPr="005E0476" w:rsidRDefault="00B55BA8" w:rsidP="00E836AD">
      <w:pPr>
        <w:rPr>
          <w:rFonts w:cs="Arial"/>
          <w:color w:val="000000" w:themeColor="text1"/>
          <w:spacing w:val="-2"/>
          <w:lang w:val="en-GB"/>
        </w:rPr>
      </w:pPr>
    </w:p>
    <w:sectPr w:rsidR="00B55BA8" w:rsidRPr="005E0476" w:rsidSect="00E836AD">
      <w:headerReference w:type="even" r:id="rId10"/>
      <w:headerReference w:type="default" r:id="rId11"/>
      <w:footerReference w:type="even" r:id="rId12"/>
      <w:footerReference w:type="default" r:id="rId13"/>
      <w:type w:val="continuous"/>
      <w:pgSz w:w="11906" w:h="16838" w:code="9"/>
      <w:pgMar w:top="1134" w:right="1134" w:bottom="1418" w:left="1134" w:header="680" w:footer="680" w:gutter="0"/>
      <w:pgNumType w:start="1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4F7" w:rsidRDefault="003D34F7" w:rsidP="00E71A58">
      <w:r>
        <w:separator/>
      </w:r>
    </w:p>
  </w:endnote>
  <w:endnote w:type="continuationSeparator" w:id="0">
    <w:p w:rsidR="003D34F7" w:rsidRDefault="003D34F7"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1D" w:rsidRDefault="00C2201D" w:rsidP="00357449">
    <w:pPr>
      <w:pStyle w:val="Zpat"/>
      <w:tabs>
        <w:tab w:val="clear" w:pos="4536"/>
        <w:tab w:val="clear" w:pos="9072"/>
        <w:tab w:val="center" w:pos="4820"/>
        <w:tab w:val="right" w:pos="9639"/>
      </w:tabs>
    </w:pPr>
    <w:r>
      <w:rPr>
        <w:noProof/>
        <w:lang w:eastAsia="cs-CZ"/>
      </w:rPr>
      <w:drawing>
        <wp:anchor distT="0" distB="0" distL="114300" distR="114300" simplePos="0" relativeHeight="251657728" behindDoc="0" locked="0" layoutInCell="1" allowOverlap="1">
          <wp:simplePos x="0" y="0"/>
          <wp:positionH relativeFrom="column">
            <wp:posOffset>5660390</wp:posOffset>
          </wp:positionH>
          <wp:positionV relativeFrom="paragraph">
            <wp:posOffset>-52070</wp:posOffset>
          </wp:positionV>
          <wp:extent cx="466725" cy="219075"/>
          <wp:effectExtent l="0" t="0" r="9525" b="9525"/>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219075"/>
                  </a:xfrm>
                  <a:prstGeom prst="rect">
                    <a:avLst/>
                  </a:prstGeom>
                  <a:noFill/>
                </pic:spPr>
              </pic:pic>
            </a:graphicData>
          </a:graphic>
        </wp:anchor>
      </w:drawing>
    </w:r>
    <w:r w:rsidR="009E700D" w:rsidRPr="005A21E0">
      <w:rPr>
        <w:rFonts w:ascii="Arial" w:hAnsi="Arial" w:cs="Arial"/>
        <w:sz w:val="16"/>
        <w:szCs w:val="16"/>
      </w:rPr>
      <w:fldChar w:fldCharType="begin"/>
    </w:r>
    <w:r w:rsidRPr="005A21E0">
      <w:rPr>
        <w:rFonts w:ascii="Arial" w:hAnsi="Arial" w:cs="Arial"/>
        <w:sz w:val="16"/>
        <w:szCs w:val="16"/>
      </w:rPr>
      <w:instrText>PAGE   \* MERGEFORMAT</w:instrText>
    </w:r>
    <w:r w:rsidR="009E700D" w:rsidRPr="005A21E0">
      <w:rPr>
        <w:rFonts w:ascii="Arial" w:hAnsi="Arial" w:cs="Arial"/>
        <w:sz w:val="16"/>
        <w:szCs w:val="16"/>
      </w:rPr>
      <w:fldChar w:fldCharType="separate"/>
    </w:r>
    <w:r w:rsidR="00E836AD">
      <w:rPr>
        <w:rFonts w:ascii="Arial" w:hAnsi="Arial" w:cs="Arial"/>
        <w:noProof/>
        <w:sz w:val="16"/>
        <w:szCs w:val="16"/>
      </w:rPr>
      <w:t>20</w:t>
    </w:r>
    <w:r w:rsidR="009E700D" w:rsidRPr="005A21E0">
      <w:rPr>
        <w:rFonts w:ascii="Arial" w:hAnsi="Arial" w:cs="Arial"/>
        <w:sz w:val="16"/>
        <w:szCs w:val="16"/>
      </w:rPr>
      <w:fldChar w:fldCharType="end"/>
    </w:r>
    <w:r>
      <w:rPr>
        <w:rFonts w:ascii="Arial" w:hAnsi="Arial" w:cs="Arial"/>
        <w:sz w:val="16"/>
        <w:szCs w:val="16"/>
      </w:rPr>
      <w:tab/>
      <w:t>2015</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1D" w:rsidRDefault="00C2201D" w:rsidP="00357449">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8752" behindDoc="0" locked="0" layoutInCell="1" allowOverlap="1">
          <wp:simplePos x="0" y="0"/>
          <wp:positionH relativeFrom="column">
            <wp:posOffset>3810</wp:posOffset>
          </wp:positionH>
          <wp:positionV relativeFrom="paragraph">
            <wp:posOffset>90170</wp:posOffset>
          </wp:positionV>
          <wp:extent cx="495300" cy="266700"/>
          <wp:effectExtent l="0" t="0" r="0" b="0"/>
          <wp:wrapNone/>
          <wp:docPr id="3"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266700"/>
                  </a:xfrm>
                  <a:prstGeom prst="rect">
                    <a:avLst/>
                  </a:prstGeom>
                  <a:noFill/>
                </pic:spPr>
              </pic:pic>
            </a:graphicData>
          </a:graphic>
        </wp:anchor>
      </w:drawing>
    </w:r>
    <w:r>
      <w:tab/>
    </w:r>
    <w:r>
      <w:tab/>
    </w:r>
    <w:r w:rsidRPr="00DC5B3B">
      <w:t xml:space="preserve">                              </w:t>
    </w:r>
  </w:p>
  <w:p w:rsidR="00C2201D" w:rsidRPr="00223E00" w:rsidRDefault="00C2201D"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2015</w:t>
    </w:r>
    <w:r>
      <w:rPr>
        <w:rFonts w:ascii="Arial" w:hAnsi="Arial" w:cs="Arial"/>
        <w:sz w:val="16"/>
        <w:szCs w:val="16"/>
      </w:rPr>
      <w:tab/>
    </w:r>
    <w:r w:rsidR="009E700D"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9E700D" w:rsidRPr="00223E00">
      <w:rPr>
        <w:rFonts w:ascii="Arial" w:hAnsi="Arial" w:cs="Arial"/>
        <w:sz w:val="16"/>
        <w:szCs w:val="16"/>
      </w:rPr>
      <w:fldChar w:fldCharType="separate"/>
    </w:r>
    <w:r w:rsidR="00E836AD">
      <w:rPr>
        <w:rFonts w:ascii="Arial" w:hAnsi="Arial" w:cs="Arial"/>
        <w:noProof/>
        <w:sz w:val="16"/>
        <w:szCs w:val="16"/>
      </w:rPr>
      <w:t>21</w:t>
    </w:r>
    <w:r w:rsidR="009E700D"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4F7" w:rsidRDefault="003D34F7" w:rsidP="00E71A58">
      <w:r>
        <w:separator/>
      </w:r>
    </w:p>
  </w:footnote>
  <w:footnote w:type="continuationSeparator" w:id="0">
    <w:p w:rsidR="003D34F7" w:rsidRDefault="003D34F7" w:rsidP="00E71A58">
      <w:r>
        <w:continuationSeparator/>
      </w:r>
    </w:p>
  </w:footnote>
  <w:footnote w:id="1">
    <w:p w:rsidR="00347C83" w:rsidRPr="00D40914" w:rsidRDefault="00347C83" w:rsidP="00347C83">
      <w:pPr>
        <w:pStyle w:val="Textpoznpodarou"/>
        <w:rPr>
          <w:sz w:val="16"/>
          <w:szCs w:val="16"/>
          <w:lang w:val="en-GB"/>
        </w:rPr>
      </w:pPr>
      <w:r w:rsidRPr="00D40914">
        <w:rPr>
          <w:rStyle w:val="Znakapoznpodarou"/>
        </w:rPr>
        <w:footnoteRef/>
      </w:r>
      <w:r w:rsidRPr="00D40914">
        <w:t xml:space="preserve"> </w:t>
      </w:r>
      <w:r w:rsidRPr="00D40914">
        <w:rPr>
          <w:sz w:val="16"/>
          <w:szCs w:val="16"/>
          <w:lang w:val="en-GB"/>
        </w:rPr>
        <w:t>Unless stated otherwise, the data are the national accounts data adjusted for seasonal effects.</w:t>
      </w:r>
    </w:p>
    <w:p w:rsidR="00347C83" w:rsidRDefault="00347C83" w:rsidP="00347C83">
      <w:pPr>
        <w:pStyle w:val="Textpoznpodarou"/>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1D" w:rsidRPr="00D766EF" w:rsidRDefault="00C2201D" w:rsidP="00D766EF">
    <w:pPr>
      <w:pStyle w:val="Zhlav"/>
      <w:tabs>
        <w:tab w:val="clear" w:pos="4536"/>
        <w:tab w:val="clear" w:pos="9072"/>
        <w:tab w:val="left" w:pos="-6379"/>
        <w:tab w:val="center" w:pos="4820"/>
        <w:tab w:val="right" w:pos="9639"/>
      </w:tabs>
      <w:rPr>
        <w:szCs w:val="16"/>
      </w:rPr>
    </w:pP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Czech</w:t>
    </w:r>
    <w:proofErr w:type="spellEnd"/>
    <w:r>
      <w:rPr>
        <w:rFonts w:ascii="Arial" w:hAnsi="Arial" w:cs="Arial"/>
        <w:sz w:val="16"/>
        <w:szCs w:val="16"/>
      </w:rPr>
      <w:t xml:space="preserve"> </w:t>
    </w:r>
    <w:proofErr w:type="spellStart"/>
    <w:r>
      <w:rPr>
        <w:rFonts w:ascii="Arial" w:hAnsi="Arial" w:cs="Arial"/>
        <w:sz w:val="16"/>
        <w:szCs w:val="16"/>
      </w:rPr>
      <w:t>Economy</w:t>
    </w:r>
    <w:proofErr w:type="spellEnd"/>
    <w:r>
      <w:rPr>
        <w:rFonts w:ascii="Arial" w:hAnsi="Arial" w:cs="Arial"/>
        <w:sz w:val="16"/>
        <w:szCs w:val="16"/>
      </w:rPr>
      <w:t xml:space="preserve"> </w:t>
    </w:r>
    <w:proofErr w:type="spellStart"/>
    <w:r w:rsidR="008E789F">
      <w:rPr>
        <w:rFonts w:ascii="Arial" w:hAnsi="Arial" w:cs="Arial"/>
        <w:sz w:val="16"/>
        <w:szCs w:val="16"/>
      </w:rPr>
      <w:t>Development</w:t>
    </w:r>
    <w:proofErr w:type="spellEnd"/>
    <w:r w:rsidR="008E789F">
      <w:rPr>
        <w:rFonts w:ascii="Arial" w:hAnsi="Arial" w:cs="Arial"/>
        <w:sz w:val="16"/>
        <w:szCs w:val="16"/>
      </w:rPr>
      <w:t xml:space="preserve"> in </w:t>
    </w:r>
    <w:proofErr w:type="spellStart"/>
    <w:r w:rsidR="008E789F">
      <w:rPr>
        <w:rFonts w:ascii="Arial" w:hAnsi="Arial" w:cs="Arial"/>
        <w:sz w:val="16"/>
        <w:szCs w:val="16"/>
      </w:rPr>
      <w:t>the</w:t>
    </w:r>
    <w:proofErr w:type="spellEnd"/>
    <w:r w:rsidR="008E789F">
      <w:rPr>
        <w:rFonts w:ascii="Arial" w:hAnsi="Arial" w:cs="Arial"/>
        <w:sz w:val="16"/>
        <w:szCs w:val="16"/>
      </w:rPr>
      <w:t xml:space="preserve"> </w:t>
    </w:r>
    <w:proofErr w:type="spellStart"/>
    <w:r w:rsidR="008E789F">
      <w:rPr>
        <w:rFonts w:ascii="Arial" w:hAnsi="Arial" w:cs="Arial"/>
        <w:sz w:val="16"/>
        <w:szCs w:val="16"/>
      </w:rPr>
      <w:t>First</w:t>
    </w:r>
    <w:proofErr w:type="spellEnd"/>
    <w:r w:rsidR="008E789F">
      <w:rPr>
        <w:rFonts w:ascii="Arial" w:hAnsi="Arial" w:cs="Arial"/>
        <w:sz w:val="16"/>
        <w:szCs w:val="16"/>
      </w:rPr>
      <w:t xml:space="preserve"> H</w:t>
    </w:r>
    <w:r>
      <w:rPr>
        <w:rFonts w:ascii="Arial" w:hAnsi="Arial" w:cs="Arial"/>
        <w:sz w:val="16"/>
        <w:szCs w:val="16"/>
      </w:rPr>
      <w:t xml:space="preserve">alf </w:t>
    </w:r>
    <w:proofErr w:type="spellStart"/>
    <w:r>
      <w:rPr>
        <w:rFonts w:ascii="Arial" w:hAnsi="Arial" w:cs="Arial"/>
        <w:sz w:val="16"/>
        <w:szCs w:val="16"/>
      </w:rPr>
      <w:t>of</w:t>
    </w:r>
    <w:proofErr w:type="spellEnd"/>
    <w:r>
      <w:rPr>
        <w:rFonts w:ascii="Arial" w:hAnsi="Arial" w:cs="Arial"/>
        <w:sz w:val="16"/>
        <w:szCs w:val="16"/>
      </w:rPr>
      <w:t xml:space="preserve"> 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37B" w:rsidRDefault="007F337B" w:rsidP="007F337B">
    <w:pPr>
      <w:pStyle w:val="Zhlav"/>
      <w:tabs>
        <w:tab w:val="clear" w:pos="4536"/>
        <w:tab w:val="clear" w:pos="9072"/>
        <w:tab w:val="left" w:pos="-6379"/>
        <w:tab w:val="center" w:pos="4820"/>
        <w:tab w:val="right" w:pos="9639"/>
      </w:tabs>
      <w:rPr>
        <w:rFonts w:ascii="Arial" w:hAnsi="Arial" w:cs="Arial"/>
        <w:sz w:val="16"/>
        <w:szCs w:val="16"/>
      </w:rPr>
    </w:pP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Cz</w:t>
    </w:r>
    <w:r w:rsidR="008E789F">
      <w:rPr>
        <w:rFonts w:ascii="Arial" w:hAnsi="Arial" w:cs="Arial"/>
        <w:sz w:val="16"/>
        <w:szCs w:val="16"/>
      </w:rPr>
      <w:t>ech</w:t>
    </w:r>
    <w:proofErr w:type="spellEnd"/>
    <w:r w:rsidR="008E789F">
      <w:rPr>
        <w:rFonts w:ascii="Arial" w:hAnsi="Arial" w:cs="Arial"/>
        <w:sz w:val="16"/>
        <w:szCs w:val="16"/>
      </w:rPr>
      <w:t xml:space="preserve"> </w:t>
    </w:r>
    <w:proofErr w:type="spellStart"/>
    <w:r w:rsidR="008E789F">
      <w:rPr>
        <w:rFonts w:ascii="Arial" w:hAnsi="Arial" w:cs="Arial"/>
        <w:sz w:val="16"/>
        <w:szCs w:val="16"/>
      </w:rPr>
      <w:t>Economy</w:t>
    </w:r>
    <w:proofErr w:type="spellEnd"/>
    <w:r w:rsidR="008E789F">
      <w:rPr>
        <w:rFonts w:ascii="Arial" w:hAnsi="Arial" w:cs="Arial"/>
        <w:sz w:val="16"/>
        <w:szCs w:val="16"/>
      </w:rPr>
      <w:t xml:space="preserve"> </w:t>
    </w:r>
    <w:proofErr w:type="spellStart"/>
    <w:r w:rsidR="008E789F">
      <w:rPr>
        <w:rFonts w:ascii="Arial" w:hAnsi="Arial" w:cs="Arial"/>
        <w:sz w:val="16"/>
        <w:szCs w:val="16"/>
      </w:rPr>
      <w:t>Development</w:t>
    </w:r>
    <w:proofErr w:type="spellEnd"/>
    <w:r w:rsidR="008E789F">
      <w:rPr>
        <w:rFonts w:ascii="Arial" w:hAnsi="Arial" w:cs="Arial"/>
        <w:sz w:val="16"/>
        <w:szCs w:val="16"/>
      </w:rPr>
      <w:t xml:space="preserve"> in </w:t>
    </w:r>
    <w:proofErr w:type="spellStart"/>
    <w:r w:rsidR="008E789F">
      <w:rPr>
        <w:rFonts w:ascii="Arial" w:hAnsi="Arial" w:cs="Arial"/>
        <w:sz w:val="16"/>
        <w:szCs w:val="16"/>
      </w:rPr>
      <w:t>the</w:t>
    </w:r>
    <w:proofErr w:type="spellEnd"/>
    <w:r w:rsidR="008E789F">
      <w:rPr>
        <w:rFonts w:ascii="Arial" w:hAnsi="Arial" w:cs="Arial"/>
        <w:sz w:val="16"/>
        <w:szCs w:val="16"/>
      </w:rPr>
      <w:t xml:space="preserve"> </w:t>
    </w:r>
    <w:proofErr w:type="spellStart"/>
    <w:r w:rsidR="008E789F">
      <w:rPr>
        <w:rFonts w:ascii="Arial" w:hAnsi="Arial" w:cs="Arial"/>
        <w:sz w:val="16"/>
        <w:szCs w:val="16"/>
      </w:rPr>
      <w:t>First</w:t>
    </w:r>
    <w:proofErr w:type="spellEnd"/>
    <w:r w:rsidR="008E789F">
      <w:rPr>
        <w:rFonts w:ascii="Arial" w:hAnsi="Arial" w:cs="Arial"/>
        <w:sz w:val="16"/>
        <w:szCs w:val="16"/>
      </w:rPr>
      <w:t xml:space="preserve"> H</w:t>
    </w:r>
    <w:r>
      <w:rPr>
        <w:rFonts w:ascii="Arial" w:hAnsi="Arial" w:cs="Arial"/>
        <w:sz w:val="16"/>
        <w:szCs w:val="16"/>
      </w:rPr>
      <w:t xml:space="preserve">alf </w:t>
    </w:r>
    <w:proofErr w:type="spellStart"/>
    <w:r>
      <w:rPr>
        <w:rFonts w:ascii="Arial" w:hAnsi="Arial" w:cs="Arial"/>
        <w:sz w:val="16"/>
        <w:szCs w:val="16"/>
      </w:rPr>
      <w:t>of</w:t>
    </w:r>
    <w:proofErr w:type="spellEnd"/>
    <w:r>
      <w:rPr>
        <w:rFonts w:ascii="Arial" w:hAnsi="Arial" w:cs="Arial"/>
        <w:sz w:val="16"/>
        <w:szCs w:val="16"/>
      </w:rPr>
      <w:t xml:space="preserve"> 2015</w:t>
    </w:r>
  </w:p>
  <w:p w:rsidR="00C2201D" w:rsidRPr="007F337B" w:rsidRDefault="00C2201D" w:rsidP="007F337B">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75918"/>
    <w:multiLevelType w:val="hybridMultilevel"/>
    <w:tmpl w:val="442A7020"/>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D4D0FE2"/>
    <w:multiLevelType w:val="hybridMultilevel"/>
    <w:tmpl w:val="03541CA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79873"/>
  </w:hdrShapeDefaults>
  <w:footnotePr>
    <w:footnote w:id="-1"/>
    <w:footnote w:id="0"/>
  </w:footnotePr>
  <w:endnotePr>
    <w:endnote w:id="-1"/>
    <w:endnote w:id="0"/>
  </w:endnotePr>
  <w:compat/>
  <w:rsids>
    <w:rsidRoot w:val="009B70BD"/>
    <w:rsid w:val="00000FA7"/>
    <w:rsid w:val="00003687"/>
    <w:rsid w:val="00003C43"/>
    <w:rsid w:val="00007498"/>
    <w:rsid w:val="0000767A"/>
    <w:rsid w:val="000101F5"/>
    <w:rsid w:val="000104B9"/>
    <w:rsid w:val="00010702"/>
    <w:rsid w:val="00011191"/>
    <w:rsid w:val="0001159B"/>
    <w:rsid w:val="00012986"/>
    <w:rsid w:val="00014D3A"/>
    <w:rsid w:val="0001573E"/>
    <w:rsid w:val="00017F05"/>
    <w:rsid w:val="000202C6"/>
    <w:rsid w:val="00020946"/>
    <w:rsid w:val="00024887"/>
    <w:rsid w:val="00024CBA"/>
    <w:rsid w:val="00025501"/>
    <w:rsid w:val="00026998"/>
    <w:rsid w:val="0003066A"/>
    <w:rsid w:val="000309BD"/>
    <w:rsid w:val="00032838"/>
    <w:rsid w:val="00032C12"/>
    <w:rsid w:val="0003409E"/>
    <w:rsid w:val="00035FC6"/>
    <w:rsid w:val="00037667"/>
    <w:rsid w:val="000411E1"/>
    <w:rsid w:val="00041E1C"/>
    <w:rsid w:val="00043E05"/>
    <w:rsid w:val="0004694F"/>
    <w:rsid w:val="000500DC"/>
    <w:rsid w:val="00052172"/>
    <w:rsid w:val="000541DA"/>
    <w:rsid w:val="00055059"/>
    <w:rsid w:val="000553E4"/>
    <w:rsid w:val="000626FB"/>
    <w:rsid w:val="00062EC5"/>
    <w:rsid w:val="00064256"/>
    <w:rsid w:val="000706A4"/>
    <w:rsid w:val="00072118"/>
    <w:rsid w:val="00073173"/>
    <w:rsid w:val="000779AC"/>
    <w:rsid w:val="00083803"/>
    <w:rsid w:val="00086DE6"/>
    <w:rsid w:val="0008716A"/>
    <w:rsid w:val="00087634"/>
    <w:rsid w:val="00091237"/>
    <w:rsid w:val="0009191B"/>
    <w:rsid w:val="000920EC"/>
    <w:rsid w:val="00092208"/>
    <w:rsid w:val="00092505"/>
    <w:rsid w:val="00097D02"/>
    <w:rsid w:val="000A1183"/>
    <w:rsid w:val="000A2121"/>
    <w:rsid w:val="000A2484"/>
    <w:rsid w:val="000A66F6"/>
    <w:rsid w:val="000B0638"/>
    <w:rsid w:val="000B1CFE"/>
    <w:rsid w:val="000B210A"/>
    <w:rsid w:val="000B249B"/>
    <w:rsid w:val="000B3DB9"/>
    <w:rsid w:val="000B3F02"/>
    <w:rsid w:val="000B48E7"/>
    <w:rsid w:val="000B5963"/>
    <w:rsid w:val="000B6A0A"/>
    <w:rsid w:val="000B7663"/>
    <w:rsid w:val="000C1072"/>
    <w:rsid w:val="000C11D3"/>
    <w:rsid w:val="000C12F5"/>
    <w:rsid w:val="000C3408"/>
    <w:rsid w:val="000C42C6"/>
    <w:rsid w:val="000D0D51"/>
    <w:rsid w:val="000D14B3"/>
    <w:rsid w:val="000D208B"/>
    <w:rsid w:val="000D2B8D"/>
    <w:rsid w:val="000D2E41"/>
    <w:rsid w:val="000D4273"/>
    <w:rsid w:val="000D5E7A"/>
    <w:rsid w:val="000D5FAA"/>
    <w:rsid w:val="000D65A4"/>
    <w:rsid w:val="000D6AEF"/>
    <w:rsid w:val="000E025B"/>
    <w:rsid w:val="000E153A"/>
    <w:rsid w:val="000E19A8"/>
    <w:rsid w:val="000E4A42"/>
    <w:rsid w:val="000E6476"/>
    <w:rsid w:val="000E65FB"/>
    <w:rsid w:val="000E78D2"/>
    <w:rsid w:val="000F3332"/>
    <w:rsid w:val="000F33EE"/>
    <w:rsid w:val="000F3E5F"/>
    <w:rsid w:val="000F401E"/>
    <w:rsid w:val="000F5445"/>
    <w:rsid w:val="000F67B2"/>
    <w:rsid w:val="000F790F"/>
    <w:rsid w:val="000F7D03"/>
    <w:rsid w:val="000F7E1B"/>
    <w:rsid w:val="00100014"/>
    <w:rsid w:val="0010039A"/>
    <w:rsid w:val="00101FB2"/>
    <w:rsid w:val="00102F02"/>
    <w:rsid w:val="001041B6"/>
    <w:rsid w:val="001070EA"/>
    <w:rsid w:val="0011002A"/>
    <w:rsid w:val="0011110A"/>
    <w:rsid w:val="001118AF"/>
    <w:rsid w:val="0011256E"/>
    <w:rsid w:val="00112A7C"/>
    <w:rsid w:val="0011352E"/>
    <w:rsid w:val="001158D1"/>
    <w:rsid w:val="00116DB9"/>
    <w:rsid w:val="00116F28"/>
    <w:rsid w:val="00117A7E"/>
    <w:rsid w:val="00121C39"/>
    <w:rsid w:val="00123255"/>
    <w:rsid w:val="00124D2D"/>
    <w:rsid w:val="001307BE"/>
    <w:rsid w:val="00130C8F"/>
    <w:rsid w:val="001314F2"/>
    <w:rsid w:val="001317DA"/>
    <w:rsid w:val="001323BA"/>
    <w:rsid w:val="0013254D"/>
    <w:rsid w:val="00133251"/>
    <w:rsid w:val="00133AAC"/>
    <w:rsid w:val="00136561"/>
    <w:rsid w:val="001400E1"/>
    <w:rsid w:val="001405FA"/>
    <w:rsid w:val="001413B3"/>
    <w:rsid w:val="001425C3"/>
    <w:rsid w:val="00142F16"/>
    <w:rsid w:val="00143E03"/>
    <w:rsid w:val="00143E93"/>
    <w:rsid w:val="00145877"/>
    <w:rsid w:val="00147262"/>
    <w:rsid w:val="00151AC0"/>
    <w:rsid w:val="00152046"/>
    <w:rsid w:val="00154147"/>
    <w:rsid w:val="00156318"/>
    <w:rsid w:val="0015639A"/>
    <w:rsid w:val="0016081D"/>
    <w:rsid w:val="00160CF3"/>
    <w:rsid w:val="001620FA"/>
    <w:rsid w:val="00162853"/>
    <w:rsid w:val="00163793"/>
    <w:rsid w:val="0016699E"/>
    <w:rsid w:val="001707DE"/>
    <w:rsid w:val="00170B04"/>
    <w:rsid w:val="00170F47"/>
    <w:rsid w:val="001714F2"/>
    <w:rsid w:val="00173642"/>
    <w:rsid w:val="00174CE8"/>
    <w:rsid w:val="00176050"/>
    <w:rsid w:val="001764D8"/>
    <w:rsid w:val="00176A8F"/>
    <w:rsid w:val="00180D58"/>
    <w:rsid w:val="00182981"/>
    <w:rsid w:val="001835E7"/>
    <w:rsid w:val="00184CF9"/>
    <w:rsid w:val="00185010"/>
    <w:rsid w:val="001852EC"/>
    <w:rsid w:val="001874CF"/>
    <w:rsid w:val="00190D9B"/>
    <w:rsid w:val="00191BAE"/>
    <w:rsid w:val="00193432"/>
    <w:rsid w:val="00193BA1"/>
    <w:rsid w:val="00195444"/>
    <w:rsid w:val="001A2BDB"/>
    <w:rsid w:val="001A30F4"/>
    <w:rsid w:val="001A552F"/>
    <w:rsid w:val="001A56F3"/>
    <w:rsid w:val="001A750C"/>
    <w:rsid w:val="001B1D89"/>
    <w:rsid w:val="001B3110"/>
    <w:rsid w:val="001B417A"/>
    <w:rsid w:val="001B44BC"/>
    <w:rsid w:val="001B6545"/>
    <w:rsid w:val="001B681B"/>
    <w:rsid w:val="001B694C"/>
    <w:rsid w:val="001B6A49"/>
    <w:rsid w:val="001B74FB"/>
    <w:rsid w:val="001B77A1"/>
    <w:rsid w:val="001C0422"/>
    <w:rsid w:val="001C0E0E"/>
    <w:rsid w:val="001C1219"/>
    <w:rsid w:val="001C357A"/>
    <w:rsid w:val="001C3A37"/>
    <w:rsid w:val="001C4384"/>
    <w:rsid w:val="001C5240"/>
    <w:rsid w:val="001C65FF"/>
    <w:rsid w:val="001D47E5"/>
    <w:rsid w:val="001D584C"/>
    <w:rsid w:val="001D66C1"/>
    <w:rsid w:val="001E0C65"/>
    <w:rsid w:val="001E23E3"/>
    <w:rsid w:val="001E387A"/>
    <w:rsid w:val="001E3DA4"/>
    <w:rsid w:val="001E5830"/>
    <w:rsid w:val="001E684C"/>
    <w:rsid w:val="001E701C"/>
    <w:rsid w:val="001E7C03"/>
    <w:rsid w:val="001F02AF"/>
    <w:rsid w:val="001F28F4"/>
    <w:rsid w:val="001F3C79"/>
    <w:rsid w:val="001F3E68"/>
    <w:rsid w:val="001F4597"/>
    <w:rsid w:val="00200D15"/>
    <w:rsid w:val="00203074"/>
    <w:rsid w:val="00203B46"/>
    <w:rsid w:val="002048E1"/>
    <w:rsid w:val="00210278"/>
    <w:rsid w:val="00210CC2"/>
    <w:rsid w:val="00210F5B"/>
    <w:rsid w:val="00211262"/>
    <w:rsid w:val="00211AC9"/>
    <w:rsid w:val="0021355B"/>
    <w:rsid w:val="00216098"/>
    <w:rsid w:val="002205F2"/>
    <w:rsid w:val="0022080E"/>
    <w:rsid w:val="0022139E"/>
    <w:rsid w:val="0022272B"/>
    <w:rsid w:val="00222A99"/>
    <w:rsid w:val="00223678"/>
    <w:rsid w:val="00223E00"/>
    <w:rsid w:val="002252E0"/>
    <w:rsid w:val="002255F6"/>
    <w:rsid w:val="00226466"/>
    <w:rsid w:val="002266D0"/>
    <w:rsid w:val="002303A6"/>
    <w:rsid w:val="00230DAD"/>
    <w:rsid w:val="0023229C"/>
    <w:rsid w:val="00234280"/>
    <w:rsid w:val="00235000"/>
    <w:rsid w:val="002350E3"/>
    <w:rsid w:val="00235938"/>
    <w:rsid w:val="00236443"/>
    <w:rsid w:val="00236E20"/>
    <w:rsid w:val="00240A5B"/>
    <w:rsid w:val="002436BA"/>
    <w:rsid w:val="002444ED"/>
    <w:rsid w:val="00244A15"/>
    <w:rsid w:val="00244D40"/>
    <w:rsid w:val="00246AE9"/>
    <w:rsid w:val="0024799E"/>
    <w:rsid w:val="00250C59"/>
    <w:rsid w:val="00251D59"/>
    <w:rsid w:val="002522CD"/>
    <w:rsid w:val="002524C4"/>
    <w:rsid w:val="00252602"/>
    <w:rsid w:val="00252E1B"/>
    <w:rsid w:val="00252FDC"/>
    <w:rsid w:val="00261E5B"/>
    <w:rsid w:val="00263470"/>
    <w:rsid w:val="00263733"/>
    <w:rsid w:val="00264676"/>
    <w:rsid w:val="00264772"/>
    <w:rsid w:val="00265536"/>
    <w:rsid w:val="00265E54"/>
    <w:rsid w:val="00266520"/>
    <w:rsid w:val="00266F3E"/>
    <w:rsid w:val="0026788B"/>
    <w:rsid w:val="00272464"/>
    <w:rsid w:val="00273DCD"/>
    <w:rsid w:val="00273E1C"/>
    <w:rsid w:val="00274291"/>
    <w:rsid w:val="00274E3B"/>
    <w:rsid w:val="00276CFE"/>
    <w:rsid w:val="00277071"/>
    <w:rsid w:val="0027786C"/>
    <w:rsid w:val="00277BF7"/>
    <w:rsid w:val="00281416"/>
    <w:rsid w:val="00281B77"/>
    <w:rsid w:val="00285CD3"/>
    <w:rsid w:val="0028686A"/>
    <w:rsid w:val="00286E66"/>
    <w:rsid w:val="002919B5"/>
    <w:rsid w:val="00293441"/>
    <w:rsid w:val="0029493E"/>
    <w:rsid w:val="00296C2E"/>
    <w:rsid w:val="002A1B05"/>
    <w:rsid w:val="002A3354"/>
    <w:rsid w:val="002A35EA"/>
    <w:rsid w:val="002A37B6"/>
    <w:rsid w:val="002A3BD5"/>
    <w:rsid w:val="002A43A2"/>
    <w:rsid w:val="002A4612"/>
    <w:rsid w:val="002A5263"/>
    <w:rsid w:val="002A6821"/>
    <w:rsid w:val="002A74D2"/>
    <w:rsid w:val="002B1494"/>
    <w:rsid w:val="002B1544"/>
    <w:rsid w:val="002B36C8"/>
    <w:rsid w:val="002B4689"/>
    <w:rsid w:val="002B7240"/>
    <w:rsid w:val="002C01D2"/>
    <w:rsid w:val="002C2668"/>
    <w:rsid w:val="002C4036"/>
    <w:rsid w:val="002C43BD"/>
    <w:rsid w:val="002C446F"/>
    <w:rsid w:val="002C5261"/>
    <w:rsid w:val="002C5F84"/>
    <w:rsid w:val="002C6091"/>
    <w:rsid w:val="002D0562"/>
    <w:rsid w:val="002D1B31"/>
    <w:rsid w:val="002D1B5A"/>
    <w:rsid w:val="002D2BF3"/>
    <w:rsid w:val="002D3F00"/>
    <w:rsid w:val="002D4D59"/>
    <w:rsid w:val="002D54BF"/>
    <w:rsid w:val="002D5E94"/>
    <w:rsid w:val="002D632D"/>
    <w:rsid w:val="002E02A1"/>
    <w:rsid w:val="002E0982"/>
    <w:rsid w:val="002E0DB9"/>
    <w:rsid w:val="002E2CE4"/>
    <w:rsid w:val="002F33FB"/>
    <w:rsid w:val="002F69FF"/>
    <w:rsid w:val="002F7594"/>
    <w:rsid w:val="00301357"/>
    <w:rsid w:val="00301620"/>
    <w:rsid w:val="00301D04"/>
    <w:rsid w:val="00304771"/>
    <w:rsid w:val="00305736"/>
    <w:rsid w:val="00306C5B"/>
    <w:rsid w:val="00306E3B"/>
    <w:rsid w:val="00312C3D"/>
    <w:rsid w:val="00314331"/>
    <w:rsid w:val="003168E9"/>
    <w:rsid w:val="00317E31"/>
    <w:rsid w:val="00320214"/>
    <w:rsid w:val="003209D6"/>
    <w:rsid w:val="0032109A"/>
    <w:rsid w:val="00321A11"/>
    <w:rsid w:val="0032214F"/>
    <w:rsid w:val="00322164"/>
    <w:rsid w:val="0032513D"/>
    <w:rsid w:val="00326251"/>
    <w:rsid w:val="00327DEE"/>
    <w:rsid w:val="003304AD"/>
    <w:rsid w:val="003329F3"/>
    <w:rsid w:val="0033352E"/>
    <w:rsid w:val="00333690"/>
    <w:rsid w:val="00333D20"/>
    <w:rsid w:val="003340EF"/>
    <w:rsid w:val="00334A49"/>
    <w:rsid w:val="00335BB0"/>
    <w:rsid w:val="0033627B"/>
    <w:rsid w:val="003406BD"/>
    <w:rsid w:val="00341131"/>
    <w:rsid w:val="00343F84"/>
    <w:rsid w:val="00344135"/>
    <w:rsid w:val="00347C83"/>
    <w:rsid w:val="00351B63"/>
    <w:rsid w:val="00352E57"/>
    <w:rsid w:val="003541B0"/>
    <w:rsid w:val="00355885"/>
    <w:rsid w:val="0035605E"/>
    <w:rsid w:val="00357449"/>
    <w:rsid w:val="0036238B"/>
    <w:rsid w:val="003629E4"/>
    <w:rsid w:val="00365680"/>
    <w:rsid w:val="003657F3"/>
    <w:rsid w:val="00367038"/>
    <w:rsid w:val="003709DE"/>
    <w:rsid w:val="0037144E"/>
    <w:rsid w:val="003736B5"/>
    <w:rsid w:val="00374F1E"/>
    <w:rsid w:val="00376DEC"/>
    <w:rsid w:val="00380E04"/>
    <w:rsid w:val="00383227"/>
    <w:rsid w:val="00384D8F"/>
    <w:rsid w:val="00385D98"/>
    <w:rsid w:val="00385EC5"/>
    <w:rsid w:val="003870B8"/>
    <w:rsid w:val="0039066E"/>
    <w:rsid w:val="00391C95"/>
    <w:rsid w:val="00393BCA"/>
    <w:rsid w:val="00396DAC"/>
    <w:rsid w:val="003A0214"/>
    <w:rsid w:val="003A027D"/>
    <w:rsid w:val="003A1D74"/>
    <w:rsid w:val="003A2B4D"/>
    <w:rsid w:val="003A2D2B"/>
    <w:rsid w:val="003A2DD4"/>
    <w:rsid w:val="003A3B1C"/>
    <w:rsid w:val="003A478C"/>
    <w:rsid w:val="003A4F82"/>
    <w:rsid w:val="003A5525"/>
    <w:rsid w:val="003A6B38"/>
    <w:rsid w:val="003B2E63"/>
    <w:rsid w:val="003B3189"/>
    <w:rsid w:val="003B3A9D"/>
    <w:rsid w:val="003B5031"/>
    <w:rsid w:val="003B5A32"/>
    <w:rsid w:val="003B6105"/>
    <w:rsid w:val="003C04C4"/>
    <w:rsid w:val="003C26F4"/>
    <w:rsid w:val="003C40DE"/>
    <w:rsid w:val="003C4852"/>
    <w:rsid w:val="003C5BAB"/>
    <w:rsid w:val="003C601E"/>
    <w:rsid w:val="003D34F7"/>
    <w:rsid w:val="003D3600"/>
    <w:rsid w:val="003D3825"/>
    <w:rsid w:val="003D3EC4"/>
    <w:rsid w:val="003D4760"/>
    <w:rsid w:val="003D49DC"/>
    <w:rsid w:val="003E0663"/>
    <w:rsid w:val="003E133F"/>
    <w:rsid w:val="003E699C"/>
    <w:rsid w:val="003E69F3"/>
    <w:rsid w:val="003E782E"/>
    <w:rsid w:val="003E7A0B"/>
    <w:rsid w:val="003E7B2B"/>
    <w:rsid w:val="003F1A48"/>
    <w:rsid w:val="003F2B0A"/>
    <w:rsid w:val="003F313C"/>
    <w:rsid w:val="003F37FC"/>
    <w:rsid w:val="003F49A6"/>
    <w:rsid w:val="003F5098"/>
    <w:rsid w:val="003F5568"/>
    <w:rsid w:val="003F5A95"/>
    <w:rsid w:val="003F6D19"/>
    <w:rsid w:val="004000D5"/>
    <w:rsid w:val="00401716"/>
    <w:rsid w:val="0040273A"/>
    <w:rsid w:val="00402C25"/>
    <w:rsid w:val="004050D7"/>
    <w:rsid w:val="004078BD"/>
    <w:rsid w:val="00410132"/>
    <w:rsid w:val="00410BCD"/>
    <w:rsid w:val="0041175D"/>
    <w:rsid w:val="004123BE"/>
    <w:rsid w:val="004127EA"/>
    <w:rsid w:val="0041369F"/>
    <w:rsid w:val="00414CE5"/>
    <w:rsid w:val="00416673"/>
    <w:rsid w:val="0042160D"/>
    <w:rsid w:val="0042681B"/>
    <w:rsid w:val="0043068A"/>
    <w:rsid w:val="004306E0"/>
    <w:rsid w:val="004329BE"/>
    <w:rsid w:val="00432C38"/>
    <w:rsid w:val="00437C76"/>
    <w:rsid w:val="004441A0"/>
    <w:rsid w:val="00444268"/>
    <w:rsid w:val="004443BF"/>
    <w:rsid w:val="00444C19"/>
    <w:rsid w:val="00445413"/>
    <w:rsid w:val="00446892"/>
    <w:rsid w:val="00450C30"/>
    <w:rsid w:val="004543AE"/>
    <w:rsid w:val="00455ECA"/>
    <w:rsid w:val="00460164"/>
    <w:rsid w:val="0046039A"/>
    <w:rsid w:val="00460A6B"/>
    <w:rsid w:val="00461977"/>
    <w:rsid w:val="004629FD"/>
    <w:rsid w:val="00463F4D"/>
    <w:rsid w:val="0046471F"/>
    <w:rsid w:val="00464BE8"/>
    <w:rsid w:val="00465019"/>
    <w:rsid w:val="0046613F"/>
    <w:rsid w:val="0046655D"/>
    <w:rsid w:val="0046765E"/>
    <w:rsid w:val="004676E2"/>
    <w:rsid w:val="00471EDD"/>
    <w:rsid w:val="004731AA"/>
    <w:rsid w:val="00473E94"/>
    <w:rsid w:val="0047400C"/>
    <w:rsid w:val="004745D9"/>
    <w:rsid w:val="004762D8"/>
    <w:rsid w:val="004765B3"/>
    <w:rsid w:val="00476D29"/>
    <w:rsid w:val="00477241"/>
    <w:rsid w:val="00477EAF"/>
    <w:rsid w:val="00477EE0"/>
    <w:rsid w:val="0048139F"/>
    <w:rsid w:val="00482DE0"/>
    <w:rsid w:val="00483053"/>
    <w:rsid w:val="00485CCE"/>
    <w:rsid w:val="00486B6F"/>
    <w:rsid w:val="004879E9"/>
    <w:rsid w:val="0049104F"/>
    <w:rsid w:val="00491218"/>
    <w:rsid w:val="00493362"/>
    <w:rsid w:val="00496C2F"/>
    <w:rsid w:val="0049740D"/>
    <w:rsid w:val="004978D3"/>
    <w:rsid w:val="004A11F8"/>
    <w:rsid w:val="004A22FA"/>
    <w:rsid w:val="004A269A"/>
    <w:rsid w:val="004A30FB"/>
    <w:rsid w:val="004A35DD"/>
    <w:rsid w:val="004A37D3"/>
    <w:rsid w:val="004A3AD6"/>
    <w:rsid w:val="004A41CD"/>
    <w:rsid w:val="004A5865"/>
    <w:rsid w:val="004A77DF"/>
    <w:rsid w:val="004B0295"/>
    <w:rsid w:val="004B10A8"/>
    <w:rsid w:val="004B22DA"/>
    <w:rsid w:val="004B3CB7"/>
    <w:rsid w:val="004B3D55"/>
    <w:rsid w:val="004B55B7"/>
    <w:rsid w:val="004C00A6"/>
    <w:rsid w:val="004C0BBB"/>
    <w:rsid w:val="004C1B86"/>
    <w:rsid w:val="004C3382"/>
    <w:rsid w:val="004C3867"/>
    <w:rsid w:val="004C4AB7"/>
    <w:rsid w:val="004C4CD0"/>
    <w:rsid w:val="004C51F2"/>
    <w:rsid w:val="004C57B5"/>
    <w:rsid w:val="004C5C25"/>
    <w:rsid w:val="004C6717"/>
    <w:rsid w:val="004C6CFF"/>
    <w:rsid w:val="004C70DC"/>
    <w:rsid w:val="004C7268"/>
    <w:rsid w:val="004D0211"/>
    <w:rsid w:val="004D1C9C"/>
    <w:rsid w:val="004D504B"/>
    <w:rsid w:val="004D536E"/>
    <w:rsid w:val="004E0CD2"/>
    <w:rsid w:val="004E1839"/>
    <w:rsid w:val="004E4A75"/>
    <w:rsid w:val="004E541A"/>
    <w:rsid w:val="004E5A5C"/>
    <w:rsid w:val="004E76D6"/>
    <w:rsid w:val="004F06F5"/>
    <w:rsid w:val="004F191F"/>
    <w:rsid w:val="004F2A73"/>
    <w:rsid w:val="004F33A0"/>
    <w:rsid w:val="004F4353"/>
    <w:rsid w:val="004F447D"/>
    <w:rsid w:val="004F4C28"/>
    <w:rsid w:val="004F5CC5"/>
    <w:rsid w:val="004F6261"/>
    <w:rsid w:val="00505ADA"/>
    <w:rsid w:val="00507040"/>
    <w:rsid w:val="005079F8"/>
    <w:rsid w:val="00510189"/>
    <w:rsid w:val="0051024D"/>
    <w:rsid w:val="005108C0"/>
    <w:rsid w:val="00511873"/>
    <w:rsid w:val="00513B7E"/>
    <w:rsid w:val="00514474"/>
    <w:rsid w:val="00514EBE"/>
    <w:rsid w:val="005215EF"/>
    <w:rsid w:val="00524637"/>
    <w:rsid w:val="00525137"/>
    <w:rsid w:val="005251DD"/>
    <w:rsid w:val="00527913"/>
    <w:rsid w:val="0053017A"/>
    <w:rsid w:val="00530492"/>
    <w:rsid w:val="00532854"/>
    <w:rsid w:val="00532BE8"/>
    <w:rsid w:val="005350F2"/>
    <w:rsid w:val="00535152"/>
    <w:rsid w:val="005351B6"/>
    <w:rsid w:val="00535359"/>
    <w:rsid w:val="005356C8"/>
    <w:rsid w:val="005357A2"/>
    <w:rsid w:val="00535D87"/>
    <w:rsid w:val="00535EF0"/>
    <w:rsid w:val="0053734B"/>
    <w:rsid w:val="00537AFD"/>
    <w:rsid w:val="00537CB4"/>
    <w:rsid w:val="00540895"/>
    <w:rsid w:val="00541B19"/>
    <w:rsid w:val="0054516B"/>
    <w:rsid w:val="0054559E"/>
    <w:rsid w:val="005513D5"/>
    <w:rsid w:val="005523B9"/>
    <w:rsid w:val="005545E0"/>
    <w:rsid w:val="00554865"/>
    <w:rsid w:val="00554E57"/>
    <w:rsid w:val="00562749"/>
    <w:rsid w:val="00562DE9"/>
    <w:rsid w:val="00563674"/>
    <w:rsid w:val="005638A5"/>
    <w:rsid w:val="00566381"/>
    <w:rsid w:val="00566A03"/>
    <w:rsid w:val="00571932"/>
    <w:rsid w:val="00573C97"/>
    <w:rsid w:val="00574240"/>
    <w:rsid w:val="00575CDC"/>
    <w:rsid w:val="005765D5"/>
    <w:rsid w:val="00576A3E"/>
    <w:rsid w:val="0058031B"/>
    <w:rsid w:val="00583D5B"/>
    <w:rsid w:val="00583FFD"/>
    <w:rsid w:val="00587CCD"/>
    <w:rsid w:val="005908AE"/>
    <w:rsid w:val="0059176E"/>
    <w:rsid w:val="00593152"/>
    <w:rsid w:val="00593CA3"/>
    <w:rsid w:val="00594161"/>
    <w:rsid w:val="00594969"/>
    <w:rsid w:val="00596C5E"/>
    <w:rsid w:val="005A2194"/>
    <w:rsid w:val="005A21E0"/>
    <w:rsid w:val="005A33A1"/>
    <w:rsid w:val="005A54EE"/>
    <w:rsid w:val="005A5F6C"/>
    <w:rsid w:val="005A7500"/>
    <w:rsid w:val="005B1BDB"/>
    <w:rsid w:val="005B2BAA"/>
    <w:rsid w:val="005B2D53"/>
    <w:rsid w:val="005B3060"/>
    <w:rsid w:val="005B3247"/>
    <w:rsid w:val="005B3409"/>
    <w:rsid w:val="005B7B12"/>
    <w:rsid w:val="005C0AC0"/>
    <w:rsid w:val="005C16CB"/>
    <w:rsid w:val="005C3F9F"/>
    <w:rsid w:val="005C4A23"/>
    <w:rsid w:val="005C6400"/>
    <w:rsid w:val="005C7F1E"/>
    <w:rsid w:val="005D374F"/>
    <w:rsid w:val="005D5802"/>
    <w:rsid w:val="005D6CFC"/>
    <w:rsid w:val="005D73E2"/>
    <w:rsid w:val="005E0476"/>
    <w:rsid w:val="005E1884"/>
    <w:rsid w:val="005E1E4B"/>
    <w:rsid w:val="005E362D"/>
    <w:rsid w:val="005E492C"/>
    <w:rsid w:val="005E4BAA"/>
    <w:rsid w:val="005E52EF"/>
    <w:rsid w:val="005E5B56"/>
    <w:rsid w:val="005E6088"/>
    <w:rsid w:val="005E61DF"/>
    <w:rsid w:val="005E6B78"/>
    <w:rsid w:val="005F4057"/>
    <w:rsid w:val="005F4088"/>
    <w:rsid w:val="005F6119"/>
    <w:rsid w:val="006004C6"/>
    <w:rsid w:val="0060107A"/>
    <w:rsid w:val="00601AFF"/>
    <w:rsid w:val="00602D1D"/>
    <w:rsid w:val="00604307"/>
    <w:rsid w:val="0060487F"/>
    <w:rsid w:val="00605814"/>
    <w:rsid w:val="00606B93"/>
    <w:rsid w:val="00607727"/>
    <w:rsid w:val="006118AA"/>
    <w:rsid w:val="006139C7"/>
    <w:rsid w:val="006153E3"/>
    <w:rsid w:val="00617D2D"/>
    <w:rsid w:val="00617D83"/>
    <w:rsid w:val="00620AC5"/>
    <w:rsid w:val="00620D38"/>
    <w:rsid w:val="00621575"/>
    <w:rsid w:val="006215FC"/>
    <w:rsid w:val="00624093"/>
    <w:rsid w:val="00630F66"/>
    <w:rsid w:val="00631FC2"/>
    <w:rsid w:val="00632171"/>
    <w:rsid w:val="0063284E"/>
    <w:rsid w:val="0063332A"/>
    <w:rsid w:val="006347F9"/>
    <w:rsid w:val="00634C90"/>
    <w:rsid w:val="00635E79"/>
    <w:rsid w:val="00636E5E"/>
    <w:rsid w:val="006404A7"/>
    <w:rsid w:val="006407F3"/>
    <w:rsid w:val="00644DFC"/>
    <w:rsid w:val="006451E4"/>
    <w:rsid w:val="006460B8"/>
    <w:rsid w:val="006520C7"/>
    <w:rsid w:val="0065277F"/>
    <w:rsid w:val="006530B8"/>
    <w:rsid w:val="006535D6"/>
    <w:rsid w:val="0065559D"/>
    <w:rsid w:val="006572ED"/>
    <w:rsid w:val="00657E87"/>
    <w:rsid w:val="00660457"/>
    <w:rsid w:val="00660E1E"/>
    <w:rsid w:val="006637B1"/>
    <w:rsid w:val="00665D67"/>
    <w:rsid w:val="00665D77"/>
    <w:rsid w:val="006660CD"/>
    <w:rsid w:val="006662B5"/>
    <w:rsid w:val="00666F4B"/>
    <w:rsid w:val="006676D0"/>
    <w:rsid w:val="00670FAC"/>
    <w:rsid w:val="006710C9"/>
    <w:rsid w:val="00675E37"/>
    <w:rsid w:val="00676F11"/>
    <w:rsid w:val="00680079"/>
    <w:rsid w:val="00680F68"/>
    <w:rsid w:val="0068260E"/>
    <w:rsid w:val="0068373D"/>
    <w:rsid w:val="00683BFE"/>
    <w:rsid w:val="00685069"/>
    <w:rsid w:val="006857DF"/>
    <w:rsid w:val="00685E66"/>
    <w:rsid w:val="00686B72"/>
    <w:rsid w:val="00686BF1"/>
    <w:rsid w:val="00690A09"/>
    <w:rsid w:val="00693FEA"/>
    <w:rsid w:val="00694930"/>
    <w:rsid w:val="00695170"/>
    <w:rsid w:val="00695BEF"/>
    <w:rsid w:val="006960D6"/>
    <w:rsid w:val="00696AA5"/>
    <w:rsid w:val="006974EE"/>
    <w:rsid w:val="006977F6"/>
    <w:rsid w:val="00697A13"/>
    <w:rsid w:val="006A109C"/>
    <w:rsid w:val="006A3CF3"/>
    <w:rsid w:val="006A672B"/>
    <w:rsid w:val="006B3F8A"/>
    <w:rsid w:val="006B5CA3"/>
    <w:rsid w:val="006B6B3B"/>
    <w:rsid w:val="006B7714"/>
    <w:rsid w:val="006B7816"/>
    <w:rsid w:val="006B78D8"/>
    <w:rsid w:val="006C090F"/>
    <w:rsid w:val="006C113F"/>
    <w:rsid w:val="006C38DD"/>
    <w:rsid w:val="006C5577"/>
    <w:rsid w:val="006C559A"/>
    <w:rsid w:val="006C58FA"/>
    <w:rsid w:val="006D042D"/>
    <w:rsid w:val="006D06EF"/>
    <w:rsid w:val="006D142E"/>
    <w:rsid w:val="006D4E6F"/>
    <w:rsid w:val="006D61F6"/>
    <w:rsid w:val="006E1F4C"/>
    <w:rsid w:val="006E279A"/>
    <w:rsid w:val="006E2F3F"/>
    <w:rsid w:val="006E313B"/>
    <w:rsid w:val="006E442A"/>
    <w:rsid w:val="006E5CFD"/>
    <w:rsid w:val="006F1326"/>
    <w:rsid w:val="006F2BEE"/>
    <w:rsid w:val="006F3708"/>
    <w:rsid w:val="006F3E6B"/>
    <w:rsid w:val="006F4A59"/>
    <w:rsid w:val="007014C7"/>
    <w:rsid w:val="00702D6F"/>
    <w:rsid w:val="007032F0"/>
    <w:rsid w:val="00703B6C"/>
    <w:rsid w:val="007047D5"/>
    <w:rsid w:val="00705D98"/>
    <w:rsid w:val="00707891"/>
    <w:rsid w:val="007078EE"/>
    <w:rsid w:val="00707D43"/>
    <w:rsid w:val="00711EF1"/>
    <w:rsid w:val="0071229A"/>
    <w:rsid w:val="00712572"/>
    <w:rsid w:val="00713495"/>
    <w:rsid w:val="00720FA2"/>
    <w:rsid w:val="007211F5"/>
    <w:rsid w:val="00724666"/>
    <w:rsid w:val="00726043"/>
    <w:rsid w:val="0072704A"/>
    <w:rsid w:val="00730AE8"/>
    <w:rsid w:val="00731963"/>
    <w:rsid w:val="00734321"/>
    <w:rsid w:val="00737289"/>
    <w:rsid w:val="00740310"/>
    <w:rsid w:val="00740652"/>
    <w:rsid w:val="00740F02"/>
    <w:rsid w:val="00740FEC"/>
    <w:rsid w:val="0074132E"/>
    <w:rsid w:val="00741493"/>
    <w:rsid w:val="007426B3"/>
    <w:rsid w:val="007426FD"/>
    <w:rsid w:val="0074329D"/>
    <w:rsid w:val="00744376"/>
    <w:rsid w:val="007449EA"/>
    <w:rsid w:val="007451AE"/>
    <w:rsid w:val="00746DD9"/>
    <w:rsid w:val="0075057A"/>
    <w:rsid w:val="00751771"/>
    <w:rsid w:val="00751C1C"/>
    <w:rsid w:val="00752180"/>
    <w:rsid w:val="007521A1"/>
    <w:rsid w:val="0075315D"/>
    <w:rsid w:val="007538F9"/>
    <w:rsid w:val="00753AFD"/>
    <w:rsid w:val="00754253"/>
    <w:rsid w:val="007552BB"/>
    <w:rsid w:val="007558D3"/>
    <w:rsid w:val="007559D7"/>
    <w:rsid w:val="00755D3A"/>
    <w:rsid w:val="00760141"/>
    <w:rsid w:val="007609C6"/>
    <w:rsid w:val="007610A0"/>
    <w:rsid w:val="007620F2"/>
    <w:rsid w:val="00762E34"/>
    <w:rsid w:val="00762EBA"/>
    <w:rsid w:val="0076359D"/>
    <w:rsid w:val="00772536"/>
    <w:rsid w:val="00773613"/>
    <w:rsid w:val="007736AA"/>
    <w:rsid w:val="00774782"/>
    <w:rsid w:val="00776527"/>
    <w:rsid w:val="0078113E"/>
    <w:rsid w:val="00781834"/>
    <w:rsid w:val="007821DB"/>
    <w:rsid w:val="00782744"/>
    <w:rsid w:val="00782818"/>
    <w:rsid w:val="00783C86"/>
    <w:rsid w:val="00784C4A"/>
    <w:rsid w:val="00786884"/>
    <w:rsid w:val="00787432"/>
    <w:rsid w:val="00787507"/>
    <w:rsid w:val="007879F2"/>
    <w:rsid w:val="00787D78"/>
    <w:rsid w:val="00791CF8"/>
    <w:rsid w:val="00792262"/>
    <w:rsid w:val="00793387"/>
    <w:rsid w:val="00793BAE"/>
    <w:rsid w:val="00794E0A"/>
    <w:rsid w:val="00796642"/>
    <w:rsid w:val="007A11D9"/>
    <w:rsid w:val="007A327B"/>
    <w:rsid w:val="007A4019"/>
    <w:rsid w:val="007A4606"/>
    <w:rsid w:val="007B1966"/>
    <w:rsid w:val="007B3DCC"/>
    <w:rsid w:val="007B4518"/>
    <w:rsid w:val="007B5031"/>
    <w:rsid w:val="007B517F"/>
    <w:rsid w:val="007B573F"/>
    <w:rsid w:val="007C3976"/>
    <w:rsid w:val="007C605B"/>
    <w:rsid w:val="007D2A5A"/>
    <w:rsid w:val="007D2AD8"/>
    <w:rsid w:val="007D2C47"/>
    <w:rsid w:val="007D3167"/>
    <w:rsid w:val="007D4281"/>
    <w:rsid w:val="007D42F5"/>
    <w:rsid w:val="007D44C3"/>
    <w:rsid w:val="007D5947"/>
    <w:rsid w:val="007D65C1"/>
    <w:rsid w:val="007E030F"/>
    <w:rsid w:val="007E0E59"/>
    <w:rsid w:val="007E0F4B"/>
    <w:rsid w:val="007E7E61"/>
    <w:rsid w:val="007F0845"/>
    <w:rsid w:val="007F16F9"/>
    <w:rsid w:val="007F1DC0"/>
    <w:rsid w:val="007F337B"/>
    <w:rsid w:val="007F37BA"/>
    <w:rsid w:val="007F3E3E"/>
    <w:rsid w:val="007F500D"/>
    <w:rsid w:val="007F5F14"/>
    <w:rsid w:val="007F7B54"/>
    <w:rsid w:val="008005D7"/>
    <w:rsid w:val="00801FDD"/>
    <w:rsid w:val="008020C2"/>
    <w:rsid w:val="0080255C"/>
    <w:rsid w:val="0081187C"/>
    <w:rsid w:val="00811E24"/>
    <w:rsid w:val="00812E2B"/>
    <w:rsid w:val="00813A70"/>
    <w:rsid w:val="00813FE6"/>
    <w:rsid w:val="00815C6E"/>
    <w:rsid w:val="0081645F"/>
    <w:rsid w:val="00816B74"/>
    <w:rsid w:val="008178C2"/>
    <w:rsid w:val="008178CF"/>
    <w:rsid w:val="00817C98"/>
    <w:rsid w:val="00820C9F"/>
    <w:rsid w:val="00821FF6"/>
    <w:rsid w:val="00823A05"/>
    <w:rsid w:val="00823AAF"/>
    <w:rsid w:val="00824081"/>
    <w:rsid w:val="0082409A"/>
    <w:rsid w:val="00827181"/>
    <w:rsid w:val="00827746"/>
    <w:rsid w:val="0083143E"/>
    <w:rsid w:val="0083159D"/>
    <w:rsid w:val="00832187"/>
    <w:rsid w:val="008336D8"/>
    <w:rsid w:val="008339C4"/>
    <w:rsid w:val="00834A2F"/>
    <w:rsid w:val="00834F0A"/>
    <w:rsid w:val="00834FAA"/>
    <w:rsid w:val="00836086"/>
    <w:rsid w:val="008373E9"/>
    <w:rsid w:val="00841D9F"/>
    <w:rsid w:val="00842604"/>
    <w:rsid w:val="00843ECF"/>
    <w:rsid w:val="00846673"/>
    <w:rsid w:val="00846BB6"/>
    <w:rsid w:val="00847380"/>
    <w:rsid w:val="0085281A"/>
    <w:rsid w:val="008559FE"/>
    <w:rsid w:val="00857339"/>
    <w:rsid w:val="008575E1"/>
    <w:rsid w:val="00862A7A"/>
    <w:rsid w:val="00863D9E"/>
    <w:rsid w:val="008642AF"/>
    <w:rsid w:val="00865986"/>
    <w:rsid w:val="00867E29"/>
    <w:rsid w:val="00870F2B"/>
    <w:rsid w:val="00873C15"/>
    <w:rsid w:val="008746E6"/>
    <w:rsid w:val="00876086"/>
    <w:rsid w:val="008768D6"/>
    <w:rsid w:val="008775D1"/>
    <w:rsid w:val="008777BB"/>
    <w:rsid w:val="00877D68"/>
    <w:rsid w:val="00877E5D"/>
    <w:rsid w:val="0088733A"/>
    <w:rsid w:val="008875EB"/>
    <w:rsid w:val="00891906"/>
    <w:rsid w:val="00891BE0"/>
    <w:rsid w:val="00893302"/>
    <w:rsid w:val="008945A1"/>
    <w:rsid w:val="00894A63"/>
    <w:rsid w:val="00895A54"/>
    <w:rsid w:val="00896916"/>
    <w:rsid w:val="00896BDE"/>
    <w:rsid w:val="00896C64"/>
    <w:rsid w:val="008A0436"/>
    <w:rsid w:val="008A0861"/>
    <w:rsid w:val="008A0BB2"/>
    <w:rsid w:val="008A1AB3"/>
    <w:rsid w:val="008A1C82"/>
    <w:rsid w:val="008A1D5C"/>
    <w:rsid w:val="008A3292"/>
    <w:rsid w:val="008A3A85"/>
    <w:rsid w:val="008A43E9"/>
    <w:rsid w:val="008A4CB1"/>
    <w:rsid w:val="008A615E"/>
    <w:rsid w:val="008A632B"/>
    <w:rsid w:val="008A6BFE"/>
    <w:rsid w:val="008B190E"/>
    <w:rsid w:val="008B1A8A"/>
    <w:rsid w:val="008B7306"/>
    <w:rsid w:val="008B775F"/>
    <w:rsid w:val="008B7C02"/>
    <w:rsid w:val="008B7F9E"/>
    <w:rsid w:val="008C0431"/>
    <w:rsid w:val="008C0E88"/>
    <w:rsid w:val="008C1AA8"/>
    <w:rsid w:val="008C22A8"/>
    <w:rsid w:val="008C63FD"/>
    <w:rsid w:val="008C6A4F"/>
    <w:rsid w:val="008C6CB8"/>
    <w:rsid w:val="008C7815"/>
    <w:rsid w:val="008C7A07"/>
    <w:rsid w:val="008D0171"/>
    <w:rsid w:val="008D2A16"/>
    <w:rsid w:val="008D2ECF"/>
    <w:rsid w:val="008D3F3D"/>
    <w:rsid w:val="008E31FF"/>
    <w:rsid w:val="008E3FB2"/>
    <w:rsid w:val="008E5DE6"/>
    <w:rsid w:val="008E6113"/>
    <w:rsid w:val="008E6AB3"/>
    <w:rsid w:val="008E6AD3"/>
    <w:rsid w:val="008E71A6"/>
    <w:rsid w:val="008E77B6"/>
    <w:rsid w:val="008E789F"/>
    <w:rsid w:val="008F032E"/>
    <w:rsid w:val="008F0F14"/>
    <w:rsid w:val="008F4FCE"/>
    <w:rsid w:val="008F5301"/>
    <w:rsid w:val="008F7D28"/>
    <w:rsid w:val="009003A8"/>
    <w:rsid w:val="00902CBE"/>
    <w:rsid w:val="00902D74"/>
    <w:rsid w:val="00902EFF"/>
    <w:rsid w:val="00903E06"/>
    <w:rsid w:val="00904B9D"/>
    <w:rsid w:val="009066E1"/>
    <w:rsid w:val="00907A41"/>
    <w:rsid w:val="009102BD"/>
    <w:rsid w:val="00910F93"/>
    <w:rsid w:val="00914426"/>
    <w:rsid w:val="0091675F"/>
    <w:rsid w:val="00916B87"/>
    <w:rsid w:val="00917709"/>
    <w:rsid w:val="00917918"/>
    <w:rsid w:val="00921F14"/>
    <w:rsid w:val="00923750"/>
    <w:rsid w:val="009243A5"/>
    <w:rsid w:val="009250D2"/>
    <w:rsid w:val="00926283"/>
    <w:rsid w:val="00926959"/>
    <w:rsid w:val="009340A2"/>
    <w:rsid w:val="00937B11"/>
    <w:rsid w:val="00940F1F"/>
    <w:rsid w:val="00941250"/>
    <w:rsid w:val="00942B5F"/>
    <w:rsid w:val="00943AF9"/>
    <w:rsid w:val="0094427A"/>
    <w:rsid w:val="009459C5"/>
    <w:rsid w:val="0094626C"/>
    <w:rsid w:val="0095013A"/>
    <w:rsid w:val="00953AEF"/>
    <w:rsid w:val="00953B56"/>
    <w:rsid w:val="00954026"/>
    <w:rsid w:val="00954E23"/>
    <w:rsid w:val="009551E2"/>
    <w:rsid w:val="00955783"/>
    <w:rsid w:val="00955E5F"/>
    <w:rsid w:val="009560B0"/>
    <w:rsid w:val="00957871"/>
    <w:rsid w:val="00964498"/>
    <w:rsid w:val="009663EB"/>
    <w:rsid w:val="0096650F"/>
    <w:rsid w:val="009700DB"/>
    <w:rsid w:val="00972263"/>
    <w:rsid w:val="009726B9"/>
    <w:rsid w:val="00972D8D"/>
    <w:rsid w:val="00973AAE"/>
    <w:rsid w:val="0097476C"/>
    <w:rsid w:val="00974923"/>
    <w:rsid w:val="00974D48"/>
    <w:rsid w:val="00974D5F"/>
    <w:rsid w:val="00975017"/>
    <w:rsid w:val="009759DF"/>
    <w:rsid w:val="009778B0"/>
    <w:rsid w:val="00980621"/>
    <w:rsid w:val="00982072"/>
    <w:rsid w:val="00983ECF"/>
    <w:rsid w:val="00986745"/>
    <w:rsid w:val="00987109"/>
    <w:rsid w:val="00987309"/>
    <w:rsid w:val="0099012D"/>
    <w:rsid w:val="009954FF"/>
    <w:rsid w:val="00996355"/>
    <w:rsid w:val="009978B4"/>
    <w:rsid w:val="009A2014"/>
    <w:rsid w:val="009A4E12"/>
    <w:rsid w:val="009A5C68"/>
    <w:rsid w:val="009B04D0"/>
    <w:rsid w:val="009B052C"/>
    <w:rsid w:val="009B0EF2"/>
    <w:rsid w:val="009B23A3"/>
    <w:rsid w:val="009B4925"/>
    <w:rsid w:val="009B4B4B"/>
    <w:rsid w:val="009B6CE7"/>
    <w:rsid w:val="009B6FD3"/>
    <w:rsid w:val="009B70BD"/>
    <w:rsid w:val="009C07A5"/>
    <w:rsid w:val="009C7388"/>
    <w:rsid w:val="009D1551"/>
    <w:rsid w:val="009D2859"/>
    <w:rsid w:val="009D4173"/>
    <w:rsid w:val="009D48AD"/>
    <w:rsid w:val="009D6095"/>
    <w:rsid w:val="009D6306"/>
    <w:rsid w:val="009D7047"/>
    <w:rsid w:val="009E048A"/>
    <w:rsid w:val="009E1FBA"/>
    <w:rsid w:val="009E2C54"/>
    <w:rsid w:val="009E3710"/>
    <w:rsid w:val="009E700D"/>
    <w:rsid w:val="009E7B1F"/>
    <w:rsid w:val="009F41C4"/>
    <w:rsid w:val="009F5846"/>
    <w:rsid w:val="009F7D77"/>
    <w:rsid w:val="00A07E68"/>
    <w:rsid w:val="00A10D66"/>
    <w:rsid w:val="00A13A17"/>
    <w:rsid w:val="00A1420C"/>
    <w:rsid w:val="00A14821"/>
    <w:rsid w:val="00A17754"/>
    <w:rsid w:val="00A2055B"/>
    <w:rsid w:val="00A2253C"/>
    <w:rsid w:val="00A23545"/>
    <w:rsid w:val="00A23A55"/>
    <w:rsid w:val="00A23E43"/>
    <w:rsid w:val="00A24F8C"/>
    <w:rsid w:val="00A262BF"/>
    <w:rsid w:val="00A271AD"/>
    <w:rsid w:val="00A27581"/>
    <w:rsid w:val="00A276D5"/>
    <w:rsid w:val="00A30336"/>
    <w:rsid w:val="00A30BB5"/>
    <w:rsid w:val="00A3128F"/>
    <w:rsid w:val="00A326D0"/>
    <w:rsid w:val="00A347A4"/>
    <w:rsid w:val="00A35287"/>
    <w:rsid w:val="00A378F8"/>
    <w:rsid w:val="00A40B19"/>
    <w:rsid w:val="00A424F8"/>
    <w:rsid w:val="00A437B7"/>
    <w:rsid w:val="00A46DE0"/>
    <w:rsid w:val="00A4778A"/>
    <w:rsid w:val="00A5067F"/>
    <w:rsid w:val="00A550B7"/>
    <w:rsid w:val="00A55301"/>
    <w:rsid w:val="00A57B3C"/>
    <w:rsid w:val="00A60FD0"/>
    <w:rsid w:val="00A6128E"/>
    <w:rsid w:val="00A62CE1"/>
    <w:rsid w:val="00A631FA"/>
    <w:rsid w:val="00A64203"/>
    <w:rsid w:val="00A64348"/>
    <w:rsid w:val="00A6591D"/>
    <w:rsid w:val="00A66999"/>
    <w:rsid w:val="00A721FB"/>
    <w:rsid w:val="00A727BA"/>
    <w:rsid w:val="00A72D4B"/>
    <w:rsid w:val="00A732AE"/>
    <w:rsid w:val="00A75E40"/>
    <w:rsid w:val="00A77E80"/>
    <w:rsid w:val="00A77EB2"/>
    <w:rsid w:val="00A82B66"/>
    <w:rsid w:val="00A83B58"/>
    <w:rsid w:val="00A851B6"/>
    <w:rsid w:val="00A85729"/>
    <w:rsid w:val="00A8574B"/>
    <w:rsid w:val="00A857C0"/>
    <w:rsid w:val="00A96463"/>
    <w:rsid w:val="00A97E3F"/>
    <w:rsid w:val="00AA09D3"/>
    <w:rsid w:val="00AA23FB"/>
    <w:rsid w:val="00AA42AB"/>
    <w:rsid w:val="00AA559A"/>
    <w:rsid w:val="00AB104D"/>
    <w:rsid w:val="00AB2AF1"/>
    <w:rsid w:val="00AB2FC7"/>
    <w:rsid w:val="00AB440B"/>
    <w:rsid w:val="00AB47E3"/>
    <w:rsid w:val="00AB74C5"/>
    <w:rsid w:val="00AB7DF2"/>
    <w:rsid w:val="00AC1E3F"/>
    <w:rsid w:val="00AC4F18"/>
    <w:rsid w:val="00AC6C4D"/>
    <w:rsid w:val="00AD0B46"/>
    <w:rsid w:val="00AD1094"/>
    <w:rsid w:val="00AD2565"/>
    <w:rsid w:val="00AD306C"/>
    <w:rsid w:val="00AD3424"/>
    <w:rsid w:val="00AD50D1"/>
    <w:rsid w:val="00AD59BB"/>
    <w:rsid w:val="00AD5D68"/>
    <w:rsid w:val="00AD6C73"/>
    <w:rsid w:val="00AE06D0"/>
    <w:rsid w:val="00AE2DA2"/>
    <w:rsid w:val="00AE39DC"/>
    <w:rsid w:val="00AE3CDA"/>
    <w:rsid w:val="00AE3CEF"/>
    <w:rsid w:val="00AE7968"/>
    <w:rsid w:val="00AF128B"/>
    <w:rsid w:val="00AF1AEA"/>
    <w:rsid w:val="00AF2852"/>
    <w:rsid w:val="00AF3225"/>
    <w:rsid w:val="00AF518B"/>
    <w:rsid w:val="00AF5275"/>
    <w:rsid w:val="00AF6367"/>
    <w:rsid w:val="00AF6A79"/>
    <w:rsid w:val="00AF724E"/>
    <w:rsid w:val="00AF73A9"/>
    <w:rsid w:val="00B01C2C"/>
    <w:rsid w:val="00B0231C"/>
    <w:rsid w:val="00B07DA3"/>
    <w:rsid w:val="00B15DCD"/>
    <w:rsid w:val="00B17E71"/>
    <w:rsid w:val="00B17FDE"/>
    <w:rsid w:val="00B208FC"/>
    <w:rsid w:val="00B20C65"/>
    <w:rsid w:val="00B22E17"/>
    <w:rsid w:val="00B26015"/>
    <w:rsid w:val="00B26964"/>
    <w:rsid w:val="00B27293"/>
    <w:rsid w:val="00B2763E"/>
    <w:rsid w:val="00B30B30"/>
    <w:rsid w:val="00B3229E"/>
    <w:rsid w:val="00B32DDB"/>
    <w:rsid w:val="00B35174"/>
    <w:rsid w:val="00B35BEA"/>
    <w:rsid w:val="00B3793D"/>
    <w:rsid w:val="00B41BE6"/>
    <w:rsid w:val="00B457E7"/>
    <w:rsid w:val="00B45D1B"/>
    <w:rsid w:val="00B46D25"/>
    <w:rsid w:val="00B47430"/>
    <w:rsid w:val="00B52D2D"/>
    <w:rsid w:val="00B55301"/>
    <w:rsid w:val="00B55BA8"/>
    <w:rsid w:val="00B55F15"/>
    <w:rsid w:val="00B561A6"/>
    <w:rsid w:val="00B60062"/>
    <w:rsid w:val="00B62960"/>
    <w:rsid w:val="00B63A11"/>
    <w:rsid w:val="00B63FD0"/>
    <w:rsid w:val="00B65C84"/>
    <w:rsid w:val="00B6608F"/>
    <w:rsid w:val="00B71069"/>
    <w:rsid w:val="00B74317"/>
    <w:rsid w:val="00B76D1E"/>
    <w:rsid w:val="00B800EB"/>
    <w:rsid w:val="00B822D2"/>
    <w:rsid w:val="00B848B8"/>
    <w:rsid w:val="00B84A41"/>
    <w:rsid w:val="00B84D57"/>
    <w:rsid w:val="00B85689"/>
    <w:rsid w:val="00B85C07"/>
    <w:rsid w:val="00B86748"/>
    <w:rsid w:val="00B87DF4"/>
    <w:rsid w:val="00B907EA"/>
    <w:rsid w:val="00B91EC9"/>
    <w:rsid w:val="00B924CA"/>
    <w:rsid w:val="00B93384"/>
    <w:rsid w:val="00B94417"/>
    <w:rsid w:val="00B95940"/>
    <w:rsid w:val="00B95EF8"/>
    <w:rsid w:val="00B95F50"/>
    <w:rsid w:val="00B96BD9"/>
    <w:rsid w:val="00BA58FD"/>
    <w:rsid w:val="00BB1CFD"/>
    <w:rsid w:val="00BB2C53"/>
    <w:rsid w:val="00BB32DA"/>
    <w:rsid w:val="00BB3A54"/>
    <w:rsid w:val="00BB4E21"/>
    <w:rsid w:val="00BB7746"/>
    <w:rsid w:val="00BC22EB"/>
    <w:rsid w:val="00BC3475"/>
    <w:rsid w:val="00BC682B"/>
    <w:rsid w:val="00BC6B04"/>
    <w:rsid w:val="00BD186B"/>
    <w:rsid w:val="00BD1EAC"/>
    <w:rsid w:val="00BD3428"/>
    <w:rsid w:val="00BD366B"/>
    <w:rsid w:val="00BD534C"/>
    <w:rsid w:val="00BD56BC"/>
    <w:rsid w:val="00BD5D91"/>
    <w:rsid w:val="00BD6615"/>
    <w:rsid w:val="00BD69DC"/>
    <w:rsid w:val="00BD6D50"/>
    <w:rsid w:val="00BE0D79"/>
    <w:rsid w:val="00BE0DB0"/>
    <w:rsid w:val="00BE2583"/>
    <w:rsid w:val="00BE3381"/>
    <w:rsid w:val="00BE3F09"/>
    <w:rsid w:val="00BE670A"/>
    <w:rsid w:val="00BE6906"/>
    <w:rsid w:val="00BF18F4"/>
    <w:rsid w:val="00BF1A69"/>
    <w:rsid w:val="00BF3BC8"/>
    <w:rsid w:val="00BF3DF1"/>
    <w:rsid w:val="00BF4C31"/>
    <w:rsid w:val="00BF4E57"/>
    <w:rsid w:val="00C00F20"/>
    <w:rsid w:val="00C034E6"/>
    <w:rsid w:val="00C04E1D"/>
    <w:rsid w:val="00C0784A"/>
    <w:rsid w:val="00C10B28"/>
    <w:rsid w:val="00C10FAE"/>
    <w:rsid w:val="00C12A69"/>
    <w:rsid w:val="00C150BE"/>
    <w:rsid w:val="00C15A0C"/>
    <w:rsid w:val="00C15DCB"/>
    <w:rsid w:val="00C1711F"/>
    <w:rsid w:val="00C20744"/>
    <w:rsid w:val="00C20C4D"/>
    <w:rsid w:val="00C21D46"/>
    <w:rsid w:val="00C21F94"/>
    <w:rsid w:val="00C2201D"/>
    <w:rsid w:val="00C222A1"/>
    <w:rsid w:val="00C23CBD"/>
    <w:rsid w:val="00C23D22"/>
    <w:rsid w:val="00C2463B"/>
    <w:rsid w:val="00C24E77"/>
    <w:rsid w:val="00C2732D"/>
    <w:rsid w:val="00C273C6"/>
    <w:rsid w:val="00C27913"/>
    <w:rsid w:val="00C300C6"/>
    <w:rsid w:val="00C3271C"/>
    <w:rsid w:val="00C34FDE"/>
    <w:rsid w:val="00C35C16"/>
    <w:rsid w:val="00C375E9"/>
    <w:rsid w:val="00C40F81"/>
    <w:rsid w:val="00C41463"/>
    <w:rsid w:val="00C41A72"/>
    <w:rsid w:val="00C42192"/>
    <w:rsid w:val="00C431F5"/>
    <w:rsid w:val="00C476C5"/>
    <w:rsid w:val="00C503B0"/>
    <w:rsid w:val="00C511C2"/>
    <w:rsid w:val="00C53D82"/>
    <w:rsid w:val="00C60696"/>
    <w:rsid w:val="00C615F1"/>
    <w:rsid w:val="00C61627"/>
    <w:rsid w:val="00C63B21"/>
    <w:rsid w:val="00C64E60"/>
    <w:rsid w:val="00C657A4"/>
    <w:rsid w:val="00C6736C"/>
    <w:rsid w:val="00C71A1D"/>
    <w:rsid w:val="00C75C7E"/>
    <w:rsid w:val="00C75C9B"/>
    <w:rsid w:val="00C76D8E"/>
    <w:rsid w:val="00C77833"/>
    <w:rsid w:val="00C803C0"/>
    <w:rsid w:val="00C80C9B"/>
    <w:rsid w:val="00C8335E"/>
    <w:rsid w:val="00C83F9C"/>
    <w:rsid w:val="00C84CE3"/>
    <w:rsid w:val="00C85614"/>
    <w:rsid w:val="00C90CF4"/>
    <w:rsid w:val="00C91C19"/>
    <w:rsid w:val="00C929A0"/>
    <w:rsid w:val="00C93389"/>
    <w:rsid w:val="00C937DB"/>
    <w:rsid w:val="00C94519"/>
    <w:rsid w:val="00C94677"/>
    <w:rsid w:val="00C94E83"/>
    <w:rsid w:val="00CA140F"/>
    <w:rsid w:val="00CA25C2"/>
    <w:rsid w:val="00CA37CA"/>
    <w:rsid w:val="00CA6508"/>
    <w:rsid w:val="00CA6BA1"/>
    <w:rsid w:val="00CA6CD5"/>
    <w:rsid w:val="00CB1910"/>
    <w:rsid w:val="00CB2150"/>
    <w:rsid w:val="00CB28EE"/>
    <w:rsid w:val="00CB43A7"/>
    <w:rsid w:val="00CB5996"/>
    <w:rsid w:val="00CB7452"/>
    <w:rsid w:val="00CC0E10"/>
    <w:rsid w:val="00CC2642"/>
    <w:rsid w:val="00CC2E15"/>
    <w:rsid w:val="00CC3908"/>
    <w:rsid w:val="00CC62AD"/>
    <w:rsid w:val="00CC7B80"/>
    <w:rsid w:val="00CD2B3C"/>
    <w:rsid w:val="00CD30F6"/>
    <w:rsid w:val="00CD4B29"/>
    <w:rsid w:val="00CD693D"/>
    <w:rsid w:val="00CD6EF1"/>
    <w:rsid w:val="00CE21C7"/>
    <w:rsid w:val="00CE329C"/>
    <w:rsid w:val="00CE3DE9"/>
    <w:rsid w:val="00CE57D8"/>
    <w:rsid w:val="00CE617A"/>
    <w:rsid w:val="00CF28C2"/>
    <w:rsid w:val="00CF42BD"/>
    <w:rsid w:val="00CF51EC"/>
    <w:rsid w:val="00CF6CD7"/>
    <w:rsid w:val="00D0037A"/>
    <w:rsid w:val="00D00DAF"/>
    <w:rsid w:val="00D017EC"/>
    <w:rsid w:val="00D01CDA"/>
    <w:rsid w:val="00D02DB2"/>
    <w:rsid w:val="00D040DD"/>
    <w:rsid w:val="00D04E1B"/>
    <w:rsid w:val="00D06E5B"/>
    <w:rsid w:val="00D076DB"/>
    <w:rsid w:val="00D1067C"/>
    <w:rsid w:val="00D136D4"/>
    <w:rsid w:val="00D13830"/>
    <w:rsid w:val="00D13ECF"/>
    <w:rsid w:val="00D142E5"/>
    <w:rsid w:val="00D148CD"/>
    <w:rsid w:val="00D152C1"/>
    <w:rsid w:val="00D1611E"/>
    <w:rsid w:val="00D16E69"/>
    <w:rsid w:val="00D205A9"/>
    <w:rsid w:val="00D217EE"/>
    <w:rsid w:val="00D23442"/>
    <w:rsid w:val="00D245BA"/>
    <w:rsid w:val="00D26923"/>
    <w:rsid w:val="00D27856"/>
    <w:rsid w:val="00D301CA"/>
    <w:rsid w:val="00D30740"/>
    <w:rsid w:val="00D31075"/>
    <w:rsid w:val="00D31445"/>
    <w:rsid w:val="00D31932"/>
    <w:rsid w:val="00D336C7"/>
    <w:rsid w:val="00D3526E"/>
    <w:rsid w:val="00D378CC"/>
    <w:rsid w:val="00D4042C"/>
    <w:rsid w:val="00D42312"/>
    <w:rsid w:val="00D43998"/>
    <w:rsid w:val="00D4615E"/>
    <w:rsid w:val="00D478E2"/>
    <w:rsid w:val="00D50D80"/>
    <w:rsid w:val="00D5261D"/>
    <w:rsid w:val="00D5264C"/>
    <w:rsid w:val="00D547BA"/>
    <w:rsid w:val="00D55626"/>
    <w:rsid w:val="00D556BC"/>
    <w:rsid w:val="00D5626D"/>
    <w:rsid w:val="00D60277"/>
    <w:rsid w:val="00D6034A"/>
    <w:rsid w:val="00D61F88"/>
    <w:rsid w:val="00D62901"/>
    <w:rsid w:val="00D639A5"/>
    <w:rsid w:val="00D6470C"/>
    <w:rsid w:val="00D64853"/>
    <w:rsid w:val="00D64CB5"/>
    <w:rsid w:val="00D66D48"/>
    <w:rsid w:val="00D73256"/>
    <w:rsid w:val="00D73A30"/>
    <w:rsid w:val="00D74C65"/>
    <w:rsid w:val="00D75DC2"/>
    <w:rsid w:val="00D766EF"/>
    <w:rsid w:val="00D76C03"/>
    <w:rsid w:val="00D82462"/>
    <w:rsid w:val="00D83627"/>
    <w:rsid w:val="00D868CE"/>
    <w:rsid w:val="00D86DAE"/>
    <w:rsid w:val="00D87030"/>
    <w:rsid w:val="00D907C3"/>
    <w:rsid w:val="00D90C1E"/>
    <w:rsid w:val="00D91BDF"/>
    <w:rsid w:val="00D93F09"/>
    <w:rsid w:val="00D954C2"/>
    <w:rsid w:val="00D97BB8"/>
    <w:rsid w:val="00DA1318"/>
    <w:rsid w:val="00DA1382"/>
    <w:rsid w:val="00DA4AF6"/>
    <w:rsid w:val="00DB016E"/>
    <w:rsid w:val="00DB06E9"/>
    <w:rsid w:val="00DB378E"/>
    <w:rsid w:val="00DB3E9D"/>
    <w:rsid w:val="00DB47B9"/>
    <w:rsid w:val="00DB4FB8"/>
    <w:rsid w:val="00DB53CE"/>
    <w:rsid w:val="00DB549D"/>
    <w:rsid w:val="00DB64DD"/>
    <w:rsid w:val="00DC257F"/>
    <w:rsid w:val="00DC3790"/>
    <w:rsid w:val="00DC408A"/>
    <w:rsid w:val="00DC5B3B"/>
    <w:rsid w:val="00DC6796"/>
    <w:rsid w:val="00DC78DF"/>
    <w:rsid w:val="00DD0821"/>
    <w:rsid w:val="00DD0E32"/>
    <w:rsid w:val="00DD36D8"/>
    <w:rsid w:val="00DD373E"/>
    <w:rsid w:val="00DD57AD"/>
    <w:rsid w:val="00DD76A8"/>
    <w:rsid w:val="00DE009B"/>
    <w:rsid w:val="00DE1447"/>
    <w:rsid w:val="00DE2ED9"/>
    <w:rsid w:val="00DE319A"/>
    <w:rsid w:val="00DE4E12"/>
    <w:rsid w:val="00DF0DC3"/>
    <w:rsid w:val="00DF21FD"/>
    <w:rsid w:val="00DF2873"/>
    <w:rsid w:val="00DF5578"/>
    <w:rsid w:val="00DF78DD"/>
    <w:rsid w:val="00DF7FEC"/>
    <w:rsid w:val="00E00393"/>
    <w:rsid w:val="00E01C0E"/>
    <w:rsid w:val="00E02CF7"/>
    <w:rsid w:val="00E03B27"/>
    <w:rsid w:val="00E04694"/>
    <w:rsid w:val="00E05B2B"/>
    <w:rsid w:val="00E06A2A"/>
    <w:rsid w:val="00E07937"/>
    <w:rsid w:val="00E07F05"/>
    <w:rsid w:val="00E111C2"/>
    <w:rsid w:val="00E127E1"/>
    <w:rsid w:val="00E144D2"/>
    <w:rsid w:val="00E15346"/>
    <w:rsid w:val="00E15B7D"/>
    <w:rsid w:val="00E215EA"/>
    <w:rsid w:val="00E234BA"/>
    <w:rsid w:val="00E24619"/>
    <w:rsid w:val="00E25223"/>
    <w:rsid w:val="00E30BEA"/>
    <w:rsid w:val="00E31764"/>
    <w:rsid w:val="00E34985"/>
    <w:rsid w:val="00E34E4A"/>
    <w:rsid w:val="00E365B3"/>
    <w:rsid w:val="00E366BB"/>
    <w:rsid w:val="00E36F05"/>
    <w:rsid w:val="00E37C45"/>
    <w:rsid w:val="00E40AAA"/>
    <w:rsid w:val="00E438CF"/>
    <w:rsid w:val="00E43C41"/>
    <w:rsid w:val="00E450CE"/>
    <w:rsid w:val="00E45A00"/>
    <w:rsid w:val="00E45CE7"/>
    <w:rsid w:val="00E4631F"/>
    <w:rsid w:val="00E522BB"/>
    <w:rsid w:val="00E539E4"/>
    <w:rsid w:val="00E569C7"/>
    <w:rsid w:val="00E571F2"/>
    <w:rsid w:val="00E57429"/>
    <w:rsid w:val="00E67B4E"/>
    <w:rsid w:val="00E70510"/>
    <w:rsid w:val="00E71262"/>
    <w:rsid w:val="00E71A58"/>
    <w:rsid w:val="00E7724B"/>
    <w:rsid w:val="00E81DC2"/>
    <w:rsid w:val="00E836AD"/>
    <w:rsid w:val="00E84F21"/>
    <w:rsid w:val="00E90C03"/>
    <w:rsid w:val="00E90F73"/>
    <w:rsid w:val="00E921C7"/>
    <w:rsid w:val="00E92995"/>
    <w:rsid w:val="00E94612"/>
    <w:rsid w:val="00E95797"/>
    <w:rsid w:val="00E9682F"/>
    <w:rsid w:val="00E96A8D"/>
    <w:rsid w:val="00E972BA"/>
    <w:rsid w:val="00E97FA2"/>
    <w:rsid w:val="00EA06CB"/>
    <w:rsid w:val="00EA0C68"/>
    <w:rsid w:val="00EA3EBE"/>
    <w:rsid w:val="00EA3FAC"/>
    <w:rsid w:val="00EA4153"/>
    <w:rsid w:val="00EA5CD6"/>
    <w:rsid w:val="00EA6689"/>
    <w:rsid w:val="00EB20A0"/>
    <w:rsid w:val="00EB30B6"/>
    <w:rsid w:val="00EB4D7C"/>
    <w:rsid w:val="00EB4FA4"/>
    <w:rsid w:val="00EB5146"/>
    <w:rsid w:val="00EB55E9"/>
    <w:rsid w:val="00EB5641"/>
    <w:rsid w:val="00EB5CA9"/>
    <w:rsid w:val="00EB5ED4"/>
    <w:rsid w:val="00EB6537"/>
    <w:rsid w:val="00EB70E1"/>
    <w:rsid w:val="00EB763A"/>
    <w:rsid w:val="00EB7EB5"/>
    <w:rsid w:val="00EC454B"/>
    <w:rsid w:val="00EC6153"/>
    <w:rsid w:val="00EC7F92"/>
    <w:rsid w:val="00ED00A8"/>
    <w:rsid w:val="00ED0A79"/>
    <w:rsid w:val="00ED2961"/>
    <w:rsid w:val="00ED2989"/>
    <w:rsid w:val="00ED2CA5"/>
    <w:rsid w:val="00ED336F"/>
    <w:rsid w:val="00ED54D6"/>
    <w:rsid w:val="00ED5726"/>
    <w:rsid w:val="00EE0298"/>
    <w:rsid w:val="00EE0384"/>
    <w:rsid w:val="00EE10AA"/>
    <w:rsid w:val="00EE1637"/>
    <w:rsid w:val="00EE3B7A"/>
    <w:rsid w:val="00EE3E78"/>
    <w:rsid w:val="00EE5E02"/>
    <w:rsid w:val="00EE617D"/>
    <w:rsid w:val="00EE61BF"/>
    <w:rsid w:val="00EE6748"/>
    <w:rsid w:val="00EE6C6B"/>
    <w:rsid w:val="00EF0E75"/>
    <w:rsid w:val="00EF1F5A"/>
    <w:rsid w:val="00EF4199"/>
    <w:rsid w:val="00EF4685"/>
    <w:rsid w:val="00EF5397"/>
    <w:rsid w:val="00EF6BE3"/>
    <w:rsid w:val="00F00D0E"/>
    <w:rsid w:val="00F00D3C"/>
    <w:rsid w:val="00F04811"/>
    <w:rsid w:val="00F0488C"/>
    <w:rsid w:val="00F0496E"/>
    <w:rsid w:val="00F04D10"/>
    <w:rsid w:val="00F0625B"/>
    <w:rsid w:val="00F101FF"/>
    <w:rsid w:val="00F10A33"/>
    <w:rsid w:val="00F14CF4"/>
    <w:rsid w:val="00F15BEF"/>
    <w:rsid w:val="00F172BE"/>
    <w:rsid w:val="00F1776C"/>
    <w:rsid w:val="00F2037E"/>
    <w:rsid w:val="00F20D17"/>
    <w:rsid w:val="00F2103E"/>
    <w:rsid w:val="00F214FC"/>
    <w:rsid w:val="00F21C31"/>
    <w:rsid w:val="00F22FCD"/>
    <w:rsid w:val="00F23825"/>
    <w:rsid w:val="00F23FFF"/>
    <w:rsid w:val="00F2441D"/>
    <w:rsid w:val="00F24FAA"/>
    <w:rsid w:val="00F26197"/>
    <w:rsid w:val="00F318FC"/>
    <w:rsid w:val="00F31F76"/>
    <w:rsid w:val="00F3364D"/>
    <w:rsid w:val="00F34858"/>
    <w:rsid w:val="00F35899"/>
    <w:rsid w:val="00F35ACD"/>
    <w:rsid w:val="00F365BF"/>
    <w:rsid w:val="00F36BF8"/>
    <w:rsid w:val="00F37760"/>
    <w:rsid w:val="00F403D1"/>
    <w:rsid w:val="00F43921"/>
    <w:rsid w:val="00F4591F"/>
    <w:rsid w:val="00F4736B"/>
    <w:rsid w:val="00F47D05"/>
    <w:rsid w:val="00F50030"/>
    <w:rsid w:val="00F51FC9"/>
    <w:rsid w:val="00F54B31"/>
    <w:rsid w:val="00F54FD3"/>
    <w:rsid w:val="00F55605"/>
    <w:rsid w:val="00F62F02"/>
    <w:rsid w:val="00F63DDE"/>
    <w:rsid w:val="00F63FB7"/>
    <w:rsid w:val="00F64726"/>
    <w:rsid w:val="00F6561A"/>
    <w:rsid w:val="00F727D5"/>
    <w:rsid w:val="00F72F44"/>
    <w:rsid w:val="00F73A0C"/>
    <w:rsid w:val="00F759DC"/>
    <w:rsid w:val="00F76E62"/>
    <w:rsid w:val="00F771A5"/>
    <w:rsid w:val="00F817A4"/>
    <w:rsid w:val="00F81C3A"/>
    <w:rsid w:val="00F8309A"/>
    <w:rsid w:val="00F835FC"/>
    <w:rsid w:val="00F83E21"/>
    <w:rsid w:val="00F84E18"/>
    <w:rsid w:val="00F852E5"/>
    <w:rsid w:val="00F95117"/>
    <w:rsid w:val="00FA05D7"/>
    <w:rsid w:val="00FA1C6C"/>
    <w:rsid w:val="00FA2C2A"/>
    <w:rsid w:val="00FA309A"/>
    <w:rsid w:val="00FA7644"/>
    <w:rsid w:val="00FB0A9A"/>
    <w:rsid w:val="00FB483B"/>
    <w:rsid w:val="00FB5551"/>
    <w:rsid w:val="00FB56F1"/>
    <w:rsid w:val="00FB5FD4"/>
    <w:rsid w:val="00FB67F3"/>
    <w:rsid w:val="00FB7E06"/>
    <w:rsid w:val="00FC0D8A"/>
    <w:rsid w:val="00FC0E5F"/>
    <w:rsid w:val="00FC135D"/>
    <w:rsid w:val="00FC3C84"/>
    <w:rsid w:val="00FC4660"/>
    <w:rsid w:val="00FC56DE"/>
    <w:rsid w:val="00FC5BBF"/>
    <w:rsid w:val="00FD1261"/>
    <w:rsid w:val="00FD1627"/>
    <w:rsid w:val="00FD473D"/>
    <w:rsid w:val="00FD61C8"/>
    <w:rsid w:val="00FD63CE"/>
    <w:rsid w:val="00FD7D49"/>
    <w:rsid w:val="00FE1251"/>
    <w:rsid w:val="00FE27AE"/>
    <w:rsid w:val="00FE2F78"/>
    <w:rsid w:val="00FE3510"/>
    <w:rsid w:val="00FE375F"/>
    <w:rsid w:val="00FE4FCB"/>
    <w:rsid w:val="00FF28E0"/>
    <w:rsid w:val="00FF2FB4"/>
    <w:rsid w:val="00FF30B3"/>
    <w:rsid w:val="00FF3DF3"/>
    <w:rsid w:val="00FF4027"/>
    <w:rsid w:val="00FF55B1"/>
    <w:rsid w:val="00FF65DF"/>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 w:type="paragraph" w:styleId="Normlnweb">
    <w:name w:val="Normal (Web)"/>
    <w:basedOn w:val="Normln"/>
    <w:uiPriority w:val="99"/>
    <w:semiHidden/>
    <w:unhideWhenUsed/>
    <w:locked/>
    <w:rsid w:val="00F8309A"/>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loendokumentu">
    <w:name w:val="Document Map"/>
    <w:basedOn w:val="Normln"/>
    <w:link w:val="RozloendokumentuChar"/>
    <w:uiPriority w:val="99"/>
    <w:semiHidden/>
    <w:rsid w:val="00D5626D"/>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 w:type="paragraph" w:styleId="Normlnweb">
    <w:name w:val="Normal (Web)"/>
    <w:basedOn w:val="Normln"/>
    <w:uiPriority w:val="99"/>
    <w:semiHidden/>
    <w:unhideWhenUsed/>
    <w:locked/>
    <w:rsid w:val="00F8309A"/>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37169547">
      <w:bodyDiv w:val="1"/>
      <w:marLeft w:val="0"/>
      <w:marRight w:val="0"/>
      <w:marTop w:val="0"/>
      <w:marBottom w:val="0"/>
      <w:divBdr>
        <w:top w:val="none" w:sz="0" w:space="0" w:color="auto"/>
        <w:left w:val="none" w:sz="0" w:space="0" w:color="auto"/>
        <w:bottom w:val="none" w:sz="0" w:space="0" w:color="auto"/>
        <w:right w:val="none" w:sz="0" w:space="0" w:color="auto"/>
      </w:divBdr>
    </w:div>
    <w:div w:id="94638251">
      <w:bodyDiv w:val="1"/>
      <w:marLeft w:val="0"/>
      <w:marRight w:val="0"/>
      <w:marTop w:val="0"/>
      <w:marBottom w:val="0"/>
      <w:divBdr>
        <w:top w:val="none" w:sz="0" w:space="0" w:color="auto"/>
        <w:left w:val="none" w:sz="0" w:space="0" w:color="auto"/>
        <w:bottom w:val="none" w:sz="0" w:space="0" w:color="auto"/>
        <w:right w:val="none" w:sz="0" w:space="0" w:color="auto"/>
      </w:divBdr>
    </w:div>
    <w:div w:id="238252420">
      <w:bodyDiv w:val="1"/>
      <w:marLeft w:val="0"/>
      <w:marRight w:val="0"/>
      <w:marTop w:val="0"/>
      <w:marBottom w:val="0"/>
      <w:divBdr>
        <w:top w:val="none" w:sz="0" w:space="0" w:color="auto"/>
        <w:left w:val="none" w:sz="0" w:space="0" w:color="auto"/>
        <w:bottom w:val="none" w:sz="0" w:space="0" w:color="auto"/>
        <w:right w:val="none" w:sz="0" w:space="0" w:color="auto"/>
      </w:divBdr>
    </w:div>
    <w:div w:id="240262598">
      <w:bodyDiv w:val="1"/>
      <w:marLeft w:val="0"/>
      <w:marRight w:val="0"/>
      <w:marTop w:val="0"/>
      <w:marBottom w:val="0"/>
      <w:divBdr>
        <w:top w:val="none" w:sz="0" w:space="0" w:color="auto"/>
        <w:left w:val="none" w:sz="0" w:space="0" w:color="auto"/>
        <w:bottom w:val="none" w:sz="0" w:space="0" w:color="auto"/>
        <w:right w:val="none" w:sz="0" w:space="0" w:color="auto"/>
      </w:divBdr>
    </w:div>
    <w:div w:id="276839719">
      <w:bodyDiv w:val="1"/>
      <w:marLeft w:val="0"/>
      <w:marRight w:val="0"/>
      <w:marTop w:val="0"/>
      <w:marBottom w:val="0"/>
      <w:divBdr>
        <w:top w:val="none" w:sz="0" w:space="0" w:color="auto"/>
        <w:left w:val="none" w:sz="0" w:space="0" w:color="auto"/>
        <w:bottom w:val="none" w:sz="0" w:space="0" w:color="auto"/>
        <w:right w:val="none" w:sz="0" w:space="0" w:color="auto"/>
      </w:divBdr>
    </w:div>
    <w:div w:id="280721696">
      <w:bodyDiv w:val="1"/>
      <w:marLeft w:val="0"/>
      <w:marRight w:val="0"/>
      <w:marTop w:val="0"/>
      <w:marBottom w:val="0"/>
      <w:divBdr>
        <w:top w:val="none" w:sz="0" w:space="0" w:color="auto"/>
        <w:left w:val="none" w:sz="0" w:space="0" w:color="auto"/>
        <w:bottom w:val="none" w:sz="0" w:space="0" w:color="auto"/>
        <w:right w:val="none" w:sz="0" w:space="0" w:color="auto"/>
      </w:divBdr>
    </w:div>
    <w:div w:id="416294190">
      <w:bodyDiv w:val="1"/>
      <w:marLeft w:val="0"/>
      <w:marRight w:val="0"/>
      <w:marTop w:val="0"/>
      <w:marBottom w:val="0"/>
      <w:divBdr>
        <w:top w:val="none" w:sz="0" w:space="0" w:color="auto"/>
        <w:left w:val="none" w:sz="0" w:space="0" w:color="auto"/>
        <w:bottom w:val="none" w:sz="0" w:space="0" w:color="auto"/>
        <w:right w:val="none" w:sz="0" w:space="0" w:color="auto"/>
      </w:divBdr>
    </w:div>
    <w:div w:id="430976118">
      <w:bodyDiv w:val="1"/>
      <w:marLeft w:val="0"/>
      <w:marRight w:val="0"/>
      <w:marTop w:val="0"/>
      <w:marBottom w:val="0"/>
      <w:divBdr>
        <w:top w:val="none" w:sz="0" w:space="0" w:color="auto"/>
        <w:left w:val="none" w:sz="0" w:space="0" w:color="auto"/>
        <w:bottom w:val="none" w:sz="0" w:space="0" w:color="auto"/>
        <w:right w:val="none" w:sz="0" w:space="0" w:color="auto"/>
      </w:divBdr>
    </w:div>
    <w:div w:id="446777837">
      <w:bodyDiv w:val="1"/>
      <w:marLeft w:val="0"/>
      <w:marRight w:val="0"/>
      <w:marTop w:val="0"/>
      <w:marBottom w:val="0"/>
      <w:divBdr>
        <w:top w:val="none" w:sz="0" w:space="0" w:color="auto"/>
        <w:left w:val="none" w:sz="0" w:space="0" w:color="auto"/>
        <w:bottom w:val="none" w:sz="0" w:space="0" w:color="auto"/>
        <w:right w:val="none" w:sz="0" w:space="0" w:color="auto"/>
      </w:divBdr>
    </w:div>
    <w:div w:id="501699546">
      <w:bodyDiv w:val="1"/>
      <w:marLeft w:val="0"/>
      <w:marRight w:val="0"/>
      <w:marTop w:val="0"/>
      <w:marBottom w:val="0"/>
      <w:divBdr>
        <w:top w:val="none" w:sz="0" w:space="0" w:color="auto"/>
        <w:left w:val="none" w:sz="0" w:space="0" w:color="auto"/>
        <w:bottom w:val="none" w:sz="0" w:space="0" w:color="auto"/>
        <w:right w:val="none" w:sz="0" w:space="0" w:color="auto"/>
      </w:divBdr>
    </w:div>
    <w:div w:id="526065032">
      <w:bodyDiv w:val="1"/>
      <w:marLeft w:val="0"/>
      <w:marRight w:val="0"/>
      <w:marTop w:val="0"/>
      <w:marBottom w:val="0"/>
      <w:divBdr>
        <w:top w:val="none" w:sz="0" w:space="0" w:color="auto"/>
        <w:left w:val="none" w:sz="0" w:space="0" w:color="auto"/>
        <w:bottom w:val="none" w:sz="0" w:space="0" w:color="auto"/>
        <w:right w:val="none" w:sz="0" w:space="0" w:color="auto"/>
      </w:divBdr>
    </w:div>
    <w:div w:id="633877307">
      <w:bodyDiv w:val="1"/>
      <w:marLeft w:val="0"/>
      <w:marRight w:val="0"/>
      <w:marTop w:val="0"/>
      <w:marBottom w:val="0"/>
      <w:divBdr>
        <w:top w:val="none" w:sz="0" w:space="0" w:color="auto"/>
        <w:left w:val="none" w:sz="0" w:space="0" w:color="auto"/>
        <w:bottom w:val="none" w:sz="0" w:space="0" w:color="auto"/>
        <w:right w:val="none" w:sz="0" w:space="0" w:color="auto"/>
      </w:divBdr>
    </w:div>
    <w:div w:id="655425969">
      <w:bodyDiv w:val="1"/>
      <w:marLeft w:val="0"/>
      <w:marRight w:val="0"/>
      <w:marTop w:val="0"/>
      <w:marBottom w:val="0"/>
      <w:divBdr>
        <w:top w:val="none" w:sz="0" w:space="0" w:color="auto"/>
        <w:left w:val="none" w:sz="0" w:space="0" w:color="auto"/>
        <w:bottom w:val="none" w:sz="0" w:space="0" w:color="auto"/>
        <w:right w:val="none" w:sz="0" w:space="0" w:color="auto"/>
      </w:divBdr>
    </w:div>
    <w:div w:id="755201583">
      <w:bodyDiv w:val="1"/>
      <w:marLeft w:val="0"/>
      <w:marRight w:val="0"/>
      <w:marTop w:val="0"/>
      <w:marBottom w:val="0"/>
      <w:divBdr>
        <w:top w:val="none" w:sz="0" w:space="0" w:color="auto"/>
        <w:left w:val="none" w:sz="0" w:space="0" w:color="auto"/>
        <w:bottom w:val="none" w:sz="0" w:space="0" w:color="auto"/>
        <w:right w:val="none" w:sz="0" w:space="0" w:color="auto"/>
      </w:divBdr>
    </w:div>
    <w:div w:id="759831249">
      <w:bodyDiv w:val="1"/>
      <w:marLeft w:val="0"/>
      <w:marRight w:val="0"/>
      <w:marTop w:val="0"/>
      <w:marBottom w:val="0"/>
      <w:divBdr>
        <w:top w:val="none" w:sz="0" w:space="0" w:color="auto"/>
        <w:left w:val="none" w:sz="0" w:space="0" w:color="auto"/>
        <w:bottom w:val="none" w:sz="0" w:space="0" w:color="auto"/>
        <w:right w:val="none" w:sz="0" w:space="0" w:color="auto"/>
      </w:divBdr>
    </w:div>
    <w:div w:id="765347354">
      <w:bodyDiv w:val="1"/>
      <w:marLeft w:val="0"/>
      <w:marRight w:val="0"/>
      <w:marTop w:val="0"/>
      <w:marBottom w:val="0"/>
      <w:divBdr>
        <w:top w:val="none" w:sz="0" w:space="0" w:color="auto"/>
        <w:left w:val="none" w:sz="0" w:space="0" w:color="auto"/>
        <w:bottom w:val="none" w:sz="0" w:space="0" w:color="auto"/>
        <w:right w:val="none" w:sz="0" w:space="0" w:color="auto"/>
      </w:divBdr>
    </w:div>
    <w:div w:id="803425400">
      <w:bodyDiv w:val="1"/>
      <w:marLeft w:val="0"/>
      <w:marRight w:val="0"/>
      <w:marTop w:val="0"/>
      <w:marBottom w:val="0"/>
      <w:divBdr>
        <w:top w:val="none" w:sz="0" w:space="0" w:color="auto"/>
        <w:left w:val="none" w:sz="0" w:space="0" w:color="auto"/>
        <w:bottom w:val="none" w:sz="0" w:space="0" w:color="auto"/>
        <w:right w:val="none" w:sz="0" w:space="0" w:color="auto"/>
      </w:divBdr>
    </w:div>
    <w:div w:id="816725141">
      <w:bodyDiv w:val="1"/>
      <w:marLeft w:val="0"/>
      <w:marRight w:val="0"/>
      <w:marTop w:val="0"/>
      <w:marBottom w:val="0"/>
      <w:divBdr>
        <w:top w:val="none" w:sz="0" w:space="0" w:color="auto"/>
        <w:left w:val="none" w:sz="0" w:space="0" w:color="auto"/>
        <w:bottom w:val="none" w:sz="0" w:space="0" w:color="auto"/>
        <w:right w:val="none" w:sz="0" w:space="0" w:color="auto"/>
      </w:divBdr>
    </w:div>
    <w:div w:id="817041319">
      <w:bodyDiv w:val="1"/>
      <w:marLeft w:val="0"/>
      <w:marRight w:val="0"/>
      <w:marTop w:val="0"/>
      <w:marBottom w:val="0"/>
      <w:divBdr>
        <w:top w:val="none" w:sz="0" w:space="0" w:color="auto"/>
        <w:left w:val="none" w:sz="0" w:space="0" w:color="auto"/>
        <w:bottom w:val="none" w:sz="0" w:space="0" w:color="auto"/>
        <w:right w:val="none" w:sz="0" w:space="0" w:color="auto"/>
      </w:divBdr>
    </w:div>
    <w:div w:id="883492507">
      <w:bodyDiv w:val="1"/>
      <w:marLeft w:val="0"/>
      <w:marRight w:val="0"/>
      <w:marTop w:val="0"/>
      <w:marBottom w:val="0"/>
      <w:divBdr>
        <w:top w:val="none" w:sz="0" w:space="0" w:color="auto"/>
        <w:left w:val="none" w:sz="0" w:space="0" w:color="auto"/>
        <w:bottom w:val="none" w:sz="0" w:space="0" w:color="auto"/>
        <w:right w:val="none" w:sz="0" w:space="0" w:color="auto"/>
      </w:divBdr>
    </w:div>
    <w:div w:id="890190768">
      <w:bodyDiv w:val="1"/>
      <w:marLeft w:val="0"/>
      <w:marRight w:val="0"/>
      <w:marTop w:val="0"/>
      <w:marBottom w:val="0"/>
      <w:divBdr>
        <w:top w:val="none" w:sz="0" w:space="0" w:color="auto"/>
        <w:left w:val="none" w:sz="0" w:space="0" w:color="auto"/>
        <w:bottom w:val="none" w:sz="0" w:space="0" w:color="auto"/>
        <w:right w:val="none" w:sz="0" w:space="0" w:color="auto"/>
      </w:divBdr>
    </w:div>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 w:id="900095529">
      <w:bodyDiv w:val="1"/>
      <w:marLeft w:val="0"/>
      <w:marRight w:val="0"/>
      <w:marTop w:val="0"/>
      <w:marBottom w:val="0"/>
      <w:divBdr>
        <w:top w:val="none" w:sz="0" w:space="0" w:color="auto"/>
        <w:left w:val="none" w:sz="0" w:space="0" w:color="auto"/>
        <w:bottom w:val="none" w:sz="0" w:space="0" w:color="auto"/>
        <w:right w:val="none" w:sz="0" w:space="0" w:color="auto"/>
      </w:divBdr>
    </w:div>
    <w:div w:id="926504429">
      <w:bodyDiv w:val="1"/>
      <w:marLeft w:val="0"/>
      <w:marRight w:val="0"/>
      <w:marTop w:val="0"/>
      <w:marBottom w:val="0"/>
      <w:divBdr>
        <w:top w:val="none" w:sz="0" w:space="0" w:color="auto"/>
        <w:left w:val="none" w:sz="0" w:space="0" w:color="auto"/>
        <w:bottom w:val="none" w:sz="0" w:space="0" w:color="auto"/>
        <w:right w:val="none" w:sz="0" w:space="0" w:color="auto"/>
      </w:divBdr>
    </w:div>
    <w:div w:id="934442324">
      <w:bodyDiv w:val="1"/>
      <w:marLeft w:val="0"/>
      <w:marRight w:val="0"/>
      <w:marTop w:val="0"/>
      <w:marBottom w:val="0"/>
      <w:divBdr>
        <w:top w:val="none" w:sz="0" w:space="0" w:color="auto"/>
        <w:left w:val="none" w:sz="0" w:space="0" w:color="auto"/>
        <w:bottom w:val="none" w:sz="0" w:space="0" w:color="auto"/>
        <w:right w:val="none" w:sz="0" w:space="0" w:color="auto"/>
      </w:divBdr>
    </w:div>
    <w:div w:id="941379557">
      <w:bodyDiv w:val="1"/>
      <w:marLeft w:val="0"/>
      <w:marRight w:val="0"/>
      <w:marTop w:val="0"/>
      <w:marBottom w:val="0"/>
      <w:divBdr>
        <w:top w:val="none" w:sz="0" w:space="0" w:color="auto"/>
        <w:left w:val="none" w:sz="0" w:space="0" w:color="auto"/>
        <w:bottom w:val="none" w:sz="0" w:space="0" w:color="auto"/>
        <w:right w:val="none" w:sz="0" w:space="0" w:color="auto"/>
      </w:divBdr>
    </w:div>
    <w:div w:id="996543097">
      <w:bodyDiv w:val="1"/>
      <w:marLeft w:val="0"/>
      <w:marRight w:val="0"/>
      <w:marTop w:val="0"/>
      <w:marBottom w:val="0"/>
      <w:divBdr>
        <w:top w:val="none" w:sz="0" w:space="0" w:color="auto"/>
        <w:left w:val="none" w:sz="0" w:space="0" w:color="auto"/>
        <w:bottom w:val="none" w:sz="0" w:space="0" w:color="auto"/>
        <w:right w:val="none" w:sz="0" w:space="0" w:color="auto"/>
      </w:divBdr>
    </w:div>
    <w:div w:id="1051003694">
      <w:bodyDiv w:val="1"/>
      <w:marLeft w:val="0"/>
      <w:marRight w:val="0"/>
      <w:marTop w:val="0"/>
      <w:marBottom w:val="0"/>
      <w:divBdr>
        <w:top w:val="none" w:sz="0" w:space="0" w:color="auto"/>
        <w:left w:val="none" w:sz="0" w:space="0" w:color="auto"/>
        <w:bottom w:val="none" w:sz="0" w:space="0" w:color="auto"/>
        <w:right w:val="none" w:sz="0" w:space="0" w:color="auto"/>
      </w:divBdr>
    </w:div>
    <w:div w:id="1090586133">
      <w:bodyDiv w:val="1"/>
      <w:marLeft w:val="0"/>
      <w:marRight w:val="0"/>
      <w:marTop w:val="0"/>
      <w:marBottom w:val="0"/>
      <w:divBdr>
        <w:top w:val="none" w:sz="0" w:space="0" w:color="auto"/>
        <w:left w:val="none" w:sz="0" w:space="0" w:color="auto"/>
        <w:bottom w:val="none" w:sz="0" w:space="0" w:color="auto"/>
        <w:right w:val="none" w:sz="0" w:space="0" w:color="auto"/>
      </w:divBdr>
    </w:div>
    <w:div w:id="1102263713">
      <w:bodyDiv w:val="1"/>
      <w:marLeft w:val="0"/>
      <w:marRight w:val="0"/>
      <w:marTop w:val="0"/>
      <w:marBottom w:val="0"/>
      <w:divBdr>
        <w:top w:val="none" w:sz="0" w:space="0" w:color="auto"/>
        <w:left w:val="none" w:sz="0" w:space="0" w:color="auto"/>
        <w:bottom w:val="none" w:sz="0" w:space="0" w:color="auto"/>
        <w:right w:val="none" w:sz="0" w:space="0" w:color="auto"/>
      </w:divBdr>
    </w:div>
    <w:div w:id="1110204967">
      <w:bodyDiv w:val="1"/>
      <w:marLeft w:val="0"/>
      <w:marRight w:val="0"/>
      <w:marTop w:val="0"/>
      <w:marBottom w:val="0"/>
      <w:divBdr>
        <w:top w:val="none" w:sz="0" w:space="0" w:color="auto"/>
        <w:left w:val="none" w:sz="0" w:space="0" w:color="auto"/>
        <w:bottom w:val="none" w:sz="0" w:space="0" w:color="auto"/>
        <w:right w:val="none" w:sz="0" w:space="0" w:color="auto"/>
      </w:divBdr>
    </w:div>
    <w:div w:id="1132141109">
      <w:bodyDiv w:val="1"/>
      <w:marLeft w:val="0"/>
      <w:marRight w:val="0"/>
      <w:marTop w:val="0"/>
      <w:marBottom w:val="0"/>
      <w:divBdr>
        <w:top w:val="none" w:sz="0" w:space="0" w:color="auto"/>
        <w:left w:val="none" w:sz="0" w:space="0" w:color="auto"/>
        <w:bottom w:val="none" w:sz="0" w:space="0" w:color="auto"/>
        <w:right w:val="none" w:sz="0" w:space="0" w:color="auto"/>
      </w:divBdr>
    </w:div>
    <w:div w:id="1143425707">
      <w:bodyDiv w:val="1"/>
      <w:marLeft w:val="0"/>
      <w:marRight w:val="0"/>
      <w:marTop w:val="0"/>
      <w:marBottom w:val="0"/>
      <w:divBdr>
        <w:top w:val="none" w:sz="0" w:space="0" w:color="auto"/>
        <w:left w:val="none" w:sz="0" w:space="0" w:color="auto"/>
        <w:bottom w:val="none" w:sz="0" w:space="0" w:color="auto"/>
        <w:right w:val="none" w:sz="0" w:space="0" w:color="auto"/>
      </w:divBdr>
    </w:div>
    <w:div w:id="1220703716">
      <w:bodyDiv w:val="1"/>
      <w:marLeft w:val="0"/>
      <w:marRight w:val="0"/>
      <w:marTop w:val="0"/>
      <w:marBottom w:val="0"/>
      <w:divBdr>
        <w:top w:val="none" w:sz="0" w:space="0" w:color="auto"/>
        <w:left w:val="none" w:sz="0" w:space="0" w:color="auto"/>
        <w:bottom w:val="none" w:sz="0" w:space="0" w:color="auto"/>
        <w:right w:val="none" w:sz="0" w:space="0" w:color="auto"/>
      </w:divBdr>
    </w:div>
    <w:div w:id="1271741142">
      <w:bodyDiv w:val="1"/>
      <w:marLeft w:val="0"/>
      <w:marRight w:val="0"/>
      <w:marTop w:val="0"/>
      <w:marBottom w:val="0"/>
      <w:divBdr>
        <w:top w:val="none" w:sz="0" w:space="0" w:color="auto"/>
        <w:left w:val="none" w:sz="0" w:space="0" w:color="auto"/>
        <w:bottom w:val="none" w:sz="0" w:space="0" w:color="auto"/>
        <w:right w:val="none" w:sz="0" w:space="0" w:color="auto"/>
      </w:divBdr>
    </w:div>
    <w:div w:id="1284654697">
      <w:bodyDiv w:val="1"/>
      <w:marLeft w:val="0"/>
      <w:marRight w:val="0"/>
      <w:marTop w:val="0"/>
      <w:marBottom w:val="0"/>
      <w:divBdr>
        <w:top w:val="none" w:sz="0" w:space="0" w:color="auto"/>
        <w:left w:val="none" w:sz="0" w:space="0" w:color="auto"/>
        <w:bottom w:val="none" w:sz="0" w:space="0" w:color="auto"/>
        <w:right w:val="none" w:sz="0" w:space="0" w:color="auto"/>
      </w:divBdr>
    </w:div>
    <w:div w:id="1320186090">
      <w:bodyDiv w:val="1"/>
      <w:marLeft w:val="0"/>
      <w:marRight w:val="0"/>
      <w:marTop w:val="0"/>
      <w:marBottom w:val="0"/>
      <w:divBdr>
        <w:top w:val="none" w:sz="0" w:space="0" w:color="auto"/>
        <w:left w:val="none" w:sz="0" w:space="0" w:color="auto"/>
        <w:bottom w:val="none" w:sz="0" w:space="0" w:color="auto"/>
        <w:right w:val="none" w:sz="0" w:space="0" w:color="auto"/>
      </w:divBdr>
    </w:div>
    <w:div w:id="1337806368">
      <w:bodyDiv w:val="1"/>
      <w:marLeft w:val="0"/>
      <w:marRight w:val="0"/>
      <w:marTop w:val="0"/>
      <w:marBottom w:val="0"/>
      <w:divBdr>
        <w:top w:val="none" w:sz="0" w:space="0" w:color="auto"/>
        <w:left w:val="none" w:sz="0" w:space="0" w:color="auto"/>
        <w:bottom w:val="none" w:sz="0" w:space="0" w:color="auto"/>
        <w:right w:val="none" w:sz="0" w:space="0" w:color="auto"/>
      </w:divBdr>
    </w:div>
    <w:div w:id="1354727420">
      <w:bodyDiv w:val="1"/>
      <w:marLeft w:val="0"/>
      <w:marRight w:val="0"/>
      <w:marTop w:val="0"/>
      <w:marBottom w:val="0"/>
      <w:divBdr>
        <w:top w:val="none" w:sz="0" w:space="0" w:color="auto"/>
        <w:left w:val="none" w:sz="0" w:space="0" w:color="auto"/>
        <w:bottom w:val="none" w:sz="0" w:space="0" w:color="auto"/>
        <w:right w:val="none" w:sz="0" w:space="0" w:color="auto"/>
      </w:divBdr>
    </w:div>
    <w:div w:id="1412505286">
      <w:bodyDiv w:val="1"/>
      <w:marLeft w:val="0"/>
      <w:marRight w:val="0"/>
      <w:marTop w:val="0"/>
      <w:marBottom w:val="0"/>
      <w:divBdr>
        <w:top w:val="none" w:sz="0" w:space="0" w:color="auto"/>
        <w:left w:val="none" w:sz="0" w:space="0" w:color="auto"/>
        <w:bottom w:val="none" w:sz="0" w:space="0" w:color="auto"/>
        <w:right w:val="none" w:sz="0" w:space="0" w:color="auto"/>
      </w:divBdr>
    </w:div>
    <w:div w:id="1428430566">
      <w:bodyDiv w:val="1"/>
      <w:marLeft w:val="0"/>
      <w:marRight w:val="0"/>
      <w:marTop w:val="0"/>
      <w:marBottom w:val="0"/>
      <w:divBdr>
        <w:top w:val="none" w:sz="0" w:space="0" w:color="auto"/>
        <w:left w:val="none" w:sz="0" w:space="0" w:color="auto"/>
        <w:bottom w:val="none" w:sz="0" w:space="0" w:color="auto"/>
        <w:right w:val="none" w:sz="0" w:space="0" w:color="auto"/>
      </w:divBdr>
    </w:div>
    <w:div w:id="1452939911">
      <w:bodyDiv w:val="1"/>
      <w:marLeft w:val="0"/>
      <w:marRight w:val="0"/>
      <w:marTop w:val="0"/>
      <w:marBottom w:val="0"/>
      <w:divBdr>
        <w:top w:val="none" w:sz="0" w:space="0" w:color="auto"/>
        <w:left w:val="none" w:sz="0" w:space="0" w:color="auto"/>
        <w:bottom w:val="none" w:sz="0" w:space="0" w:color="auto"/>
        <w:right w:val="none" w:sz="0" w:space="0" w:color="auto"/>
      </w:divBdr>
    </w:div>
    <w:div w:id="1475829924">
      <w:bodyDiv w:val="1"/>
      <w:marLeft w:val="0"/>
      <w:marRight w:val="0"/>
      <w:marTop w:val="0"/>
      <w:marBottom w:val="0"/>
      <w:divBdr>
        <w:top w:val="none" w:sz="0" w:space="0" w:color="auto"/>
        <w:left w:val="none" w:sz="0" w:space="0" w:color="auto"/>
        <w:bottom w:val="none" w:sz="0" w:space="0" w:color="auto"/>
        <w:right w:val="none" w:sz="0" w:space="0" w:color="auto"/>
      </w:divBdr>
    </w:div>
    <w:div w:id="1490751030">
      <w:bodyDiv w:val="1"/>
      <w:marLeft w:val="0"/>
      <w:marRight w:val="0"/>
      <w:marTop w:val="0"/>
      <w:marBottom w:val="0"/>
      <w:divBdr>
        <w:top w:val="none" w:sz="0" w:space="0" w:color="auto"/>
        <w:left w:val="none" w:sz="0" w:space="0" w:color="auto"/>
        <w:bottom w:val="none" w:sz="0" w:space="0" w:color="auto"/>
        <w:right w:val="none" w:sz="0" w:space="0" w:color="auto"/>
      </w:divBdr>
    </w:div>
    <w:div w:id="1541553533">
      <w:bodyDiv w:val="1"/>
      <w:marLeft w:val="0"/>
      <w:marRight w:val="0"/>
      <w:marTop w:val="0"/>
      <w:marBottom w:val="0"/>
      <w:divBdr>
        <w:top w:val="none" w:sz="0" w:space="0" w:color="auto"/>
        <w:left w:val="none" w:sz="0" w:space="0" w:color="auto"/>
        <w:bottom w:val="none" w:sz="0" w:space="0" w:color="auto"/>
        <w:right w:val="none" w:sz="0" w:space="0" w:color="auto"/>
      </w:divBdr>
    </w:div>
    <w:div w:id="1676346549">
      <w:bodyDiv w:val="1"/>
      <w:marLeft w:val="0"/>
      <w:marRight w:val="0"/>
      <w:marTop w:val="0"/>
      <w:marBottom w:val="0"/>
      <w:divBdr>
        <w:top w:val="none" w:sz="0" w:space="0" w:color="auto"/>
        <w:left w:val="none" w:sz="0" w:space="0" w:color="auto"/>
        <w:bottom w:val="none" w:sz="0" w:space="0" w:color="auto"/>
        <w:right w:val="none" w:sz="0" w:space="0" w:color="auto"/>
      </w:divBdr>
    </w:div>
    <w:div w:id="1681084771">
      <w:bodyDiv w:val="1"/>
      <w:marLeft w:val="0"/>
      <w:marRight w:val="0"/>
      <w:marTop w:val="0"/>
      <w:marBottom w:val="0"/>
      <w:divBdr>
        <w:top w:val="none" w:sz="0" w:space="0" w:color="auto"/>
        <w:left w:val="none" w:sz="0" w:space="0" w:color="auto"/>
        <w:bottom w:val="none" w:sz="0" w:space="0" w:color="auto"/>
        <w:right w:val="none" w:sz="0" w:space="0" w:color="auto"/>
      </w:divBdr>
    </w:div>
    <w:div w:id="1709647987">
      <w:bodyDiv w:val="1"/>
      <w:marLeft w:val="0"/>
      <w:marRight w:val="0"/>
      <w:marTop w:val="0"/>
      <w:marBottom w:val="0"/>
      <w:divBdr>
        <w:top w:val="none" w:sz="0" w:space="0" w:color="auto"/>
        <w:left w:val="none" w:sz="0" w:space="0" w:color="auto"/>
        <w:bottom w:val="none" w:sz="0" w:space="0" w:color="auto"/>
        <w:right w:val="none" w:sz="0" w:space="0" w:color="auto"/>
      </w:divBdr>
    </w:div>
    <w:div w:id="1757282627">
      <w:bodyDiv w:val="1"/>
      <w:marLeft w:val="0"/>
      <w:marRight w:val="0"/>
      <w:marTop w:val="0"/>
      <w:marBottom w:val="0"/>
      <w:divBdr>
        <w:top w:val="none" w:sz="0" w:space="0" w:color="auto"/>
        <w:left w:val="none" w:sz="0" w:space="0" w:color="auto"/>
        <w:bottom w:val="none" w:sz="0" w:space="0" w:color="auto"/>
        <w:right w:val="none" w:sz="0" w:space="0" w:color="auto"/>
      </w:divBdr>
    </w:div>
    <w:div w:id="1766148915">
      <w:bodyDiv w:val="1"/>
      <w:marLeft w:val="0"/>
      <w:marRight w:val="0"/>
      <w:marTop w:val="0"/>
      <w:marBottom w:val="0"/>
      <w:divBdr>
        <w:top w:val="none" w:sz="0" w:space="0" w:color="auto"/>
        <w:left w:val="none" w:sz="0" w:space="0" w:color="auto"/>
        <w:bottom w:val="none" w:sz="0" w:space="0" w:color="auto"/>
        <w:right w:val="none" w:sz="0" w:space="0" w:color="auto"/>
      </w:divBdr>
    </w:div>
    <w:div w:id="1784571533">
      <w:bodyDiv w:val="1"/>
      <w:marLeft w:val="0"/>
      <w:marRight w:val="0"/>
      <w:marTop w:val="0"/>
      <w:marBottom w:val="0"/>
      <w:divBdr>
        <w:top w:val="none" w:sz="0" w:space="0" w:color="auto"/>
        <w:left w:val="none" w:sz="0" w:space="0" w:color="auto"/>
        <w:bottom w:val="none" w:sz="0" w:space="0" w:color="auto"/>
        <w:right w:val="none" w:sz="0" w:space="0" w:color="auto"/>
      </w:divBdr>
    </w:div>
    <w:div w:id="1801260551">
      <w:bodyDiv w:val="1"/>
      <w:marLeft w:val="0"/>
      <w:marRight w:val="0"/>
      <w:marTop w:val="0"/>
      <w:marBottom w:val="0"/>
      <w:divBdr>
        <w:top w:val="none" w:sz="0" w:space="0" w:color="auto"/>
        <w:left w:val="none" w:sz="0" w:space="0" w:color="auto"/>
        <w:bottom w:val="none" w:sz="0" w:space="0" w:color="auto"/>
        <w:right w:val="none" w:sz="0" w:space="0" w:color="auto"/>
      </w:divBdr>
    </w:div>
    <w:div w:id="1803962700">
      <w:bodyDiv w:val="1"/>
      <w:marLeft w:val="0"/>
      <w:marRight w:val="0"/>
      <w:marTop w:val="0"/>
      <w:marBottom w:val="0"/>
      <w:divBdr>
        <w:top w:val="none" w:sz="0" w:space="0" w:color="auto"/>
        <w:left w:val="none" w:sz="0" w:space="0" w:color="auto"/>
        <w:bottom w:val="none" w:sz="0" w:space="0" w:color="auto"/>
        <w:right w:val="none" w:sz="0" w:space="0" w:color="auto"/>
      </w:divBdr>
    </w:div>
    <w:div w:id="1838225288">
      <w:bodyDiv w:val="1"/>
      <w:marLeft w:val="0"/>
      <w:marRight w:val="0"/>
      <w:marTop w:val="0"/>
      <w:marBottom w:val="0"/>
      <w:divBdr>
        <w:top w:val="none" w:sz="0" w:space="0" w:color="auto"/>
        <w:left w:val="none" w:sz="0" w:space="0" w:color="auto"/>
        <w:bottom w:val="none" w:sz="0" w:space="0" w:color="auto"/>
        <w:right w:val="none" w:sz="0" w:space="0" w:color="auto"/>
      </w:divBdr>
    </w:div>
    <w:div w:id="1838423186">
      <w:bodyDiv w:val="1"/>
      <w:marLeft w:val="0"/>
      <w:marRight w:val="0"/>
      <w:marTop w:val="0"/>
      <w:marBottom w:val="0"/>
      <w:divBdr>
        <w:top w:val="none" w:sz="0" w:space="0" w:color="auto"/>
        <w:left w:val="none" w:sz="0" w:space="0" w:color="auto"/>
        <w:bottom w:val="none" w:sz="0" w:space="0" w:color="auto"/>
        <w:right w:val="none" w:sz="0" w:space="0" w:color="auto"/>
      </w:divBdr>
    </w:div>
    <w:div w:id="1903640905">
      <w:bodyDiv w:val="1"/>
      <w:marLeft w:val="0"/>
      <w:marRight w:val="0"/>
      <w:marTop w:val="0"/>
      <w:marBottom w:val="0"/>
      <w:divBdr>
        <w:top w:val="none" w:sz="0" w:space="0" w:color="auto"/>
        <w:left w:val="none" w:sz="0" w:space="0" w:color="auto"/>
        <w:bottom w:val="none" w:sz="0" w:space="0" w:color="auto"/>
        <w:right w:val="none" w:sz="0" w:space="0" w:color="auto"/>
      </w:divBdr>
    </w:div>
    <w:div w:id="1909654868">
      <w:bodyDiv w:val="1"/>
      <w:marLeft w:val="0"/>
      <w:marRight w:val="0"/>
      <w:marTop w:val="0"/>
      <w:marBottom w:val="0"/>
      <w:divBdr>
        <w:top w:val="none" w:sz="0" w:space="0" w:color="auto"/>
        <w:left w:val="none" w:sz="0" w:space="0" w:color="auto"/>
        <w:bottom w:val="none" w:sz="0" w:space="0" w:color="auto"/>
        <w:right w:val="none" w:sz="0" w:space="0" w:color="auto"/>
      </w:divBdr>
    </w:div>
    <w:div w:id="1932425964">
      <w:bodyDiv w:val="1"/>
      <w:marLeft w:val="0"/>
      <w:marRight w:val="0"/>
      <w:marTop w:val="0"/>
      <w:marBottom w:val="0"/>
      <w:divBdr>
        <w:top w:val="none" w:sz="0" w:space="0" w:color="auto"/>
        <w:left w:val="none" w:sz="0" w:space="0" w:color="auto"/>
        <w:bottom w:val="none" w:sz="0" w:space="0" w:color="auto"/>
        <w:right w:val="none" w:sz="0" w:space="0" w:color="auto"/>
      </w:divBdr>
    </w:div>
    <w:div w:id="1981303221">
      <w:bodyDiv w:val="1"/>
      <w:marLeft w:val="0"/>
      <w:marRight w:val="0"/>
      <w:marTop w:val="0"/>
      <w:marBottom w:val="0"/>
      <w:divBdr>
        <w:top w:val="none" w:sz="0" w:space="0" w:color="auto"/>
        <w:left w:val="none" w:sz="0" w:space="0" w:color="auto"/>
        <w:bottom w:val="none" w:sz="0" w:space="0" w:color="auto"/>
        <w:right w:val="none" w:sz="0" w:space="0" w:color="auto"/>
      </w:divBdr>
    </w:div>
    <w:div w:id="2055083959">
      <w:bodyDiv w:val="1"/>
      <w:marLeft w:val="0"/>
      <w:marRight w:val="0"/>
      <w:marTop w:val="0"/>
      <w:marBottom w:val="0"/>
      <w:divBdr>
        <w:top w:val="none" w:sz="0" w:space="0" w:color="auto"/>
        <w:left w:val="none" w:sz="0" w:space="0" w:color="auto"/>
        <w:bottom w:val="none" w:sz="0" w:space="0" w:color="auto"/>
        <w:right w:val="none" w:sz="0" w:space="0" w:color="auto"/>
      </w:divBdr>
    </w:div>
    <w:div w:id="2062904191">
      <w:bodyDiv w:val="1"/>
      <w:marLeft w:val="0"/>
      <w:marRight w:val="0"/>
      <w:marTop w:val="0"/>
      <w:marBottom w:val="0"/>
      <w:divBdr>
        <w:top w:val="none" w:sz="0" w:space="0" w:color="auto"/>
        <w:left w:val="none" w:sz="0" w:space="0" w:color="auto"/>
        <w:bottom w:val="none" w:sz="0" w:space="0" w:color="auto"/>
        <w:right w:val="none" w:sz="0" w:space="0" w:color="auto"/>
      </w:divBdr>
    </w:div>
    <w:div w:id="206925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38"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E17BA-DE4A-4CB3-A224-B2BC26384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bar_vicetematicke.dot</Template>
  <TotalTime>85</TotalTime>
  <Pages>3</Pages>
  <Words>1495</Words>
  <Characters>7436</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8914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kucera4376</cp:lastModifiedBy>
  <cp:revision>146</cp:revision>
  <cp:lastPrinted>2015-09-22T11:29:00Z</cp:lastPrinted>
  <dcterms:created xsi:type="dcterms:W3CDTF">2015-09-22T12:04:00Z</dcterms:created>
  <dcterms:modified xsi:type="dcterms:W3CDTF">2015-10-22T14:27:00Z</dcterms:modified>
</cp:coreProperties>
</file>