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81" w:rsidRPr="005E0476" w:rsidRDefault="007A4019" w:rsidP="00E500C3">
      <w:pPr>
        <w:pStyle w:val="Nadpis1"/>
        <w:numPr>
          <w:ilvl w:val="0"/>
          <w:numId w:val="6"/>
        </w:numPr>
        <w:jc w:val="both"/>
        <w:rPr>
          <w:lang w:val="en-GB"/>
        </w:rPr>
      </w:pPr>
      <w:bookmarkStart w:id="0" w:name="_Toc433292812"/>
      <w:r w:rsidRPr="005E0476">
        <w:rPr>
          <w:lang w:val="en-GB"/>
        </w:rPr>
        <w:t>Prices</w:t>
      </w:r>
      <w:bookmarkEnd w:id="0"/>
    </w:p>
    <w:tbl>
      <w:tblPr>
        <w:tblW w:w="5000" w:type="pct"/>
        <w:tblLayout w:type="fixed"/>
        <w:tblLook w:val="00A0"/>
      </w:tblPr>
      <w:tblGrid>
        <w:gridCol w:w="2077"/>
        <w:gridCol w:w="282"/>
        <w:gridCol w:w="7495"/>
      </w:tblGrid>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Year-on-year growth of the total  price level in the economy further slowed down in Q2 2015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The total price level went up according to the implicit GDP deflator by 0.7 % in the economy year-on-year in Q2 2015.</w:t>
            </w:r>
            <w:r w:rsidRPr="00C24516">
              <w:rPr>
                <w:rStyle w:val="Znakapoznpodarou"/>
                <w:lang w:val="en-GB"/>
              </w:rPr>
              <w:footnoteReference w:id="1"/>
            </w:r>
            <w:r w:rsidRPr="00C24516">
              <w:rPr>
                <w:lang w:val="en-GB"/>
              </w:rPr>
              <w:t xml:space="preserve"> It rose not only less than in Q1 (+1.3 %), but also the slowest since Q3 2011 (when it dec</w:t>
            </w:r>
            <w:r>
              <w:rPr>
                <w:lang w:val="en-GB"/>
              </w:rPr>
              <w:t>reased by 0.1 %). In</w:t>
            </w:r>
            <w:r w:rsidRPr="00C24516">
              <w:rPr>
                <w:lang w:val="en-GB"/>
              </w:rPr>
              <w:t xml:space="preserve"> the</w:t>
            </w:r>
            <w:r>
              <w:rPr>
                <w:lang w:val="en-GB"/>
              </w:rPr>
              <w:t xml:space="preserve"> context of</w:t>
            </w:r>
            <w:r w:rsidRPr="00C24516">
              <w:rPr>
                <w:lang w:val="en-GB"/>
              </w:rPr>
              <w:t xml:space="preserve"> individual GDP components, the prices of investment (gross fixed capital formation) rose by 1.6 % year-on-year, prices </w:t>
            </w:r>
            <w:r>
              <w:rPr>
                <w:lang w:val="en-GB"/>
              </w:rPr>
              <w:t>of goods and services – purchased</w:t>
            </w:r>
            <w:r w:rsidRPr="00C24516">
              <w:rPr>
                <w:lang w:val="en-GB"/>
              </w:rPr>
              <w:t xml:space="preserve"> by the government – went up by 1.2 %. Prices of products bought by the households grew only mildly (+0.4 %). While the terms of trade in the foreign trade with services reached positive values (100.4 %) similarly to the previous quarter and worked in the direction of growth of the total price level, the terms of trade in the foreign trade with goods were negative for the first time in the last two and a half years (99.7 %) and slowed down its growth. </w:t>
            </w:r>
          </w:p>
          <w:p w:rsidR="00393BCA" w:rsidRPr="00C24516" w:rsidRDefault="00393BCA" w:rsidP="00326F8C">
            <w:pPr>
              <w:pStyle w:val="Textpoznpodarou"/>
              <w:jc w:val="both"/>
              <w:rPr>
                <w:spacing w:val="-4"/>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The inflation rate, expressed by the year-on-year change in the consumer price index, increased from +0.1 % in Q1 2015 to +0.7 % in Q2. The inflation trend however still remains uncertain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 xml:space="preserve">The year-on-year growth of the consumer price index, which was moving only slightly above the zero level at the beginning of this year, accelerated in further months and moved away from the „dangerous zone of deflation“. If the prices for consumers grew only by 0.1 % year-on-year in Q1 2015, they were already higher by 0.7 % in Q2. The inflation trend however still remains uncertain, as shown by the latest available data regarding the development of the index from the holiday months. The year-on-year growth of consumer prices again fell – to +0.5 % in July and to +0.3 % in August. The threat of deflation, hovering above the Czech economy especially at the beginning of the year, thus was not yet averted. </w:t>
            </w:r>
          </w:p>
          <w:p w:rsidR="00393BCA" w:rsidRPr="00C24516" w:rsidRDefault="00393BCA" w:rsidP="00326F8C">
            <w:pPr>
              <w:pStyle w:val="Textpoznpodarou"/>
              <w:jc w:val="both"/>
              <w:rPr>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It can be assumed, that the price of oil is the main risk for the further inflation development – the barrel of Brent oil was traded on average for 64.1 US dollars in May of this year, however its</w:t>
            </w:r>
            <w:r>
              <w:rPr>
                <w:sz w:val="16"/>
                <w:szCs w:val="16"/>
                <w:lang w:val="en-GB"/>
              </w:rPr>
              <w:t xml:space="preserve"> price fell to 46.6 dollars in</w:t>
            </w:r>
            <w:r w:rsidRPr="00C24516">
              <w:rPr>
                <w:sz w:val="16"/>
                <w:szCs w:val="16"/>
                <w:lang w:val="en-GB"/>
              </w:rPr>
              <w:t xml:space="preserve"> August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 xml:space="preserve">The price of oil on the world commodity markets can be considered the main risk, connected to the further development of inflation in the CR. While the barrel of the Brent oil was traded on average for 64.1 US dollars in May 2015 and its price was lower by 41.5 % in the year-on-year comparison, its price reached only 46.6 dollars already in August and it was lower by 54.2 % compared to the same month of year 2014. The deepening fall of the prices of the animal and animal products (striking the prices of food via the production chain) also presents a risk for inflationary development as well as the continuing deflation in the manufacturing in the euro area (which has an indirect effect on the inflation in the Czech Republic, that is via the prices of imports). </w:t>
            </w:r>
          </w:p>
          <w:p w:rsidR="00393BCA" w:rsidRPr="00C24516" w:rsidRDefault="00393BCA" w:rsidP="00326F8C">
            <w:pPr>
              <w:pStyle w:val="Textpoznpodarou"/>
              <w:jc w:val="both"/>
              <w:rPr>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Change in the development of prices of vegetables and fruits, increase of the consumption tax on cigarettes and temporary growth of the price of oil. These were the three key factors standing behind the higher year-on-year growth of prices for consumers in Q2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The higher inflation rate in Q2 2015 compared to Q1 of this year was determined by three key factors. Firstly, the development of prices of vegetables and fruits changed. If the vegetables were cheaper year-on-year on average by 10.5 % and fruits by 6.4 % in the first three months of the year, the prices of vegetables were already raised (+6.0 %) in Q2 as well as the prices of fruits (+4.2 %). Secondly, the consumption tax on cigarettes was increased as of 1. 12. 2014. As the stocks of cigarettes with older tax stamps were sold out (they were allowed to be sold only till the end of February) and replaced by new ones, the price of cigarettes was growing (the item „tobacco</w:t>
            </w:r>
            <w:proofErr w:type="gramStart"/>
            <w:r w:rsidRPr="00C24516">
              <w:rPr>
                <w:lang w:val="en-GB"/>
              </w:rPr>
              <w:t>“ was</w:t>
            </w:r>
            <w:proofErr w:type="gramEnd"/>
            <w:r w:rsidRPr="00C24516">
              <w:rPr>
                <w:lang w:val="en-GB"/>
              </w:rPr>
              <w:t xml:space="preserve"> more expensive by 5.5 % in Q1 2015 in the year-on-year comparison, but already by 8.8 % in Q2). Thirdly, a temporary turn occurred in the development of the prices of oil in the first half of the year. It started to rise (price of one barrel of the Brent oil rose from the January 47.8 US dollars to May 64.1 dollars) and it was reflected in the mitigation of the year-on-year fall of price of operation of personal transport equipment from -10.2 % to -7.1 % (the expenditures for fuels are represented in these expenditures from more than seven tenths).</w:t>
            </w:r>
          </w:p>
          <w:p w:rsidR="00393BCA" w:rsidRPr="00C24516" w:rsidRDefault="00393BCA" w:rsidP="00326F8C">
            <w:pPr>
              <w:pStyle w:val="Textpoznpodarou"/>
              <w:jc w:val="both"/>
              <w:rPr>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More favourable dynamics of the consumer prices not only in the CR in Q2, but also in further twenty two countries of the Union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 xml:space="preserve">The year-on-year change of HICP increased in the CR from zero in Q1 2015 to +0.7 % in Q2. It represented a significant shift in the context of the European Union countries, however not an unusual shift. Apart from the </w:t>
            </w:r>
            <w:r>
              <w:rPr>
                <w:lang w:val="en-GB"/>
              </w:rPr>
              <w:t>CR,</w:t>
            </w:r>
            <w:r w:rsidRPr="00C24516">
              <w:rPr>
                <w:lang w:val="en-GB"/>
              </w:rPr>
              <w:t xml:space="preserve"> twenty two countries registered more favourable dynamics of the consumer prices in Q2 2015 compared to the beginning of the year, the euro area as well as the European Union as a whole even broke out of the deflation. It can be assumed, however, </w:t>
            </w:r>
            <w:r w:rsidRPr="00C24516">
              <w:rPr>
                <w:lang w:val="en-GB"/>
              </w:rPr>
              <w:lastRenderedPageBreak/>
              <w:t>that it was only a temporary affair, since the turn in the development of price of oil participated on this more favourable development of prices similarly to the CR. And this turn, as already mentioned, did not last long.</w:t>
            </w:r>
          </w:p>
          <w:p w:rsidR="00393BCA" w:rsidRPr="00C24516" w:rsidRDefault="00393BCA" w:rsidP="00326F8C">
            <w:pPr>
              <w:pStyle w:val="Textpoznpodarou"/>
              <w:jc w:val="both"/>
              <w:rPr>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lastRenderedPageBreak/>
              <w:t xml:space="preserve">Price of rentals for housing grew only gradually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 xml:space="preserve">The low rise of consumer prices in the CR was accompanied by a relatively weak increase of the prices of rentals for housing. It is logical, since the dynamics of the consumer prices is often incorporated in the rental contracts as a reference quantity, used to adjust the size of rent. The price of rentals for housing went up by 1.0 % year-on-year in Q1 2015 and by 1.2 % in Q2. </w:t>
            </w:r>
          </w:p>
          <w:p w:rsidR="00393BCA" w:rsidRPr="00C24516" w:rsidRDefault="00393BCA" w:rsidP="00326F8C">
            <w:pPr>
              <w:pStyle w:val="Textpoznpodarou"/>
              <w:jc w:val="both"/>
              <w:rPr>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Year-on-year fall of industrial producer prices continued also in Q2 2015. Even though the deflation deepened in trend, …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 xml:space="preserve">The deflation in industry lasted already one year and a half in Q2 2015. It even deepened with respect to trend. While the depth of the year-on-year fall of the industrial producer prices was always contained within one percentage in the first three quarters of year 2014, it regularly overtook this boundary in the last quarter of 2014 and in Q1 and Q2 of this year. The cause was </w:t>
            </w:r>
            <w:proofErr w:type="gramStart"/>
            <w:r w:rsidRPr="00C24516">
              <w:rPr>
                <w:lang w:val="en-GB"/>
              </w:rPr>
              <w:t>obvious,</w:t>
            </w:r>
            <w:proofErr w:type="gramEnd"/>
            <w:r w:rsidRPr="00C24516">
              <w:rPr>
                <w:lang w:val="en-GB"/>
              </w:rPr>
              <w:t xml:space="preserve"> the lower prices of oil were reflected in the prices of industrial producers. </w:t>
            </w:r>
          </w:p>
          <w:p w:rsidR="00393BCA" w:rsidRPr="00C24516" w:rsidRDefault="00393BCA" w:rsidP="00326F8C">
            <w:pPr>
              <w:pStyle w:val="Textpoznpodarou"/>
              <w:jc w:val="both"/>
              <w:rPr>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...it mitigated between Q1 and Q2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spacing w:val="-4"/>
                <w:lang w:val="en-GB"/>
              </w:rPr>
            </w:pPr>
            <w:r w:rsidRPr="00C24516">
              <w:rPr>
                <w:spacing w:val="-4"/>
                <w:lang w:val="en-GB"/>
              </w:rPr>
              <w:t>Despite the trend deepening of the industrial producer deflation, a change for the better was apparent between Q1 and Q2 2015. If the industrial producer prices were falling by 3.3 % in the year-on-year comparison in Q1 of this year, the depth of the fall shrank by a percentage point to -2.3 % in Q2. It represented mostly the consequence of the temporary turn in the development of the price of oil, which mitigated the deflation in the segment of producers of coke and refined petroleum products and in case of producers of chemicals and chemical products. The development of prices of producers of beverages also negligibly participated on the smaller deflation of the industrial producers (prices shifted from deflation into growth).</w:t>
            </w:r>
          </w:p>
          <w:p w:rsidR="00393BCA" w:rsidRPr="00C24516" w:rsidRDefault="00393BCA" w:rsidP="00326F8C">
            <w:pPr>
              <w:pStyle w:val="Textpoznpodarou"/>
              <w:jc w:val="both"/>
              <w:rPr>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Decline of the growth of prices of transport equipment producers since the end of the last year was the consequence of fading away of the effect of crown depreciation towards the euro</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spacing w:val="-2"/>
                <w:lang w:val="en-GB"/>
              </w:rPr>
            </w:pPr>
            <w:r w:rsidRPr="00C24516">
              <w:rPr>
                <w:spacing w:val="-2"/>
                <w:lang w:val="en-GB"/>
              </w:rPr>
              <w:t xml:space="preserve">Depreciation of crown against the euro, which occurred at the end of 2013 (the crown was losing towards the euro due to the </w:t>
            </w:r>
            <w:proofErr w:type="spellStart"/>
            <w:r w:rsidRPr="00C24516">
              <w:rPr>
                <w:spacing w:val="-2"/>
                <w:lang w:val="en-GB"/>
              </w:rPr>
              <w:t>forex</w:t>
            </w:r>
            <w:proofErr w:type="spellEnd"/>
            <w:r w:rsidRPr="00C24516">
              <w:rPr>
                <w:spacing w:val="-2"/>
                <w:lang w:val="en-GB"/>
              </w:rPr>
              <w:t xml:space="preserve"> intervention of the Czech National Bank on average 5.9 % year-on-year in the last quarter of 2013), significantly increased the dynamics of the prices of producers of transport equipment (these products are traded in </w:t>
            </w:r>
            <w:proofErr w:type="spellStart"/>
            <w:r w:rsidRPr="00C24516">
              <w:rPr>
                <w:spacing w:val="-2"/>
                <w:lang w:val="en-GB"/>
              </w:rPr>
              <w:t>euros</w:t>
            </w:r>
            <w:proofErr w:type="spellEnd"/>
            <w:r w:rsidRPr="00C24516">
              <w:rPr>
                <w:spacing w:val="-2"/>
                <w:lang w:val="en-GB"/>
              </w:rPr>
              <w:t xml:space="preserve"> to a large extent, thus the change of the exchange rate of crown against the euro has on prices – denominated in crowns – a marked impact). By the end of 2014, when the effects of a weaker crown faded away, the growth of prices of producers of transport equipment logically shrank. This year's price dynamics is thus weak. Prices of producers of transport equipment rose by only 0.7 % year-on-year in Q1, they even fell by 0.1 % in Q2. </w:t>
            </w:r>
          </w:p>
          <w:p w:rsidR="00393BCA" w:rsidRPr="00C24516" w:rsidRDefault="00393BCA" w:rsidP="00326F8C">
            <w:pPr>
              <w:pStyle w:val="Textpoznpodarou"/>
              <w:jc w:val="both"/>
              <w:rPr>
                <w:sz w:val="16"/>
                <w:szCs w:val="16"/>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Surplus of milk on the market pressured its prices down. While they were lower by 10.5 % in the year-on-year comparison in Q1, it was already by 16.6 % in Q2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 xml:space="preserve">Prices of agricultural producers kept falling, they were lower roughly by one tenth year-on-year in both Q1 and Q2 (-9.3 %; -10.9 %). Especially the crop products were bought out for lower prices on a year before (-11.0 %; -11.6 %), the acceleration of the price drops was however apparent mostly for the animal and animal products (from -7.6 % to -10.3 %). It was the consequence of the surplus of milk in Europe, which reflected the restrictions on import of agricultural products and food in the Russian Federation, however it also cannot be ruled out, that the lifting of milk quotas also contributed to the surplus of milk on the market (lifting of milk quotas came into effect at the beginning of April 2015). </w:t>
            </w:r>
          </w:p>
          <w:p w:rsidR="00393BCA" w:rsidRPr="00C24516" w:rsidRDefault="00393BCA" w:rsidP="00326F8C">
            <w:pPr>
              <w:pStyle w:val="Textpoznpodarou"/>
              <w:jc w:val="both"/>
              <w:rPr>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The growth of prices of construction works accelerated due to the high demand for construction activities on the part of public contractors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The strengthening demand for construction activities – especially on the part o</w:t>
            </w:r>
            <w:r>
              <w:rPr>
                <w:lang w:val="en-GB"/>
              </w:rPr>
              <w:t>f the public sector, which tried</w:t>
            </w:r>
            <w:r w:rsidRPr="00C24516">
              <w:rPr>
                <w:lang w:val="en-GB"/>
              </w:rPr>
              <w:t xml:space="preserve"> to complete the drawing of financial resources from the European Union funds – was reflected in the insufficient capacities of construction businesses and in pressures on the growth of prices. If the prices of construction works rose by 0.5 % year-on-year in total for the entire last year, their growth increased its pace to +1.0 % in Q1 2015 and even to +1.3 % in Q2. The development of prices according to the type of construction work also proved, that the prices were pushed up mostly by higher demand of public contractors. While the prices of buildings rose by 0.9 % and 1.1 % in Q1 and Q2, the prices of engineering works increased by 1.1 % and 1.4 % (especially the prices of so called rail tracks increased among the engineering works).</w:t>
            </w:r>
          </w:p>
          <w:p w:rsidR="00393BCA" w:rsidRPr="00C24516" w:rsidRDefault="00393BCA" w:rsidP="00326F8C">
            <w:pPr>
              <w:pStyle w:val="Textpoznpodarou"/>
              <w:jc w:val="both"/>
              <w:rPr>
                <w:sz w:val="16"/>
                <w:szCs w:val="16"/>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Growth of prices of market services producers shrank </w:t>
            </w:r>
            <w:r w:rsidRPr="00C24516">
              <w:rPr>
                <w:sz w:val="16"/>
                <w:szCs w:val="16"/>
                <w:lang w:val="en-GB"/>
              </w:rPr>
              <w:lastRenderedPageBreak/>
              <w:t xml:space="preserve">to +0.2 % year-on-year in Q2 2015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 xml:space="preserve">Disinflation continued in case of producers of market services, in spite of the fact, that the year-on-year growth of prices decreased only mildly between Q1 and </w:t>
            </w:r>
            <w:r w:rsidRPr="00C24516">
              <w:rPr>
                <w:lang w:val="en-GB"/>
              </w:rPr>
              <w:lastRenderedPageBreak/>
              <w:t>Q2 (from +0.3 % to +0.2 %). Prices of land transport services and transport services via pipelines fell by 1.8 % in Q2, other significant segments ascribed a moderate price increase (architectural and engineering services; computer programming, consultancy and related services; telecommunication services). With respect to the relatively little significant by weight – however „intensively monitored</w:t>
            </w:r>
            <w:proofErr w:type="gramStart"/>
            <w:r w:rsidRPr="00C24516">
              <w:rPr>
                <w:lang w:val="en-GB"/>
              </w:rPr>
              <w:t>“ –</w:t>
            </w:r>
            <w:proofErr w:type="gramEnd"/>
            <w:r w:rsidRPr="00C24516">
              <w:rPr>
                <w:lang w:val="en-GB"/>
              </w:rPr>
              <w:t xml:space="preserve"> employment services (services of job agencies), the price fall deepened from -2.9 % in Q1 to -7.3 % in Q2 in </w:t>
            </w:r>
            <w:r>
              <w:rPr>
                <w:lang w:val="en-GB"/>
              </w:rPr>
              <w:t>this segment. Anyhow it suggested</w:t>
            </w:r>
            <w:r w:rsidRPr="00C24516">
              <w:rPr>
                <w:lang w:val="en-GB"/>
              </w:rPr>
              <w:t xml:space="preserve"> itself, that this price development was a result of a favourable situation of Czech businesses reflecting in the transfer of agency employees among primary employees, the data of business statistics did not support this. Sales of job agencies increased in real terms by roughly one fifth year-on-year in Q2. </w:t>
            </w:r>
          </w:p>
          <w:p w:rsidR="00393BCA" w:rsidRPr="00C24516" w:rsidRDefault="00393BCA" w:rsidP="00326F8C">
            <w:pPr>
              <w:pStyle w:val="Textpoznpodarou"/>
              <w:jc w:val="both"/>
              <w:rPr>
                <w:spacing w:val="-2"/>
                <w:sz w:val="18"/>
                <w:szCs w:val="18"/>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lastRenderedPageBreak/>
              <w:t>Prices of imports of goods, which fell by 1.5 % year-on-year in Q1 2015, already stagnated in Q2, …</w:t>
            </w:r>
          </w:p>
        </w:tc>
        <w:tc>
          <w:tcPr>
            <w:tcW w:w="143" w:type="pct"/>
          </w:tcPr>
          <w:p w:rsidR="00393BCA" w:rsidRPr="00C24516" w:rsidRDefault="00393BCA" w:rsidP="00326F8C">
            <w:pPr>
              <w:pStyle w:val="Textpoznpodarou"/>
              <w:jc w:val="both"/>
              <w:rPr>
                <w:lang w:val="en-GB"/>
              </w:rPr>
            </w:pPr>
          </w:p>
        </w:tc>
        <w:tc>
          <w:tcPr>
            <w:tcW w:w="3803" w:type="pct"/>
          </w:tcPr>
          <w:p w:rsidR="00393BCA" w:rsidRPr="001D0AF9" w:rsidRDefault="00393BCA" w:rsidP="00326F8C">
            <w:pPr>
              <w:pStyle w:val="Textpoznpodarou"/>
              <w:jc w:val="both"/>
              <w:rPr>
                <w:lang w:val="en-GB"/>
              </w:rPr>
            </w:pPr>
            <w:r w:rsidRPr="001D0AF9">
              <w:rPr>
                <w:lang w:val="en-GB"/>
              </w:rPr>
              <w:t xml:space="preserve">Prices of imports of goods were lower by 1.5 % in the year-on-year comparison in Q1 </w:t>
            </w:r>
            <w:proofErr w:type="gramStart"/>
            <w:r w:rsidRPr="001D0AF9">
              <w:rPr>
                <w:lang w:val="en-GB"/>
              </w:rPr>
              <w:t>2015,</w:t>
            </w:r>
            <w:proofErr w:type="gramEnd"/>
            <w:r w:rsidRPr="001D0AF9">
              <w:rPr>
                <w:lang w:val="en-GB"/>
              </w:rPr>
              <w:t xml:space="preserve"> however they already stagnated in Q2. Higher price growth, shift from deflation into growth, a milder deflation alternatively was apparent without exception in all division of SITC (Standard International Trade Classification), especially however in case of mineral fuels. If the prices of imports of mineral fuels were still lower by 25</w:t>
            </w:r>
            <w:proofErr w:type="gramStart"/>
            <w:r w:rsidRPr="001D0AF9">
              <w:rPr>
                <w:lang w:val="en-GB"/>
              </w:rPr>
              <w:t>,0</w:t>
            </w:r>
            <w:proofErr w:type="gramEnd"/>
            <w:r w:rsidRPr="001D0AF9">
              <w:rPr>
                <w:lang w:val="en-GB"/>
              </w:rPr>
              <w:t xml:space="preserve"> % year-on-year in Q1, the prices of these commodities were losing 19.5 % against the same period of the previous year in Q2. If we take into account, that the exchange rate of crown against the US dollar was weaker on average by 22.5 % year-on-year in Q1 and on average by 23.8 % in Q2, it is obvious, that the moderation of fall of import prices of the mineral fuels can be mostly attributed to the movements in the price of oil. </w:t>
            </w:r>
          </w:p>
          <w:p w:rsidR="00393BCA" w:rsidRPr="00C24516" w:rsidRDefault="00393BCA" w:rsidP="00326F8C">
            <w:pPr>
              <w:pStyle w:val="Textpoznpodarou"/>
              <w:jc w:val="both"/>
              <w:rPr>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...the deflation on the side of exports however persisted…</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 xml:space="preserve">Reduction of prices persisted on the side of exports of goods and its depth also remained the same. The prices were lower by half a percentage year-on-year in both Q1 and Q2. Manufactured goods classified chiefly by material (-0.6 %) and chemicals (-1.5 %) were exported abroad for prices below the level of the last year in Q2 2015, among the commodities less significant by volume then also for example the mineral fuels, food and live animals or crude materials. Prices of the most significant goods on the side of exports, that is machinery and transport equipment (they form more than one half of total exports of goods from the CR in the long-term), increased mildly (+0.6 %). </w:t>
            </w:r>
          </w:p>
          <w:p w:rsidR="00393BCA" w:rsidRPr="00C24516" w:rsidRDefault="00393BCA" w:rsidP="00326F8C">
            <w:pPr>
              <w:pStyle w:val="Textpoznpodarou"/>
              <w:jc w:val="both"/>
              <w:rPr>
                <w:lang w:val="en-GB"/>
              </w:rPr>
            </w:pPr>
          </w:p>
        </w:tc>
      </w:tr>
      <w:tr w:rsidR="00393BCA" w:rsidRPr="00C24516" w:rsidTr="00326F8C">
        <w:tc>
          <w:tcPr>
            <w:tcW w:w="1054" w:type="pct"/>
          </w:tcPr>
          <w:p w:rsidR="00393BCA" w:rsidRPr="00C24516" w:rsidRDefault="00393BCA" w:rsidP="00326F8C">
            <w:pPr>
              <w:spacing w:line="240" w:lineRule="auto"/>
              <w:rPr>
                <w:sz w:val="16"/>
                <w:szCs w:val="16"/>
                <w:lang w:val="en-GB"/>
              </w:rPr>
            </w:pPr>
            <w:r w:rsidRPr="00C24516">
              <w:rPr>
                <w:sz w:val="16"/>
                <w:szCs w:val="16"/>
                <w:lang w:val="en-GB"/>
              </w:rPr>
              <w:t xml:space="preserve">… and terms of trade were negative for the first time after nine quarters </w:t>
            </w:r>
          </w:p>
        </w:tc>
        <w:tc>
          <w:tcPr>
            <w:tcW w:w="143" w:type="pct"/>
          </w:tcPr>
          <w:p w:rsidR="00393BCA" w:rsidRPr="00C24516" w:rsidRDefault="00393BCA" w:rsidP="00326F8C">
            <w:pPr>
              <w:pStyle w:val="Textpoznpodarou"/>
              <w:jc w:val="both"/>
              <w:rPr>
                <w:lang w:val="en-GB"/>
              </w:rPr>
            </w:pPr>
          </w:p>
        </w:tc>
        <w:tc>
          <w:tcPr>
            <w:tcW w:w="3803" w:type="pct"/>
          </w:tcPr>
          <w:p w:rsidR="00393BCA" w:rsidRPr="00C24516" w:rsidRDefault="00393BCA" w:rsidP="00326F8C">
            <w:pPr>
              <w:pStyle w:val="Textpoznpodarou"/>
              <w:jc w:val="both"/>
              <w:rPr>
                <w:lang w:val="en-GB"/>
              </w:rPr>
            </w:pPr>
            <w:r w:rsidRPr="00C24516">
              <w:rPr>
                <w:lang w:val="en-GB"/>
              </w:rPr>
              <w:t>Fall of prices of exports of goods in connection to the stagnation of import prices, occurring in Q2, resulted in negative terms of trade (99.5 %). They fell into the negative numbers for the first time in the last two and a half years.</w:t>
            </w:r>
          </w:p>
        </w:tc>
      </w:tr>
    </w:tbl>
    <w:p w:rsidR="00873C15" w:rsidRDefault="00873C15" w:rsidP="007C605B">
      <w:pPr>
        <w:rPr>
          <w:sz w:val="16"/>
          <w:szCs w:val="16"/>
          <w:lang w:val="en-GB"/>
        </w:rPr>
      </w:pPr>
    </w:p>
    <w:tbl>
      <w:tblPr>
        <w:tblW w:w="5000" w:type="pct"/>
        <w:tblLook w:val="04A0"/>
      </w:tblPr>
      <w:tblGrid>
        <w:gridCol w:w="989"/>
        <w:gridCol w:w="3938"/>
        <w:gridCol w:w="998"/>
        <w:gridCol w:w="3929"/>
      </w:tblGrid>
      <w:tr w:rsidR="00393BCA" w:rsidRPr="005E0476" w:rsidTr="00393BCA">
        <w:tc>
          <w:tcPr>
            <w:tcW w:w="501" w:type="pct"/>
          </w:tcPr>
          <w:p w:rsidR="00393BCA" w:rsidRPr="005E0476" w:rsidRDefault="00393BCA" w:rsidP="00326F8C">
            <w:pPr>
              <w:pStyle w:val="Textpoznpodarou"/>
              <w:rPr>
                <w:color w:val="000000" w:themeColor="text1"/>
                <w:lang w:val="en-GB"/>
              </w:rPr>
            </w:pPr>
            <w:r w:rsidRPr="005E0476">
              <w:rPr>
                <w:color w:val="000000" w:themeColor="text1"/>
                <w:lang w:val="en-GB"/>
              </w:rPr>
              <w:t>Chart 11</w:t>
            </w:r>
          </w:p>
        </w:tc>
        <w:tc>
          <w:tcPr>
            <w:tcW w:w="1999" w:type="pct"/>
          </w:tcPr>
          <w:p w:rsidR="00393BCA" w:rsidRPr="00810036" w:rsidRDefault="00393BCA" w:rsidP="00326F8C">
            <w:pPr>
              <w:pStyle w:val="Textpoznpodarou"/>
              <w:rPr>
                <w:spacing w:val="-4"/>
                <w:lang w:val="en-GB"/>
              </w:rPr>
            </w:pPr>
            <w:r>
              <w:rPr>
                <w:b/>
                <w:spacing w:val="-4"/>
                <w:lang w:val="en-GB"/>
              </w:rPr>
              <w:t xml:space="preserve">Consumer prices of </w:t>
            </w:r>
            <w:r w:rsidRPr="00810036">
              <w:rPr>
                <w:b/>
                <w:spacing w:val="-4"/>
                <w:lang w:val="en-GB"/>
              </w:rPr>
              <w:t xml:space="preserve">individual types of households </w:t>
            </w:r>
            <w:r w:rsidRPr="00810036">
              <w:rPr>
                <w:spacing w:val="-4"/>
                <w:lang w:val="en-GB"/>
              </w:rPr>
              <w:t>(y/y in %)</w:t>
            </w:r>
          </w:p>
        </w:tc>
        <w:tc>
          <w:tcPr>
            <w:tcW w:w="505" w:type="pct"/>
          </w:tcPr>
          <w:p w:rsidR="00393BCA" w:rsidRPr="005E0476" w:rsidRDefault="00393BCA" w:rsidP="00326F8C">
            <w:pPr>
              <w:pStyle w:val="Textpoznpodarou"/>
              <w:rPr>
                <w:color w:val="000000" w:themeColor="text1"/>
                <w:lang w:val="en-GB"/>
              </w:rPr>
            </w:pPr>
            <w:r w:rsidRPr="005E0476">
              <w:rPr>
                <w:color w:val="000000" w:themeColor="text1"/>
                <w:lang w:val="en-GB"/>
              </w:rPr>
              <w:t>Chart 12</w:t>
            </w:r>
          </w:p>
        </w:tc>
        <w:tc>
          <w:tcPr>
            <w:tcW w:w="1995" w:type="pct"/>
          </w:tcPr>
          <w:p w:rsidR="00393BCA" w:rsidRDefault="00393BCA" w:rsidP="00326F8C">
            <w:pPr>
              <w:pStyle w:val="Textpoznpodarou"/>
              <w:rPr>
                <w:lang w:val="en-GB"/>
              </w:rPr>
            </w:pPr>
            <w:r>
              <w:rPr>
                <w:b/>
                <w:lang w:val="en-GB"/>
              </w:rPr>
              <w:t>P</w:t>
            </w:r>
            <w:r w:rsidRPr="005E0476">
              <w:rPr>
                <w:b/>
                <w:lang w:val="en-GB"/>
              </w:rPr>
              <w:t>rices in selected CPI</w:t>
            </w:r>
            <w:r w:rsidRPr="005E0476">
              <w:rPr>
                <w:lang w:val="en-GB"/>
              </w:rPr>
              <w:t xml:space="preserve"> </w:t>
            </w:r>
            <w:r w:rsidRPr="005E0476">
              <w:rPr>
                <w:b/>
                <w:lang w:val="en-GB"/>
              </w:rPr>
              <w:t>divisions</w:t>
            </w:r>
          </w:p>
          <w:p w:rsidR="00393BCA" w:rsidRPr="005E0476" w:rsidRDefault="00393BCA" w:rsidP="00326F8C">
            <w:pPr>
              <w:pStyle w:val="Textpoznpodarou"/>
              <w:rPr>
                <w:color w:val="000000" w:themeColor="text1"/>
                <w:lang w:val="en-GB"/>
              </w:rPr>
            </w:pPr>
            <w:r w:rsidRPr="005E0476">
              <w:rPr>
                <w:lang w:val="en-GB"/>
              </w:rPr>
              <w:t>(</w:t>
            </w:r>
            <w:proofErr w:type="gramStart"/>
            <w:r w:rsidRPr="005E0476">
              <w:rPr>
                <w:lang w:val="en-GB"/>
              </w:rPr>
              <w:t>y/y</w:t>
            </w:r>
            <w:proofErr w:type="gramEnd"/>
            <w:r w:rsidRPr="005E0476">
              <w:rPr>
                <w:lang w:val="en-GB"/>
              </w:rPr>
              <w:t xml:space="preserve"> in %)</w:t>
            </w:r>
          </w:p>
        </w:tc>
      </w:tr>
      <w:tr w:rsidR="00393BCA" w:rsidRPr="005E0476" w:rsidTr="00326F8C">
        <w:tc>
          <w:tcPr>
            <w:tcW w:w="2500" w:type="pct"/>
            <w:gridSpan w:val="2"/>
          </w:tcPr>
          <w:p w:rsidR="00393BCA" w:rsidRPr="005E0476" w:rsidRDefault="00393BCA" w:rsidP="00326F8C">
            <w:pPr>
              <w:pStyle w:val="Textpoznpodarou"/>
              <w:jc w:val="both"/>
              <w:rPr>
                <w:color w:val="000000" w:themeColor="text1"/>
                <w:lang w:val="en-GB"/>
              </w:rPr>
            </w:pPr>
            <w:r w:rsidRPr="00810036">
              <w:rPr>
                <w:noProof/>
                <w:color w:val="000000" w:themeColor="text1"/>
              </w:rPr>
              <w:drawing>
                <wp:inline distT="0" distB="0" distL="0" distR="0">
                  <wp:extent cx="3005455" cy="2371725"/>
                  <wp:effectExtent l="19050" t="0" r="4445"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05455" cy="2371725"/>
                          </a:xfrm>
                          <a:prstGeom prst="rect">
                            <a:avLst/>
                          </a:prstGeom>
                          <a:noFill/>
                        </pic:spPr>
                      </pic:pic>
                    </a:graphicData>
                  </a:graphic>
                </wp:inline>
              </w:drawing>
            </w:r>
          </w:p>
        </w:tc>
        <w:tc>
          <w:tcPr>
            <w:tcW w:w="2500" w:type="pct"/>
            <w:gridSpan w:val="2"/>
          </w:tcPr>
          <w:p w:rsidR="00393BCA" w:rsidRPr="005E0476" w:rsidRDefault="00393BCA" w:rsidP="00326F8C">
            <w:pPr>
              <w:pStyle w:val="Textpoznpodarou"/>
              <w:jc w:val="both"/>
              <w:rPr>
                <w:color w:val="000000" w:themeColor="text1"/>
                <w:lang w:val="en-GB"/>
              </w:rPr>
            </w:pPr>
            <w:r w:rsidRPr="00810036">
              <w:rPr>
                <w:noProof/>
                <w:color w:val="000000" w:themeColor="text1"/>
              </w:rPr>
              <w:drawing>
                <wp:inline distT="0" distB="0" distL="0" distR="0">
                  <wp:extent cx="3005455" cy="2371725"/>
                  <wp:effectExtent l="19050" t="0" r="4445" b="0"/>
                  <wp:docPr id="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05455" cy="2371725"/>
                          </a:xfrm>
                          <a:prstGeom prst="rect">
                            <a:avLst/>
                          </a:prstGeom>
                          <a:noFill/>
                        </pic:spPr>
                      </pic:pic>
                    </a:graphicData>
                  </a:graphic>
                </wp:inline>
              </w:drawing>
            </w:r>
          </w:p>
        </w:tc>
      </w:tr>
      <w:tr w:rsidR="00393BCA" w:rsidRPr="005E0476" w:rsidTr="00326F8C">
        <w:tc>
          <w:tcPr>
            <w:tcW w:w="5000" w:type="pct"/>
            <w:gridSpan w:val="4"/>
          </w:tcPr>
          <w:p w:rsidR="00393BCA" w:rsidRPr="005E0476" w:rsidRDefault="00393BCA" w:rsidP="00326F8C">
            <w:pPr>
              <w:pStyle w:val="Textpoznpodarou"/>
              <w:jc w:val="right"/>
              <w:rPr>
                <w:noProof/>
                <w:color w:val="000000" w:themeColor="text1"/>
                <w:lang w:val="en-GB"/>
              </w:rPr>
            </w:pPr>
            <w:r w:rsidRPr="005E0476">
              <w:rPr>
                <w:color w:val="000000" w:themeColor="text1"/>
                <w:sz w:val="18"/>
                <w:szCs w:val="18"/>
                <w:lang w:val="en-GB"/>
              </w:rPr>
              <w:t>Source: CZSO</w:t>
            </w:r>
          </w:p>
        </w:tc>
      </w:tr>
    </w:tbl>
    <w:p w:rsidR="00873C15" w:rsidRDefault="00873C15" w:rsidP="007C605B">
      <w:pPr>
        <w:rPr>
          <w:sz w:val="16"/>
          <w:szCs w:val="16"/>
          <w:lang w:val="en-GB"/>
        </w:rPr>
      </w:pPr>
    </w:p>
    <w:p w:rsidR="00873C15" w:rsidRDefault="00873C15" w:rsidP="007C605B">
      <w:pPr>
        <w:rPr>
          <w:sz w:val="16"/>
          <w:szCs w:val="16"/>
          <w:lang w:val="en-GB"/>
        </w:rPr>
      </w:pPr>
    </w:p>
    <w:p w:rsidR="00873C15" w:rsidRDefault="00873C15" w:rsidP="007C605B">
      <w:pPr>
        <w:rPr>
          <w:sz w:val="16"/>
          <w:szCs w:val="16"/>
          <w:lang w:val="en-GB"/>
        </w:rPr>
      </w:pPr>
    </w:p>
    <w:p w:rsidR="00873C15" w:rsidRDefault="00873C15" w:rsidP="007C605B">
      <w:pPr>
        <w:rPr>
          <w:sz w:val="16"/>
          <w:szCs w:val="16"/>
          <w:lang w:val="en-GB"/>
        </w:rPr>
      </w:pPr>
    </w:p>
    <w:p w:rsidR="00873C15" w:rsidRDefault="00873C15" w:rsidP="007C605B">
      <w:pPr>
        <w:rPr>
          <w:sz w:val="16"/>
          <w:szCs w:val="16"/>
          <w:lang w:val="en-GB"/>
        </w:rPr>
      </w:pPr>
    </w:p>
    <w:tbl>
      <w:tblPr>
        <w:tblW w:w="5000" w:type="pct"/>
        <w:tblLook w:val="04A0"/>
      </w:tblPr>
      <w:tblGrid>
        <w:gridCol w:w="989"/>
        <w:gridCol w:w="3938"/>
        <w:gridCol w:w="717"/>
        <w:gridCol w:w="4210"/>
      </w:tblGrid>
      <w:tr w:rsidR="00393BCA" w:rsidRPr="005E0476" w:rsidTr="00EB4D7C">
        <w:tc>
          <w:tcPr>
            <w:tcW w:w="501" w:type="pct"/>
          </w:tcPr>
          <w:p w:rsidR="00393BCA" w:rsidRPr="005E0476" w:rsidRDefault="00393BCA" w:rsidP="00326F8C">
            <w:pPr>
              <w:pStyle w:val="Textpoznpodarou"/>
              <w:rPr>
                <w:lang w:val="en-GB" w:eastAsia="en-US"/>
              </w:rPr>
            </w:pPr>
            <w:r w:rsidRPr="005E0476">
              <w:rPr>
                <w:lang w:val="en-GB" w:eastAsia="en-US"/>
              </w:rPr>
              <w:lastRenderedPageBreak/>
              <w:t>Chart 13</w:t>
            </w:r>
          </w:p>
        </w:tc>
        <w:tc>
          <w:tcPr>
            <w:tcW w:w="1999" w:type="pct"/>
          </w:tcPr>
          <w:p w:rsidR="00393BCA" w:rsidRPr="005E0476" w:rsidRDefault="00393BCA" w:rsidP="00326F8C">
            <w:pPr>
              <w:pStyle w:val="Textpoznpodarou"/>
              <w:rPr>
                <w:color w:val="FF0000"/>
                <w:lang w:val="en-GB" w:eastAsia="en-US"/>
              </w:rPr>
            </w:pPr>
            <w:r w:rsidRPr="005E0476">
              <w:rPr>
                <w:b/>
                <w:lang w:val="en-GB" w:eastAsia="en-US"/>
              </w:rPr>
              <w:t>Deflators</w:t>
            </w:r>
            <w:r w:rsidRPr="005E0476">
              <w:rPr>
                <w:lang w:val="en-GB" w:eastAsia="en-US"/>
              </w:rPr>
              <w:t xml:space="preserve"> (adjusted for seasonal and calendar effects, y/y in %)</w:t>
            </w:r>
          </w:p>
        </w:tc>
        <w:tc>
          <w:tcPr>
            <w:tcW w:w="363" w:type="pct"/>
          </w:tcPr>
          <w:p w:rsidR="00393BCA" w:rsidRPr="005E0476" w:rsidRDefault="00393BCA" w:rsidP="00326F8C">
            <w:pPr>
              <w:pStyle w:val="Textpoznpodarou"/>
              <w:rPr>
                <w:color w:val="000000" w:themeColor="text1"/>
                <w:lang w:val="en-GB" w:eastAsia="en-US"/>
              </w:rPr>
            </w:pPr>
            <w:r w:rsidRPr="005E0476">
              <w:rPr>
                <w:color w:val="000000" w:themeColor="text1"/>
                <w:lang w:val="en-GB" w:eastAsia="en-US"/>
              </w:rPr>
              <w:t>Chart 14</w:t>
            </w:r>
          </w:p>
        </w:tc>
        <w:tc>
          <w:tcPr>
            <w:tcW w:w="2137" w:type="pct"/>
          </w:tcPr>
          <w:p w:rsidR="00393BCA" w:rsidRPr="005E0476" w:rsidRDefault="00393BCA" w:rsidP="00326F8C">
            <w:pPr>
              <w:pStyle w:val="Textpoznpodarou"/>
              <w:rPr>
                <w:color w:val="000000" w:themeColor="text1"/>
                <w:lang w:val="en-GB" w:eastAsia="en-US"/>
              </w:rPr>
            </w:pPr>
            <w:r w:rsidRPr="005E0476">
              <w:rPr>
                <w:b/>
                <w:lang w:val="en-GB" w:eastAsia="en-US"/>
              </w:rPr>
              <w:t>Producer prices</w:t>
            </w:r>
            <w:r w:rsidRPr="005E0476">
              <w:rPr>
                <w:lang w:val="en-GB" w:eastAsia="en-US"/>
              </w:rPr>
              <w:t xml:space="preserve"> (y</w:t>
            </w:r>
            <w:r w:rsidRPr="005E0476">
              <w:rPr>
                <w:color w:val="000000" w:themeColor="text1"/>
                <w:lang w:val="en-GB" w:eastAsia="en-US"/>
              </w:rPr>
              <w:t>/y in %, agricultural prices on the right axis, other on</w:t>
            </w:r>
            <w:r>
              <w:rPr>
                <w:color w:val="000000" w:themeColor="text1"/>
                <w:lang w:val="en-GB" w:eastAsia="en-US"/>
              </w:rPr>
              <w:t xml:space="preserve"> the</w:t>
            </w:r>
            <w:r w:rsidRPr="005E0476">
              <w:rPr>
                <w:color w:val="000000" w:themeColor="text1"/>
                <w:lang w:val="en-GB" w:eastAsia="en-US"/>
              </w:rPr>
              <w:t xml:space="preserve"> left axis)</w:t>
            </w:r>
          </w:p>
        </w:tc>
      </w:tr>
      <w:tr w:rsidR="00393BCA" w:rsidRPr="005E0476" w:rsidTr="00326F8C">
        <w:tc>
          <w:tcPr>
            <w:tcW w:w="2500" w:type="pct"/>
            <w:gridSpan w:val="2"/>
          </w:tcPr>
          <w:p w:rsidR="00393BCA" w:rsidRPr="005E0476" w:rsidRDefault="00393BCA" w:rsidP="00326F8C">
            <w:pPr>
              <w:pStyle w:val="Textpoznpodarou"/>
              <w:jc w:val="both"/>
              <w:rPr>
                <w:color w:val="000000" w:themeColor="text1"/>
                <w:lang w:val="en-GB" w:eastAsia="en-US"/>
              </w:rPr>
            </w:pPr>
            <w:r w:rsidRPr="00810036">
              <w:rPr>
                <w:noProof/>
                <w:color w:val="000000" w:themeColor="text1"/>
              </w:rPr>
              <w:drawing>
                <wp:inline distT="0" distB="0" distL="0" distR="0">
                  <wp:extent cx="3005455" cy="2371725"/>
                  <wp:effectExtent l="19050" t="0" r="4445" b="0"/>
                  <wp:docPr id="1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05455" cy="2371725"/>
                          </a:xfrm>
                          <a:prstGeom prst="rect">
                            <a:avLst/>
                          </a:prstGeom>
                          <a:noFill/>
                        </pic:spPr>
                      </pic:pic>
                    </a:graphicData>
                  </a:graphic>
                </wp:inline>
              </w:drawing>
            </w:r>
          </w:p>
        </w:tc>
        <w:tc>
          <w:tcPr>
            <w:tcW w:w="2500" w:type="pct"/>
            <w:gridSpan w:val="2"/>
          </w:tcPr>
          <w:p w:rsidR="00393BCA" w:rsidRPr="005E0476" w:rsidRDefault="00393BCA" w:rsidP="00326F8C">
            <w:pPr>
              <w:pStyle w:val="Textpoznpodarou"/>
              <w:jc w:val="both"/>
              <w:rPr>
                <w:color w:val="000000" w:themeColor="text1"/>
                <w:lang w:val="en-GB" w:eastAsia="en-US"/>
              </w:rPr>
            </w:pPr>
            <w:r w:rsidRPr="00810036">
              <w:rPr>
                <w:noProof/>
                <w:color w:val="000000" w:themeColor="text1"/>
              </w:rPr>
              <w:drawing>
                <wp:inline distT="0" distB="0" distL="0" distR="0">
                  <wp:extent cx="3005455" cy="2365375"/>
                  <wp:effectExtent l="19050" t="0" r="4445" b="0"/>
                  <wp:docPr id="1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005455" cy="2365375"/>
                          </a:xfrm>
                          <a:prstGeom prst="rect">
                            <a:avLst/>
                          </a:prstGeom>
                          <a:noFill/>
                        </pic:spPr>
                      </pic:pic>
                    </a:graphicData>
                  </a:graphic>
                </wp:inline>
              </w:drawing>
            </w:r>
          </w:p>
        </w:tc>
      </w:tr>
      <w:tr w:rsidR="00393BCA" w:rsidRPr="005E0476" w:rsidTr="00326F8C">
        <w:tc>
          <w:tcPr>
            <w:tcW w:w="5000" w:type="pct"/>
            <w:gridSpan w:val="4"/>
          </w:tcPr>
          <w:p w:rsidR="00393BCA" w:rsidRPr="005E0476" w:rsidRDefault="00393BCA" w:rsidP="00326F8C">
            <w:pPr>
              <w:pStyle w:val="Textpoznpodarou"/>
              <w:jc w:val="right"/>
              <w:rPr>
                <w:b/>
                <w:color w:val="000000" w:themeColor="text1"/>
                <w:sz w:val="18"/>
                <w:szCs w:val="18"/>
                <w:lang w:val="en-GB" w:eastAsia="en-US"/>
              </w:rPr>
            </w:pPr>
            <w:r w:rsidRPr="005E0476">
              <w:rPr>
                <w:color w:val="000000" w:themeColor="text1"/>
                <w:sz w:val="18"/>
                <w:szCs w:val="18"/>
                <w:lang w:val="en-GB" w:eastAsia="en-US"/>
              </w:rPr>
              <w:t>Source: CZSO</w:t>
            </w:r>
          </w:p>
        </w:tc>
      </w:tr>
    </w:tbl>
    <w:p w:rsidR="00B55BA8" w:rsidRPr="005E0476" w:rsidRDefault="00B55BA8" w:rsidP="00E500C3">
      <w:pPr>
        <w:rPr>
          <w:rFonts w:cs="Arial"/>
          <w:color w:val="000000" w:themeColor="text1"/>
          <w:spacing w:val="-2"/>
          <w:lang w:val="en-GB"/>
        </w:rPr>
      </w:pPr>
    </w:p>
    <w:sectPr w:rsidR="00B55BA8" w:rsidRPr="005E0476" w:rsidSect="00E500C3">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4F7" w:rsidRDefault="003D34F7" w:rsidP="00E71A58">
      <w:r>
        <w:separator/>
      </w:r>
    </w:p>
  </w:endnote>
  <w:endnote w:type="continuationSeparator" w:id="0">
    <w:p w:rsidR="003D34F7" w:rsidRDefault="003D34F7"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7408EC" w:rsidRPr="005A21E0">
      <w:rPr>
        <w:rFonts w:ascii="Arial" w:hAnsi="Arial" w:cs="Arial"/>
        <w:sz w:val="16"/>
        <w:szCs w:val="16"/>
      </w:rPr>
      <w:fldChar w:fldCharType="begin"/>
    </w:r>
    <w:r w:rsidRPr="005A21E0">
      <w:rPr>
        <w:rFonts w:ascii="Arial" w:hAnsi="Arial" w:cs="Arial"/>
        <w:sz w:val="16"/>
        <w:szCs w:val="16"/>
      </w:rPr>
      <w:instrText>PAGE   \* MERGEFORMAT</w:instrText>
    </w:r>
    <w:r w:rsidR="007408EC" w:rsidRPr="005A21E0">
      <w:rPr>
        <w:rFonts w:ascii="Arial" w:hAnsi="Arial" w:cs="Arial"/>
        <w:sz w:val="16"/>
        <w:szCs w:val="16"/>
      </w:rPr>
      <w:fldChar w:fldCharType="separate"/>
    </w:r>
    <w:r w:rsidR="00E500C3">
      <w:rPr>
        <w:rFonts w:ascii="Arial" w:hAnsi="Arial" w:cs="Arial"/>
        <w:noProof/>
        <w:sz w:val="16"/>
        <w:szCs w:val="16"/>
      </w:rPr>
      <w:t>16</w:t>
    </w:r>
    <w:r w:rsidR="007408EC" w:rsidRPr="005A21E0">
      <w:rPr>
        <w:rFonts w:ascii="Arial" w:hAnsi="Arial" w:cs="Arial"/>
        <w:sz w:val="16"/>
        <w:szCs w:val="16"/>
      </w:rPr>
      <w:fldChar w:fldCharType="end"/>
    </w:r>
    <w:r>
      <w:rPr>
        <w:rFonts w:ascii="Arial" w:hAnsi="Arial" w:cs="Arial"/>
        <w:sz w:val="16"/>
        <w:szCs w:val="16"/>
      </w:rPr>
      <w:tab/>
      <w:t>2015</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C2201D" w:rsidRPr="00223E00" w:rsidRDefault="00C2201D"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7408EC"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7408EC" w:rsidRPr="00223E00">
      <w:rPr>
        <w:rFonts w:ascii="Arial" w:hAnsi="Arial" w:cs="Arial"/>
        <w:sz w:val="16"/>
        <w:szCs w:val="16"/>
      </w:rPr>
      <w:fldChar w:fldCharType="separate"/>
    </w:r>
    <w:r w:rsidR="00E500C3">
      <w:rPr>
        <w:rFonts w:ascii="Arial" w:hAnsi="Arial" w:cs="Arial"/>
        <w:noProof/>
        <w:sz w:val="16"/>
        <w:szCs w:val="16"/>
      </w:rPr>
      <w:t>17</w:t>
    </w:r>
    <w:r w:rsidR="007408EC"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4F7" w:rsidRDefault="003D34F7" w:rsidP="00E71A58">
      <w:r>
        <w:separator/>
      </w:r>
    </w:p>
  </w:footnote>
  <w:footnote w:type="continuationSeparator" w:id="0">
    <w:p w:rsidR="003D34F7" w:rsidRDefault="003D34F7" w:rsidP="00E71A58">
      <w:r>
        <w:continuationSeparator/>
      </w:r>
    </w:p>
  </w:footnote>
  <w:footnote w:id="1">
    <w:p w:rsidR="00393BCA" w:rsidRPr="003D4A98" w:rsidRDefault="00393BCA" w:rsidP="00393BCA">
      <w:pPr>
        <w:pStyle w:val="Textpoznpodarou"/>
        <w:rPr>
          <w:sz w:val="16"/>
          <w:szCs w:val="16"/>
          <w:lang w:val="en-GB"/>
        </w:rPr>
      </w:pPr>
      <w:r w:rsidRPr="003D4A98">
        <w:rPr>
          <w:rStyle w:val="Znakapoznpodarou"/>
          <w:lang w:val="en-GB"/>
        </w:rPr>
        <w:footnoteRef/>
      </w:r>
      <w:r w:rsidRPr="003D4A98">
        <w:rPr>
          <w:lang w:val="en-GB"/>
        </w:rPr>
        <w:t xml:space="preserve"> </w:t>
      </w:r>
      <w:r w:rsidRPr="003D4A98">
        <w:rPr>
          <w:sz w:val="16"/>
          <w:szCs w:val="16"/>
          <w:lang w:val="en-GB"/>
        </w:rPr>
        <w:t xml:space="preserve">Adjusted for seasonal and calendar effects. </w:t>
      </w:r>
    </w:p>
    <w:p w:rsidR="00393BCA" w:rsidRDefault="00393BCA" w:rsidP="00393BCA">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Pr="00D766EF" w:rsidRDefault="00C2201D"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7B" w:rsidRDefault="007F337B" w:rsidP="007F337B">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w:t>
    </w:r>
    <w:r w:rsidR="008E789F">
      <w:rPr>
        <w:rFonts w:ascii="Arial" w:hAnsi="Arial" w:cs="Arial"/>
        <w:sz w:val="16"/>
        <w:szCs w:val="16"/>
      </w:rPr>
      <w:t>ech</w:t>
    </w:r>
    <w:proofErr w:type="spellEnd"/>
    <w:r w:rsidR="008E789F">
      <w:rPr>
        <w:rFonts w:ascii="Arial" w:hAnsi="Arial" w:cs="Arial"/>
        <w:sz w:val="16"/>
        <w:szCs w:val="16"/>
      </w:rPr>
      <w:t xml:space="preserve"> </w:t>
    </w:r>
    <w:proofErr w:type="spellStart"/>
    <w:r w:rsidR="008E789F">
      <w:rPr>
        <w:rFonts w:ascii="Arial" w:hAnsi="Arial" w:cs="Arial"/>
        <w:sz w:val="16"/>
        <w:szCs w:val="16"/>
      </w:rPr>
      <w:t>Economy</w:t>
    </w:r>
    <w:proofErr w:type="spellEnd"/>
    <w:r w:rsidR="008E789F">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p w:rsidR="00C2201D" w:rsidRPr="007F337B" w:rsidRDefault="00C2201D" w:rsidP="007F337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3671"/>
    <w:multiLevelType w:val="hybridMultilevel"/>
    <w:tmpl w:val="53FED0C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9B70BD"/>
    <w:rsid w:val="00000FA7"/>
    <w:rsid w:val="00003687"/>
    <w:rsid w:val="00003C43"/>
    <w:rsid w:val="00007498"/>
    <w:rsid w:val="0000767A"/>
    <w:rsid w:val="000101F5"/>
    <w:rsid w:val="000104B9"/>
    <w:rsid w:val="00010702"/>
    <w:rsid w:val="00011191"/>
    <w:rsid w:val="0001159B"/>
    <w:rsid w:val="00012986"/>
    <w:rsid w:val="00014D3A"/>
    <w:rsid w:val="0001573E"/>
    <w:rsid w:val="00017F05"/>
    <w:rsid w:val="000202C6"/>
    <w:rsid w:val="00020946"/>
    <w:rsid w:val="00024887"/>
    <w:rsid w:val="00024CBA"/>
    <w:rsid w:val="00025501"/>
    <w:rsid w:val="00026998"/>
    <w:rsid w:val="0003066A"/>
    <w:rsid w:val="000309BD"/>
    <w:rsid w:val="00032838"/>
    <w:rsid w:val="00032C12"/>
    <w:rsid w:val="0003409E"/>
    <w:rsid w:val="00035FC6"/>
    <w:rsid w:val="00037667"/>
    <w:rsid w:val="000411E1"/>
    <w:rsid w:val="00041E1C"/>
    <w:rsid w:val="00043E05"/>
    <w:rsid w:val="0004694F"/>
    <w:rsid w:val="000500DC"/>
    <w:rsid w:val="00052172"/>
    <w:rsid w:val="000541DA"/>
    <w:rsid w:val="00055059"/>
    <w:rsid w:val="000553E4"/>
    <w:rsid w:val="000626FB"/>
    <w:rsid w:val="00062EC5"/>
    <w:rsid w:val="00064256"/>
    <w:rsid w:val="000706A4"/>
    <w:rsid w:val="00072118"/>
    <w:rsid w:val="00073173"/>
    <w:rsid w:val="000779AC"/>
    <w:rsid w:val="00083803"/>
    <w:rsid w:val="00086DE6"/>
    <w:rsid w:val="0008716A"/>
    <w:rsid w:val="00087634"/>
    <w:rsid w:val="00091237"/>
    <w:rsid w:val="0009191B"/>
    <w:rsid w:val="000920EC"/>
    <w:rsid w:val="00092208"/>
    <w:rsid w:val="00092505"/>
    <w:rsid w:val="00097D02"/>
    <w:rsid w:val="000A1183"/>
    <w:rsid w:val="000A2121"/>
    <w:rsid w:val="000A2484"/>
    <w:rsid w:val="000A66F6"/>
    <w:rsid w:val="000B0638"/>
    <w:rsid w:val="000B1CFE"/>
    <w:rsid w:val="000B210A"/>
    <w:rsid w:val="000B249B"/>
    <w:rsid w:val="000B3DB9"/>
    <w:rsid w:val="000B3F02"/>
    <w:rsid w:val="000B48E7"/>
    <w:rsid w:val="000B5963"/>
    <w:rsid w:val="000B6A0A"/>
    <w:rsid w:val="000B7663"/>
    <w:rsid w:val="000C1072"/>
    <w:rsid w:val="000C11D3"/>
    <w:rsid w:val="000C12F5"/>
    <w:rsid w:val="000C3408"/>
    <w:rsid w:val="000C42C6"/>
    <w:rsid w:val="000D0D51"/>
    <w:rsid w:val="000D14B3"/>
    <w:rsid w:val="000D208B"/>
    <w:rsid w:val="000D2B8D"/>
    <w:rsid w:val="000D2E41"/>
    <w:rsid w:val="000D4273"/>
    <w:rsid w:val="000D5E7A"/>
    <w:rsid w:val="000D5FAA"/>
    <w:rsid w:val="000D65A4"/>
    <w:rsid w:val="000D6AEF"/>
    <w:rsid w:val="000E025B"/>
    <w:rsid w:val="000E153A"/>
    <w:rsid w:val="000E19A8"/>
    <w:rsid w:val="000E4A42"/>
    <w:rsid w:val="000E6476"/>
    <w:rsid w:val="000E65FB"/>
    <w:rsid w:val="000E78D2"/>
    <w:rsid w:val="000F3332"/>
    <w:rsid w:val="000F33EE"/>
    <w:rsid w:val="000F3E5F"/>
    <w:rsid w:val="000F401E"/>
    <w:rsid w:val="000F5445"/>
    <w:rsid w:val="000F67B2"/>
    <w:rsid w:val="000F790F"/>
    <w:rsid w:val="000F7D03"/>
    <w:rsid w:val="000F7E1B"/>
    <w:rsid w:val="00100014"/>
    <w:rsid w:val="0010039A"/>
    <w:rsid w:val="00101FB2"/>
    <w:rsid w:val="00102F02"/>
    <w:rsid w:val="001041B6"/>
    <w:rsid w:val="001070EA"/>
    <w:rsid w:val="0011002A"/>
    <w:rsid w:val="0011110A"/>
    <w:rsid w:val="001118AF"/>
    <w:rsid w:val="0011256E"/>
    <w:rsid w:val="00112A7C"/>
    <w:rsid w:val="0011352E"/>
    <w:rsid w:val="001158D1"/>
    <w:rsid w:val="00116DB9"/>
    <w:rsid w:val="00116F28"/>
    <w:rsid w:val="00117A7E"/>
    <w:rsid w:val="00121C39"/>
    <w:rsid w:val="00123255"/>
    <w:rsid w:val="00124D2D"/>
    <w:rsid w:val="001307BE"/>
    <w:rsid w:val="00130C8F"/>
    <w:rsid w:val="001314F2"/>
    <w:rsid w:val="001317DA"/>
    <w:rsid w:val="001323BA"/>
    <w:rsid w:val="0013254D"/>
    <w:rsid w:val="00133251"/>
    <w:rsid w:val="00133AAC"/>
    <w:rsid w:val="00136561"/>
    <w:rsid w:val="001400E1"/>
    <w:rsid w:val="001405FA"/>
    <w:rsid w:val="001413B3"/>
    <w:rsid w:val="001425C3"/>
    <w:rsid w:val="00142F16"/>
    <w:rsid w:val="00143E03"/>
    <w:rsid w:val="00143E93"/>
    <w:rsid w:val="00145877"/>
    <w:rsid w:val="00147262"/>
    <w:rsid w:val="00151AC0"/>
    <w:rsid w:val="00152046"/>
    <w:rsid w:val="00154147"/>
    <w:rsid w:val="00156318"/>
    <w:rsid w:val="0015639A"/>
    <w:rsid w:val="0016081D"/>
    <w:rsid w:val="00160CF3"/>
    <w:rsid w:val="001620FA"/>
    <w:rsid w:val="00162853"/>
    <w:rsid w:val="00163793"/>
    <w:rsid w:val="0016699E"/>
    <w:rsid w:val="001707DE"/>
    <w:rsid w:val="00170B04"/>
    <w:rsid w:val="00170F47"/>
    <w:rsid w:val="001714F2"/>
    <w:rsid w:val="00173642"/>
    <w:rsid w:val="00174CE8"/>
    <w:rsid w:val="00176050"/>
    <w:rsid w:val="001764D8"/>
    <w:rsid w:val="00176A8F"/>
    <w:rsid w:val="00180D58"/>
    <w:rsid w:val="00182981"/>
    <w:rsid w:val="001835E7"/>
    <w:rsid w:val="00184CF9"/>
    <w:rsid w:val="00185010"/>
    <w:rsid w:val="001852EC"/>
    <w:rsid w:val="001874CF"/>
    <w:rsid w:val="00190D9B"/>
    <w:rsid w:val="00191BAE"/>
    <w:rsid w:val="00193432"/>
    <w:rsid w:val="00193BA1"/>
    <w:rsid w:val="00195444"/>
    <w:rsid w:val="001A2BDB"/>
    <w:rsid w:val="001A30F4"/>
    <w:rsid w:val="001A552F"/>
    <w:rsid w:val="001A56F3"/>
    <w:rsid w:val="001A750C"/>
    <w:rsid w:val="001B1D89"/>
    <w:rsid w:val="001B3110"/>
    <w:rsid w:val="001B417A"/>
    <w:rsid w:val="001B44BC"/>
    <w:rsid w:val="001B6545"/>
    <w:rsid w:val="001B681B"/>
    <w:rsid w:val="001B694C"/>
    <w:rsid w:val="001B6A49"/>
    <w:rsid w:val="001B74FB"/>
    <w:rsid w:val="001B77A1"/>
    <w:rsid w:val="001C0422"/>
    <w:rsid w:val="001C0E0E"/>
    <w:rsid w:val="001C1219"/>
    <w:rsid w:val="001C357A"/>
    <w:rsid w:val="001C3A37"/>
    <w:rsid w:val="001C4384"/>
    <w:rsid w:val="001C5240"/>
    <w:rsid w:val="001C65FF"/>
    <w:rsid w:val="001D47E5"/>
    <w:rsid w:val="001D584C"/>
    <w:rsid w:val="001D66C1"/>
    <w:rsid w:val="001E0C65"/>
    <w:rsid w:val="001E23E3"/>
    <w:rsid w:val="001E387A"/>
    <w:rsid w:val="001E3DA4"/>
    <w:rsid w:val="001E5830"/>
    <w:rsid w:val="001E684C"/>
    <w:rsid w:val="001E701C"/>
    <w:rsid w:val="001E7C03"/>
    <w:rsid w:val="001F02AF"/>
    <w:rsid w:val="001F28F4"/>
    <w:rsid w:val="001F3C79"/>
    <w:rsid w:val="001F3E68"/>
    <w:rsid w:val="001F4597"/>
    <w:rsid w:val="00200D15"/>
    <w:rsid w:val="00203074"/>
    <w:rsid w:val="00203B46"/>
    <w:rsid w:val="002048E1"/>
    <w:rsid w:val="00210278"/>
    <w:rsid w:val="00210CC2"/>
    <w:rsid w:val="00210F5B"/>
    <w:rsid w:val="00211262"/>
    <w:rsid w:val="00211AC9"/>
    <w:rsid w:val="0021355B"/>
    <w:rsid w:val="00216098"/>
    <w:rsid w:val="002205F2"/>
    <w:rsid w:val="0022080E"/>
    <w:rsid w:val="0022139E"/>
    <w:rsid w:val="0022272B"/>
    <w:rsid w:val="00222A99"/>
    <w:rsid w:val="00223678"/>
    <w:rsid w:val="00223E00"/>
    <w:rsid w:val="002252E0"/>
    <w:rsid w:val="002255F6"/>
    <w:rsid w:val="00226466"/>
    <w:rsid w:val="002266D0"/>
    <w:rsid w:val="002303A6"/>
    <w:rsid w:val="00230DAD"/>
    <w:rsid w:val="0023229C"/>
    <w:rsid w:val="00234280"/>
    <w:rsid w:val="00235000"/>
    <w:rsid w:val="002350E3"/>
    <w:rsid w:val="00235938"/>
    <w:rsid w:val="00236443"/>
    <w:rsid w:val="00236E20"/>
    <w:rsid w:val="00240A5B"/>
    <w:rsid w:val="002436BA"/>
    <w:rsid w:val="002444ED"/>
    <w:rsid w:val="00244A15"/>
    <w:rsid w:val="00244D40"/>
    <w:rsid w:val="00246AE9"/>
    <w:rsid w:val="0024799E"/>
    <w:rsid w:val="00250C59"/>
    <w:rsid w:val="00251D59"/>
    <w:rsid w:val="002522CD"/>
    <w:rsid w:val="002524C4"/>
    <w:rsid w:val="00252602"/>
    <w:rsid w:val="00252E1B"/>
    <w:rsid w:val="00252FDC"/>
    <w:rsid w:val="00261E5B"/>
    <w:rsid w:val="00263470"/>
    <w:rsid w:val="00263733"/>
    <w:rsid w:val="00264676"/>
    <w:rsid w:val="00264772"/>
    <w:rsid w:val="00265536"/>
    <w:rsid w:val="00265E54"/>
    <w:rsid w:val="00266520"/>
    <w:rsid w:val="00266F3E"/>
    <w:rsid w:val="0026788B"/>
    <w:rsid w:val="00272464"/>
    <w:rsid w:val="00273DCD"/>
    <w:rsid w:val="00273E1C"/>
    <w:rsid w:val="00274291"/>
    <w:rsid w:val="00274E3B"/>
    <w:rsid w:val="00276CFE"/>
    <w:rsid w:val="00277071"/>
    <w:rsid w:val="0027786C"/>
    <w:rsid w:val="00277BF7"/>
    <w:rsid w:val="00281416"/>
    <w:rsid w:val="00281B77"/>
    <w:rsid w:val="00285CD3"/>
    <w:rsid w:val="0028686A"/>
    <w:rsid w:val="00286E66"/>
    <w:rsid w:val="002919B5"/>
    <w:rsid w:val="00293441"/>
    <w:rsid w:val="0029493E"/>
    <w:rsid w:val="00296C2E"/>
    <w:rsid w:val="002A1B05"/>
    <w:rsid w:val="002A3354"/>
    <w:rsid w:val="002A35EA"/>
    <w:rsid w:val="002A37B6"/>
    <w:rsid w:val="002A3BD5"/>
    <w:rsid w:val="002A43A2"/>
    <w:rsid w:val="002A4612"/>
    <w:rsid w:val="002A5263"/>
    <w:rsid w:val="002A6821"/>
    <w:rsid w:val="002A74D2"/>
    <w:rsid w:val="002B1494"/>
    <w:rsid w:val="002B1544"/>
    <w:rsid w:val="002B36C8"/>
    <w:rsid w:val="002B4689"/>
    <w:rsid w:val="002B7240"/>
    <w:rsid w:val="002C01D2"/>
    <w:rsid w:val="002C2668"/>
    <w:rsid w:val="002C4036"/>
    <w:rsid w:val="002C43BD"/>
    <w:rsid w:val="002C446F"/>
    <w:rsid w:val="002C5261"/>
    <w:rsid w:val="002C5F84"/>
    <w:rsid w:val="002C6091"/>
    <w:rsid w:val="002D0562"/>
    <w:rsid w:val="002D1B31"/>
    <w:rsid w:val="002D1B5A"/>
    <w:rsid w:val="002D2BF3"/>
    <w:rsid w:val="002D3F00"/>
    <w:rsid w:val="002D4D59"/>
    <w:rsid w:val="002D54BF"/>
    <w:rsid w:val="002D5E94"/>
    <w:rsid w:val="002D632D"/>
    <w:rsid w:val="002E02A1"/>
    <w:rsid w:val="002E0982"/>
    <w:rsid w:val="002E0DB9"/>
    <w:rsid w:val="002E2CE4"/>
    <w:rsid w:val="002F33FB"/>
    <w:rsid w:val="002F69FF"/>
    <w:rsid w:val="002F7594"/>
    <w:rsid w:val="00301357"/>
    <w:rsid w:val="00301620"/>
    <w:rsid w:val="00301D04"/>
    <w:rsid w:val="00304771"/>
    <w:rsid w:val="00305736"/>
    <w:rsid w:val="00306C5B"/>
    <w:rsid w:val="00306E3B"/>
    <w:rsid w:val="00312C3D"/>
    <w:rsid w:val="00314331"/>
    <w:rsid w:val="003168E9"/>
    <w:rsid w:val="00317E31"/>
    <w:rsid w:val="00320214"/>
    <w:rsid w:val="003209D6"/>
    <w:rsid w:val="0032109A"/>
    <w:rsid w:val="00321A11"/>
    <w:rsid w:val="0032214F"/>
    <w:rsid w:val="00322164"/>
    <w:rsid w:val="0032513D"/>
    <w:rsid w:val="00326251"/>
    <w:rsid w:val="00327DEE"/>
    <w:rsid w:val="003304AD"/>
    <w:rsid w:val="003329F3"/>
    <w:rsid w:val="0033352E"/>
    <w:rsid w:val="00333690"/>
    <w:rsid w:val="00333D20"/>
    <w:rsid w:val="003340EF"/>
    <w:rsid w:val="00334A49"/>
    <w:rsid w:val="00335BB0"/>
    <w:rsid w:val="0033627B"/>
    <w:rsid w:val="003406BD"/>
    <w:rsid w:val="00341131"/>
    <w:rsid w:val="00343F84"/>
    <w:rsid w:val="00344135"/>
    <w:rsid w:val="00347C83"/>
    <w:rsid w:val="00351B63"/>
    <w:rsid w:val="00352E57"/>
    <w:rsid w:val="003541B0"/>
    <w:rsid w:val="00355885"/>
    <w:rsid w:val="0035605E"/>
    <w:rsid w:val="00357449"/>
    <w:rsid w:val="0036238B"/>
    <w:rsid w:val="003629E4"/>
    <w:rsid w:val="00365680"/>
    <w:rsid w:val="003657F3"/>
    <w:rsid w:val="00367038"/>
    <w:rsid w:val="003709DE"/>
    <w:rsid w:val="0037144E"/>
    <w:rsid w:val="003736B5"/>
    <w:rsid w:val="00374F1E"/>
    <w:rsid w:val="00376DEC"/>
    <w:rsid w:val="00380E04"/>
    <w:rsid w:val="00383227"/>
    <w:rsid w:val="00384D8F"/>
    <w:rsid w:val="00385D98"/>
    <w:rsid w:val="00385EC5"/>
    <w:rsid w:val="003870B8"/>
    <w:rsid w:val="0039066E"/>
    <w:rsid w:val="00391C95"/>
    <w:rsid w:val="00393BCA"/>
    <w:rsid w:val="00396DAC"/>
    <w:rsid w:val="003A0214"/>
    <w:rsid w:val="003A027D"/>
    <w:rsid w:val="003A1D74"/>
    <w:rsid w:val="003A2B4D"/>
    <w:rsid w:val="003A2D2B"/>
    <w:rsid w:val="003A2DD4"/>
    <w:rsid w:val="003A3B1C"/>
    <w:rsid w:val="003A478C"/>
    <w:rsid w:val="003A4F82"/>
    <w:rsid w:val="003A5525"/>
    <w:rsid w:val="003A6B38"/>
    <w:rsid w:val="003B2E63"/>
    <w:rsid w:val="003B3189"/>
    <w:rsid w:val="003B3A9D"/>
    <w:rsid w:val="003B5031"/>
    <w:rsid w:val="003B5A32"/>
    <w:rsid w:val="003B6105"/>
    <w:rsid w:val="003C04C4"/>
    <w:rsid w:val="003C26F4"/>
    <w:rsid w:val="003C40DE"/>
    <w:rsid w:val="003C4852"/>
    <w:rsid w:val="003C5BAB"/>
    <w:rsid w:val="003C601E"/>
    <w:rsid w:val="003D34F7"/>
    <w:rsid w:val="003D3600"/>
    <w:rsid w:val="003D3825"/>
    <w:rsid w:val="003D3EC4"/>
    <w:rsid w:val="003D4760"/>
    <w:rsid w:val="003D49DC"/>
    <w:rsid w:val="003E0663"/>
    <w:rsid w:val="003E133F"/>
    <w:rsid w:val="003E699C"/>
    <w:rsid w:val="003E69F3"/>
    <w:rsid w:val="003E782E"/>
    <w:rsid w:val="003E7A0B"/>
    <w:rsid w:val="003E7B2B"/>
    <w:rsid w:val="003F1A48"/>
    <w:rsid w:val="003F2B0A"/>
    <w:rsid w:val="003F313C"/>
    <w:rsid w:val="003F37FC"/>
    <w:rsid w:val="003F49A6"/>
    <w:rsid w:val="003F5098"/>
    <w:rsid w:val="003F5568"/>
    <w:rsid w:val="003F5A95"/>
    <w:rsid w:val="003F6D19"/>
    <w:rsid w:val="004000D5"/>
    <w:rsid w:val="00401716"/>
    <w:rsid w:val="0040273A"/>
    <w:rsid w:val="00402C25"/>
    <w:rsid w:val="004050D7"/>
    <w:rsid w:val="004078BD"/>
    <w:rsid w:val="00410132"/>
    <w:rsid w:val="00410BCD"/>
    <w:rsid w:val="0041175D"/>
    <w:rsid w:val="004123BE"/>
    <w:rsid w:val="004127EA"/>
    <w:rsid w:val="0041369F"/>
    <w:rsid w:val="00414CE5"/>
    <w:rsid w:val="00416673"/>
    <w:rsid w:val="0042160D"/>
    <w:rsid w:val="0042681B"/>
    <w:rsid w:val="0043068A"/>
    <w:rsid w:val="004306E0"/>
    <w:rsid w:val="004329BE"/>
    <w:rsid w:val="00432C38"/>
    <w:rsid w:val="00437C76"/>
    <w:rsid w:val="004441A0"/>
    <w:rsid w:val="00444268"/>
    <w:rsid w:val="004443BF"/>
    <w:rsid w:val="00444C19"/>
    <w:rsid w:val="00445413"/>
    <w:rsid w:val="00446892"/>
    <w:rsid w:val="00450C30"/>
    <w:rsid w:val="004543AE"/>
    <w:rsid w:val="00455ECA"/>
    <w:rsid w:val="00460164"/>
    <w:rsid w:val="0046039A"/>
    <w:rsid w:val="00460A6B"/>
    <w:rsid w:val="00461977"/>
    <w:rsid w:val="004629FD"/>
    <w:rsid w:val="00463F4D"/>
    <w:rsid w:val="0046471F"/>
    <w:rsid w:val="00464BE8"/>
    <w:rsid w:val="00465019"/>
    <w:rsid w:val="0046613F"/>
    <w:rsid w:val="0046655D"/>
    <w:rsid w:val="0046765E"/>
    <w:rsid w:val="004676E2"/>
    <w:rsid w:val="00471EDD"/>
    <w:rsid w:val="004731AA"/>
    <w:rsid w:val="00473E94"/>
    <w:rsid w:val="0047400C"/>
    <w:rsid w:val="004745D9"/>
    <w:rsid w:val="004762D8"/>
    <w:rsid w:val="004765B3"/>
    <w:rsid w:val="00476D29"/>
    <w:rsid w:val="00477241"/>
    <w:rsid w:val="00477EAF"/>
    <w:rsid w:val="00477EE0"/>
    <w:rsid w:val="0048139F"/>
    <w:rsid w:val="00482DE0"/>
    <w:rsid w:val="00483053"/>
    <w:rsid w:val="00485CCE"/>
    <w:rsid w:val="00486B6F"/>
    <w:rsid w:val="004879E9"/>
    <w:rsid w:val="0049104F"/>
    <w:rsid w:val="00491218"/>
    <w:rsid w:val="00493362"/>
    <w:rsid w:val="00496C2F"/>
    <w:rsid w:val="0049740D"/>
    <w:rsid w:val="004978D3"/>
    <w:rsid w:val="004A11F8"/>
    <w:rsid w:val="004A22FA"/>
    <w:rsid w:val="004A269A"/>
    <w:rsid w:val="004A30FB"/>
    <w:rsid w:val="004A35DD"/>
    <w:rsid w:val="004A37D3"/>
    <w:rsid w:val="004A3AD6"/>
    <w:rsid w:val="004A41CD"/>
    <w:rsid w:val="004A5865"/>
    <w:rsid w:val="004A77DF"/>
    <w:rsid w:val="004B0295"/>
    <w:rsid w:val="004B10A8"/>
    <w:rsid w:val="004B22DA"/>
    <w:rsid w:val="004B3CB7"/>
    <w:rsid w:val="004B3D55"/>
    <w:rsid w:val="004B55B7"/>
    <w:rsid w:val="004C00A6"/>
    <w:rsid w:val="004C0BBB"/>
    <w:rsid w:val="004C1B86"/>
    <w:rsid w:val="004C3382"/>
    <w:rsid w:val="004C3867"/>
    <w:rsid w:val="004C4AB7"/>
    <w:rsid w:val="004C4CD0"/>
    <w:rsid w:val="004C51F2"/>
    <w:rsid w:val="004C57B5"/>
    <w:rsid w:val="004C5C25"/>
    <w:rsid w:val="004C6717"/>
    <w:rsid w:val="004C6CFF"/>
    <w:rsid w:val="004C70DC"/>
    <w:rsid w:val="004C7268"/>
    <w:rsid w:val="004D0211"/>
    <w:rsid w:val="004D1C9C"/>
    <w:rsid w:val="004D504B"/>
    <w:rsid w:val="004D536E"/>
    <w:rsid w:val="004E0CD2"/>
    <w:rsid w:val="004E1839"/>
    <w:rsid w:val="004E4A75"/>
    <w:rsid w:val="004E541A"/>
    <w:rsid w:val="004E5A5C"/>
    <w:rsid w:val="004E76D6"/>
    <w:rsid w:val="004F06F5"/>
    <w:rsid w:val="004F191F"/>
    <w:rsid w:val="004F2A73"/>
    <w:rsid w:val="004F33A0"/>
    <w:rsid w:val="004F4353"/>
    <w:rsid w:val="004F447D"/>
    <w:rsid w:val="004F4C28"/>
    <w:rsid w:val="004F5CC5"/>
    <w:rsid w:val="004F6261"/>
    <w:rsid w:val="00505ADA"/>
    <w:rsid w:val="00507040"/>
    <w:rsid w:val="005079F8"/>
    <w:rsid w:val="00510189"/>
    <w:rsid w:val="0051024D"/>
    <w:rsid w:val="005108C0"/>
    <w:rsid w:val="00511873"/>
    <w:rsid w:val="00513B7E"/>
    <w:rsid w:val="00514474"/>
    <w:rsid w:val="00514EBE"/>
    <w:rsid w:val="005215EF"/>
    <w:rsid w:val="00524637"/>
    <w:rsid w:val="00525137"/>
    <w:rsid w:val="005251DD"/>
    <w:rsid w:val="00527913"/>
    <w:rsid w:val="0053017A"/>
    <w:rsid w:val="00530492"/>
    <w:rsid w:val="00532854"/>
    <w:rsid w:val="00532BE8"/>
    <w:rsid w:val="005350F2"/>
    <w:rsid w:val="00535152"/>
    <w:rsid w:val="005351B6"/>
    <w:rsid w:val="00535359"/>
    <w:rsid w:val="005356C8"/>
    <w:rsid w:val="005357A2"/>
    <w:rsid w:val="00535D87"/>
    <w:rsid w:val="00535EF0"/>
    <w:rsid w:val="0053734B"/>
    <w:rsid w:val="00537AFD"/>
    <w:rsid w:val="00537CB4"/>
    <w:rsid w:val="00540895"/>
    <w:rsid w:val="00541B19"/>
    <w:rsid w:val="0054516B"/>
    <w:rsid w:val="0054559E"/>
    <w:rsid w:val="005513D5"/>
    <w:rsid w:val="005523B9"/>
    <w:rsid w:val="005545E0"/>
    <w:rsid w:val="00554865"/>
    <w:rsid w:val="00554E57"/>
    <w:rsid w:val="00562749"/>
    <w:rsid w:val="00562DE9"/>
    <w:rsid w:val="00563674"/>
    <w:rsid w:val="005638A5"/>
    <w:rsid w:val="00566381"/>
    <w:rsid w:val="00566A03"/>
    <w:rsid w:val="00571932"/>
    <w:rsid w:val="00573C97"/>
    <w:rsid w:val="00574240"/>
    <w:rsid w:val="00575CDC"/>
    <w:rsid w:val="005765D5"/>
    <w:rsid w:val="00576A3E"/>
    <w:rsid w:val="0058031B"/>
    <w:rsid w:val="00583D5B"/>
    <w:rsid w:val="00583FFD"/>
    <w:rsid w:val="00587CCD"/>
    <w:rsid w:val="005908AE"/>
    <w:rsid w:val="0059176E"/>
    <w:rsid w:val="00593152"/>
    <w:rsid w:val="00593CA3"/>
    <w:rsid w:val="00594161"/>
    <w:rsid w:val="00594969"/>
    <w:rsid w:val="00596C5E"/>
    <w:rsid w:val="005A2194"/>
    <w:rsid w:val="005A21E0"/>
    <w:rsid w:val="005A33A1"/>
    <w:rsid w:val="005A54EE"/>
    <w:rsid w:val="005A5F6C"/>
    <w:rsid w:val="005A7500"/>
    <w:rsid w:val="005B1BDB"/>
    <w:rsid w:val="005B2BAA"/>
    <w:rsid w:val="005B2D53"/>
    <w:rsid w:val="005B3060"/>
    <w:rsid w:val="005B3247"/>
    <w:rsid w:val="005B3409"/>
    <w:rsid w:val="005B7B12"/>
    <w:rsid w:val="005C0AC0"/>
    <w:rsid w:val="005C16CB"/>
    <w:rsid w:val="005C3F9F"/>
    <w:rsid w:val="005C4A23"/>
    <w:rsid w:val="005C6400"/>
    <w:rsid w:val="005C7F1E"/>
    <w:rsid w:val="005D374F"/>
    <w:rsid w:val="005D5802"/>
    <w:rsid w:val="005D6CFC"/>
    <w:rsid w:val="005D73E2"/>
    <w:rsid w:val="005E0476"/>
    <w:rsid w:val="005E1884"/>
    <w:rsid w:val="005E1E4B"/>
    <w:rsid w:val="005E362D"/>
    <w:rsid w:val="005E492C"/>
    <w:rsid w:val="005E4BAA"/>
    <w:rsid w:val="005E52EF"/>
    <w:rsid w:val="005E5B56"/>
    <w:rsid w:val="005E6088"/>
    <w:rsid w:val="005E61DF"/>
    <w:rsid w:val="005E6B78"/>
    <w:rsid w:val="005F4057"/>
    <w:rsid w:val="005F4088"/>
    <w:rsid w:val="005F6119"/>
    <w:rsid w:val="006004C6"/>
    <w:rsid w:val="0060107A"/>
    <w:rsid w:val="00601AFF"/>
    <w:rsid w:val="00602D1D"/>
    <w:rsid w:val="00604307"/>
    <w:rsid w:val="0060487F"/>
    <w:rsid w:val="00605814"/>
    <w:rsid w:val="00606B93"/>
    <w:rsid w:val="00607727"/>
    <w:rsid w:val="006118AA"/>
    <w:rsid w:val="006139C7"/>
    <w:rsid w:val="006153E3"/>
    <w:rsid w:val="00617D2D"/>
    <w:rsid w:val="00617D83"/>
    <w:rsid w:val="00620AC5"/>
    <w:rsid w:val="00620D38"/>
    <w:rsid w:val="00621575"/>
    <w:rsid w:val="006215FC"/>
    <w:rsid w:val="00624093"/>
    <w:rsid w:val="00630F66"/>
    <w:rsid w:val="00631FC2"/>
    <w:rsid w:val="00632171"/>
    <w:rsid w:val="0063284E"/>
    <w:rsid w:val="0063332A"/>
    <w:rsid w:val="006347F9"/>
    <w:rsid w:val="00634C90"/>
    <w:rsid w:val="00635E79"/>
    <w:rsid w:val="00636E5E"/>
    <w:rsid w:val="006404A7"/>
    <w:rsid w:val="006407F3"/>
    <w:rsid w:val="00644DFC"/>
    <w:rsid w:val="006451E4"/>
    <w:rsid w:val="006460B8"/>
    <w:rsid w:val="006520C7"/>
    <w:rsid w:val="0065277F"/>
    <w:rsid w:val="006530B8"/>
    <w:rsid w:val="006535D6"/>
    <w:rsid w:val="0065559D"/>
    <w:rsid w:val="006572ED"/>
    <w:rsid w:val="00657E87"/>
    <w:rsid w:val="00660457"/>
    <w:rsid w:val="00660E1E"/>
    <w:rsid w:val="006637B1"/>
    <w:rsid w:val="00665D67"/>
    <w:rsid w:val="00665D77"/>
    <w:rsid w:val="006660CD"/>
    <w:rsid w:val="006662B5"/>
    <w:rsid w:val="00666F4B"/>
    <w:rsid w:val="006676D0"/>
    <w:rsid w:val="00670FAC"/>
    <w:rsid w:val="006710C9"/>
    <w:rsid w:val="00675E37"/>
    <w:rsid w:val="00676F11"/>
    <w:rsid w:val="00680079"/>
    <w:rsid w:val="00680F68"/>
    <w:rsid w:val="0068260E"/>
    <w:rsid w:val="0068373D"/>
    <w:rsid w:val="00683BFE"/>
    <w:rsid w:val="00685069"/>
    <w:rsid w:val="006857DF"/>
    <w:rsid w:val="00685E66"/>
    <w:rsid w:val="00686B72"/>
    <w:rsid w:val="00686BF1"/>
    <w:rsid w:val="00690A09"/>
    <w:rsid w:val="00693FEA"/>
    <w:rsid w:val="00694930"/>
    <w:rsid w:val="00695170"/>
    <w:rsid w:val="00695BEF"/>
    <w:rsid w:val="006960D6"/>
    <w:rsid w:val="00696AA5"/>
    <w:rsid w:val="006974EE"/>
    <w:rsid w:val="006977F6"/>
    <w:rsid w:val="00697A13"/>
    <w:rsid w:val="006A109C"/>
    <w:rsid w:val="006A3CF3"/>
    <w:rsid w:val="006A672B"/>
    <w:rsid w:val="006B3F8A"/>
    <w:rsid w:val="006B5CA3"/>
    <w:rsid w:val="006B6B3B"/>
    <w:rsid w:val="006B7714"/>
    <w:rsid w:val="006B7816"/>
    <w:rsid w:val="006B78D8"/>
    <w:rsid w:val="006C090F"/>
    <w:rsid w:val="006C113F"/>
    <w:rsid w:val="006C38DD"/>
    <w:rsid w:val="006C5577"/>
    <w:rsid w:val="006C559A"/>
    <w:rsid w:val="006C58FA"/>
    <w:rsid w:val="006D042D"/>
    <w:rsid w:val="006D06EF"/>
    <w:rsid w:val="006D142E"/>
    <w:rsid w:val="006D4E6F"/>
    <w:rsid w:val="006D61F6"/>
    <w:rsid w:val="006E1F4C"/>
    <w:rsid w:val="006E279A"/>
    <w:rsid w:val="006E2F3F"/>
    <w:rsid w:val="006E313B"/>
    <w:rsid w:val="006E442A"/>
    <w:rsid w:val="006E5CFD"/>
    <w:rsid w:val="006F1326"/>
    <w:rsid w:val="006F2BEE"/>
    <w:rsid w:val="006F3708"/>
    <w:rsid w:val="006F3E6B"/>
    <w:rsid w:val="006F4A59"/>
    <w:rsid w:val="007014C7"/>
    <w:rsid w:val="00702D6F"/>
    <w:rsid w:val="007032F0"/>
    <w:rsid w:val="00703B6C"/>
    <w:rsid w:val="007047D5"/>
    <w:rsid w:val="00705D98"/>
    <w:rsid w:val="00707891"/>
    <w:rsid w:val="007078EE"/>
    <w:rsid w:val="00707D43"/>
    <w:rsid w:val="00711EF1"/>
    <w:rsid w:val="0071229A"/>
    <w:rsid w:val="00712572"/>
    <w:rsid w:val="00713495"/>
    <w:rsid w:val="00720FA2"/>
    <w:rsid w:val="007211F5"/>
    <w:rsid w:val="00724666"/>
    <w:rsid w:val="00726043"/>
    <w:rsid w:val="0072704A"/>
    <w:rsid w:val="00730AE8"/>
    <w:rsid w:val="00731963"/>
    <w:rsid w:val="00734321"/>
    <w:rsid w:val="00737289"/>
    <w:rsid w:val="00740310"/>
    <w:rsid w:val="00740652"/>
    <w:rsid w:val="007408EC"/>
    <w:rsid w:val="00740F02"/>
    <w:rsid w:val="00740FEC"/>
    <w:rsid w:val="0074132E"/>
    <w:rsid w:val="00741493"/>
    <w:rsid w:val="007426B3"/>
    <w:rsid w:val="007426FD"/>
    <w:rsid w:val="0074329D"/>
    <w:rsid w:val="00744376"/>
    <w:rsid w:val="007449EA"/>
    <w:rsid w:val="007451AE"/>
    <w:rsid w:val="00746DD9"/>
    <w:rsid w:val="0075057A"/>
    <w:rsid w:val="00751771"/>
    <w:rsid w:val="00751C1C"/>
    <w:rsid w:val="00752180"/>
    <w:rsid w:val="007521A1"/>
    <w:rsid w:val="0075315D"/>
    <w:rsid w:val="007538F9"/>
    <w:rsid w:val="00753AFD"/>
    <w:rsid w:val="00754253"/>
    <w:rsid w:val="007552BB"/>
    <w:rsid w:val="007558D3"/>
    <w:rsid w:val="007559D7"/>
    <w:rsid w:val="00755D3A"/>
    <w:rsid w:val="00760141"/>
    <w:rsid w:val="007609C6"/>
    <w:rsid w:val="007610A0"/>
    <w:rsid w:val="007620F2"/>
    <w:rsid w:val="00762E34"/>
    <w:rsid w:val="00762EBA"/>
    <w:rsid w:val="0076359D"/>
    <w:rsid w:val="00772536"/>
    <w:rsid w:val="00773613"/>
    <w:rsid w:val="007736AA"/>
    <w:rsid w:val="00774782"/>
    <w:rsid w:val="00776527"/>
    <w:rsid w:val="0078113E"/>
    <w:rsid w:val="00781834"/>
    <w:rsid w:val="007821DB"/>
    <w:rsid w:val="00782744"/>
    <w:rsid w:val="00782818"/>
    <w:rsid w:val="00783C86"/>
    <w:rsid w:val="00784C4A"/>
    <w:rsid w:val="00786884"/>
    <w:rsid w:val="00787432"/>
    <w:rsid w:val="00787507"/>
    <w:rsid w:val="007879F2"/>
    <w:rsid w:val="00787D78"/>
    <w:rsid w:val="00791CF8"/>
    <w:rsid w:val="00792262"/>
    <w:rsid w:val="00793387"/>
    <w:rsid w:val="00793BAE"/>
    <w:rsid w:val="00794E0A"/>
    <w:rsid w:val="00796642"/>
    <w:rsid w:val="007A11D9"/>
    <w:rsid w:val="007A327B"/>
    <w:rsid w:val="007A4019"/>
    <w:rsid w:val="007A4606"/>
    <w:rsid w:val="007B1966"/>
    <w:rsid w:val="007B3DCC"/>
    <w:rsid w:val="007B4518"/>
    <w:rsid w:val="007B5031"/>
    <w:rsid w:val="007B517F"/>
    <w:rsid w:val="007B573F"/>
    <w:rsid w:val="007C3976"/>
    <w:rsid w:val="007C605B"/>
    <w:rsid w:val="007D2A5A"/>
    <w:rsid w:val="007D2AD8"/>
    <w:rsid w:val="007D2C47"/>
    <w:rsid w:val="007D3167"/>
    <w:rsid w:val="007D4281"/>
    <w:rsid w:val="007D42F5"/>
    <w:rsid w:val="007D44C3"/>
    <w:rsid w:val="007D5947"/>
    <w:rsid w:val="007D65C1"/>
    <w:rsid w:val="007E030F"/>
    <w:rsid w:val="007E0E59"/>
    <w:rsid w:val="007E0F4B"/>
    <w:rsid w:val="007E7E61"/>
    <w:rsid w:val="007F0845"/>
    <w:rsid w:val="007F16F9"/>
    <w:rsid w:val="007F1DC0"/>
    <w:rsid w:val="007F337B"/>
    <w:rsid w:val="007F37BA"/>
    <w:rsid w:val="007F3E3E"/>
    <w:rsid w:val="007F500D"/>
    <w:rsid w:val="007F5F14"/>
    <w:rsid w:val="007F7B54"/>
    <w:rsid w:val="008005D7"/>
    <w:rsid w:val="00801FDD"/>
    <w:rsid w:val="008020C2"/>
    <w:rsid w:val="0080255C"/>
    <w:rsid w:val="0081187C"/>
    <w:rsid w:val="00811E24"/>
    <w:rsid w:val="00812E2B"/>
    <w:rsid w:val="00813A70"/>
    <w:rsid w:val="00813FE6"/>
    <w:rsid w:val="00815C6E"/>
    <w:rsid w:val="0081645F"/>
    <w:rsid w:val="00816B74"/>
    <w:rsid w:val="008178C2"/>
    <w:rsid w:val="008178CF"/>
    <w:rsid w:val="00817C98"/>
    <w:rsid w:val="00820C9F"/>
    <w:rsid w:val="00821FF6"/>
    <w:rsid w:val="00823A05"/>
    <w:rsid w:val="00823AAF"/>
    <w:rsid w:val="00824081"/>
    <w:rsid w:val="0082409A"/>
    <w:rsid w:val="00827181"/>
    <w:rsid w:val="00827746"/>
    <w:rsid w:val="0083143E"/>
    <w:rsid w:val="0083159D"/>
    <w:rsid w:val="00832187"/>
    <w:rsid w:val="008336D8"/>
    <w:rsid w:val="008339C4"/>
    <w:rsid w:val="00834A2F"/>
    <w:rsid w:val="00834F0A"/>
    <w:rsid w:val="00834FAA"/>
    <w:rsid w:val="00836086"/>
    <w:rsid w:val="008373E9"/>
    <w:rsid w:val="00841D9F"/>
    <w:rsid w:val="00842604"/>
    <w:rsid w:val="00843ECF"/>
    <w:rsid w:val="00846673"/>
    <w:rsid w:val="00846BB6"/>
    <w:rsid w:val="00847380"/>
    <w:rsid w:val="0085281A"/>
    <w:rsid w:val="008559FE"/>
    <w:rsid w:val="00857339"/>
    <w:rsid w:val="008575E1"/>
    <w:rsid w:val="00862A7A"/>
    <w:rsid w:val="00863D9E"/>
    <w:rsid w:val="008642AF"/>
    <w:rsid w:val="00865986"/>
    <w:rsid w:val="00867E29"/>
    <w:rsid w:val="00870F2B"/>
    <w:rsid w:val="00873C15"/>
    <w:rsid w:val="008746E6"/>
    <w:rsid w:val="00876086"/>
    <w:rsid w:val="008768D6"/>
    <w:rsid w:val="008775D1"/>
    <w:rsid w:val="008777BB"/>
    <w:rsid w:val="00877D68"/>
    <w:rsid w:val="00877E5D"/>
    <w:rsid w:val="0088733A"/>
    <w:rsid w:val="008875EB"/>
    <w:rsid w:val="00891906"/>
    <w:rsid w:val="00891BE0"/>
    <w:rsid w:val="00893302"/>
    <w:rsid w:val="008945A1"/>
    <w:rsid w:val="00894A63"/>
    <w:rsid w:val="00895A54"/>
    <w:rsid w:val="00896916"/>
    <w:rsid w:val="00896BDE"/>
    <w:rsid w:val="00896C64"/>
    <w:rsid w:val="008A0436"/>
    <w:rsid w:val="008A0861"/>
    <w:rsid w:val="008A0BB2"/>
    <w:rsid w:val="008A1AB3"/>
    <w:rsid w:val="008A1C82"/>
    <w:rsid w:val="008A1D5C"/>
    <w:rsid w:val="008A3292"/>
    <w:rsid w:val="008A3A85"/>
    <w:rsid w:val="008A43E9"/>
    <w:rsid w:val="008A4CB1"/>
    <w:rsid w:val="008A615E"/>
    <w:rsid w:val="008A632B"/>
    <w:rsid w:val="008A6BFE"/>
    <w:rsid w:val="008B190E"/>
    <w:rsid w:val="008B1A8A"/>
    <w:rsid w:val="008B7306"/>
    <w:rsid w:val="008B775F"/>
    <w:rsid w:val="008B7C02"/>
    <w:rsid w:val="008B7F9E"/>
    <w:rsid w:val="008C0431"/>
    <w:rsid w:val="008C0E88"/>
    <w:rsid w:val="008C1AA8"/>
    <w:rsid w:val="008C22A8"/>
    <w:rsid w:val="008C63FD"/>
    <w:rsid w:val="008C6A4F"/>
    <w:rsid w:val="008C6CB8"/>
    <w:rsid w:val="008C7815"/>
    <w:rsid w:val="008C7A07"/>
    <w:rsid w:val="008D0171"/>
    <w:rsid w:val="008D2A16"/>
    <w:rsid w:val="008D2ECF"/>
    <w:rsid w:val="008D3F3D"/>
    <w:rsid w:val="008E31FF"/>
    <w:rsid w:val="008E3FB2"/>
    <w:rsid w:val="008E5DE6"/>
    <w:rsid w:val="008E6113"/>
    <w:rsid w:val="008E6AB3"/>
    <w:rsid w:val="008E6AD3"/>
    <w:rsid w:val="008E71A6"/>
    <w:rsid w:val="008E77B6"/>
    <w:rsid w:val="008E789F"/>
    <w:rsid w:val="008F032E"/>
    <w:rsid w:val="008F0F14"/>
    <w:rsid w:val="008F4FCE"/>
    <w:rsid w:val="008F5301"/>
    <w:rsid w:val="008F7D28"/>
    <w:rsid w:val="009003A8"/>
    <w:rsid w:val="00902CBE"/>
    <w:rsid w:val="00902D74"/>
    <w:rsid w:val="00902EFF"/>
    <w:rsid w:val="00903E06"/>
    <w:rsid w:val="00904B9D"/>
    <w:rsid w:val="009066E1"/>
    <w:rsid w:val="00907A41"/>
    <w:rsid w:val="009102BD"/>
    <w:rsid w:val="00910F93"/>
    <w:rsid w:val="00914426"/>
    <w:rsid w:val="0091675F"/>
    <w:rsid w:val="00916B87"/>
    <w:rsid w:val="00917709"/>
    <w:rsid w:val="00917918"/>
    <w:rsid w:val="00921F14"/>
    <w:rsid w:val="00923750"/>
    <w:rsid w:val="009243A5"/>
    <w:rsid w:val="009250D2"/>
    <w:rsid w:val="00926283"/>
    <w:rsid w:val="00926959"/>
    <w:rsid w:val="009340A2"/>
    <w:rsid w:val="00937B11"/>
    <w:rsid w:val="00940F1F"/>
    <w:rsid w:val="00941250"/>
    <w:rsid w:val="00942B5F"/>
    <w:rsid w:val="00943AF9"/>
    <w:rsid w:val="0094427A"/>
    <w:rsid w:val="009459C5"/>
    <w:rsid w:val="0094626C"/>
    <w:rsid w:val="0095013A"/>
    <w:rsid w:val="00953AEF"/>
    <w:rsid w:val="00953B56"/>
    <w:rsid w:val="00954026"/>
    <w:rsid w:val="00954E23"/>
    <w:rsid w:val="009551E2"/>
    <w:rsid w:val="00955783"/>
    <w:rsid w:val="00955E5F"/>
    <w:rsid w:val="009560B0"/>
    <w:rsid w:val="00957871"/>
    <w:rsid w:val="00964498"/>
    <w:rsid w:val="009663EB"/>
    <w:rsid w:val="0096650F"/>
    <w:rsid w:val="009700DB"/>
    <w:rsid w:val="00972263"/>
    <w:rsid w:val="009726B9"/>
    <w:rsid w:val="00972D8D"/>
    <w:rsid w:val="00973AAE"/>
    <w:rsid w:val="0097476C"/>
    <w:rsid w:val="00974923"/>
    <w:rsid w:val="00974D48"/>
    <w:rsid w:val="00974D5F"/>
    <w:rsid w:val="00975017"/>
    <w:rsid w:val="009759DF"/>
    <w:rsid w:val="009778B0"/>
    <w:rsid w:val="00980621"/>
    <w:rsid w:val="00982072"/>
    <w:rsid w:val="00983ECF"/>
    <w:rsid w:val="00986745"/>
    <w:rsid w:val="00987109"/>
    <w:rsid w:val="00987309"/>
    <w:rsid w:val="0099012D"/>
    <w:rsid w:val="009954FF"/>
    <w:rsid w:val="00996355"/>
    <w:rsid w:val="009978B4"/>
    <w:rsid w:val="009A2014"/>
    <w:rsid w:val="009A4E12"/>
    <w:rsid w:val="009A5C68"/>
    <w:rsid w:val="009B04D0"/>
    <w:rsid w:val="009B052C"/>
    <w:rsid w:val="009B0EF2"/>
    <w:rsid w:val="009B23A3"/>
    <w:rsid w:val="009B4925"/>
    <w:rsid w:val="009B4B4B"/>
    <w:rsid w:val="009B6CE7"/>
    <w:rsid w:val="009B6FD3"/>
    <w:rsid w:val="009B70BD"/>
    <w:rsid w:val="009C07A5"/>
    <w:rsid w:val="009C7388"/>
    <w:rsid w:val="009D1551"/>
    <w:rsid w:val="009D2859"/>
    <w:rsid w:val="009D4173"/>
    <w:rsid w:val="009D48AD"/>
    <w:rsid w:val="009D6095"/>
    <w:rsid w:val="009D6306"/>
    <w:rsid w:val="009D7047"/>
    <w:rsid w:val="009E048A"/>
    <w:rsid w:val="009E1FBA"/>
    <w:rsid w:val="009E2C54"/>
    <w:rsid w:val="009E3710"/>
    <w:rsid w:val="009E7B1F"/>
    <w:rsid w:val="009F41C4"/>
    <w:rsid w:val="009F5846"/>
    <w:rsid w:val="009F7D77"/>
    <w:rsid w:val="00A07E68"/>
    <w:rsid w:val="00A10D66"/>
    <w:rsid w:val="00A13A17"/>
    <w:rsid w:val="00A1420C"/>
    <w:rsid w:val="00A14821"/>
    <w:rsid w:val="00A17754"/>
    <w:rsid w:val="00A2055B"/>
    <w:rsid w:val="00A2253C"/>
    <w:rsid w:val="00A23545"/>
    <w:rsid w:val="00A23A55"/>
    <w:rsid w:val="00A23E43"/>
    <w:rsid w:val="00A24F8C"/>
    <w:rsid w:val="00A262BF"/>
    <w:rsid w:val="00A271AD"/>
    <w:rsid w:val="00A27581"/>
    <w:rsid w:val="00A276D5"/>
    <w:rsid w:val="00A30336"/>
    <w:rsid w:val="00A30BB5"/>
    <w:rsid w:val="00A3128F"/>
    <w:rsid w:val="00A326D0"/>
    <w:rsid w:val="00A347A4"/>
    <w:rsid w:val="00A35287"/>
    <w:rsid w:val="00A378F8"/>
    <w:rsid w:val="00A40B19"/>
    <w:rsid w:val="00A424F8"/>
    <w:rsid w:val="00A437B7"/>
    <w:rsid w:val="00A46DE0"/>
    <w:rsid w:val="00A4778A"/>
    <w:rsid w:val="00A5067F"/>
    <w:rsid w:val="00A550B7"/>
    <w:rsid w:val="00A55301"/>
    <w:rsid w:val="00A57B3C"/>
    <w:rsid w:val="00A60FD0"/>
    <w:rsid w:val="00A6128E"/>
    <w:rsid w:val="00A62CE1"/>
    <w:rsid w:val="00A631FA"/>
    <w:rsid w:val="00A64203"/>
    <w:rsid w:val="00A64348"/>
    <w:rsid w:val="00A6591D"/>
    <w:rsid w:val="00A66999"/>
    <w:rsid w:val="00A721FB"/>
    <w:rsid w:val="00A727BA"/>
    <w:rsid w:val="00A72D4B"/>
    <w:rsid w:val="00A732AE"/>
    <w:rsid w:val="00A75E40"/>
    <w:rsid w:val="00A77E80"/>
    <w:rsid w:val="00A77EB2"/>
    <w:rsid w:val="00A82B66"/>
    <w:rsid w:val="00A83B58"/>
    <w:rsid w:val="00A851B6"/>
    <w:rsid w:val="00A85729"/>
    <w:rsid w:val="00A8574B"/>
    <w:rsid w:val="00A857C0"/>
    <w:rsid w:val="00A96463"/>
    <w:rsid w:val="00A97E3F"/>
    <w:rsid w:val="00AA09D3"/>
    <w:rsid w:val="00AA23FB"/>
    <w:rsid w:val="00AA42AB"/>
    <w:rsid w:val="00AA559A"/>
    <w:rsid w:val="00AB104D"/>
    <w:rsid w:val="00AB2AF1"/>
    <w:rsid w:val="00AB2FC7"/>
    <w:rsid w:val="00AB440B"/>
    <w:rsid w:val="00AB47E3"/>
    <w:rsid w:val="00AB74C5"/>
    <w:rsid w:val="00AB7DF2"/>
    <w:rsid w:val="00AC1E3F"/>
    <w:rsid w:val="00AC4F18"/>
    <w:rsid w:val="00AC6C4D"/>
    <w:rsid w:val="00AD0B46"/>
    <w:rsid w:val="00AD1094"/>
    <w:rsid w:val="00AD2565"/>
    <w:rsid w:val="00AD306C"/>
    <w:rsid w:val="00AD3424"/>
    <w:rsid w:val="00AD50D1"/>
    <w:rsid w:val="00AD59BB"/>
    <w:rsid w:val="00AD5D68"/>
    <w:rsid w:val="00AD6C73"/>
    <w:rsid w:val="00AE06D0"/>
    <w:rsid w:val="00AE2DA2"/>
    <w:rsid w:val="00AE39DC"/>
    <w:rsid w:val="00AE3CDA"/>
    <w:rsid w:val="00AE3CEF"/>
    <w:rsid w:val="00AE7968"/>
    <w:rsid w:val="00AF128B"/>
    <w:rsid w:val="00AF1AEA"/>
    <w:rsid w:val="00AF2852"/>
    <w:rsid w:val="00AF3225"/>
    <w:rsid w:val="00AF518B"/>
    <w:rsid w:val="00AF5275"/>
    <w:rsid w:val="00AF6367"/>
    <w:rsid w:val="00AF6A79"/>
    <w:rsid w:val="00AF724E"/>
    <w:rsid w:val="00AF73A9"/>
    <w:rsid w:val="00B01C2C"/>
    <w:rsid w:val="00B0231C"/>
    <w:rsid w:val="00B07DA3"/>
    <w:rsid w:val="00B15DCD"/>
    <w:rsid w:val="00B17E71"/>
    <w:rsid w:val="00B17FDE"/>
    <w:rsid w:val="00B208FC"/>
    <w:rsid w:val="00B20C65"/>
    <w:rsid w:val="00B22E17"/>
    <w:rsid w:val="00B26015"/>
    <w:rsid w:val="00B26964"/>
    <w:rsid w:val="00B27293"/>
    <w:rsid w:val="00B2763E"/>
    <w:rsid w:val="00B30B30"/>
    <w:rsid w:val="00B3229E"/>
    <w:rsid w:val="00B32DDB"/>
    <w:rsid w:val="00B35174"/>
    <w:rsid w:val="00B35BEA"/>
    <w:rsid w:val="00B3793D"/>
    <w:rsid w:val="00B41BE6"/>
    <w:rsid w:val="00B457E7"/>
    <w:rsid w:val="00B45D1B"/>
    <w:rsid w:val="00B46D25"/>
    <w:rsid w:val="00B47430"/>
    <w:rsid w:val="00B52D2D"/>
    <w:rsid w:val="00B55301"/>
    <w:rsid w:val="00B55BA8"/>
    <w:rsid w:val="00B55F15"/>
    <w:rsid w:val="00B561A6"/>
    <w:rsid w:val="00B60062"/>
    <w:rsid w:val="00B62960"/>
    <w:rsid w:val="00B63A11"/>
    <w:rsid w:val="00B63FD0"/>
    <w:rsid w:val="00B65C84"/>
    <w:rsid w:val="00B6608F"/>
    <w:rsid w:val="00B71069"/>
    <w:rsid w:val="00B74317"/>
    <w:rsid w:val="00B76D1E"/>
    <w:rsid w:val="00B800EB"/>
    <w:rsid w:val="00B822D2"/>
    <w:rsid w:val="00B848B8"/>
    <w:rsid w:val="00B84A41"/>
    <w:rsid w:val="00B84D57"/>
    <w:rsid w:val="00B85689"/>
    <w:rsid w:val="00B85C07"/>
    <w:rsid w:val="00B86748"/>
    <w:rsid w:val="00B87DF4"/>
    <w:rsid w:val="00B907EA"/>
    <w:rsid w:val="00B91EC9"/>
    <w:rsid w:val="00B924CA"/>
    <w:rsid w:val="00B93384"/>
    <w:rsid w:val="00B94417"/>
    <w:rsid w:val="00B95940"/>
    <w:rsid w:val="00B95EF8"/>
    <w:rsid w:val="00B95F50"/>
    <w:rsid w:val="00B96BD9"/>
    <w:rsid w:val="00BA58FD"/>
    <w:rsid w:val="00BB1CFD"/>
    <w:rsid w:val="00BB2C53"/>
    <w:rsid w:val="00BB32DA"/>
    <w:rsid w:val="00BB3A54"/>
    <w:rsid w:val="00BB4E21"/>
    <w:rsid w:val="00BB7746"/>
    <w:rsid w:val="00BC22EB"/>
    <w:rsid w:val="00BC3475"/>
    <w:rsid w:val="00BC682B"/>
    <w:rsid w:val="00BC6B04"/>
    <w:rsid w:val="00BD186B"/>
    <w:rsid w:val="00BD1EAC"/>
    <w:rsid w:val="00BD3428"/>
    <w:rsid w:val="00BD366B"/>
    <w:rsid w:val="00BD534C"/>
    <w:rsid w:val="00BD56BC"/>
    <w:rsid w:val="00BD5D91"/>
    <w:rsid w:val="00BD6615"/>
    <w:rsid w:val="00BD69DC"/>
    <w:rsid w:val="00BD6D50"/>
    <w:rsid w:val="00BE0D79"/>
    <w:rsid w:val="00BE0DB0"/>
    <w:rsid w:val="00BE2583"/>
    <w:rsid w:val="00BE3381"/>
    <w:rsid w:val="00BE3F09"/>
    <w:rsid w:val="00BE670A"/>
    <w:rsid w:val="00BE6906"/>
    <w:rsid w:val="00BF18F4"/>
    <w:rsid w:val="00BF1A69"/>
    <w:rsid w:val="00BF3BC8"/>
    <w:rsid w:val="00BF3DF1"/>
    <w:rsid w:val="00BF4C31"/>
    <w:rsid w:val="00BF4E57"/>
    <w:rsid w:val="00C00F20"/>
    <w:rsid w:val="00C034E6"/>
    <w:rsid w:val="00C04E1D"/>
    <w:rsid w:val="00C0784A"/>
    <w:rsid w:val="00C10B28"/>
    <w:rsid w:val="00C10FAE"/>
    <w:rsid w:val="00C12A69"/>
    <w:rsid w:val="00C150BE"/>
    <w:rsid w:val="00C15A0C"/>
    <w:rsid w:val="00C15DCB"/>
    <w:rsid w:val="00C1711F"/>
    <w:rsid w:val="00C20744"/>
    <w:rsid w:val="00C20C4D"/>
    <w:rsid w:val="00C21D46"/>
    <w:rsid w:val="00C21F94"/>
    <w:rsid w:val="00C2201D"/>
    <w:rsid w:val="00C222A1"/>
    <w:rsid w:val="00C23CBD"/>
    <w:rsid w:val="00C23D22"/>
    <w:rsid w:val="00C2463B"/>
    <w:rsid w:val="00C24E77"/>
    <w:rsid w:val="00C2732D"/>
    <w:rsid w:val="00C273C6"/>
    <w:rsid w:val="00C27913"/>
    <w:rsid w:val="00C300C6"/>
    <w:rsid w:val="00C3271C"/>
    <w:rsid w:val="00C34FDE"/>
    <w:rsid w:val="00C35C16"/>
    <w:rsid w:val="00C375E9"/>
    <w:rsid w:val="00C40F81"/>
    <w:rsid w:val="00C41463"/>
    <w:rsid w:val="00C41A72"/>
    <w:rsid w:val="00C42192"/>
    <w:rsid w:val="00C431F5"/>
    <w:rsid w:val="00C476C5"/>
    <w:rsid w:val="00C503B0"/>
    <w:rsid w:val="00C511C2"/>
    <w:rsid w:val="00C53D82"/>
    <w:rsid w:val="00C60696"/>
    <w:rsid w:val="00C615F1"/>
    <w:rsid w:val="00C61627"/>
    <w:rsid w:val="00C63B21"/>
    <w:rsid w:val="00C64E60"/>
    <w:rsid w:val="00C657A4"/>
    <w:rsid w:val="00C6736C"/>
    <w:rsid w:val="00C71A1D"/>
    <w:rsid w:val="00C75C7E"/>
    <w:rsid w:val="00C75C9B"/>
    <w:rsid w:val="00C76D8E"/>
    <w:rsid w:val="00C77833"/>
    <w:rsid w:val="00C803C0"/>
    <w:rsid w:val="00C80C9B"/>
    <w:rsid w:val="00C8335E"/>
    <w:rsid w:val="00C83F9C"/>
    <w:rsid w:val="00C84CE3"/>
    <w:rsid w:val="00C85614"/>
    <w:rsid w:val="00C90CF4"/>
    <w:rsid w:val="00C91C19"/>
    <w:rsid w:val="00C929A0"/>
    <w:rsid w:val="00C93389"/>
    <w:rsid w:val="00C937DB"/>
    <w:rsid w:val="00C94519"/>
    <w:rsid w:val="00C94677"/>
    <w:rsid w:val="00C94E83"/>
    <w:rsid w:val="00CA140F"/>
    <w:rsid w:val="00CA25C2"/>
    <w:rsid w:val="00CA37CA"/>
    <w:rsid w:val="00CA6508"/>
    <w:rsid w:val="00CA6BA1"/>
    <w:rsid w:val="00CA6CD5"/>
    <w:rsid w:val="00CB1910"/>
    <w:rsid w:val="00CB2150"/>
    <w:rsid w:val="00CB28EE"/>
    <w:rsid w:val="00CB43A7"/>
    <w:rsid w:val="00CB5996"/>
    <w:rsid w:val="00CB7452"/>
    <w:rsid w:val="00CC0E10"/>
    <w:rsid w:val="00CC2642"/>
    <w:rsid w:val="00CC2E15"/>
    <w:rsid w:val="00CC3908"/>
    <w:rsid w:val="00CC62AD"/>
    <w:rsid w:val="00CC7B80"/>
    <w:rsid w:val="00CD2B3C"/>
    <w:rsid w:val="00CD30F6"/>
    <w:rsid w:val="00CD4B29"/>
    <w:rsid w:val="00CD693D"/>
    <w:rsid w:val="00CD6EF1"/>
    <w:rsid w:val="00CE21C7"/>
    <w:rsid w:val="00CE329C"/>
    <w:rsid w:val="00CE3DE9"/>
    <w:rsid w:val="00CE57D8"/>
    <w:rsid w:val="00CE617A"/>
    <w:rsid w:val="00CF28C2"/>
    <w:rsid w:val="00CF42BD"/>
    <w:rsid w:val="00CF51EC"/>
    <w:rsid w:val="00CF6CD7"/>
    <w:rsid w:val="00D0037A"/>
    <w:rsid w:val="00D00DAF"/>
    <w:rsid w:val="00D017EC"/>
    <w:rsid w:val="00D01CDA"/>
    <w:rsid w:val="00D02DB2"/>
    <w:rsid w:val="00D040DD"/>
    <w:rsid w:val="00D04E1B"/>
    <w:rsid w:val="00D06E5B"/>
    <w:rsid w:val="00D076DB"/>
    <w:rsid w:val="00D1067C"/>
    <w:rsid w:val="00D136D4"/>
    <w:rsid w:val="00D13830"/>
    <w:rsid w:val="00D13ECF"/>
    <w:rsid w:val="00D142E5"/>
    <w:rsid w:val="00D148CD"/>
    <w:rsid w:val="00D152C1"/>
    <w:rsid w:val="00D1611E"/>
    <w:rsid w:val="00D16E69"/>
    <w:rsid w:val="00D205A9"/>
    <w:rsid w:val="00D217EE"/>
    <w:rsid w:val="00D23442"/>
    <w:rsid w:val="00D245BA"/>
    <w:rsid w:val="00D26923"/>
    <w:rsid w:val="00D27856"/>
    <w:rsid w:val="00D301CA"/>
    <w:rsid w:val="00D30740"/>
    <w:rsid w:val="00D31075"/>
    <w:rsid w:val="00D31445"/>
    <w:rsid w:val="00D31932"/>
    <w:rsid w:val="00D336C7"/>
    <w:rsid w:val="00D3526E"/>
    <w:rsid w:val="00D378CC"/>
    <w:rsid w:val="00D4042C"/>
    <w:rsid w:val="00D42312"/>
    <w:rsid w:val="00D43998"/>
    <w:rsid w:val="00D4615E"/>
    <w:rsid w:val="00D478E2"/>
    <w:rsid w:val="00D50D80"/>
    <w:rsid w:val="00D5261D"/>
    <w:rsid w:val="00D5264C"/>
    <w:rsid w:val="00D547BA"/>
    <w:rsid w:val="00D55626"/>
    <w:rsid w:val="00D556BC"/>
    <w:rsid w:val="00D5626D"/>
    <w:rsid w:val="00D60277"/>
    <w:rsid w:val="00D6034A"/>
    <w:rsid w:val="00D61F88"/>
    <w:rsid w:val="00D62901"/>
    <w:rsid w:val="00D639A5"/>
    <w:rsid w:val="00D6470C"/>
    <w:rsid w:val="00D64853"/>
    <w:rsid w:val="00D64CB5"/>
    <w:rsid w:val="00D66D48"/>
    <w:rsid w:val="00D73256"/>
    <w:rsid w:val="00D73A30"/>
    <w:rsid w:val="00D74C65"/>
    <w:rsid w:val="00D75DC2"/>
    <w:rsid w:val="00D766EF"/>
    <w:rsid w:val="00D76C03"/>
    <w:rsid w:val="00D82462"/>
    <w:rsid w:val="00D83627"/>
    <w:rsid w:val="00D868CE"/>
    <w:rsid w:val="00D86DAE"/>
    <w:rsid w:val="00D87030"/>
    <w:rsid w:val="00D907C3"/>
    <w:rsid w:val="00D90C1E"/>
    <w:rsid w:val="00D91BDF"/>
    <w:rsid w:val="00D93F09"/>
    <w:rsid w:val="00D954C2"/>
    <w:rsid w:val="00D97BB8"/>
    <w:rsid w:val="00DA1318"/>
    <w:rsid w:val="00DA1382"/>
    <w:rsid w:val="00DA4AF6"/>
    <w:rsid w:val="00DB016E"/>
    <w:rsid w:val="00DB06E9"/>
    <w:rsid w:val="00DB378E"/>
    <w:rsid w:val="00DB3E9D"/>
    <w:rsid w:val="00DB47B9"/>
    <w:rsid w:val="00DB4FB8"/>
    <w:rsid w:val="00DB53CE"/>
    <w:rsid w:val="00DB549D"/>
    <w:rsid w:val="00DB64DD"/>
    <w:rsid w:val="00DC257F"/>
    <w:rsid w:val="00DC3790"/>
    <w:rsid w:val="00DC408A"/>
    <w:rsid w:val="00DC5B3B"/>
    <w:rsid w:val="00DC6796"/>
    <w:rsid w:val="00DC78DF"/>
    <w:rsid w:val="00DD0821"/>
    <w:rsid w:val="00DD0E32"/>
    <w:rsid w:val="00DD36D8"/>
    <w:rsid w:val="00DD373E"/>
    <w:rsid w:val="00DD57AD"/>
    <w:rsid w:val="00DD76A8"/>
    <w:rsid w:val="00DE009B"/>
    <w:rsid w:val="00DE1447"/>
    <w:rsid w:val="00DE2ED9"/>
    <w:rsid w:val="00DE319A"/>
    <w:rsid w:val="00DE4E12"/>
    <w:rsid w:val="00DF0DC3"/>
    <w:rsid w:val="00DF21FD"/>
    <w:rsid w:val="00DF2873"/>
    <w:rsid w:val="00DF5578"/>
    <w:rsid w:val="00DF78DD"/>
    <w:rsid w:val="00DF7FEC"/>
    <w:rsid w:val="00E00393"/>
    <w:rsid w:val="00E01C0E"/>
    <w:rsid w:val="00E02CF7"/>
    <w:rsid w:val="00E03B27"/>
    <w:rsid w:val="00E04694"/>
    <w:rsid w:val="00E05B2B"/>
    <w:rsid w:val="00E06A2A"/>
    <w:rsid w:val="00E07937"/>
    <w:rsid w:val="00E07F05"/>
    <w:rsid w:val="00E111C2"/>
    <w:rsid w:val="00E127E1"/>
    <w:rsid w:val="00E144D2"/>
    <w:rsid w:val="00E15346"/>
    <w:rsid w:val="00E15B7D"/>
    <w:rsid w:val="00E215EA"/>
    <w:rsid w:val="00E234BA"/>
    <w:rsid w:val="00E24619"/>
    <w:rsid w:val="00E25223"/>
    <w:rsid w:val="00E30BEA"/>
    <w:rsid w:val="00E31764"/>
    <w:rsid w:val="00E34985"/>
    <w:rsid w:val="00E34E4A"/>
    <w:rsid w:val="00E365B3"/>
    <w:rsid w:val="00E366BB"/>
    <w:rsid w:val="00E36F05"/>
    <w:rsid w:val="00E37C45"/>
    <w:rsid w:val="00E40AAA"/>
    <w:rsid w:val="00E438CF"/>
    <w:rsid w:val="00E43C41"/>
    <w:rsid w:val="00E450CE"/>
    <w:rsid w:val="00E45A00"/>
    <w:rsid w:val="00E45CE7"/>
    <w:rsid w:val="00E4631F"/>
    <w:rsid w:val="00E500C3"/>
    <w:rsid w:val="00E522BB"/>
    <w:rsid w:val="00E539E4"/>
    <w:rsid w:val="00E569C7"/>
    <w:rsid w:val="00E571F2"/>
    <w:rsid w:val="00E57429"/>
    <w:rsid w:val="00E67B4E"/>
    <w:rsid w:val="00E70510"/>
    <w:rsid w:val="00E71262"/>
    <w:rsid w:val="00E71A58"/>
    <w:rsid w:val="00E7724B"/>
    <w:rsid w:val="00E81DC2"/>
    <w:rsid w:val="00E84F21"/>
    <w:rsid w:val="00E90C03"/>
    <w:rsid w:val="00E90F73"/>
    <w:rsid w:val="00E921C7"/>
    <w:rsid w:val="00E92995"/>
    <w:rsid w:val="00E94612"/>
    <w:rsid w:val="00E95797"/>
    <w:rsid w:val="00E9682F"/>
    <w:rsid w:val="00E96A8D"/>
    <w:rsid w:val="00E972BA"/>
    <w:rsid w:val="00E97FA2"/>
    <w:rsid w:val="00EA06CB"/>
    <w:rsid w:val="00EA0C68"/>
    <w:rsid w:val="00EA3EBE"/>
    <w:rsid w:val="00EA3FAC"/>
    <w:rsid w:val="00EA4153"/>
    <w:rsid w:val="00EA5CD6"/>
    <w:rsid w:val="00EA6689"/>
    <w:rsid w:val="00EB20A0"/>
    <w:rsid w:val="00EB30B6"/>
    <w:rsid w:val="00EB4D7C"/>
    <w:rsid w:val="00EB4FA4"/>
    <w:rsid w:val="00EB5146"/>
    <w:rsid w:val="00EB55E9"/>
    <w:rsid w:val="00EB5641"/>
    <w:rsid w:val="00EB5CA9"/>
    <w:rsid w:val="00EB5ED4"/>
    <w:rsid w:val="00EB6537"/>
    <w:rsid w:val="00EB70E1"/>
    <w:rsid w:val="00EB763A"/>
    <w:rsid w:val="00EB7EB5"/>
    <w:rsid w:val="00EC454B"/>
    <w:rsid w:val="00EC6153"/>
    <w:rsid w:val="00EC7F92"/>
    <w:rsid w:val="00ED00A8"/>
    <w:rsid w:val="00ED0A79"/>
    <w:rsid w:val="00ED2961"/>
    <w:rsid w:val="00ED2989"/>
    <w:rsid w:val="00ED2CA5"/>
    <w:rsid w:val="00ED336F"/>
    <w:rsid w:val="00ED54D6"/>
    <w:rsid w:val="00ED5726"/>
    <w:rsid w:val="00EE0298"/>
    <w:rsid w:val="00EE0384"/>
    <w:rsid w:val="00EE10AA"/>
    <w:rsid w:val="00EE1637"/>
    <w:rsid w:val="00EE3B7A"/>
    <w:rsid w:val="00EE3E78"/>
    <w:rsid w:val="00EE5E02"/>
    <w:rsid w:val="00EE617D"/>
    <w:rsid w:val="00EE61BF"/>
    <w:rsid w:val="00EE6748"/>
    <w:rsid w:val="00EE6C6B"/>
    <w:rsid w:val="00EF0E75"/>
    <w:rsid w:val="00EF1F5A"/>
    <w:rsid w:val="00EF4199"/>
    <w:rsid w:val="00EF4685"/>
    <w:rsid w:val="00EF5397"/>
    <w:rsid w:val="00EF6BE3"/>
    <w:rsid w:val="00F00D0E"/>
    <w:rsid w:val="00F00D3C"/>
    <w:rsid w:val="00F04811"/>
    <w:rsid w:val="00F0488C"/>
    <w:rsid w:val="00F0496E"/>
    <w:rsid w:val="00F04D10"/>
    <w:rsid w:val="00F0625B"/>
    <w:rsid w:val="00F101FF"/>
    <w:rsid w:val="00F10A33"/>
    <w:rsid w:val="00F14CF4"/>
    <w:rsid w:val="00F15BEF"/>
    <w:rsid w:val="00F172BE"/>
    <w:rsid w:val="00F1776C"/>
    <w:rsid w:val="00F2037E"/>
    <w:rsid w:val="00F20D17"/>
    <w:rsid w:val="00F2103E"/>
    <w:rsid w:val="00F214FC"/>
    <w:rsid w:val="00F21C31"/>
    <w:rsid w:val="00F22FCD"/>
    <w:rsid w:val="00F23825"/>
    <w:rsid w:val="00F23FFF"/>
    <w:rsid w:val="00F2441D"/>
    <w:rsid w:val="00F24FAA"/>
    <w:rsid w:val="00F26197"/>
    <w:rsid w:val="00F318FC"/>
    <w:rsid w:val="00F31F76"/>
    <w:rsid w:val="00F3364D"/>
    <w:rsid w:val="00F34858"/>
    <w:rsid w:val="00F35899"/>
    <w:rsid w:val="00F35ACD"/>
    <w:rsid w:val="00F365BF"/>
    <w:rsid w:val="00F36BF8"/>
    <w:rsid w:val="00F37760"/>
    <w:rsid w:val="00F403D1"/>
    <w:rsid w:val="00F43921"/>
    <w:rsid w:val="00F4591F"/>
    <w:rsid w:val="00F4736B"/>
    <w:rsid w:val="00F47D05"/>
    <w:rsid w:val="00F50030"/>
    <w:rsid w:val="00F51FC9"/>
    <w:rsid w:val="00F54B31"/>
    <w:rsid w:val="00F54FD3"/>
    <w:rsid w:val="00F55605"/>
    <w:rsid w:val="00F62F02"/>
    <w:rsid w:val="00F63DDE"/>
    <w:rsid w:val="00F63FB7"/>
    <w:rsid w:val="00F64726"/>
    <w:rsid w:val="00F6561A"/>
    <w:rsid w:val="00F727D5"/>
    <w:rsid w:val="00F72F44"/>
    <w:rsid w:val="00F73A0C"/>
    <w:rsid w:val="00F759DC"/>
    <w:rsid w:val="00F76E62"/>
    <w:rsid w:val="00F771A5"/>
    <w:rsid w:val="00F817A4"/>
    <w:rsid w:val="00F81C3A"/>
    <w:rsid w:val="00F8309A"/>
    <w:rsid w:val="00F835FC"/>
    <w:rsid w:val="00F83E21"/>
    <w:rsid w:val="00F84E18"/>
    <w:rsid w:val="00F852E5"/>
    <w:rsid w:val="00F95117"/>
    <w:rsid w:val="00FA05D7"/>
    <w:rsid w:val="00FA1C6C"/>
    <w:rsid w:val="00FA2C2A"/>
    <w:rsid w:val="00FA309A"/>
    <w:rsid w:val="00FA7644"/>
    <w:rsid w:val="00FB0A9A"/>
    <w:rsid w:val="00FB483B"/>
    <w:rsid w:val="00FB5551"/>
    <w:rsid w:val="00FB56F1"/>
    <w:rsid w:val="00FB5FD4"/>
    <w:rsid w:val="00FB67F3"/>
    <w:rsid w:val="00FB7E06"/>
    <w:rsid w:val="00FC0D8A"/>
    <w:rsid w:val="00FC0E5F"/>
    <w:rsid w:val="00FC135D"/>
    <w:rsid w:val="00FC3C84"/>
    <w:rsid w:val="00FC4660"/>
    <w:rsid w:val="00FC56DE"/>
    <w:rsid w:val="00FC5BBF"/>
    <w:rsid w:val="00FD1261"/>
    <w:rsid w:val="00FD1627"/>
    <w:rsid w:val="00FD473D"/>
    <w:rsid w:val="00FD61C8"/>
    <w:rsid w:val="00FD63CE"/>
    <w:rsid w:val="00FD7D49"/>
    <w:rsid w:val="00FE1251"/>
    <w:rsid w:val="00FE27AE"/>
    <w:rsid w:val="00FE2F78"/>
    <w:rsid w:val="00FE3510"/>
    <w:rsid w:val="00FE375F"/>
    <w:rsid w:val="00FE4FCB"/>
    <w:rsid w:val="00FF28E0"/>
    <w:rsid w:val="00FF2FB4"/>
    <w:rsid w:val="00FF30B3"/>
    <w:rsid w:val="00FF3DF3"/>
    <w:rsid w:val="00FF4027"/>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7169547">
      <w:bodyDiv w:val="1"/>
      <w:marLeft w:val="0"/>
      <w:marRight w:val="0"/>
      <w:marTop w:val="0"/>
      <w:marBottom w:val="0"/>
      <w:divBdr>
        <w:top w:val="none" w:sz="0" w:space="0" w:color="auto"/>
        <w:left w:val="none" w:sz="0" w:space="0" w:color="auto"/>
        <w:bottom w:val="none" w:sz="0" w:space="0" w:color="auto"/>
        <w:right w:val="none" w:sz="0" w:space="0" w:color="auto"/>
      </w:divBdr>
    </w:div>
    <w:div w:id="94638251">
      <w:bodyDiv w:val="1"/>
      <w:marLeft w:val="0"/>
      <w:marRight w:val="0"/>
      <w:marTop w:val="0"/>
      <w:marBottom w:val="0"/>
      <w:divBdr>
        <w:top w:val="none" w:sz="0" w:space="0" w:color="auto"/>
        <w:left w:val="none" w:sz="0" w:space="0" w:color="auto"/>
        <w:bottom w:val="none" w:sz="0" w:space="0" w:color="auto"/>
        <w:right w:val="none" w:sz="0" w:space="0" w:color="auto"/>
      </w:divBdr>
    </w:div>
    <w:div w:id="238252420">
      <w:bodyDiv w:val="1"/>
      <w:marLeft w:val="0"/>
      <w:marRight w:val="0"/>
      <w:marTop w:val="0"/>
      <w:marBottom w:val="0"/>
      <w:divBdr>
        <w:top w:val="none" w:sz="0" w:space="0" w:color="auto"/>
        <w:left w:val="none" w:sz="0" w:space="0" w:color="auto"/>
        <w:bottom w:val="none" w:sz="0" w:space="0" w:color="auto"/>
        <w:right w:val="none" w:sz="0" w:space="0" w:color="auto"/>
      </w:divBdr>
    </w:div>
    <w:div w:id="240262598">
      <w:bodyDiv w:val="1"/>
      <w:marLeft w:val="0"/>
      <w:marRight w:val="0"/>
      <w:marTop w:val="0"/>
      <w:marBottom w:val="0"/>
      <w:divBdr>
        <w:top w:val="none" w:sz="0" w:space="0" w:color="auto"/>
        <w:left w:val="none" w:sz="0" w:space="0" w:color="auto"/>
        <w:bottom w:val="none" w:sz="0" w:space="0" w:color="auto"/>
        <w:right w:val="none" w:sz="0" w:space="0" w:color="auto"/>
      </w:divBdr>
    </w:div>
    <w:div w:id="276839719">
      <w:bodyDiv w:val="1"/>
      <w:marLeft w:val="0"/>
      <w:marRight w:val="0"/>
      <w:marTop w:val="0"/>
      <w:marBottom w:val="0"/>
      <w:divBdr>
        <w:top w:val="none" w:sz="0" w:space="0" w:color="auto"/>
        <w:left w:val="none" w:sz="0" w:space="0" w:color="auto"/>
        <w:bottom w:val="none" w:sz="0" w:space="0" w:color="auto"/>
        <w:right w:val="none" w:sz="0" w:space="0" w:color="auto"/>
      </w:divBdr>
    </w:div>
    <w:div w:id="280721696">
      <w:bodyDiv w:val="1"/>
      <w:marLeft w:val="0"/>
      <w:marRight w:val="0"/>
      <w:marTop w:val="0"/>
      <w:marBottom w:val="0"/>
      <w:divBdr>
        <w:top w:val="none" w:sz="0" w:space="0" w:color="auto"/>
        <w:left w:val="none" w:sz="0" w:space="0" w:color="auto"/>
        <w:bottom w:val="none" w:sz="0" w:space="0" w:color="auto"/>
        <w:right w:val="none" w:sz="0" w:space="0" w:color="auto"/>
      </w:divBdr>
    </w:div>
    <w:div w:id="416294190">
      <w:bodyDiv w:val="1"/>
      <w:marLeft w:val="0"/>
      <w:marRight w:val="0"/>
      <w:marTop w:val="0"/>
      <w:marBottom w:val="0"/>
      <w:divBdr>
        <w:top w:val="none" w:sz="0" w:space="0" w:color="auto"/>
        <w:left w:val="none" w:sz="0" w:space="0" w:color="auto"/>
        <w:bottom w:val="none" w:sz="0" w:space="0" w:color="auto"/>
        <w:right w:val="none" w:sz="0" w:space="0" w:color="auto"/>
      </w:divBdr>
    </w:div>
    <w:div w:id="430976118">
      <w:bodyDiv w:val="1"/>
      <w:marLeft w:val="0"/>
      <w:marRight w:val="0"/>
      <w:marTop w:val="0"/>
      <w:marBottom w:val="0"/>
      <w:divBdr>
        <w:top w:val="none" w:sz="0" w:space="0" w:color="auto"/>
        <w:left w:val="none" w:sz="0" w:space="0" w:color="auto"/>
        <w:bottom w:val="none" w:sz="0" w:space="0" w:color="auto"/>
        <w:right w:val="none" w:sz="0" w:space="0" w:color="auto"/>
      </w:divBdr>
    </w:div>
    <w:div w:id="446777837">
      <w:bodyDiv w:val="1"/>
      <w:marLeft w:val="0"/>
      <w:marRight w:val="0"/>
      <w:marTop w:val="0"/>
      <w:marBottom w:val="0"/>
      <w:divBdr>
        <w:top w:val="none" w:sz="0" w:space="0" w:color="auto"/>
        <w:left w:val="none" w:sz="0" w:space="0" w:color="auto"/>
        <w:bottom w:val="none" w:sz="0" w:space="0" w:color="auto"/>
        <w:right w:val="none" w:sz="0" w:space="0" w:color="auto"/>
      </w:divBdr>
    </w:div>
    <w:div w:id="501699546">
      <w:bodyDiv w:val="1"/>
      <w:marLeft w:val="0"/>
      <w:marRight w:val="0"/>
      <w:marTop w:val="0"/>
      <w:marBottom w:val="0"/>
      <w:divBdr>
        <w:top w:val="none" w:sz="0" w:space="0" w:color="auto"/>
        <w:left w:val="none" w:sz="0" w:space="0" w:color="auto"/>
        <w:bottom w:val="none" w:sz="0" w:space="0" w:color="auto"/>
        <w:right w:val="none" w:sz="0" w:space="0" w:color="auto"/>
      </w:divBdr>
    </w:div>
    <w:div w:id="526065032">
      <w:bodyDiv w:val="1"/>
      <w:marLeft w:val="0"/>
      <w:marRight w:val="0"/>
      <w:marTop w:val="0"/>
      <w:marBottom w:val="0"/>
      <w:divBdr>
        <w:top w:val="none" w:sz="0" w:space="0" w:color="auto"/>
        <w:left w:val="none" w:sz="0" w:space="0" w:color="auto"/>
        <w:bottom w:val="none" w:sz="0" w:space="0" w:color="auto"/>
        <w:right w:val="none" w:sz="0" w:space="0" w:color="auto"/>
      </w:divBdr>
    </w:div>
    <w:div w:id="633877307">
      <w:bodyDiv w:val="1"/>
      <w:marLeft w:val="0"/>
      <w:marRight w:val="0"/>
      <w:marTop w:val="0"/>
      <w:marBottom w:val="0"/>
      <w:divBdr>
        <w:top w:val="none" w:sz="0" w:space="0" w:color="auto"/>
        <w:left w:val="none" w:sz="0" w:space="0" w:color="auto"/>
        <w:bottom w:val="none" w:sz="0" w:space="0" w:color="auto"/>
        <w:right w:val="none" w:sz="0" w:space="0" w:color="auto"/>
      </w:divBdr>
    </w:div>
    <w:div w:id="655425969">
      <w:bodyDiv w:val="1"/>
      <w:marLeft w:val="0"/>
      <w:marRight w:val="0"/>
      <w:marTop w:val="0"/>
      <w:marBottom w:val="0"/>
      <w:divBdr>
        <w:top w:val="none" w:sz="0" w:space="0" w:color="auto"/>
        <w:left w:val="none" w:sz="0" w:space="0" w:color="auto"/>
        <w:bottom w:val="none" w:sz="0" w:space="0" w:color="auto"/>
        <w:right w:val="none" w:sz="0" w:space="0" w:color="auto"/>
      </w:divBdr>
    </w:div>
    <w:div w:id="755201583">
      <w:bodyDiv w:val="1"/>
      <w:marLeft w:val="0"/>
      <w:marRight w:val="0"/>
      <w:marTop w:val="0"/>
      <w:marBottom w:val="0"/>
      <w:divBdr>
        <w:top w:val="none" w:sz="0" w:space="0" w:color="auto"/>
        <w:left w:val="none" w:sz="0" w:space="0" w:color="auto"/>
        <w:bottom w:val="none" w:sz="0" w:space="0" w:color="auto"/>
        <w:right w:val="none" w:sz="0" w:space="0" w:color="auto"/>
      </w:divBdr>
    </w:div>
    <w:div w:id="759831249">
      <w:bodyDiv w:val="1"/>
      <w:marLeft w:val="0"/>
      <w:marRight w:val="0"/>
      <w:marTop w:val="0"/>
      <w:marBottom w:val="0"/>
      <w:divBdr>
        <w:top w:val="none" w:sz="0" w:space="0" w:color="auto"/>
        <w:left w:val="none" w:sz="0" w:space="0" w:color="auto"/>
        <w:bottom w:val="none" w:sz="0" w:space="0" w:color="auto"/>
        <w:right w:val="none" w:sz="0" w:space="0" w:color="auto"/>
      </w:divBdr>
    </w:div>
    <w:div w:id="765347354">
      <w:bodyDiv w:val="1"/>
      <w:marLeft w:val="0"/>
      <w:marRight w:val="0"/>
      <w:marTop w:val="0"/>
      <w:marBottom w:val="0"/>
      <w:divBdr>
        <w:top w:val="none" w:sz="0" w:space="0" w:color="auto"/>
        <w:left w:val="none" w:sz="0" w:space="0" w:color="auto"/>
        <w:bottom w:val="none" w:sz="0" w:space="0" w:color="auto"/>
        <w:right w:val="none" w:sz="0" w:space="0" w:color="auto"/>
      </w:divBdr>
    </w:div>
    <w:div w:id="803425400">
      <w:bodyDiv w:val="1"/>
      <w:marLeft w:val="0"/>
      <w:marRight w:val="0"/>
      <w:marTop w:val="0"/>
      <w:marBottom w:val="0"/>
      <w:divBdr>
        <w:top w:val="none" w:sz="0" w:space="0" w:color="auto"/>
        <w:left w:val="none" w:sz="0" w:space="0" w:color="auto"/>
        <w:bottom w:val="none" w:sz="0" w:space="0" w:color="auto"/>
        <w:right w:val="none" w:sz="0" w:space="0" w:color="auto"/>
      </w:divBdr>
    </w:div>
    <w:div w:id="816725141">
      <w:bodyDiv w:val="1"/>
      <w:marLeft w:val="0"/>
      <w:marRight w:val="0"/>
      <w:marTop w:val="0"/>
      <w:marBottom w:val="0"/>
      <w:divBdr>
        <w:top w:val="none" w:sz="0" w:space="0" w:color="auto"/>
        <w:left w:val="none" w:sz="0" w:space="0" w:color="auto"/>
        <w:bottom w:val="none" w:sz="0" w:space="0" w:color="auto"/>
        <w:right w:val="none" w:sz="0" w:space="0" w:color="auto"/>
      </w:divBdr>
    </w:div>
    <w:div w:id="817041319">
      <w:bodyDiv w:val="1"/>
      <w:marLeft w:val="0"/>
      <w:marRight w:val="0"/>
      <w:marTop w:val="0"/>
      <w:marBottom w:val="0"/>
      <w:divBdr>
        <w:top w:val="none" w:sz="0" w:space="0" w:color="auto"/>
        <w:left w:val="none" w:sz="0" w:space="0" w:color="auto"/>
        <w:bottom w:val="none" w:sz="0" w:space="0" w:color="auto"/>
        <w:right w:val="none" w:sz="0" w:space="0" w:color="auto"/>
      </w:divBdr>
    </w:div>
    <w:div w:id="883492507">
      <w:bodyDiv w:val="1"/>
      <w:marLeft w:val="0"/>
      <w:marRight w:val="0"/>
      <w:marTop w:val="0"/>
      <w:marBottom w:val="0"/>
      <w:divBdr>
        <w:top w:val="none" w:sz="0" w:space="0" w:color="auto"/>
        <w:left w:val="none" w:sz="0" w:space="0" w:color="auto"/>
        <w:bottom w:val="none" w:sz="0" w:space="0" w:color="auto"/>
        <w:right w:val="none" w:sz="0" w:space="0" w:color="auto"/>
      </w:divBdr>
    </w:div>
    <w:div w:id="890190768">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00095529">
      <w:bodyDiv w:val="1"/>
      <w:marLeft w:val="0"/>
      <w:marRight w:val="0"/>
      <w:marTop w:val="0"/>
      <w:marBottom w:val="0"/>
      <w:divBdr>
        <w:top w:val="none" w:sz="0" w:space="0" w:color="auto"/>
        <w:left w:val="none" w:sz="0" w:space="0" w:color="auto"/>
        <w:bottom w:val="none" w:sz="0" w:space="0" w:color="auto"/>
        <w:right w:val="none" w:sz="0" w:space="0" w:color="auto"/>
      </w:divBdr>
    </w:div>
    <w:div w:id="926504429">
      <w:bodyDiv w:val="1"/>
      <w:marLeft w:val="0"/>
      <w:marRight w:val="0"/>
      <w:marTop w:val="0"/>
      <w:marBottom w:val="0"/>
      <w:divBdr>
        <w:top w:val="none" w:sz="0" w:space="0" w:color="auto"/>
        <w:left w:val="none" w:sz="0" w:space="0" w:color="auto"/>
        <w:bottom w:val="none" w:sz="0" w:space="0" w:color="auto"/>
        <w:right w:val="none" w:sz="0" w:space="0" w:color="auto"/>
      </w:divBdr>
    </w:div>
    <w:div w:id="934442324">
      <w:bodyDiv w:val="1"/>
      <w:marLeft w:val="0"/>
      <w:marRight w:val="0"/>
      <w:marTop w:val="0"/>
      <w:marBottom w:val="0"/>
      <w:divBdr>
        <w:top w:val="none" w:sz="0" w:space="0" w:color="auto"/>
        <w:left w:val="none" w:sz="0" w:space="0" w:color="auto"/>
        <w:bottom w:val="none" w:sz="0" w:space="0" w:color="auto"/>
        <w:right w:val="none" w:sz="0" w:space="0" w:color="auto"/>
      </w:divBdr>
    </w:div>
    <w:div w:id="941379557">
      <w:bodyDiv w:val="1"/>
      <w:marLeft w:val="0"/>
      <w:marRight w:val="0"/>
      <w:marTop w:val="0"/>
      <w:marBottom w:val="0"/>
      <w:divBdr>
        <w:top w:val="none" w:sz="0" w:space="0" w:color="auto"/>
        <w:left w:val="none" w:sz="0" w:space="0" w:color="auto"/>
        <w:bottom w:val="none" w:sz="0" w:space="0" w:color="auto"/>
        <w:right w:val="none" w:sz="0" w:space="0" w:color="auto"/>
      </w:divBdr>
    </w:div>
    <w:div w:id="996543097">
      <w:bodyDiv w:val="1"/>
      <w:marLeft w:val="0"/>
      <w:marRight w:val="0"/>
      <w:marTop w:val="0"/>
      <w:marBottom w:val="0"/>
      <w:divBdr>
        <w:top w:val="none" w:sz="0" w:space="0" w:color="auto"/>
        <w:left w:val="none" w:sz="0" w:space="0" w:color="auto"/>
        <w:bottom w:val="none" w:sz="0" w:space="0" w:color="auto"/>
        <w:right w:val="none" w:sz="0" w:space="0" w:color="auto"/>
      </w:divBdr>
    </w:div>
    <w:div w:id="1051003694">
      <w:bodyDiv w:val="1"/>
      <w:marLeft w:val="0"/>
      <w:marRight w:val="0"/>
      <w:marTop w:val="0"/>
      <w:marBottom w:val="0"/>
      <w:divBdr>
        <w:top w:val="none" w:sz="0" w:space="0" w:color="auto"/>
        <w:left w:val="none" w:sz="0" w:space="0" w:color="auto"/>
        <w:bottom w:val="none" w:sz="0" w:space="0" w:color="auto"/>
        <w:right w:val="none" w:sz="0" w:space="0" w:color="auto"/>
      </w:divBdr>
    </w:div>
    <w:div w:id="1090586133">
      <w:bodyDiv w:val="1"/>
      <w:marLeft w:val="0"/>
      <w:marRight w:val="0"/>
      <w:marTop w:val="0"/>
      <w:marBottom w:val="0"/>
      <w:divBdr>
        <w:top w:val="none" w:sz="0" w:space="0" w:color="auto"/>
        <w:left w:val="none" w:sz="0" w:space="0" w:color="auto"/>
        <w:bottom w:val="none" w:sz="0" w:space="0" w:color="auto"/>
        <w:right w:val="none" w:sz="0" w:space="0" w:color="auto"/>
      </w:divBdr>
    </w:div>
    <w:div w:id="1102263713">
      <w:bodyDiv w:val="1"/>
      <w:marLeft w:val="0"/>
      <w:marRight w:val="0"/>
      <w:marTop w:val="0"/>
      <w:marBottom w:val="0"/>
      <w:divBdr>
        <w:top w:val="none" w:sz="0" w:space="0" w:color="auto"/>
        <w:left w:val="none" w:sz="0" w:space="0" w:color="auto"/>
        <w:bottom w:val="none" w:sz="0" w:space="0" w:color="auto"/>
        <w:right w:val="none" w:sz="0" w:space="0" w:color="auto"/>
      </w:divBdr>
    </w:div>
    <w:div w:id="1110204967">
      <w:bodyDiv w:val="1"/>
      <w:marLeft w:val="0"/>
      <w:marRight w:val="0"/>
      <w:marTop w:val="0"/>
      <w:marBottom w:val="0"/>
      <w:divBdr>
        <w:top w:val="none" w:sz="0" w:space="0" w:color="auto"/>
        <w:left w:val="none" w:sz="0" w:space="0" w:color="auto"/>
        <w:bottom w:val="none" w:sz="0" w:space="0" w:color="auto"/>
        <w:right w:val="none" w:sz="0" w:space="0" w:color="auto"/>
      </w:divBdr>
    </w:div>
    <w:div w:id="1132141109">
      <w:bodyDiv w:val="1"/>
      <w:marLeft w:val="0"/>
      <w:marRight w:val="0"/>
      <w:marTop w:val="0"/>
      <w:marBottom w:val="0"/>
      <w:divBdr>
        <w:top w:val="none" w:sz="0" w:space="0" w:color="auto"/>
        <w:left w:val="none" w:sz="0" w:space="0" w:color="auto"/>
        <w:bottom w:val="none" w:sz="0" w:space="0" w:color="auto"/>
        <w:right w:val="none" w:sz="0" w:space="0" w:color="auto"/>
      </w:divBdr>
    </w:div>
    <w:div w:id="1143425707">
      <w:bodyDiv w:val="1"/>
      <w:marLeft w:val="0"/>
      <w:marRight w:val="0"/>
      <w:marTop w:val="0"/>
      <w:marBottom w:val="0"/>
      <w:divBdr>
        <w:top w:val="none" w:sz="0" w:space="0" w:color="auto"/>
        <w:left w:val="none" w:sz="0" w:space="0" w:color="auto"/>
        <w:bottom w:val="none" w:sz="0" w:space="0" w:color="auto"/>
        <w:right w:val="none" w:sz="0" w:space="0" w:color="auto"/>
      </w:divBdr>
    </w:div>
    <w:div w:id="1220703716">
      <w:bodyDiv w:val="1"/>
      <w:marLeft w:val="0"/>
      <w:marRight w:val="0"/>
      <w:marTop w:val="0"/>
      <w:marBottom w:val="0"/>
      <w:divBdr>
        <w:top w:val="none" w:sz="0" w:space="0" w:color="auto"/>
        <w:left w:val="none" w:sz="0" w:space="0" w:color="auto"/>
        <w:bottom w:val="none" w:sz="0" w:space="0" w:color="auto"/>
        <w:right w:val="none" w:sz="0" w:space="0" w:color="auto"/>
      </w:divBdr>
    </w:div>
    <w:div w:id="1271741142">
      <w:bodyDiv w:val="1"/>
      <w:marLeft w:val="0"/>
      <w:marRight w:val="0"/>
      <w:marTop w:val="0"/>
      <w:marBottom w:val="0"/>
      <w:divBdr>
        <w:top w:val="none" w:sz="0" w:space="0" w:color="auto"/>
        <w:left w:val="none" w:sz="0" w:space="0" w:color="auto"/>
        <w:bottom w:val="none" w:sz="0" w:space="0" w:color="auto"/>
        <w:right w:val="none" w:sz="0" w:space="0" w:color="auto"/>
      </w:divBdr>
    </w:div>
    <w:div w:id="1284654697">
      <w:bodyDiv w:val="1"/>
      <w:marLeft w:val="0"/>
      <w:marRight w:val="0"/>
      <w:marTop w:val="0"/>
      <w:marBottom w:val="0"/>
      <w:divBdr>
        <w:top w:val="none" w:sz="0" w:space="0" w:color="auto"/>
        <w:left w:val="none" w:sz="0" w:space="0" w:color="auto"/>
        <w:bottom w:val="none" w:sz="0" w:space="0" w:color="auto"/>
        <w:right w:val="none" w:sz="0" w:space="0" w:color="auto"/>
      </w:divBdr>
    </w:div>
    <w:div w:id="1320186090">
      <w:bodyDiv w:val="1"/>
      <w:marLeft w:val="0"/>
      <w:marRight w:val="0"/>
      <w:marTop w:val="0"/>
      <w:marBottom w:val="0"/>
      <w:divBdr>
        <w:top w:val="none" w:sz="0" w:space="0" w:color="auto"/>
        <w:left w:val="none" w:sz="0" w:space="0" w:color="auto"/>
        <w:bottom w:val="none" w:sz="0" w:space="0" w:color="auto"/>
        <w:right w:val="none" w:sz="0" w:space="0" w:color="auto"/>
      </w:divBdr>
    </w:div>
    <w:div w:id="1337806368">
      <w:bodyDiv w:val="1"/>
      <w:marLeft w:val="0"/>
      <w:marRight w:val="0"/>
      <w:marTop w:val="0"/>
      <w:marBottom w:val="0"/>
      <w:divBdr>
        <w:top w:val="none" w:sz="0" w:space="0" w:color="auto"/>
        <w:left w:val="none" w:sz="0" w:space="0" w:color="auto"/>
        <w:bottom w:val="none" w:sz="0" w:space="0" w:color="auto"/>
        <w:right w:val="none" w:sz="0" w:space="0" w:color="auto"/>
      </w:divBdr>
    </w:div>
    <w:div w:id="1354727420">
      <w:bodyDiv w:val="1"/>
      <w:marLeft w:val="0"/>
      <w:marRight w:val="0"/>
      <w:marTop w:val="0"/>
      <w:marBottom w:val="0"/>
      <w:divBdr>
        <w:top w:val="none" w:sz="0" w:space="0" w:color="auto"/>
        <w:left w:val="none" w:sz="0" w:space="0" w:color="auto"/>
        <w:bottom w:val="none" w:sz="0" w:space="0" w:color="auto"/>
        <w:right w:val="none" w:sz="0" w:space="0" w:color="auto"/>
      </w:divBdr>
    </w:div>
    <w:div w:id="1412505286">
      <w:bodyDiv w:val="1"/>
      <w:marLeft w:val="0"/>
      <w:marRight w:val="0"/>
      <w:marTop w:val="0"/>
      <w:marBottom w:val="0"/>
      <w:divBdr>
        <w:top w:val="none" w:sz="0" w:space="0" w:color="auto"/>
        <w:left w:val="none" w:sz="0" w:space="0" w:color="auto"/>
        <w:bottom w:val="none" w:sz="0" w:space="0" w:color="auto"/>
        <w:right w:val="none" w:sz="0" w:space="0" w:color="auto"/>
      </w:divBdr>
    </w:div>
    <w:div w:id="1428430566">
      <w:bodyDiv w:val="1"/>
      <w:marLeft w:val="0"/>
      <w:marRight w:val="0"/>
      <w:marTop w:val="0"/>
      <w:marBottom w:val="0"/>
      <w:divBdr>
        <w:top w:val="none" w:sz="0" w:space="0" w:color="auto"/>
        <w:left w:val="none" w:sz="0" w:space="0" w:color="auto"/>
        <w:bottom w:val="none" w:sz="0" w:space="0" w:color="auto"/>
        <w:right w:val="none" w:sz="0" w:space="0" w:color="auto"/>
      </w:divBdr>
    </w:div>
    <w:div w:id="1452939911">
      <w:bodyDiv w:val="1"/>
      <w:marLeft w:val="0"/>
      <w:marRight w:val="0"/>
      <w:marTop w:val="0"/>
      <w:marBottom w:val="0"/>
      <w:divBdr>
        <w:top w:val="none" w:sz="0" w:space="0" w:color="auto"/>
        <w:left w:val="none" w:sz="0" w:space="0" w:color="auto"/>
        <w:bottom w:val="none" w:sz="0" w:space="0" w:color="auto"/>
        <w:right w:val="none" w:sz="0" w:space="0" w:color="auto"/>
      </w:divBdr>
    </w:div>
    <w:div w:id="1475829924">
      <w:bodyDiv w:val="1"/>
      <w:marLeft w:val="0"/>
      <w:marRight w:val="0"/>
      <w:marTop w:val="0"/>
      <w:marBottom w:val="0"/>
      <w:divBdr>
        <w:top w:val="none" w:sz="0" w:space="0" w:color="auto"/>
        <w:left w:val="none" w:sz="0" w:space="0" w:color="auto"/>
        <w:bottom w:val="none" w:sz="0" w:space="0" w:color="auto"/>
        <w:right w:val="none" w:sz="0" w:space="0" w:color="auto"/>
      </w:divBdr>
    </w:div>
    <w:div w:id="1490751030">
      <w:bodyDiv w:val="1"/>
      <w:marLeft w:val="0"/>
      <w:marRight w:val="0"/>
      <w:marTop w:val="0"/>
      <w:marBottom w:val="0"/>
      <w:divBdr>
        <w:top w:val="none" w:sz="0" w:space="0" w:color="auto"/>
        <w:left w:val="none" w:sz="0" w:space="0" w:color="auto"/>
        <w:bottom w:val="none" w:sz="0" w:space="0" w:color="auto"/>
        <w:right w:val="none" w:sz="0" w:space="0" w:color="auto"/>
      </w:divBdr>
    </w:div>
    <w:div w:id="1541553533">
      <w:bodyDiv w:val="1"/>
      <w:marLeft w:val="0"/>
      <w:marRight w:val="0"/>
      <w:marTop w:val="0"/>
      <w:marBottom w:val="0"/>
      <w:divBdr>
        <w:top w:val="none" w:sz="0" w:space="0" w:color="auto"/>
        <w:left w:val="none" w:sz="0" w:space="0" w:color="auto"/>
        <w:bottom w:val="none" w:sz="0" w:space="0" w:color="auto"/>
        <w:right w:val="none" w:sz="0" w:space="0" w:color="auto"/>
      </w:divBdr>
    </w:div>
    <w:div w:id="1676346549">
      <w:bodyDiv w:val="1"/>
      <w:marLeft w:val="0"/>
      <w:marRight w:val="0"/>
      <w:marTop w:val="0"/>
      <w:marBottom w:val="0"/>
      <w:divBdr>
        <w:top w:val="none" w:sz="0" w:space="0" w:color="auto"/>
        <w:left w:val="none" w:sz="0" w:space="0" w:color="auto"/>
        <w:bottom w:val="none" w:sz="0" w:space="0" w:color="auto"/>
        <w:right w:val="none" w:sz="0" w:space="0" w:color="auto"/>
      </w:divBdr>
    </w:div>
    <w:div w:id="1681084771">
      <w:bodyDiv w:val="1"/>
      <w:marLeft w:val="0"/>
      <w:marRight w:val="0"/>
      <w:marTop w:val="0"/>
      <w:marBottom w:val="0"/>
      <w:divBdr>
        <w:top w:val="none" w:sz="0" w:space="0" w:color="auto"/>
        <w:left w:val="none" w:sz="0" w:space="0" w:color="auto"/>
        <w:bottom w:val="none" w:sz="0" w:space="0" w:color="auto"/>
        <w:right w:val="none" w:sz="0" w:space="0" w:color="auto"/>
      </w:divBdr>
    </w:div>
    <w:div w:id="1709647987">
      <w:bodyDiv w:val="1"/>
      <w:marLeft w:val="0"/>
      <w:marRight w:val="0"/>
      <w:marTop w:val="0"/>
      <w:marBottom w:val="0"/>
      <w:divBdr>
        <w:top w:val="none" w:sz="0" w:space="0" w:color="auto"/>
        <w:left w:val="none" w:sz="0" w:space="0" w:color="auto"/>
        <w:bottom w:val="none" w:sz="0" w:space="0" w:color="auto"/>
        <w:right w:val="none" w:sz="0" w:space="0" w:color="auto"/>
      </w:divBdr>
    </w:div>
    <w:div w:id="1757282627">
      <w:bodyDiv w:val="1"/>
      <w:marLeft w:val="0"/>
      <w:marRight w:val="0"/>
      <w:marTop w:val="0"/>
      <w:marBottom w:val="0"/>
      <w:divBdr>
        <w:top w:val="none" w:sz="0" w:space="0" w:color="auto"/>
        <w:left w:val="none" w:sz="0" w:space="0" w:color="auto"/>
        <w:bottom w:val="none" w:sz="0" w:space="0" w:color="auto"/>
        <w:right w:val="none" w:sz="0" w:space="0" w:color="auto"/>
      </w:divBdr>
    </w:div>
    <w:div w:id="1766148915">
      <w:bodyDiv w:val="1"/>
      <w:marLeft w:val="0"/>
      <w:marRight w:val="0"/>
      <w:marTop w:val="0"/>
      <w:marBottom w:val="0"/>
      <w:divBdr>
        <w:top w:val="none" w:sz="0" w:space="0" w:color="auto"/>
        <w:left w:val="none" w:sz="0" w:space="0" w:color="auto"/>
        <w:bottom w:val="none" w:sz="0" w:space="0" w:color="auto"/>
        <w:right w:val="none" w:sz="0" w:space="0" w:color="auto"/>
      </w:divBdr>
    </w:div>
    <w:div w:id="1784571533">
      <w:bodyDiv w:val="1"/>
      <w:marLeft w:val="0"/>
      <w:marRight w:val="0"/>
      <w:marTop w:val="0"/>
      <w:marBottom w:val="0"/>
      <w:divBdr>
        <w:top w:val="none" w:sz="0" w:space="0" w:color="auto"/>
        <w:left w:val="none" w:sz="0" w:space="0" w:color="auto"/>
        <w:bottom w:val="none" w:sz="0" w:space="0" w:color="auto"/>
        <w:right w:val="none" w:sz="0" w:space="0" w:color="auto"/>
      </w:divBdr>
    </w:div>
    <w:div w:id="1801260551">
      <w:bodyDiv w:val="1"/>
      <w:marLeft w:val="0"/>
      <w:marRight w:val="0"/>
      <w:marTop w:val="0"/>
      <w:marBottom w:val="0"/>
      <w:divBdr>
        <w:top w:val="none" w:sz="0" w:space="0" w:color="auto"/>
        <w:left w:val="none" w:sz="0" w:space="0" w:color="auto"/>
        <w:bottom w:val="none" w:sz="0" w:space="0" w:color="auto"/>
        <w:right w:val="none" w:sz="0" w:space="0" w:color="auto"/>
      </w:divBdr>
    </w:div>
    <w:div w:id="1803962700">
      <w:bodyDiv w:val="1"/>
      <w:marLeft w:val="0"/>
      <w:marRight w:val="0"/>
      <w:marTop w:val="0"/>
      <w:marBottom w:val="0"/>
      <w:divBdr>
        <w:top w:val="none" w:sz="0" w:space="0" w:color="auto"/>
        <w:left w:val="none" w:sz="0" w:space="0" w:color="auto"/>
        <w:bottom w:val="none" w:sz="0" w:space="0" w:color="auto"/>
        <w:right w:val="none" w:sz="0" w:space="0" w:color="auto"/>
      </w:divBdr>
    </w:div>
    <w:div w:id="1838225288">
      <w:bodyDiv w:val="1"/>
      <w:marLeft w:val="0"/>
      <w:marRight w:val="0"/>
      <w:marTop w:val="0"/>
      <w:marBottom w:val="0"/>
      <w:divBdr>
        <w:top w:val="none" w:sz="0" w:space="0" w:color="auto"/>
        <w:left w:val="none" w:sz="0" w:space="0" w:color="auto"/>
        <w:bottom w:val="none" w:sz="0" w:space="0" w:color="auto"/>
        <w:right w:val="none" w:sz="0" w:space="0" w:color="auto"/>
      </w:divBdr>
    </w:div>
    <w:div w:id="1838423186">
      <w:bodyDiv w:val="1"/>
      <w:marLeft w:val="0"/>
      <w:marRight w:val="0"/>
      <w:marTop w:val="0"/>
      <w:marBottom w:val="0"/>
      <w:divBdr>
        <w:top w:val="none" w:sz="0" w:space="0" w:color="auto"/>
        <w:left w:val="none" w:sz="0" w:space="0" w:color="auto"/>
        <w:bottom w:val="none" w:sz="0" w:space="0" w:color="auto"/>
        <w:right w:val="none" w:sz="0" w:space="0" w:color="auto"/>
      </w:divBdr>
    </w:div>
    <w:div w:id="1903640905">
      <w:bodyDiv w:val="1"/>
      <w:marLeft w:val="0"/>
      <w:marRight w:val="0"/>
      <w:marTop w:val="0"/>
      <w:marBottom w:val="0"/>
      <w:divBdr>
        <w:top w:val="none" w:sz="0" w:space="0" w:color="auto"/>
        <w:left w:val="none" w:sz="0" w:space="0" w:color="auto"/>
        <w:bottom w:val="none" w:sz="0" w:space="0" w:color="auto"/>
        <w:right w:val="none" w:sz="0" w:space="0" w:color="auto"/>
      </w:divBdr>
    </w:div>
    <w:div w:id="1909654868">
      <w:bodyDiv w:val="1"/>
      <w:marLeft w:val="0"/>
      <w:marRight w:val="0"/>
      <w:marTop w:val="0"/>
      <w:marBottom w:val="0"/>
      <w:divBdr>
        <w:top w:val="none" w:sz="0" w:space="0" w:color="auto"/>
        <w:left w:val="none" w:sz="0" w:space="0" w:color="auto"/>
        <w:bottom w:val="none" w:sz="0" w:space="0" w:color="auto"/>
        <w:right w:val="none" w:sz="0" w:space="0" w:color="auto"/>
      </w:divBdr>
    </w:div>
    <w:div w:id="1932425964">
      <w:bodyDiv w:val="1"/>
      <w:marLeft w:val="0"/>
      <w:marRight w:val="0"/>
      <w:marTop w:val="0"/>
      <w:marBottom w:val="0"/>
      <w:divBdr>
        <w:top w:val="none" w:sz="0" w:space="0" w:color="auto"/>
        <w:left w:val="none" w:sz="0" w:space="0" w:color="auto"/>
        <w:bottom w:val="none" w:sz="0" w:space="0" w:color="auto"/>
        <w:right w:val="none" w:sz="0" w:space="0" w:color="auto"/>
      </w:divBdr>
    </w:div>
    <w:div w:id="1981303221">
      <w:bodyDiv w:val="1"/>
      <w:marLeft w:val="0"/>
      <w:marRight w:val="0"/>
      <w:marTop w:val="0"/>
      <w:marBottom w:val="0"/>
      <w:divBdr>
        <w:top w:val="none" w:sz="0" w:space="0" w:color="auto"/>
        <w:left w:val="none" w:sz="0" w:space="0" w:color="auto"/>
        <w:bottom w:val="none" w:sz="0" w:space="0" w:color="auto"/>
        <w:right w:val="none" w:sz="0" w:space="0" w:color="auto"/>
      </w:divBdr>
    </w:div>
    <w:div w:id="2055083959">
      <w:bodyDiv w:val="1"/>
      <w:marLeft w:val="0"/>
      <w:marRight w:val="0"/>
      <w:marTop w:val="0"/>
      <w:marBottom w:val="0"/>
      <w:divBdr>
        <w:top w:val="none" w:sz="0" w:space="0" w:color="auto"/>
        <w:left w:val="none" w:sz="0" w:space="0" w:color="auto"/>
        <w:bottom w:val="none" w:sz="0" w:space="0" w:color="auto"/>
        <w:right w:val="none" w:sz="0" w:space="0" w:color="auto"/>
      </w:divBdr>
    </w:div>
    <w:div w:id="2062904191">
      <w:bodyDiv w:val="1"/>
      <w:marLeft w:val="0"/>
      <w:marRight w:val="0"/>
      <w:marTop w:val="0"/>
      <w:marBottom w:val="0"/>
      <w:divBdr>
        <w:top w:val="none" w:sz="0" w:space="0" w:color="auto"/>
        <w:left w:val="none" w:sz="0" w:space="0" w:color="auto"/>
        <w:bottom w:val="none" w:sz="0" w:space="0" w:color="auto"/>
        <w:right w:val="none" w:sz="0" w:space="0" w:color="auto"/>
      </w:divBdr>
    </w:div>
    <w:div w:id="20692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A6BD9-5FA7-4235-B40B-18E7EAE4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86</TotalTime>
  <Pages>4</Pages>
  <Words>2317</Words>
  <Characters>11046</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146</cp:revision>
  <cp:lastPrinted>2015-09-22T11:29:00Z</cp:lastPrinted>
  <dcterms:created xsi:type="dcterms:W3CDTF">2015-09-22T12:04:00Z</dcterms:created>
  <dcterms:modified xsi:type="dcterms:W3CDTF">2015-10-22T14:25:00Z</dcterms:modified>
</cp:coreProperties>
</file>