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A2" w:rsidRPr="000D44EC" w:rsidRDefault="00EB76A2" w:rsidP="00EB76A2">
      <w:pPr>
        <w:pStyle w:val="Nadpis1"/>
        <w:numPr>
          <w:ilvl w:val="0"/>
          <w:numId w:val="0"/>
        </w:numPr>
        <w:ind w:left="1134" w:hanging="1134"/>
        <w:rPr>
          <w:lang w:val="en-GB"/>
        </w:rPr>
      </w:pPr>
      <w:r>
        <w:rPr>
          <w:lang w:val="en-GB"/>
        </w:rPr>
        <w:t>8.  S</w:t>
      </w:r>
      <w:r w:rsidRPr="000D44EC">
        <w:rPr>
          <w:lang w:val="en-GB"/>
        </w:rPr>
        <w:t xml:space="preserve">tate Budget </w:t>
      </w:r>
    </w:p>
    <w:p w:rsidR="00EB76A2" w:rsidRPr="000D44EC" w:rsidRDefault="00EB76A2" w:rsidP="00EB76A2">
      <w:pPr>
        <w:pStyle w:val="Bezmezer"/>
        <w:rPr>
          <w:lang w:val="en-GB"/>
        </w:rPr>
      </w:pPr>
    </w:p>
    <w:tbl>
      <w:tblPr>
        <w:tblW w:w="5001" w:type="pct"/>
        <w:tblLayout w:type="fixed"/>
        <w:tblCellMar>
          <w:left w:w="28" w:type="dxa"/>
          <w:right w:w="28" w:type="dxa"/>
        </w:tblCellMar>
        <w:tblLook w:val="04A0"/>
      </w:tblPr>
      <w:tblGrid>
        <w:gridCol w:w="1028"/>
        <w:gridCol w:w="1018"/>
        <w:gridCol w:w="275"/>
        <w:gridCol w:w="2628"/>
        <w:gridCol w:w="1074"/>
        <w:gridCol w:w="3673"/>
      </w:tblGrid>
      <w:tr w:rsidR="00EB76A2" w:rsidRPr="000D44EC" w:rsidTr="00B70CF6">
        <w:tc>
          <w:tcPr>
            <w:tcW w:w="1055" w:type="pct"/>
            <w:gridSpan w:val="2"/>
          </w:tcPr>
          <w:p w:rsidR="00EB76A2" w:rsidRPr="000D44EC" w:rsidRDefault="00EB76A2" w:rsidP="00B70CF6">
            <w:pPr>
              <w:rPr>
                <w:spacing w:val="-2"/>
                <w:sz w:val="16"/>
                <w:szCs w:val="16"/>
                <w:lang w:val="en-GB"/>
              </w:rPr>
            </w:pPr>
            <w:r w:rsidRPr="000D44EC">
              <w:rPr>
                <w:spacing w:val="-2"/>
                <w:sz w:val="16"/>
                <w:szCs w:val="16"/>
                <w:lang w:val="en-GB"/>
              </w:rPr>
              <w:t>State budget surplus for the first time since 2008 in H1…</w:t>
            </w:r>
          </w:p>
          <w:p w:rsidR="00EB76A2" w:rsidRPr="000D44EC" w:rsidRDefault="00EB76A2" w:rsidP="00B70CF6">
            <w:pPr>
              <w:jc w:val="left"/>
              <w:rPr>
                <w:spacing w:val="-2"/>
                <w:sz w:val="16"/>
                <w:szCs w:val="16"/>
                <w:lang w:val="en-GB"/>
              </w:rPr>
            </w:pPr>
          </w:p>
          <w:p w:rsidR="00EB76A2" w:rsidRPr="000D44EC" w:rsidRDefault="00EB76A2" w:rsidP="00B70CF6">
            <w:pPr>
              <w:jc w:val="left"/>
              <w:rPr>
                <w:spacing w:val="-2"/>
                <w:sz w:val="16"/>
                <w:szCs w:val="16"/>
                <w:lang w:val="en-GB"/>
              </w:rPr>
            </w:pPr>
          </w:p>
          <w:p w:rsidR="00EB76A2" w:rsidRPr="000D44EC" w:rsidRDefault="00EB76A2" w:rsidP="00B70CF6">
            <w:pPr>
              <w:jc w:val="left"/>
              <w:rPr>
                <w:spacing w:val="-2"/>
                <w:sz w:val="16"/>
                <w:szCs w:val="16"/>
                <w:lang w:val="en-GB"/>
              </w:rPr>
            </w:pPr>
            <w:r w:rsidRPr="000D44EC">
              <w:rPr>
                <w:spacing w:val="-2"/>
                <w:sz w:val="16"/>
                <w:szCs w:val="16"/>
                <w:lang w:val="en-GB"/>
              </w:rPr>
              <w:t>…driven by the growth of all main revenue components…</w:t>
            </w:r>
          </w:p>
        </w:tc>
        <w:tc>
          <w:tcPr>
            <w:tcW w:w="142" w:type="pct"/>
          </w:tcPr>
          <w:p w:rsidR="00EB76A2" w:rsidRPr="000D44EC" w:rsidRDefault="00EB76A2" w:rsidP="00B70CF6">
            <w:pPr>
              <w:pStyle w:val="Textpoznpodarou"/>
              <w:jc w:val="both"/>
              <w:rPr>
                <w:lang w:val="en-GB"/>
              </w:rPr>
            </w:pPr>
          </w:p>
        </w:tc>
        <w:tc>
          <w:tcPr>
            <w:tcW w:w="3803" w:type="pct"/>
            <w:gridSpan w:val="3"/>
          </w:tcPr>
          <w:p w:rsidR="00EB76A2" w:rsidRPr="000D44EC" w:rsidRDefault="00EB76A2" w:rsidP="00B70CF6">
            <w:pPr>
              <w:pStyle w:val="Textpoznpodarou"/>
              <w:jc w:val="both"/>
              <w:rPr>
                <w:rFonts w:cs="Arial"/>
                <w:spacing w:val="-2"/>
                <w:lang w:val="en-GB"/>
              </w:rPr>
            </w:pPr>
            <w:r w:rsidRPr="000D44EC">
              <w:rPr>
                <w:rFonts w:cs="Arial"/>
                <w:spacing w:val="-2"/>
                <w:lang w:val="en-GB"/>
              </w:rPr>
              <w:t xml:space="preserve">Trend towards continuing stabilisation of public budget has also proved during the year 2014. At the end of Q2, the state budget finished (based on cash fulfilment) in surplus of 1.4 </w:t>
            </w:r>
            <w:proofErr w:type="spellStart"/>
            <w:r w:rsidRPr="000D44EC">
              <w:rPr>
                <w:rFonts w:cs="Arial"/>
                <w:spacing w:val="-2"/>
                <w:lang w:val="en-GB"/>
              </w:rPr>
              <w:t>bn</w:t>
            </w:r>
            <w:proofErr w:type="spellEnd"/>
            <w:r w:rsidRPr="000D44EC">
              <w:rPr>
                <w:rFonts w:cs="Arial"/>
                <w:spacing w:val="-2"/>
                <w:lang w:val="en-GB"/>
              </w:rPr>
              <w:t xml:space="preserve"> crowns, which was the highest in the last eight years, and it improved in relation to nominal GDP to +0.1 % (from last year's -1.7 %, resp. record -4.1 % in H1 2010). The budget has been pulled out of deficit by revenues (higher by nearly 40 </w:t>
            </w:r>
            <w:proofErr w:type="spellStart"/>
            <w:r w:rsidRPr="000D44EC">
              <w:rPr>
                <w:rFonts w:cs="Arial"/>
                <w:spacing w:val="-2"/>
                <w:lang w:val="en-GB"/>
              </w:rPr>
              <w:t>bn</w:t>
            </w:r>
            <w:proofErr w:type="spellEnd"/>
            <w:r w:rsidRPr="000D44EC">
              <w:rPr>
                <w:rFonts w:cs="Arial"/>
                <w:spacing w:val="-2"/>
                <w:lang w:val="en-GB"/>
              </w:rPr>
              <w:t xml:space="preserve"> crowns year-on-year), which more than adequately compensated the restrained growth of total expenditures (+1.1 %). </w:t>
            </w:r>
          </w:p>
          <w:p w:rsidR="00EB76A2" w:rsidRPr="000D44EC" w:rsidRDefault="00EB76A2" w:rsidP="00B70CF6">
            <w:pPr>
              <w:pStyle w:val="Textpoznpodarou"/>
              <w:jc w:val="both"/>
              <w:rPr>
                <w:rFonts w:cs="Arial"/>
                <w:spacing w:val="-2"/>
                <w:sz w:val="12"/>
                <w:szCs w:val="12"/>
                <w:lang w:val="en-GB"/>
              </w:rPr>
            </w:pPr>
          </w:p>
        </w:tc>
      </w:tr>
      <w:tr w:rsidR="00EB76A2" w:rsidRPr="000D44EC" w:rsidTr="00B70CF6">
        <w:tc>
          <w:tcPr>
            <w:tcW w:w="1055" w:type="pct"/>
            <w:gridSpan w:val="2"/>
          </w:tcPr>
          <w:p w:rsidR="00EB76A2" w:rsidRPr="000D44EC" w:rsidRDefault="00EB76A2" w:rsidP="00B70CF6">
            <w:pPr>
              <w:jc w:val="left"/>
              <w:rPr>
                <w:sz w:val="16"/>
                <w:szCs w:val="16"/>
                <w:lang w:val="en-GB"/>
              </w:rPr>
            </w:pPr>
            <w:r w:rsidRPr="000D44EC">
              <w:rPr>
                <w:sz w:val="16"/>
                <w:szCs w:val="16"/>
                <w:lang w:val="en-GB"/>
              </w:rPr>
              <w:t>Effort to complete drawing of remaining funds at the end of program period „pushed“ the revenues fro</w:t>
            </w:r>
            <w:r>
              <w:rPr>
                <w:sz w:val="16"/>
                <w:szCs w:val="16"/>
                <w:lang w:val="en-GB"/>
              </w:rPr>
              <w:t>m the EU to historical maximum</w:t>
            </w:r>
          </w:p>
          <w:p w:rsidR="00EB76A2" w:rsidRPr="000D44EC" w:rsidRDefault="00EB76A2" w:rsidP="00B70CF6">
            <w:pPr>
              <w:jc w:val="left"/>
              <w:rPr>
                <w:sz w:val="16"/>
                <w:szCs w:val="16"/>
                <w:lang w:val="en-GB"/>
              </w:rPr>
            </w:pPr>
          </w:p>
          <w:p w:rsidR="00EB76A2" w:rsidRPr="000D44EC" w:rsidRDefault="00EB76A2" w:rsidP="00B70CF6">
            <w:pPr>
              <w:jc w:val="left"/>
              <w:rPr>
                <w:sz w:val="16"/>
                <w:szCs w:val="16"/>
                <w:lang w:val="en-GB"/>
              </w:rPr>
            </w:pPr>
            <w:r w:rsidRPr="000D44EC">
              <w:rPr>
                <w:sz w:val="16"/>
                <w:szCs w:val="16"/>
                <w:lang w:val="en-GB"/>
              </w:rPr>
              <w:t>VAT collection remains above the level of budget anticipation</w:t>
            </w:r>
          </w:p>
        </w:tc>
        <w:tc>
          <w:tcPr>
            <w:tcW w:w="142" w:type="pct"/>
          </w:tcPr>
          <w:p w:rsidR="00EB76A2" w:rsidRPr="000D44EC" w:rsidRDefault="00EB76A2" w:rsidP="00B70CF6">
            <w:pPr>
              <w:pStyle w:val="Textpoznpodarou"/>
              <w:jc w:val="both"/>
              <w:rPr>
                <w:lang w:val="en-GB"/>
              </w:rPr>
            </w:pPr>
          </w:p>
        </w:tc>
        <w:tc>
          <w:tcPr>
            <w:tcW w:w="3803" w:type="pct"/>
            <w:gridSpan w:val="3"/>
          </w:tcPr>
          <w:p w:rsidR="00EB76A2" w:rsidRPr="000D44EC" w:rsidRDefault="00EB76A2" w:rsidP="00B70CF6">
            <w:pPr>
              <w:pStyle w:val="Textpoznpodarou"/>
              <w:jc w:val="both"/>
              <w:rPr>
                <w:rFonts w:cs="Arial"/>
                <w:spacing w:val="-4"/>
                <w:lang w:val="en-GB"/>
              </w:rPr>
            </w:pPr>
            <w:r w:rsidRPr="000D44EC">
              <w:rPr>
                <w:rFonts w:cs="Arial"/>
                <w:spacing w:val="-4"/>
                <w:lang w:val="en-GB"/>
              </w:rPr>
              <w:t xml:space="preserve">So far the highest revenues from the EU (in H1: 84 </w:t>
            </w:r>
            <w:proofErr w:type="spellStart"/>
            <w:r w:rsidRPr="000D44EC">
              <w:rPr>
                <w:rFonts w:cs="Arial"/>
                <w:spacing w:val="-4"/>
                <w:lang w:val="en-GB"/>
              </w:rPr>
              <w:t>bn</w:t>
            </w:r>
            <w:proofErr w:type="spellEnd"/>
            <w:r w:rsidRPr="000D44EC">
              <w:rPr>
                <w:rFonts w:cs="Arial"/>
                <w:spacing w:val="-4"/>
                <w:lang w:val="en-GB"/>
              </w:rPr>
              <w:t xml:space="preserve"> crowns) historically and further also the extraordinary revenue of the chapter Czech Telecommunication Office from the auction of frequency bands for high speed mobile network LTE (8.5 </w:t>
            </w:r>
            <w:proofErr w:type="spellStart"/>
            <w:r w:rsidRPr="000D44EC">
              <w:rPr>
                <w:rFonts w:cs="Arial"/>
                <w:spacing w:val="-4"/>
                <w:lang w:val="en-GB"/>
              </w:rPr>
              <w:t>bn</w:t>
            </w:r>
            <w:proofErr w:type="spellEnd"/>
            <w:r w:rsidRPr="000D44EC">
              <w:rPr>
                <w:rFonts w:cs="Arial"/>
                <w:spacing w:val="-4"/>
                <w:lang w:val="en-GB"/>
              </w:rPr>
              <w:t xml:space="preserve"> crowns) contributed to the strengthening of total revenues (year-on-year +7 %) from </w:t>
            </w:r>
            <w:r>
              <w:rPr>
                <w:rFonts w:cs="Arial"/>
                <w:spacing w:val="-4"/>
                <w:lang w:val="en-GB"/>
              </w:rPr>
              <w:t xml:space="preserve">more than </w:t>
            </w:r>
            <w:r w:rsidRPr="000D44EC">
              <w:rPr>
                <w:rFonts w:cs="Arial"/>
                <w:spacing w:val="-4"/>
                <w:lang w:val="en-GB"/>
              </w:rPr>
              <w:t xml:space="preserve">one third. The increased collection of VAT as well as consumption taxes were evenly reflected in the higher tax revenues (+25 </w:t>
            </w:r>
            <w:proofErr w:type="spellStart"/>
            <w:r w:rsidRPr="000D44EC">
              <w:rPr>
                <w:rFonts w:cs="Arial"/>
                <w:spacing w:val="-4"/>
                <w:lang w:val="en-GB"/>
              </w:rPr>
              <w:t>bn</w:t>
            </w:r>
            <w:proofErr w:type="spellEnd"/>
            <w:r w:rsidRPr="000D44EC">
              <w:rPr>
                <w:rFonts w:cs="Arial"/>
                <w:spacing w:val="-4"/>
                <w:lang w:val="en-GB"/>
              </w:rPr>
              <w:t xml:space="preserve"> crowns), the collection of direct taxes then also to a lesser extent. The state-wide coll</w:t>
            </w:r>
            <w:r>
              <w:rPr>
                <w:rFonts w:cs="Arial"/>
                <w:spacing w:val="-4"/>
                <w:lang w:val="en-GB"/>
              </w:rPr>
              <w:t>ection of dominant by weight VAT added 7</w:t>
            </w:r>
            <w:r w:rsidRPr="00497A95">
              <w:rPr>
                <w:color w:val="000000"/>
                <w:spacing w:val="-2"/>
              </w:rPr>
              <w:t> </w:t>
            </w:r>
            <w:r w:rsidRPr="000D44EC">
              <w:rPr>
                <w:rFonts w:cs="Arial"/>
                <w:spacing w:val="-4"/>
                <w:lang w:val="en-GB"/>
              </w:rPr>
              <w:t xml:space="preserve">% year-on-year (while the budget anticipated stagnation compared to last year collection). Both the gradual revival of private consumption and the measures against the tax evasions and more prudent approach to excessive VAT deduction pay </w:t>
            </w:r>
            <w:proofErr w:type="gramStart"/>
            <w:r w:rsidRPr="000D44EC">
              <w:rPr>
                <w:rFonts w:cs="Arial"/>
                <w:spacing w:val="-4"/>
                <w:lang w:val="en-GB"/>
              </w:rPr>
              <w:t>out,</w:t>
            </w:r>
            <w:proofErr w:type="gramEnd"/>
            <w:r w:rsidRPr="000D44EC">
              <w:rPr>
                <w:rFonts w:cs="Arial"/>
                <w:spacing w:val="-4"/>
                <w:lang w:val="en-GB"/>
              </w:rPr>
              <w:t xml:space="preserve"> are reflected in the improved collection.</w:t>
            </w:r>
          </w:p>
          <w:p w:rsidR="00EB76A2" w:rsidRPr="000D44EC" w:rsidRDefault="00EB76A2" w:rsidP="00B70CF6">
            <w:pPr>
              <w:pStyle w:val="Textpoznpodarou"/>
              <w:jc w:val="both"/>
              <w:rPr>
                <w:rFonts w:cs="Arial"/>
                <w:spacing w:val="-2"/>
                <w:sz w:val="12"/>
                <w:szCs w:val="12"/>
                <w:lang w:val="en-GB"/>
              </w:rPr>
            </w:pPr>
          </w:p>
        </w:tc>
      </w:tr>
      <w:tr w:rsidR="00EB76A2" w:rsidRPr="000D44EC" w:rsidTr="00B70CF6">
        <w:tc>
          <w:tcPr>
            <w:tcW w:w="1055" w:type="pct"/>
            <w:gridSpan w:val="2"/>
          </w:tcPr>
          <w:p w:rsidR="00EB76A2" w:rsidRPr="000D44EC" w:rsidRDefault="00EB76A2" w:rsidP="00B70CF6">
            <w:pPr>
              <w:jc w:val="left"/>
              <w:rPr>
                <w:sz w:val="16"/>
                <w:szCs w:val="16"/>
                <w:lang w:val="en-GB"/>
              </w:rPr>
            </w:pPr>
            <w:r w:rsidRPr="000D44EC">
              <w:rPr>
                <w:sz w:val="16"/>
                <w:szCs w:val="16"/>
                <w:lang w:val="en-GB"/>
              </w:rPr>
              <w:t>Higher collection of consumption taxes significant by volume is considerably affected by the legislative changes</w:t>
            </w:r>
          </w:p>
        </w:tc>
        <w:tc>
          <w:tcPr>
            <w:tcW w:w="142" w:type="pct"/>
          </w:tcPr>
          <w:p w:rsidR="00EB76A2" w:rsidRPr="000D44EC" w:rsidRDefault="00EB76A2" w:rsidP="00B70CF6">
            <w:pPr>
              <w:pStyle w:val="Textpoznpodarou"/>
              <w:jc w:val="both"/>
              <w:rPr>
                <w:lang w:val="en-GB"/>
              </w:rPr>
            </w:pPr>
          </w:p>
        </w:tc>
        <w:tc>
          <w:tcPr>
            <w:tcW w:w="3803" w:type="pct"/>
            <w:gridSpan w:val="3"/>
          </w:tcPr>
          <w:p w:rsidR="00EB76A2" w:rsidRPr="000D44EC" w:rsidRDefault="00EB76A2" w:rsidP="00B70CF6">
            <w:pPr>
              <w:rPr>
                <w:rFonts w:cs="Arial"/>
                <w:spacing w:val="-2"/>
                <w:szCs w:val="20"/>
                <w:lang w:val="en-GB"/>
              </w:rPr>
            </w:pPr>
            <w:r w:rsidRPr="000D44EC">
              <w:rPr>
                <w:rFonts w:cs="Arial"/>
                <w:spacing w:val="-2"/>
                <w:szCs w:val="20"/>
                <w:lang w:val="en-GB"/>
              </w:rPr>
              <w:t>All important groups of consumption taxes were on the contrary affected by the change of legislation</w:t>
            </w:r>
            <w:r w:rsidRPr="000D44EC">
              <w:rPr>
                <w:rStyle w:val="Znakapoznpodarou"/>
                <w:rFonts w:cs="Arial"/>
                <w:spacing w:val="-2"/>
                <w:lang w:val="en-GB"/>
              </w:rPr>
              <w:footnoteReference w:id="1"/>
            </w:r>
            <w:r w:rsidRPr="000D44EC">
              <w:rPr>
                <w:rFonts w:cs="Arial"/>
                <w:spacing w:val="-2"/>
                <w:szCs w:val="20"/>
                <w:lang w:val="en-GB"/>
              </w:rPr>
              <w:t>. The state budget gained from the most significant consumption tax – tax on mineral oils, despite the weaker growth of sales at petrol stations, by 7 % more year-on-year. The higher collection of tax on tobacc</w:t>
            </w:r>
            <w:r>
              <w:rPr>
                <w:rFonts w:cs="Arial"/>
                <w:spacing w:val="-2"/>
                <w:szCs w:val="20"/>
                <w:lang w:val="en-GB"/>
              </w:rPr>
              <w:t>o product by more than one fifth</w:t>
            </w:r>
            <w:r w:rsidRPr="000D44EC">
              <w:rPr>
                <w:rFonts w:cs="Arial"/>
                <w:spacing w:val="-2"/>
                <w:szCs w:val="20"/>
                <w:lang w:val="en-GB"/>
              </w:rPr>
              <w:t xml:space="preserve"> was affected by the intensive </w:t>
            </w:r>
            <w:proofErr w:type="spellStart"/>
            <w:r w:rsidRPr="000D44EC">
              <w:rPr>
                <w:rFonts w:cs="Arial"/>
                <w:spacing w:val="-2"/>
                <w:szCs w:val="20"/>
                <w:lang w:val="en-GB"/>
              </w:rPr>
              <w:t>prestocking</w:t>
            </w:r>
            <w:proofErr w:type="spellEnd"/>
            <w:r w:rsidRPr="000D44EC">
              <w:rPr>
                <w:rFonts w:cs="Arial"/>
                <w:spacing w:val="-2"/>
                <w:szCs w:val="20"/>
                <w:lang w:val="en-GB"/>
              </w:rPr>
              <w:t xml:space="preserve"> of traders at the end of year</w:t>
            </w:r>
            <w:r w:rsidRPr="000D44EC">
              <w:rPr>
                <w:rFonts w:cs="Arial"/>
                <w:spacing w:val="-2"/>
                <w:lang w:val="en-GB"/>
              </w:rPr>
              <w:t xml:space="preserve"> </w:t>
            </w:r>
            <w:r w:rsidRPr="000D44EC">
              <w:rPr>
                <w:rFonts w:cs="Arial"/>
                <w:spacing w:val="-2"/>
                <w:szCs w:val="20"/>
                <w:lang w:val="en-GB"/>
              </w:rPr>
              <w:t>2013</w:t>
            </w:r>
            <w:r w:rsidRPr="000D44EC">
              <w:rPr>
                <w:rStyle w:val="Znakapoznpodarou"/>
                <w:rFonts w:cs="Arial"/>
                <w:spacing w:val="-4"/>
                <w:lang w:val="en-GB"/>
              </w:rPr>
              <w:footnoteReference w:id="2"/>
            </w:r>
            <w:r w:rsidRPr="000D44EC">
              <w:rPr>
                <w:rFonts w:cs="Arial"/>
                <w:spacing w:val="-2"/>
                <w:szCs w:val="20"/>
                <w:lang w:val="en-GB"/>
              </w:rPr>
              <w:t xml:space="preserve">. The significance of „solar taxes” gradually dissipates for the state budget due to legislative changes. </w:t>
            </w:r>
          </w:p>
          <w:p w:rsidR="00EB76A2" w:rsidRPr="000D44EC" w:rsidRDefault="00EB76A2" w:rsidP="00B70CF6">
            <w:pPr>
              <w:pStyle w:val="Textpoznpodarou"/>
              <w:jc w:val="both"/>
              <w:rPr>
                <w:rFonts w:cs="Arial"/>
                <w:spacing w:val="-2"/>
                <w:sz w:val="12"/>
                <w:szCs w:val="12"/>
                <w:lang w:val="en-GB"/>
              </w:rPr>
            </w:pPr>
          </w:p>
        </w:tc>
      </w:tr>
      <w:tr w:rsidR="00EB76A2" w:rsidRPr="000D44EC" w:rsidTr="00B70CF6">
        <w:tc>
          <w:tcPr>
            <w:tcW w:w="1055" w:type="pct"/>
            <w:gridSpan w:val="2"/>
          </w:tcPr>
          <w:p w:rsidR="00EB76A2" w:rsidRPr="000D44EC" w:rsidRDefault="00EB76A2" w:rsidP="00B70CF6">
            <w:pPr>
              <w:jc w:val="left"/>
              <w:rPr>
                <w:sz w:val="16"/>
                <w:szCs w:val="16"/>
                <w:lang w:val="en-GB"/>
              </w:rPr>
            </w:pPr>
            <w:r w:rsidRPr="000D44EC">
              <w:rPr>
                <w:sz w:val="16"/>
                <w:szCs w:val="16"/>
                <w:lang w:val="en-GB"/>
              </w:rPr>
              <w:t>Collection of corporate tax bounced off from the record low level of the previous three years</w:t>
            </w:r>
          </w:p>
          <w:p w:rsidR="00EB76A2" w:rsidRPr="000D44EC" w:rsidRDefault="00EB76A2" w:rsidP="00B70CF6">
            <w:pPr>
              <w:jc w:val="left"/>
              <w:rPr>
                <w:sz w:val="16"/>
                <w:szCs w:val="16"/>
                <w:lang w:val="en-GB"/>
              </w:rPr>
            </w:pPr>
          </w:p>
          <w:p w:rsidR="00EB76A2" w:rsidRPr="000D44EC" w:rsidRDefault="00EB76A2" w:rsidP="00B70CF6">
            <w:pPr>
              <w:jc w:val="left"/>
              <w:rPr>
                <w:sz w:val="16"/>
                <w:szCs w:val="16"/>
                <w:lang w:val="en-GB"/>
              </w:rPr>
            </w:pPr>
          </w:p>
          <w:p w:rsidR="00EB76A2" w:rsidRPr="000D44EC" w:rsidRDefault="00EB76A2" w:rsidP="00B70CF6">
            <w:pPr>
              <w:jc w:val="left"/>
              <w:rPr>
                <w:sz w:val="16"/>
                <w:szCs w:val="16"/>
                <w:lang w:val="en-GB"/>
              </w:rPr>
            </w:pPr>
            <w:r w:rsidRPr="000D44EC">
              <w:rPr>
                <w:sz w:val="16"/>
                <w:szCs w:val="16"/>
                <w:lang w:val="en-GB"/>
              </w:rPr>
              <w:t>Prevailing uncertainty on the labour market so far prevents a higher growth of collection of physical person income tax …</w:t>
            </w:r>
          </w:p>
          <w:p w:rsidR="00EB76A2" w:rsidRPr="000D44EC" w:rsidRDefault="00EB76A2" w:rsidP="00B70CF6">
            <w:pPr>
              <w:jc w:val="left"/>
              <w:rPr>
                <w:sz w:val="16"/>
                <w:szCs w:val="16"/>
                <w:lang w:val="en-GB"/>
              </w:rPr>
            </w:pPr>
          </w:p>
          <w:p w:rsidR="00EB76A2" w:rsidRPr="000D44EC" w:rsidRDefault="00EB76A2" w:rsidP="00B70CF6">
            <w:pPr>
              <w:jc w:val="left"/>
              <w:rPr>
                <w:sz w:val="16"/>
                <w:szCs w:val="16"/>
                <w:lang w:val="en-GB"/>
              </w:rPr>
            </w:pPr>
            <w:r w:rsidRPr="000D44EC">
              <w:rPr>
                <w:sz w:val="16"/>
                <w:szCs w:val="16"/>
                <w:lang w:val="en-GB"/>
              </w:rPr>
              <w:t>…which as the only more significant income item remained below the level of last year fulfilment in H1 2014</w:t>
            </w:r>
          </w:p>
        </w:tc>
        <w:tc>
          <w:tcPr>
            <w:tcW w:w="142" w:type="pct"/>
          </w:tcPr>
          <w:p w:rsidR="00EB76A2" w:rsidRPr="000D44EC" w:rsidRDefault="00EB76A2" w:rsidP="00B70CF6">
            <w:pPr>
              <w:pStyle w:val="Textpoznpodarou"/>
              <w:jc w:val="both"/>
              <w:rPr>
                <w:lang w:val="en-GB"/>
              </w:rPr>
            </w:pPr>
          </w:p>
        </w:tc>
        <w:tc>
          <w:tcPr>
            <w:tcW w:w="3803" w:type="pct"/>
            <w:gridSpan w:val="3"/>
          </w:tcPr>
          <w:p w:rsidR="00EB76A2" w:rsidRPr="000D44EC" w:rsidRDefault="00EB76A2" w:rsidP="00B70CF6">
            <w:pPr>
              <w:pStyle w:val="Textpoznpodarou"/>
              <w:jc w:val="both"/>
              <w:rPr>
                <w:rFonts w:cs="Arial"/>
                <w:spacing w:val="-4"/>
                <w:lang w:val="en-GB"/>
              </w:rPr>
            </w:pPr>
            <w:r w:rsidRPr="000D44EC">
              <w:rPr>
                <w:rFonts w:cs="Arial"/>
                <w:spacing w:val="-4"/>
                <w:lang w:val="en-GB"/>
              </w:rPr>
              <w:t xml:space="preserve">The state wide collection of the corporate tax strengthened by 8.4 % in H1 year-on-year, when it was falling in the same period of the three preceding years. The collection was influenced especially by the economic situation of large companies and their restructuring in 2013. On the contrary, the physical person income taxes (PPIT) from dependent activity remained due to a more modest growth (+4.7 %) the only more significant budget item of the state, whose collection does not fulfil the budget anticipation this year. The so far rather subdued growth of both wages and employment is projected into the rates of growth of the collection. Still, the state wide collection of taxes from employees hovered 13 % above the level of top of boom (H1 2008) in H1 </w:t>
            </w:r>
            <w:r>
              <w:rPr>
                <w:rFonts w:cs="Arial"/>
                <w:spacing w:val="-4"/>
                <w:lang w:val="en-GB"/>
              </w:rPr>
              <w:t>2014</w:t>
            </w:r>
            <w:r w:rsidRPr="000D44EC">
              <w:rPr>
                <w:rFonts w:cs="Arial"/>
                <w:spacing w:val="-4"/>
                <w:lang w:val="en-GB"/>
              </w:rPr>
              <w:t xml:space="preserve">, on the contrary it was nearly by one quarter lower for corporations (it was dampened next to the impacts of recession on profits of companies also by the repeated lowering of the tax rate). The collection from PPIT from capital income increased by more than one tenth also due to the volume of bank deposits year-on-year. The collection of PPIT from self-employed also progresses favourably, especially as a result of cancellation of some tax reliefs when using capital expenditure allowances. </w:t>
            </w:r>
          </w:p>
          <w:p w:rsidR="00EB76A2" w:rsidRPr="000D44EC" w:rsidRDefault="00EB76A2" w:rsidP="00B70CF6">
            <w:pPr>
              <w:pStyle w:val="Textpoznpodarou"/>
              <w:jc w:val="both"/>
              <w:rPr>
                <w:rFonts w:cs="Arial"/>
                <w:spacing w:val="-4"/>
                <w:sz w:val="12"/>
                <w:szCs w:val="12"/>
                <w:lang w:val="en-GB"/>
              </w:rPr>
            </w:pPr>
          </w:p>
        </w:tc>
      </w:tr>
      <w:tr w:rsidR="00EB76A2" w:rsidRPr="000D44EC" w:rsidTr="00B70CF6">
        <w:tc>
          <w:tcPr>
            <w:tcW w:w="1055" w:type="pct"/>
            <w:gridSpan w:val="2"/>
          </w:tcPr>
          <w:p w:rsidR="00EB76A2" w:rsidRPr="000D44EC" w:rsidRDefault="00EB76A2" w:rsidP="00B70CF6">
            <w:pPr>
              <w:jc w:val="left"/>
              <w:rPr>
                <w:sz w:val="16"/>
                <w:szCs w:val="16"/>
                <w:lang w:val="en-GB"/>
              </w:rPr>
            </w:pPr>
            <w:r w:rsidRPr="000D44EC">
              <w:rPr>
                <w:sz w:val="16"/>
                <w:szCs w:val="16"/>
                <w:lang w:val="en-GB"/>
              </w:rPr>
              <w:t>Investment was falling already fourth year in a</w:t>
            </w:r>
            <w:r>
              <w:rPr>
                <w:sz w:val="16"/>
                <w:szCs w:val="16"/>
                <w:lang w:val="en-GB"/>
              </w:rPr>
              <w:t xml:space="preserve"> </w:t>
            </w:r>
            <w:r w:rsidRPr="000D44EC">
              <w:rPr>
                <w:sz w:val="16"/>
                <w:szCs w:val="16"/>
                <w:lang w:val="en-GB"/>
              </w:rPr>
              <w:t>row and reached 45 % of the level in H1 2010</w:t>
            </w:r>
          </w:p>
        </w:tc>
        <w:tc>
          <w:tcPr>
            <w:tcW w:w="142" w:type="pct"/>
          </w:tcPr>
          <w:p w:rsidR="00EB76A2" w:rsidRPr="000D44EC" w:rsidRDefault="00EB76A2" w:rsidP="00B70CF6">
            <w:pPr>
              <w:pStyle w:val="Textpoznpodarou"/>
              <w:jc w:val="both"/>
              <w:rPr>
                <w:lang w:val="en-GB"/>
              </w:rPr>
            </w:pPr>
          </w:p>
        </w:tc>
        <w:tc>
          <w:tcPr>
            <w:tcW w:w="3803" w:type="pct"/>
            <w:gridSpan w:val="3"/>
          </w:tcPr>
          <w:p w:rsidR="00EB76A2" w:rsidRPr="000D44EC" w:rsidRDefault="00EB76A2" w:rsidP="00B70CF6">
            <w:pPr>
              <w:pStyle w:val="Textpoznpodarou"/>
              <w:jc w:val="both"/>
              <w:rPr>
                <w:rFonts w:cs="Arial"/>
                <w:spacing w:val="-4"/>
                <w:lang w:val="en-GB"/>
              </w:rPr>
            </w:pPr>
            <w:r w:rsidRPr="000D44EC">
              <w:rPr>
                <w:rFonts w:cs="Arial"/>
                <w:spacing w:val="-4"/>
                <w:lang w:val="en-GB"/>
              </w:rPr>
              <w:t xml:space="preserve">Mild growth of total expenditure </w:t>
            </w:r>
            <w:r>
              <w:rPr>
                <w:rFonts w:cs="Arial"/>
                <w:spacing w:val="-4"/>
              </w:rPr>
              <w:t>(+6</w:t>
            </w:r>
            <w:proofErr w:type="gramStart"/>
            <w:r>
              <w:rPr>
                <w:rFonts w:cs="Arial"/>
                <w:spacing w:val="-4"/>
              </w:rPr>
              <w:t>,2</w:t>
            </w:r>
            <w:proofErr w:type="gramEnd"/>
            <w:r>
              <w:rPr>
                <w:rFonts w:cs="Arial"/>
                <w:spacing w:val="-4"/>
              </w:rPr>
              <w:t xml:space="preserve"> </w:t>
            </w:r>
            <w:proofErr w:type="spellStart"/>
            <w:r w:rsidRPr="000D44EC">
              <w:rPr>
                <w:rFonts w:cs="Arial"/>
                <w:spacing w:val="-4"/>
                <w:lang w:val="en-GB"/>
              </w:rPr>
              <w:t>bn</w:t>
            </w:r>
            <w:proofErr w:type="spellEnd"/>
            <w:r w:rsidRPr="000D44EC">
              <w:rPr>
                <w:rFonts w:cs="Arial"/>
                <w:spacing w:val="-4"/>
                <w:lang w:val="en-GB"/>
              </w:rPr>
              <w:t xml:space="preserve"> crowns</w:t>
            </w:r>
            <w:r>
              <w:rPr>
                <w:rFonts w:cs="Arial"/>
                <w:spacing w:val="-4"/>
                <w:lang w:val="en-GB"/>
              </w:rPr>
              <w:t>)</w:t>
            </w:r>
            <w:r>
              <w:rPr>
                <w:rFonts w:cs="Arial"/>
                <w:spacing w:val="-4"/>
              </w:rPr>
              <w:t xml:space="preserve"> </w:t>
            </w:r>
            <w:r w:rsidRPr="000D44EC">
              <w:rPr>
                <w:rFonts w:cs="Arial"/>
                <w:spacing w:val="-4"/>
                <w:lang w:val="en-GB"/>
              </w:rPr>
              <w:t>was driven only by current expenditure year-on-year (+1.5 %), the capital expenditure continued in decline already fourth year in a row. This year’s fall of investment</w:t>
            </w:r>
            <w:r w:rsidRPr="000D44EC">
              <w:rPr>
                <w:rStyle w:val="Znakapoznpodarou"/>
                <w:rFonts w:cs="Arial"/>
                <w:spacing w:val="-4"/>
                <w:lang w:val="en-GB"/>
              </w:rPr>
              <w:footnoteReference w:id="3"/>
            </w:r>
            <w:r w:rsidRPr="000D44EC">
              <w:rPr>
                <w:rFonts w:cs="Arial"/>
                <w:spacing w:val="-4"/>
                <w:lang w:val="en-GB"/>
              </w:rPr>
              <w:t xml:space="preserve"> was milder in contrast to the preceding years (and in comparison to year 2013) as well as anticipated by the budget. The lower anticipation of investment is connected to the decreasing need to </w:t>
            </w:r>
            <w:proofErr w:type="spellStart"/>
            <w:r w:rsidRPr="000D44EC">
              <w:rPr>
                <w:rFonts w:cs="Arial"/>
                <w:spacing w:val="-4"/>
                <w:lang w:val="en-GB"/>
              </w:rPr>
              <w:t>cofinance</w:t>
            </w:r>
            <w:proofErr w:type="spellEnd"/>
            <w:r w:rsidRPr="000D44EC">
              <w:rPr>
                <w:rFonts w:cs="Arial"/>
                <w:spacing w:val="-4"/>
                <w:lang w:val="en-GB"/>
              </w:rPr>
              <w:t xml:space="preserve"> the projects covered from the revenues from the EU associated with the </w:t>
            </w:r>
            <w:r w:rsidRPr="000D44EC">
              <w:rPr>
                <w:rFonts w:cs="Arial"/>
                <w:spacing w:val="-4"/>
                <w:lang w:val="en-GB"/>
              </w:rPr>
              <w:lastRenderedPageBreak/>
              <w:t xml:space="preserve">finishing programming period, partially also by the transfer of funds (8 </w:t>
            </w:r>
            <w:proofErr w:type="spellStart"/>
            <w:r w:rsidRPr="000D44EC">
              <w:rPr>
                <w:rFonts w:cs="Arial"/>
                <w:spacing w:val="-4"/>
                <w:lang w:val="en-GB"/>
              </w:rPr>
              <w:t>bn</w:t>
            </w:r>
            <w:proofErr w:type="spellEnd"/>
            <w:r w:rsidRPr="000D44EC">
              <w:rPr>
                <w:rFonts w:cs="Arial"/>
                <w:spacing w:val="-4"/>
                <w:lang w:val="en-GB"/>
              </w:rPr>
              <w:t xml:space="preserve"> crowns) to non-investment transfers (repair and maintenance of the rails). The investment shared in overall state expenditure by 5.3 % this year, by more than one half below the level of years 2008-10, but still more than in period </w:t>
            </w:r>
            <w:r w:rsidRPr="000D44EC">
              <w:rPr>
                <w:rFonts w:cs="Arial"/>
                <w:spacing w:val="-6"/>
                <w:lang w:val="en-GB"/>
              </w:rPr>
              <w:t>2006-7 (4.5 %).</w:t>
            </w:r>
          </w:p>
          <w:p w:rsidR="00EB76A2" w:rsidRPr="000D44EC" w:rsidRDefault="00EB76A2" w:rsidP="00B70CF6">
            <w:pPr>
              <w:pStyle w:val="Textpoznpodarou"/>
              <w:jc w:val="both"/>
              <w:rPr>
                <w:rFonts w:cs="Arial"/>
                <w:spacing w:val="-4"/>
                <w:sz w:val="12"/>
                <w:szCs w:val="12"/>
                <w:lang w:val="en-GB"/>
              </w:rPr>
            </w:pPr>
          </w:p>
        </w:tc>
      </w:tr>
      <w:tr w:rsidR="00EB76A2" w:rsidRPr="000D44EC" w:rsidTr="00B70CF6">
        <w:tc>
          <w:tcPr>
            <w:tcW w:w="1055" w:type="pct"/>
            <w:gridSpan w:val="2"/>
          </w:tcPr>
          <w:p w:rsidR="00EB76A2" w:rsidRPr="000D44EC" w:rsidRDefault="00EB76A2" w:rsidP="00B70CF6">
            <w:pPr>
              <w:jc w:val="left"/>
              <w:rPr>
                <w:sz w:val="16"/>
                <w:szCs w:val="16"/>
                <w:lang w:val="en-GB"/>
              </w:rPr>
            </w:pPr>
            <w:r w:rsidRPr="000D44EC">
              <w:rPr>
                <w:sz w:val="16"/>
                <w:szCs w:val="16"/>
                <w:lang w:val="en-GB"/>
              </w:rPr>
              <w:lastRenderedPageBreak/>
              <w:t>Stagnating expenditure on pensions reflects the lower rate of adjustment as well as demographic  trends</w:t>
            </w:r>
          </w:p>
          <w:p w:rsidR="00EB76A2" w:rsidRPr="000D44EC" w:rsidRDefault="00EB76A2" w:rsidP="00B70CF6">
            <w:pPr>
              <w:jc w:val="left"/>
              <w:rPr>
                <w:sz w:val="16"/>
                <w:szCs w:val="16"/>
                <w:lang w:val="en-GB"/>
              </w:rPr>
            </w:pPr>
          </w:p>
          <w:p w:rsidR="00EB76A2" w:rsidRPr="000D44EC" w:rsidRDefault="00EB76A2" w:rsidP="00B70CF6">
            <w:pPr>
              <w:jc w:val="left"/>
              <w:rPr>
                <w:sz w:val="16"/>
                <w:szCs w:val="16"/>
                <w:lang w:val="en-GB"/>
              </w:rPr>
            </w:pPr>
            <w:r w:rsidRPr="000D44EC">
              <w:rPr>
                <w:sz w:val="16"/>
                <w:szCs w:val="16"/>
                <w:lang w:val="en-GB"/>
              </w:rPr>
              <w:t>Mild improvement of pension account due to revival of insurance collection</w:t>
            </w:r>
          </w:p>
          <w:p w:rsidR="00EB76A2" w:rsidRPr="000D44EC" w:rsidRDefault="00EB76A2" w:rsidP="00B70CF6">
            <w:pPr>
              <w:jc w:val="left"/>
              <w:rPr>
                <w:sz w:val="16"/>
                <w:szCs w:val="16"/>
                <w:lang w:val="en-GB"/>
              </w:rPr>
            </w:pPr>
          </w:p>
          <w:p w:rsidR="00EB76A2" w:rsidRPr="000D44EC" w:rsidRDefault="00EB76A2" w:rsidP="00B70CF6">
            <w:pPr>
              <w:jc w:val="left"/>
              <w:rPr>
                <w:sz w:val="16"/>
                <w:szCs w:val="16"/>
                <w:lang w:val="en-GB"/>
              </w:rPr>
            </w:pPr>
          </w:p>
          <w:p w:rsidR="00EB76A2" w:rsidRPr="000D44EC" w:rsidRDefault="00EB76A2" w:rsidP="00B70CF6">
            <w:pPr>
              <w:jc w:val="left"/>
              <w:rPr>
                <w:sz w:val="16"/>
                <w:szCs w:val="16"/>
                <w:lang w:val="en-GB"/>
              </w:rPr>
            </w:pPr>
            <w:r w:rsidRPr="000D44EC">
              <w:rPr>
                <w:sz w:val="16"/>
                <w:szCs w:val="16"/>
                <w:lang w:val="en-GB"/>
              </w:rPr>
              <w:t>Expenditure of other social benefits were higher apart from the unemployment benefits year-on-year, however below the level of budget anticipations</w:t>
            </w:r>
          </w:p>
        </w:tc>
        <w:tc>
          <w:tcPr>
            <w:tcW w:w="142" w:type="pct"/>
          </w:tcPr>
          <w:p w:rsidR="00EB76A2" w:rsidRPr="000D44EC" w:rsidRDefault="00EB76A2" w:rsidP="00B70CF6">
            <w:pPr>
              <w:pStyle w:val="Textpoznpodarou"/>
              <w:jc w:val="both"/>
              <w:rPr>
                <w:lang w:val="en-GB"/>
              </w:rPr>
            </w:pPr>
          </w:p>
        </w:tc>
        <w:tc>
          <w:tcPr>
            <w:tcW w:w="3803" w:type="pct"/>
            <w:gridSpan w:val="3"/>
          </w:tcPr>
          <w:p w:rsidR="00EB76A2" w:rsidRPr="000D44EC" w:rsidRDefault="00EB76A2" w:rsidP="00B70CF6">
            <w:pPr>
              <w:pStyle w:val="Textpoznpodarou"/>
              <w:jc w:val="both"/>
              <w:rPr>
                <w:rFonts w:cs="Arial"/>
                <w:spacing w:val="-4"/>
                <w:lang w:val="en-GB"/>
              </w:rPr>
            </w:pPr>
            <w:r w:rsidRPr="000D44EC">
              <w:rPr>
                <w:rFonts w:cs="Arial"/>
                <w:spacing w:val="-4"/>
                <w:lang w:val="en-GB"/>
              </w:rPr>
              <w:t>Expenditure on pensions the most significant by volume (in line with the budget anticipations) stagnated year-on-year. The number of recipients mostly influ</w:t>
            </w:r>
            <w:r>
              <w:rPr>
                <w:rFonts w:cs="Arial"/>
                <w:spacing w:val="-4"/>
                <w:lang w:val="en-GB"/>
              </w:rPr>
              <w:t>ences the size of expenditure on</w:t>
            </w:r>
            <w:r w:rsidRPr="000D44EC">
              <w:rPr>
                <w:rFonts w:cs="Arial"/>
                <w:spacing w:val="-4"/>
                <w:lang w:val="en-GB"/>
              </w:rPr>
              <w:t xml:space="preserve"> pensions given the lower rate of adjustment, this number in fact stagnating eight quarters in a row. Adverse last year’s development for collection of social insurance on pensions halted, when it strengthened by 2.4 % </w:t>
            </w:r>
            <w:proofErr w:type="gramStart"/>
            <w:r w:rsidRPr="000D44EC">
              <w:rPr>
                <w:rFonts w:cs="Arial"/>
                <w:spacing w:val="-4"/>
                <w:lang w:val="en-GB"/>
              </w:rPr>
              <w:t>year-on-year</w:t>
            </w:r>
            <w:proofErr w:type="gramEnd"/>
            <w:r w:rsidRPr="000D44EC">
              <w:rPr>
                <w:rFonts w:cs="Arial"/>
                <w:spacing w:val="-4"/>
                <w:lang w:val="en-GB"/>
              </w:rPr>
              <w:t xml:space="preserve">. The pension account deficit lowered to 16 </w:t>
            </w:r>
            <w:proofErr w:type="spellStart"/>
            <w:r w:rsidRPr="000D44EC">
              <w:rPr>
                <w:rFonts w:cs="Arial"/>
                <w:spacing w:val="-4"/>
                <w:lang w:val="en-GB"/>
              </w:rPr>
              <w:t>bn</w:t>
            </w:r>
            <w:proofErr w:type="spellEnd"/>
            <w:r w:rsidRPr="000D44EC">
              <w:rPr>
                <w:rFonts w:cs="Arial"/>
                <w:spacing w:val="-4"/>
                <w:lang w:val="en-GB"/>
              </w:rPr>
              <w:t xml:space="preserve"> crowns according to the preliminary data in H1 </w:t>
            </w:r>
            <w:r>
              <w:rPr>
                <w:rFonts w:cs="Arial"/>
                <w:spacing w:val="-4"/>
                <w:lang w:val="en-GB"/>
              </w:rPr>
              <w:t xml:space="preserve">2014 </w:t>
            </w:r>
            <w:r w:rsidRPr="000D44EC">
              <w:rPr>
                <w:rFonts w:cs="Arial"/>
                <w:spacing w:val="-4"/>
                <w:lang w:val="en-GB"/>
              </w:rPr>
              <w:t xml:space="preserve">(by 3.5 </w:t>
            </w:r>
            <w:proofErr w:type="spellStart"/>
            <w:r w:rsidRPr="000D44EC">
              <w:rPr>
                <w:rFonts w:cs="Arial"/>
                <w:spacing w:val="-4"/>
                <w:lang w:val="en-GB"/>
              </w:rPr>
              <w:t>bn</w:t>
            </w:r>
            <w:proofErr w:type="spellEnd"/>
            <w:r w:rsidRPr="000D44EC">
              <w:rPr>
                <w:rFonts w:cs="Arial"/>
                <w:spacing w:val="-4"/>
                <w:lang w:val="en-GB"/>
              </w:rPr>
              <w:t xml:space="preserve"> crowns year-on-year), when it reached the </w:t>
            </w:r>
            <w:r>
              <w:rPr>
                <w:rFonts w:cs="Arial"/>
                <w:spacing w:val="-4"/>
                <w:lang w:val="en-GB"/>
              </w:rPr>
              <w:t>best result</w:t>
            </w:r>
            <w:r w:rsidRPr="000D44EC">
              <w:rPr>
                <w:rFonts w:cs="Arial"/>
                <w:spacing w:val="-4"/>
                <w:lang w:val="en-GB"/>
              </w:rPr>
              <w:t xml:space="preserve"> in the last four years. </w:t>
            </w:r>
          </w:p>
          <w:p w:rsidR="00EB76A2" w:rsidRPr="000D44EC" w:rsidRDefault="00EB76A2" w:rsidP="00B70CF6">
            <w:pPr>
              <w:pStyle w:val="Textpoznpodarou"/>
              <w:jc w:val="both"/>
              <w:rPr>
                <w:rFonts w:cs="Arial"/>
                <w:spacing w:val="-4"/>
                <w:sz w:val="12"/>
                <w:szCs w:val="12"/>
                <w:lang w:val="en-GB"/>
              </w:rPr>
            </w:pPr>
          </w:p>
          <w:p w:rsidR="00EB76A2" w:rsidRPr="000D44EC" w:rsidRDefault="00EB76A2" w:rsidP="00B70CF6">
            <w:pPr>
              <w:pStyle w:val="Textpoznpodarou"/>
              <w:jc w:val="both"/>
              <w:rPr>
                <w:rFonts w:cs="Arial"/>
                <w:spacing w:val="-4"/>
                <w:lang w:val="en-GB"/>
              </w:rPr>
            </w:pPr>
            <w:r w:rsidRPr="000D44EC">
              <w:rPr>
                <w:rFonts w:cs="Arial"/>
                <w:spacing w:val="-4"/>
                <w:lang w:val="en-GB"/>
              </w:rPr>
              <w:t xml:space="preserve">The state expended by 3.5 % more on other social benefits (even though their drawing was with respect to the approved budget year-on-year lower). The resources for the unemployment benefits somewhat declined in line with the situation on the labour market (-1.5 %), however the state spent more on other benefits – especially the social care allowances (mostly the aid in material hardship and care allowance), the sick benefits as well as significant by volume state social support (+1.2 %). Expenditure on all social benefits </w:t>
            </w:r>
            <w:r>
              <w:rPr>
                <w:rFonts w:cs="Arial"/>
                <w:spacing w:val="-4"/>
                <w:lang w:val="en-GB"/>
              </w:rPr>
              <w:t>(</w:t>
            </w:r>
            <w:r w:rsidRPr="00B83465">
              <w:rPr>
                <w:spacing w:val="-4"/>
                <w:lang w:val="en-GB"/>
              </w:rPr>
              <w:t xml:space="preserve">including also pensions) </w:t>
            </w:r>
            <w:r w:rsidRPr="000D44EC">
              <w:rPr>
                <w:rFonts w:cs="Arial"/>
                <w:spacing w:val="-4"/>
                <w:lang w:val="en-GB"/>
              </w:rPr>
              <w:t xml:space="preserve">cut from the budget 41 %, </w:t>
            </w:r>
            <w:r>
              <w:rPr>
                <w:rFonts w:cs="Arial"/>
                <w:spacing w:val="-4"/>
                <w:lang w:val="en-GB"/>
              </w:rPr>
              <w:t>(two years ago 42 %).</w:t>
            </w:r>
            <w:r w:rsidRPr="000D44EC">
              <w:rPr>
                <w:rFonts w:cs="Arial"/>
                <w:spacing w:val="-4"/>
                <w:lang w:val="en-GB"/>
              </w:rPr>
              <w:t xml:space="preserve"> </w:t>
            </w:r>
          </w:p>
          <w:p w:rsidR="00EB76A2" w:rsidRPr="000D44EC" w:rsidRDefault="00EB76A2" w:rsidP="00B70CF6">
            <w:pPr>
              <w:pStyle w:val="Textpoznpodarou"/>
              <w:jc w:val="both"/>
              <w:rPr>
                <w:rFonts w:cs="Arial"/>
                <w:spacing w:val="-4"/>
                <w:sz w:val="12"/>
                <w:szCs w:val="12"/>
                <w:lang w:val="en-GB"/>
              </w:rPr>
            </w:pPr>
          </w:p>
        </w:tc>
      </w:tr>
      <w:tr w:rsidR="00EB76A2" w:rsidRPr="000D44EC" w:rsidTr="00B70CF6">
        <w:tc>
          <w:tcPr>
            <w:tcW w:w="1055" w:type="pct"/>
            <w:gridSpan w:val="2"/>
          </w:tcPr>
          <w:p w:rsidR="00EB76A2" w:rsidRPr="000D44EC" w:rsidRDefault="00EB76A2" w:rsidP="00B70CF6">
            <w:pPr>
              <w:jc w:val="left"/>
              <w:rPr>
                <w:sz w:val="16"/>
                <w:szCs w:val="16"/>
                <w:lang w:val="en-GB"/>
              </w:rPr>
            </w:pPr>
            <w:r>
              <w:rPr>
                <w:sz w:val="16"/>
                <w:szCs w:val="16"/>
                <w:lang w:val="en-GB"/>
              </w:rPr>
              <w:t>Long-term trend</w:t>
            </w:r>
            <w:r w:rsidRPr="000D44EC">
              <w:rPr>
                <w:sz w:val="16"/>
                <w:szCs w:val="16"/>
                <w:lang w:val="en-GB"/>
              </w:rPr>
              <w:t xml:space="preserve"> of growth of expenditure on state debt halted thanks </w:t>
            </w:r>
            <w:r>
              <w:rPr>
                <w:sz w:val="16"/>
                <w:szCs w:val="16"/>
                <w:lang w:val="en-GB"/>
              </w:rPr>
              <w:t xml:space="preserve">also </w:t>
            </w:r>
            <w:r w:rsidRPr="000D44EC">
              <w:rPr>
                <w:sz w:val="16"/>
                <w:szCs w:val="16"/>
                <w:lang w:val="en-GB"/>
              </w:rPr>
              <w:t xml:space="preserve">to the favourable development of interest rates in H1 2014 </w:t>
            </w:r>
          </w:p>
          <w:p w:rsidR="00EB76A2" w:rsidRPr="000D44EC" w:rsidRDefault="00EB76A2" w:rsidP="00B70CF6">
            <w:pPr>
              <w:jc w:val="left"/>
              <w:rPr>
                <w:sz w:val="16"/>
                <w:szCs w:val="16"/>
                <w:lang w:val="en-GB"/>
              </w:rPr>
            </w:pPr>
          </w:p>
          <w:p w:rsidR="00EB76A2" w:rsidRPr="000D44EC" w:rsidRDefault="00EB76A2" w:rsidP="00B70CF6">
            <w:pPr>
              <w:jc w:val="left"/>
              <w:rPr>
                <w:sz w:val="16"/>
                <w:szCs w:val="16"/>
                <w:lang w:val="en-GB"/>
              </w:rPr>
            </w:pPr>
          </w:p>
        </w:tc>
        <w:tc>
          <w:tcPr>
            <w:tcW w:w="142" w:type="pct"/>
          </w:tcPr>
          <w:p w:rsidR="00EB76A2" w:rsidRPr="000D44EC" w:rsidRDefault="00EB76A2" w:rsidP="00B70CF6">
            <w:pPr>
              <w:pStyle w:val="Textpoznpodarou"/>
              <w:jc w:val="both"/>
              <w:rPr>
                <w:lang w:val="en-GB"/>
              </w:rPr>
            </w:pPr>
          </w:p>
        </w:tc>
        <w:tc>
          <w:tcPr>
            <w:tcW w:w="3803" w:type="pct"/>
            <w:gridSpan w:val="3"/>
          </w:tcPr>
          <w:p w:rsidR="00EB76A2" w:rsidRPr="000D44EC" w:rsidRDefault="00EB76A2" w:rsidP="00B70CF6">
            <w:pPr>
              <w:pStyle w:val="Textpoznpodarou"/>
              <w:jc w:val="both"/>
              <w:rPr>
                <w:rFonts w:cs="Arial"/>
                <w:spacing w:val="-4"/>
                <w:lang w:val="en-GB"/>
              </w:rPr>
            </w:pPr>
            <w:r w:rsidRPr="000D44EC">
              <w:rPr>
                <w:rFonts w:cs="Arial"/>
                <w:spacing w:val="-4"/>
                <w:lang w:val="en-GB"/>
              </w:rPr>
              <w:t xml:space="preserve">The legislatively amended higher payments for state insures and subsidies to the education system significant by volume as well as expenditure on wages of state employees (+ 3.3 %) contributed to the growth of current expenditure (+8 </w:t>
            </w:r>
            <w:proofErr w:type="spellStart"/>
            <w:r w:rsidRPr="000D44EC">
              <w:rPr>
                <w:rFonts w:cs="Arial"/>
                <w:spacing w:val="-4"/>
                <w:lang w:val="en-GB"/>
              </w:rPr>
              <w:t>bn</w:t>
            </w:r>
            <w:proofErr w:type="spellEnd"/>
            <w:r w:rsidRPr="000D44EC">
              <w:rPr>
                <w:rFonts w:cs="Arial"/>
                <w:spacing w:val="-4"/>
                <w:lang w:val="en-GB"/>
              </w:rPr>
              <w:t xml:space="preserve"> crowns). The state on the contrary saved on the non-investment purchases above the frame of the budget anticipations and also for expenditure connected to state debt, which fell for the first time since 2010 year-on-year. </w:t>
            </w:r>
          </w:p>
          <w:p w:rsidR="00EB76A2" w:rsidRPr="000D44EC" w:rsidRDefault="00EB76A2" w:rsidP="00B70CF6">
            <w:pPr>
              <w:pStyle w:val="Textpoznpodarou"/>
              <w:jc w:val="both"/>
              <w:rPr>
                <w:rFonts w:cs="Arial"/>
                <w:spacing w:val="-4"/>
                <w:lang w:val="en-GB"/>
              </w:rPr>
            </w:pPr>
            <w:r w:rsidRPr="000D44EC">
              <w:rPr>
                <w:rFonts w:cs="Arial"/>
                <w:spacing w:val="-4"/>
                <w:lang w:val="en-GB"/>
              </w:rPr>
              <w:t xml:space="preserve"> </w:t>
            </w:r>
          </w:p>
        </w:tc>
      </w:tr>
      <w:tr w:rsidR="00EB76A2" w:rsidRPr="000D44EC" w:rsidTr="00B70CF6">
        <w:tc>
          <w:tcPr>
            <w:tcW w:w="1055" w:type="pct"/>
            <w:gridSpan w:val="2"/>
          </w:tcPr>
          <w:p w:rsidR="00EB76A2" w:rsidRPr="000D44EC" w:rsidRDefault="00EB76A2" w:rsidP="00B70CF6">
            <w:pPr>
              <w:jc w:val="left"/>
              <w:rPr>
                <w:sz w:val="16"/>
                <w:szCs w:val="16"/>
                <w:lang w:val="en-GB"/>
              </w:rPr>
            </w:pPr>
            <w:r w:rsidRPr="000D44EC">
              <w:rPr>
                <w:sz w:val="16"/>
                <w:szCs w:val="16"/>
                <w:lang w:val="en-GB"/>
              </w:rPr>
              <w:t>Net position of the CR towards the EU budget was the highest in history in H1 2014</w:t>
            </w:r>
          </w:p>
        </w:tc>
        <w:tc>
          <w:tcPr>
            <w:tcW w:w="142" w:type="pct"/>
          </w:tcPr>
          <w:p w:rsidR="00EB76A2" w:rsidRPr="000D44EC" w:rsidRDefault="00EB76A2" w:rsidP="00B70CF6">
            <w:pPr>
              <w:pStyle w:val="Textpoznpodarou"/>
              <w:jc w:val="both"/>
              <w:rPr>
                <w:lang w:val="en-GB"/>
              </w:rPr>
            </w:pPr>
          </w:p>
        </w:tc>
        <w:tc>
          <w:tcPr>
            <w:tcW w:w="3803" w:type="pct"/>
            <w:gridSpan w:val="3"/>
          </w:tcPr>
          <w:p w:rsidR="00EB76A2" w:rsidRPr="000D44EC" w:rsidRDefault="00EB76A2" w:rsidP="00B70CF6">
            <w:pPr>
              <w:pStyle w:val="Textpoznpodarou"/>
              <w:jc w:val="both"/>
              <w:rPr>
                <w:rFonts w:cs="Arial"/>
                <w:spacing w:val="-4"/>
                <w:lang w:val="en-GB"/>
              </w:rPr>
            </w:pPr>
            <w:r w:rsidRPr="000D44EC">
              <w:rPr>
                <w:rFonts w:cs="Arial"/>
                <w:spacing w:val="-4"/>
                <w:lang w:val="en-GB"/>
              </w:rPr>
              <w:t xml:space="preserve">Even despite a mild increase in payments to the EU budget (+1.2 </w:t>
            </w:r>
            <w:proofErr w:type="spellStart"/>
            <w:r w:rsidRPr="000D44EC">
              <w:rPr>
                <w:rFonts w:cs="Arial"/>
                <w:spacing w:val="-4"/>
                <w:lang w:val="en-GB"/>
              </w:rPr>
              <w:t>bn</w:t>
            </w:r>
            <w:proofErr w:type="spellEnd"/>
            <w:r w:rsidRPr="000D44EC">
              <w:rPr>
                <w:rFonts w:cs="Arial"/>
                <w:spacing w:val="-4"/>
                <w:lang w:val="en-GB"/>
              </w:rPr>
              <w:t xml:space="preserve"> crowns) the intensive drawing of all funds from the EU was reflected in further strengthening of positive position of the CR towards the EU budget. It arrived at record 56.4 </w:t>
            </w:r>
            <w:proofErr w:type="spellStart"/>
            <w:r w:rsidRPr="000D44EC">
              <w:rPr>
                <w:rFonts w:cs="Arial"/>
                <w:spacing w:val="-4"/>
                <w:lang w:val="en-GB"/>
              </w:rPr>
              <w:t>bn</w:t>
            </w:r>
            <w:proofErr w:type="spellEnd"/>
            <w:r w:rsidRPr="000D44EC">
              <w:rPr>
                <w:rFonts w:cs="Arial"/>
                <w:spacing w:val="-4"/>
                <w:lang w:val="en-GB"/>
              </w:rPr>
              <w:t xml:space="preserve"> crowns for H1 2014. The positive balance of the CR in relation to the European budget reached nearly 390 </w:t>
            </w:r>
            <w:proofErr w:type="spellStart"/>
            <w:r w:rsidRPr="000D44EC">
              <w:rPr>
                <w:rFonts w:cs="Arial"/>
                <w:spacing w:val="-4"/>
                <w:lang w:val="en-GB"/>
              </w:rPr>
              <w:t>bn</w:t>
            </w:r>
            <w:proofErr w:type="spellEnd"/>
            <w:r w:rsidRPr="000D44EC">
              <w:rPr>
                <w:rFonts w:cs="Arial"/>
                <w:spacing w:val="-4"/>
                <w:lang w:val="en-GB"/>
              </w:rPr>
              <w:t xml:space="preserve"> crowns since the accession to the EU till the half of year 2014 (given the total revenues of nearly 760 </w:t>
            </w:r>
            <w:proofErr w:type="spellStart"/>
            <w:r w:rsidRPr="000D44EC">
              <w:rPr>
                <w:rFonts w:cs="Arial"/>
                <w:spacing w:val="-4"/>
                <w:lang w:val="en-GB"/>
              </w:rPr>
              <w:t>bn</w:t>
            </w:r>
            <w:proofErr w:type="spellEnd"/>
            <w:r w:rsidRPr="000D44EC">
              <w:rPr>
                <w:rFonts w:cs="Arial"/>
                <w:spacing w:val="-4"/>
                <w:lang w:val="en-GB"/>
              </w:rPr>
              <w:t xml:space="preserve"> crowns). Especially the faster drawing of funds from the Structural and Cohesion Funds stayed behind the markedly higher balance. Direct payments (from Common agricultural policy) constituted more than one quarter of total revenues in H1</w:t>
            </w:r>
            <w:r>
              <w:rPr>
                <w:rFonts w:cs="Arial"/>
                <w:spacing w:val="-4"/>
                <w:lang w:val="en-GB"/>
              </w:rPr>
              <w:t xml:space="preserve"> 2014</w:t>
            </w:r>
            <w:r w:rsidRPr="000D44EC">
              <w:rPr>
                <w:rFonts w:cs="Arial"/>
                <w:spacing w:val="-4"/>
                <w:lang w:val="en-GB"/>
              </w:rPr>
              <w:t>.</w:t>
            </w:r>
          </w:p>
          <w:p w:rsidR="00EB76A2" w:rsidRPr="000D44EC" w:rsidRDefault="00EB76A2" w:rsidP="00B70CF6">
            <w:pPr>
              <w:pStyle w:val="Textpoznpodarou"/>
              <w:jc w:val="both"/>
              <w:rPr>
                <w:rFonts w:cs="Arial"/>
                <w:spacing w:val="-4"/>
                <w:sz w:val="12"/>
                <w:szCs w:val="12"/>
                <w:lang w:val="en-GB"/>
              </w:rPr>
            </w:pPr>
          </w:p>
        </w:tc>
      </w:tr>
      <w:tr w:rsidR="00EB76A2" w:rsidRPr="000D44EC" w:rsidTr="00B70CF6">
        <w:tc>
          <w:tcPr>
            <w:tcW w:w="1055" w:type="pct"/>
            <w:gridSpan w:val="2"/>
          </w:tcPr>
          <w:p w:rsidR="00EB76A2" w:rsidRPr="000D44EC" w:rsidRDefault="00EB76A2" w:rsidP="00B70CF6">
            <w:pPr>
              <w:jc w:val="left"/>
              <w:rPr>
                <w:spacing w:val="-2"/>
                <w:sz w:val="16"/>
                <w:szCs w:val="16"/>
                <w:lang w:val="en-GB"/>
              </w:rPr>
            </w:pPr>
            <w:r w:rsidRPr="000D44EC">
              <w:rPr>
                <w:spacing w:val="-2"/>
                <w:sz w:val="16"/>
                <w:szCs w:val="16"/>
                <w:lang w:val="en-GB"/>
              </w:rPr>
              <w:t>The size of state debt stagnated also due to repayment of foreign bonds in Q1</w:t>
            </w:r>
          </w:p>
        </w:tc>
        <w:tc>
          <w:tcPr>
            <w:tcW w:w="142" w:type="pct"/>
          </w:tcPr>
          <w:p w:rsidR="00EB76A2" w:rsidRPr="000D44EC" w:rsidRDefault="00EB76A2" w:rsidP="00B70CF6">
            <w:pPr>
              <w:pStyle w:val="Textpoznpodarou"/>
              <w:jc w:val="both"/>
              <w:rPr>
                <w:lang w:val="en-GB"/>
              </w:rPr>
            </w:pPr>
          </w:p>
        </w:tc>
        <w:tc>
          <w:tcPr>
            <w:tcW w:w="3803" w:type="pct"/>
            <w:gridSpan w:val="3"/>
          </w:tcPr>
          <w:p w:rsidR="00EB76A2" w:rsidRPr="000D44EC" w:rsidRDefault="00EB76A2" w:rsidP="00B70CF6">
            <w:pPr>
              <w:pStyle w:val="Textpoznpodarou"/>
              <w:jc w:val="both"/>
              <w:rPr>
                <w:lang w:val="en-GB"/>
              </w:rPr>
            </w:pPr>
            <w:r w:rsidRPr="000D44EC">
              <w:rPr>
                <w:lang w:val="en-GB"/>
              </w:rPr>
              <w:t xml:space="preserve">The overall state debt has not changed in first half year and it arrived to 1683 </w:t>
            </w:r>
            <w:proofErr w:type="spellStart"/>
            <w:r w:rsidRPr="000D44EC">
              <w:rPr>
                <w:lang w:val="en-GB"/>
              </w:rPr>
              <w:t>bn</w:t>
            </w:r>
            <w:proofErr w:type="spellEnd"/>
            <w:r w:rsidRPr="000D44EC">
              <w:rPr>
                <w:lang w:val="en-GB"/>
              </w:rPr>
              <w:t xml:space="preserve"> crowns at the end of June. Nearly four fifths of the total debt belonged to internal indebtedness (it increased by 53 </w:t>
            </w:r>
            <w:proofErr w:type="spellStart"/>
            <w:r w:rsidRPr="000D44EC">
              <w:rPr>
                <w:lang w:val="en-GB"/>
              </w:rPr>
              <w:t>bn</w:t>
            </w:r>
            <w:proofErr w:type="spellEnd"/>
            <w:r w:rsidRPr="000D44EC">
              <w:rPr>
                <w:lang w:val="en-GB"/>
              </w:rPr>
              <w:t xml:space="preserve"> crowns since the beginning of the year). Both the repayments of foreign bonds and an absence of new borrowing (during the whole this year's half year) favourably impacted the development of the external debt. </w:t>
            </w:r>
          </w:p>
        </w:tc>
      </w:tr>
      <w:tr w:rsidR="00EB76A2" w:rsidRPr="000D44EC" w:rsidTr="00B70CF6">
        <w:tc>
          <w:tcPr>
            <w:tcW w:w="1055" w:type="pct"/>
            <w:gridSpan w:val="2"/>
          </w:tcPr>
          <w:p w:rsidR="00EB76A2" w:rsidRPr="000D44EC" w:rsidRDefault="00EB76A2" w:rsidP="00B70CF6">
            <w:pPr>
              <w:jc w:val="left"/>
              <w:rPr>
                <w:spacing w:val="-2"/>
                <w:sz w:val="16"/>
                <w:szCs w:val="16"/>
                <w:lang w:val="en-GB"/>
              </w:rPr>
            </w:pPr>
          </w:p>
        </w:tc>
        <w:tc>
          <w:tcPr>
            <w:tcW w:w="142" w:type="pct"/>
          </w:tcPr>
          <w:p w:rsidR="00EB76A2" w:rsidRPr="000D44EC" w:rsidRDefault="00EB76A2" w:rsidP="00B70CF6">
            <w:pPr>
              <w:pStyle w:val="Textpoznpodarou"/>
              <w:jc w:val="both"/>
              <w:rPr>
                <w:lang w:val="en-GB"/>
              </w:rPr>
            </w:pPr>
          </w:p>
        </w:tc>
        <w:tc>
          <w:tcPr>
            <w:tcW w:w="3803" w:type="pct"/>
            <w:gridSpan w:val="3"/>
          </w:tcPr>
          <w:p w:rsidR="00EB76A2" w:rsidRPr="000D44EC" w:rsidRDefault="00EB76A2" w:rsidP="00B70CF6">
            <w:pPr>
              <w:pStyle w:val="Textpoznpodarou"/>
              <w:jc w:val="both"/>
              <w:rPr>
                <w:lang w:val="en-GB"/>
              </w:rPr>
            </w:pPr>
          </w:p>
        </w:tc>
      </w:tr>
      <w:tr w:rsidR="00EB76A2" w:rsidRPr="000D44EC" w:rsidTr="00B70CF6">
        <w:tc>
          <w:tcPr>
            <w:tcW w:w="530" w:type="pct"/>
          </w:tcPr>
          <w:p w:rsidR="00EB76A2" w:rsidRPr="000D44EC" w:rsidRDefault="00EB76A2" w:rsidP="00B70CF6">
            <w:pPr>
              <w:jc w:val="left"/>
              <w:rPr>
                <w:lang w:val="en-GB"/>
              </w:rPr>
            </w:pPr>
            <w:r w:rsidRPr="000D44EC">
              <w:rPr>
                <w:lang w:val="en-GB"/>
              </w:rPr>
              <w:t>Chart 21</w:t>
            </w:r>
          </w:p>
        </w:tc>
        <w:tc>
          <w:tcPr>
            <w:tcW w:w="2022" w:type="pct"/>
            <w:gridSpan w:val="3"/>
          </w:tcPr>
          <w:p w:rsidR="00EB76A2" w:rsidRPr="000D44EC" w:rsidRDefault="00EB76A2" w:rsidP="00B70CF6">
            <w:pPr>
              <w:jc w:val="left"/>
              <w:rPr>
                <w:lang w:val="en-GB"/>
              </w:rPr>
            </w:pPr>
            <w:r w:rsidRPr="000D44EC">
              <w:rPr>
                <w:rFonts w:cs="Arial"/>
                <w:b/>
                <w:bCs/>
                <w:lang w:val="en-GB"/>
              </w:rPr>
              <w:t>State-wide collection of tax revenues and state budget balance development</w:t>
            </w:r>
          </w:p>
        </w:tc>
        <w:tc>
          <w:tcPr>
            <w:tcW w:w="554" w:type="pct"/>
          </w:tcPr>
          <w:p w:rsidR="00EB76A2" w:rsidRPr="000D44EC" w:rsidRDefault="00EB76A2" w:rsidP="00B70CF6">
            <w:pPr>
              <w:jc w:val="left"/>
              <w:rPr>
                <w:lang w:val="en-GB"/>
              </w:rPr>
            </w:pPr>
            <w:r w:rsidRPr="000D44EC">
              <w:rPr>
                <w:lang w:val="en-GB"/>
              </w:rPr>
              <w:t>Chart 22</w:t>
            </w:r>
          </w:p>
        </w:tc>
        <w:tc>
          <w:tcPr>
            <w:tcW w:w="1894" w:type="pct"/>
          </w:tcPr>
          <w:p w:rsidR="00EB76A2" w:rsidRPr="000D44EC" w:rsidRDefault="00EB76A2" w:rsidP="00B70CF6">
            <w:pPr>
              <w:jc w:val="left"/>
              <w:rPr>
                <w:lang w:val="en-GB"/>
              </w:rPr>
            </w:pPr>
            <w:r w:rsidRPr="000D44EC">
              <w:rPr>
                <w:rFonts w:cs="Arial"/>
                <w:b/>
                <w:bCs/>
                <w:lang w:val="en-GB"/>
              </w:rPr>
              <w:t>Pension account balance and number of pensioners development</w:t>
            </w:r>
          </w:p>
        </w:tc>
      </w:tr>
      <w:tr w:rsidR="00EB76A2" w:rsidRPr="000D44EC" w:rsidTr="00B70CF6">
        <w:tc>
          <w:tcPr>
            <w:tcW w:w="2552" w:type="pct"/>
            <w:gridSpan w:val="4"/>
          </w:tcPr>
          <w:p w:rsidR="00EB76A2" w:rsidRPr="00284319" w:rsidRDefault="00A21C1A" w:rsidP="00B70CF6">
            <w:pPr>
              <w:pStyle w:val="Textpoznpodarou"/>
              <w:jc w:val="both"/>
              <w:rPr>
                <w:sz w:val="4"/>
                <w:szCs w:val="4"/>
                <w:lang w:val="en-GB"/>
              </w:rPr>
            </w:pPr>
            <w:r w:rsidRPr="00007ED0">
              <w:rPr>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93.5pt">
                  <v:imagedata r:id="rId8" o:title=""/>
                </v:shape>
              </w:pict>
            </w:r>
          </w:p>
        </w:tc>
        <w:tc>
          <w:tcPr>
            <w:tcW w:w="2448" w:type="pct"/>
            <w:gridSpan w:val="2"/>
          </w:tcPr>
          <w:p w:rsidR="00EB76A2" w:rsidRPr="00284319" w:rsidRDefault="00A21C1A" w:rsidP="00B70CF6">
            <w:pPr>
              <w:pStyle w:val="Textpoznpodarou"/>
              <w:jc w:val="both"/>
              <w:rPr>
                <w:sz w:val="4"/>
                <w:szCs w:val="4"/>
                <w:lang w:val="en-GB"/>
              </w:rPr>
            </w:pPr>
            <w:r w:rsidRPr="00007ED0">
              <w:rPr>
                <w:lang w:val="en-GB"/>
              </w:rPr>
              <w:pict>
                <v:shape id="_x0000_i1026" type="#_x0000_t75" style="width:233.25pt;height:194.25pt">
                  <v:imagedata r:id="rId9" o:title=""/>
                </v:shape>
              </w:pict>
            </w:r>
          </w:p>
        </w:tc>
      </w:tr>
      <w:tr w:rsidR="00EB76A2" w:rsidRPr="000D44EC" w:rsidTr="00B70CF6">
        <w:trPr>
          <w:trHeight w:val="350"/>
        </w:trPr>
        <w:tc>
          <w:tcPr>
            <w:tcW w:w="5000" w:type="pct"/>
            <w:gridSpan w:val="6"/>
          </w:tcPr>
          <w:p w:rsidR="00EB76A2" w:rsidRPr="000D44EC" w:rsidRDefault="00EB76A2" w:rsidP="00B70CF6">
            <w:pPr>
              <w:pStyle w:val="Textpoznpodarou"/>
              <w:jc w:val="right"/>
              <w:rPr>
                <w:sz w:val="16"/>
                <w:szCs w:val="16"/>
                <w:lang w:val="en-GB"/>
              </w:rPr>
            </w:pPr>
            <w:r w:rsidRPr="000D44EC">
              <w:rPr>
                <w:rFonts w:cs="Arial"/>
                <w:sz w:val="18"/>
                <w:szCs w:val="18"/>
                <w:lang w:val="en-GB"/>
              </w:rPr>
              <w:t>Source: MF CR, ČSSA</w:t>
            </w:r>
          </w:p>
        </w:tc>
      </w:tr>
    </w:tbl>
    <w:p w:rsidR="00EB76A2" w:rsidRPr="000D44EC" w:rsidRDefault="00EB76A2" w:rsidP="00EB76A2">
      <w:pPr>
        <w:pStyle w:val="Textpoznpodarou"/>
        <w:jc w:val="both"/>
        <w:rPr>
          <w:sz w:val="6"/>
          <w:szCs w:val="6"/>
          <w:lang w:val="en-GB"/>
        </w:rPr>
      </w:pPr>
    </w:p>
    <w:tbl>
      <w:tblPr>
        <w:tblW w:w="4993" w:type="pct"/>
        <w:tblInd w:w="28" w:type="dxa"/>
        <w:tblLayout w:type="fixed"/>
        <w:tblCellMar>
          <w:left w:w="28" w:type="dxa"/>
          <w:right w:w="28" w:type="dxa"/>
        </w:tblCellMar>
        <w:tblLook w:val="04A0"/>
      </w:tblPr>
      <w:tblGrid>
        <w:gridCol w:w="987"/>
        <w:gridCol w:w="3872"/>
        <w:gridCol w:w="949"/>
        <w:gridCol w:w="3872"/>
      </w:tblGrid>
      <w:tr w:rsidR="00EB76A2" w:rsidRPr="000D44EC" w:rsidTr="00B70CF6">
        <w:tc>
          <w:tcPr>
            <w:tcW w:w="510" w:type="pct"/>
          </w:tcPr>
          <w:p w:rsidR="00EB76A2" w:rsidRPr="000D44EC" w:rsidRDefault="00EB76A2" w:rsidP="00B70CF6">
            <w:pPr>
              <w:jc w:val="left"/>
              <w:rPr>
                <w:lang w:val="en-GB"/>
              </w:rPr>
            </w:pPr>
            <w:r w:rsidRPr="000D44EC">
              <w:rPr>
                <w:lang w:val="en-GB"/>
              </w:rPr>
              <w:t>Chart 23</w:t>
            </w:r>
          </w:p>
        </w:tc>
        <w:tc>
          <w:tcPr>
            <w:tcW w:w="2000" w:type="pct"/>
          </w:tcPr>
          <w:p w:rsidR="00EB76A2" w:rsidRPr="000D44EC" w:rsidRDefault="00EB76A2" w:rsidP="00B70CF6">
            <w:pPr>
              <w:pStyle w:val="Textpoznpodarou"/>
              <w:rPr>
                <w:rFonts w:cs="Arial"/>
                <w:szCs w:val="24"/>
                <w:lang w:val="en-GB"/>
              </w:rPr>
            </w:pPr>
            <w:r w:rsidRPr="000D44EC">
              <w:rPr>
                <w:rFonts w:cs="Arial"/>
                <w:b/>
                <w:bCs/>
                <w:lang w:val="en-GB"/>
              </w:rPr>
              <w:t>Revenues and expenditures of the state budget with respect to the EU</w:t>
            </w:r>
          </w:p>
        </w:tc>
        <w:tc>
          <w:tcPr>
            <w:tcW w:w="490" w:type="pct"/>
          </w:tcPr>
          <w:p w:rsidR="00EB76A2" w:rsidRPr="000D44EC" w:rsidRDefault="00EB76A2" w:rsidP="00B70CF6">
            <w:pPr>
              <w:jc w:val="left"/>
              <w:rPr>
                <w:lang w:val="en-GB"/>
              </w:rPr>
            </w:pPr>
            <w:r w:rsidRPr="000D44EC">
              <w:rPr>
                <w:lang w:val="en-GB"/>
              </w:rPr>
              <w:t>Chart 24</w:t>
            </w:r>
          </w:p>
        </w:tc>
        <w:tc>
          <w:tcPr>
            <w:tcW w:w="2000" w:type="pct"/>
          </w:tcPr>
          <w:p w:rsidR="00EB76A2" w:rsidRPr="000D44EC" w:rsidRDefault="00EB76A2" w:rsidP="00B70CF6">
            <w:pPr>
              <w:rPr>
                <w:lang w:val="en-GB"/>
              </w:rPr>
            </w:pPr>
            <w:r w:rsidRPr="000D44EC">
              <w:rPr>
                <w:rFonts w:cs="Arial"/>
                <w:b/>
                <w:bCs/>
                <w:lang w:val="en-GB"/>
              </w:rPr>
              <w:t>Selected state budget expenditures in 1</w:t>
            </w:r>
            <w:r w:rsidRPr="000D44EC">
              <w:rPr>
                <w:rFonts w:cs="Arial"/>
                <w:b/>
                <w:bCs/>
                <w:vertAlign w:val="superscript"/>
                <w:lang w:val="en-GB"/>
              </w:rPr>
              <w:t>st</w:t>
            </w:r>
            <w:r w:rsidRPr="000D44EC">
              <w:rPr>
                <w:rFonts w:cs="Arial"/>
                <w:b/>
                <w:bCs/>
                <w:lang w:val="en-GB"/>
              </w:rPr>
              <w:t xml:space="preserve"> half-year 2005-2013</w:t>
            </w:r>
          </w:p>
        </w:tc>
      </w:tr>
      <w:tr w:rsidR="00EB76A2" w:rsidRPr="000D44EC" w:rsidTr="00B70CF6">
        <w:tc>
          <w:tcPr>
            <w:tcW w:w="2510" w:type="pct"/>
            <w:gridSpan w:val="2"/>
          </w:tcPr>
          <w:p w:rsidR="00EB76A2" w:rsidRPr="009F4666" w:rsidRDefault="00A21C1A" w:rsidP="00B70CF6">
            <w:pPr>
              <w:pStyle w:val="Textpoznpodarou"/>
              <w:jc w:val="both"/>
              <w:rPr>
                <w:sz w:val="4"/>
                <w:szCs w:val="4"/>
                <w:lang w:val="en-GB"/>
              </w:rPr>
            </w:pPr>
            <w:r w:rsidRPr="00007ED0">
              <w:rPr>
                <w:lang w:val="en-GB"/>
              </w:rPr>
              <w:pict>
                <v:shape id="_x0000_i1027" type="#_x0000_t75" style="width:235.5pt;height:186.75pt">
                  <v:imagedata r:id="rId10" o:title=""/>
                </v:shape>
              </w:pict>
            </w:r>
          </w:p>
        </w:tc>
        <w:tc>
          <w:tcPr>
            <w:tcW w:w="2490" w:type="pct"/>
            <w:gridSpan w:val="2"/>
          </w:tcPr>
          <w:p w:rsidR="00EB76A2" w:rsidRPr="000D44EC" w:rsidRDefault="00A21C1A" w:rsidP="00B70CF6">
            <w:pPr>
              <w:pStyle w:val="Textpoznpodarou"/>
              <w:jc w:val="both"/>
              <w:rPr>
                <w:lang w:val="en-GB"/>
              </w:rPr>
            </w:pPr>
            <w:r w:rsidRPr="00007ED0">
              <w:rPr>
                <w:lang w:val="en-GB"/>
              </w:rPr>
              <w:pict>
                <v:shape id="_x0000_i1028" type="#_x0000_t75" style="width:237.75pt;height:186.75pt">
                  <v:imagedata r:id="rId11" o:title=""/>
                </v:shape>
              </w:pict>
            </w:r>
          </w:p>
        </w:tc>
      </w:tr>
      <w:tr w:rsidR="00EB76A2" w:rsidRPr="000D44EC" w:rsidTr="00B70CF6">
        <w:tc>
          <w:tcPr>
            <w:tcW w:w="2510" w:type="pct"/>
            <w:gridSpan w:val="2"/>
          </w:tcPr>
          <w:p w:rsidR="00EB76A2" w:rsidRPr="000D44EC" w:rsidRDefault="00EB76A2" w:rsidP="00B70CF6">
            <w:pPr>
              <w:pStyle w:val="Textpoznpodarou"/>
              <w:jc w:val="both"/>
              <w:rPr>
                <w:sz w:val="16"/>
                <w:szCs w:val="16"/>
                <w:lang w:val="en-GB"/>
              </w:rPr>
            </w:pPr>
            <w:r w:rsidRPr="000D44EC">
              <w:rPr>
                <w:sz w:val="16"/>
                <w:szCs w:val="16"/>
                <w:lang w:val="en-GB"/>
              </w:rPr>
              <w:t>*</w:t>
            </w:r>
            <w:r>
              <w:rPr>
                <w:sz w:val="16"/>
                <w:szCs w:val="16"/>
                <w:lang w:val="en-GB"/>
              </w:rPr>
              <w:t>only the funds to cover expenditure on Common agricultural policy under management of Ministry of Agriculture are included out of transfers received from the EU</w:t>
            </w:r>
          </w:p>
        </w:tc>
        <w:tc>
          <w:tcPr>
            <w:tcW w:w="2490" w:type="pct"/>
            <w:gridSpan w:val="2"/>
          </w:tcPr>
          <w:p w:rsidR="00EB76A2" w:rsidRPr="0021137F" w:rsidRDefault="00EB76A2" w:rsidP="00B70CF6">
            <w:pPr>
              <w:pStyle w:val="Textpoznpodarou"/>
              <w:rPr>
                <w:rFonts w:cs="Arial"/>
                <w:spacing w:val="-2"/>
                <w:sz w:val="18"/>
                <w:szCs w:val="18"/>
                <w:lang w:val="en-GB"/>
              </w:rPr>
            </w:pPr>
            <w:r w:rsidRPr="0021137F">
              <w:rPr>
                <w:rFonts w:cs="Arial"/>
                <w:spacing w:val="-2"/>
                <w:sz w:val="18"/>
                <w:szCs w:val="18"/>
                <w:lang w:val="en-GB"/>
              </w:rPr>
              <w:t>* Foster care benefits and grants are also included</w:t>
            </w:r>
          </w:p>
          <w:p w:rsidR="00EB76A2" w:rsidRPr="0021137F" w:rsidRDefault="00EB76A2" w:rsidP="00B70CF6">
            <w:pPr>
              <w:pStyle w:val="Textpoznpodarou"/>
              <w:rPr>
                <w:rFonts w:cs="Arial"/>
                <w:spacing w:val="-2"/>
                <w:sz w:val="18"/>
                <w:szCs w:val="18"/>
                <w:lang w:val="en-GB"/>
              </w:rPr>
            </w:pPr>
            <w:r w:rsidRPr="0021137F">
              <w:rPr>
                <w:rFonts w:cs="Arial"/>
                <w:spacing w:val="-2"/>
                <w:sz w:val="18"/>
                <w:szCs w:val="18"/>
                <w:lang w:val="en-GB"/>
              </w:rPr>
              <w:t>** Include:</w:t>
            </w:r>
            <w:r w:rsidRPr="0021137F">
              <w:rPr>
                <w:spacing w:val="-2"/>
                <w:sz w:val="18"/>
                <w:szCs w:val="18"/>
                <w:lang w:val="en-GB"/>
              </w:rPr>
              <w:t xml:space="preserve"> Material</w:t>
            </w:r>
            <w:r w:rsidRPr="0021137F">
              <w:rPr>
                <w:rFonts w:cs="Arial"/>
                <w:spacing w:val="-2"/>
                <w:sz w:val="18"/>
                <w:szCs w:val="18"/>
                <w:lang w:val="en-GB"/>
              </w:rPr>
              <w:t xml:space="preserve"> </w:t>
            </w:r>
            <w:r w:rsidRPr="0021137F">
              <w:rPr>
                <w:spacing w:val="-2"/>
                <w:sz w:val="18"/>
                <w:szCs w:val="18"/>
                <w:lang w:val="en-GB"/>
              </w:rPr>
              <w:t>need</w:t>
            </w:r>
            <w:r w:rsidRPr="0021137F">
              <w:rPr>
                <w:rFonts w:cs="Arial"/>
                <w:spacing w:val="-2"/>
                <w:sz w:val="18"/>
                <w:szCs w:val="18"/>
                <w:lang w:val="en-GB"/>
              </w:rPr>
              <w:t xml:space="preserve"> </w:t>
            </w:r>
            <w:r w:rsidRPr="0021137F">
              <w:rPr>
                <w:spacing w:val="-2"/>
                <w:sz w:val="18"/>
                <w:szCs w:val="18"/>
                <w:lang w:val="en-GB"/>
              </w:rPr>
              <w:t>benefits, Benefits for persons with</w:t>
            </w:r>
            <w:r w:rsidRPr="0021137F">
              <w:rPr>
                <w:rFonts w:cs="Arial"/>
                <w:spacing w:val="-2"/>
                <w:sz w:val="18"/>
                <w:szCs w:val="18"/>
                <w:lang w:val="en-GB"/>
              </w:rPr>
              <w:t xml:space="preserve"> </w:t>
            </w:r>
            <w:r w:rsidRPr="0021137F">
              <w:rPr>
                <w:spacing w:val="-2"/>
                <w:sz w:val="18"/>
                <w:szCs w:val="18"/>
                <w:lang w:val="en-GB"/>
              </w:rPr>
              <w:t>disabilities</w:t>
            </w:r>
            <w:r w:rsidRPr="0021137F">
              <w:rPr>
                <w:rFonts w:cs="Arial"/>
                <w:spacing w:val="-2"/>
                <w:sz w:val="18"/>
                <w:szCs w:val="18"/>
                <w:lang w:val="en-GB"/>
              </w:rPr>
              <w:t>,</w:t>
            </w:r>
            <w:r w:rsidRPr="0021137F">
              <w:rPr>
                <w:spacing w:val="-2"/>
                <w:sz w:val="18"/>
                <w:szCs w:val="18"/>
                <w:lang w:val="en-GB"/>
              </w:rPr>
              <w:t xml:space="preserve"> Care benefits (under the Act on</w:t>
            </w:r>
            <w:r w:rsidRPr="0021137F">
              <w:rPr>
                <w:rFonts w:cs="Arial"/>
                <w:spacing w:val="-2"/>
                <w:sz w:val="18"/>
                <w:szCs w:val="18"/>
                <w:lang w:val="en-GB"/>
              </w:rPr>
              <w:t xml:space="preserve"> </w:t>
            </w:r>
            <w:r w:rsidRPr="0021137F">
              <w:rPr>
                <w:spacing w:val="-2"/>
                <w:sz w:val="18"/>
                <w:szCs w:val="18"/>
                <w:lang w:val="en-GB"/>
              </w:rPr>
              <w:t>Social Services)</w:t>
            </w:r>
          </w:p>
          <w:p w:rsidR="00EB76A2" w:rsidRPr="000D44EC" w:rsidRDefault="00EB76A2" w:rsidP="00B70CF6">
            <w:pPr>
              <w:pStyle w:val="Textpoznpodarou"/>
              <w:jc w:val="right"/>
              <w:rPr>
                <w:lang w:val="en-GB"/>
              </w:rPr>
            </w:pPr>
            <w:r w:rsidRPr="000D44EC">
              <w:rPr>
                <w:rFonts w:cs="Arial"/>
                <w:sz w:val="18"/>
                <w:szCs w:val="18"/>
                <w:lang w:val="en-GB"/>
              </w:rPr>
              <w:t>Source: MF CR</w:t>
            </w:r>
          </w:p>
        </w:tc>
      </w:tr>
    </w:tbl>
    <w:p w:rsidR="00EB76A2" w:rsidRPr="000D44EC" w:rsidRDefault="00EB76A2" w:rsidP="00EB76A2">
      <w:pPr>
        <w:rPr>
          <w:rFonts w:cs="Arial"/>
          <w:sz w:val="18"/>
          <w:szCs w:val="16"/>
          <w:highlight w:val="yellow"/>
          <w:lang w:val="en-GB"/>
        </w:rPr>
      </w:pPr>
    </w:p>
    <w:p w:rsidR="00EB76A2" w:rsidRPr="000D44EC" w:rsidRDefault="00EB76A2" w:rsidP="00EB76A2">
      <w:pPr>
        <w:rPr>
          <w:rFonts w:cs="Arial"/>
          <w:i/>
          <w:sz w:val="18"/>
          <w:szCs w:val="16"/>
          <w:lang w:val="en-GB"/>
        </w:rPr>
      </w:pPr>
    </w:p>
    <w:p w:rsidR="00EB76A2" w:rsidRPr="000D44EC" w:rsidRDefault="00EB76A2" w:rsidP="00EB76A2">
      <w:pPr>
        <w:pStyle w:val="Nadpis1"/>
        <w:numPr>
          <w:ilvl w:val="0"/>
          <w:numId w:val="0"/>
        </w:numPr>
        <w:rPr>
          <w:b w:val="0"/>
          <w:bCs w:val="0"/>
          <w:sz w:val="14"/>
          <w:szCs w:val="14"/>
          <w:lang w:val="en-GB"/>
        </w:rPr>
      </w:pPr>
      <w:r w:rsidRPr="000D44EC">
        <w:rPr>
          <w:rFonts w:cs="Arial"/>
          <w:b w:val="0"/>
          <w:bCs w:val="0"/>
          <w:sz w:val="20"/>
          <w:szCs w:val="20"/>
          <w:lang w:val="en-GB"/>
        </w:rPr>
        <w:t xml:space="preserve">Sources of data in the whole analysis: CZSO, MF CR, CNB, </w:t>
      </w:r>
      <w:proofErr w:type="spellStart"/>
      <w:r w:rsidRPr="000D44EC">
        <w:rPr>
          <w:rFonts w:cs="Arial"/>
          <w:b w:val="0"/>
          <w:bCs w:val="0"/>
          <w:sz w:val="20"/>
          <w:szCs w:val="20"/>
          <w:lang w:val="en-GB"/>
        </w:rPr>
        <w:t>Eurostat</w:t>
      </w:r>
      <w:proofErr w:type="spellEnd"/>
      <w:r w:rsidRPr="000D44EC">
        <w:rPr>
          <w:rFonts w:cs="Arial"/>
          <w:b w:val="0"/>
          <w:bCs w:val="0"/>
          <w:sz w:val="20"/>
          <w:szCs w:val="20"/>
          <w:lang w:val="en-GB"/>
        </w:rPr>
        <w:t>, CZSO calculations.</w:t>
      </w:r>
    </w:p>
    <w:p w:rsidR="00EB76A2" w:rsidRPr="000D44EC" w:rsidRDefault="00EB76A2" w:rsidP="00EB76A2">
      <w:pPr>
        <w:rPr>
          <w:lang w:val="en-GB" w:eastAsia="ar-SA"/>
        </w:rPr>
      </w:pPr>
      <w:r w:rsidRPr="000D44EC">
        <w:rPr>
          <w:rFonts w:cs="Arial"/>
          <w:szCs w:val="20"/>
          <w:lang w:val="en-GB"/>
        </w:rPr>
        <w:t xml:space="preserve">Latest information from the CZSO and CNB given in this report has been dated the 15th September 2014.  </w:t>
      </w:r>
    </w:p>
    <w:p w:rsidR="00EB76A2" w:rsidRPr="002F1D9F" w:rsidRDefault="00EB76A2" w:rsidP="00EB76A2">
      <w:pPr>
        <w:rPr>
          <w:lang w:val="en-GB" w:eastAsia="ar-SA"/>
        </w:rPr>
      </w:pPr>
    </w:p>
    <w:p w:rsidR="008F1658" w:rsidRPr="0057255B" w:rsidRDefault="008F1658" w:rsidP="0057255B"/>
    <w:sectPr w:rsidR="008F1658" w:rsidRPr="0057255B" w:rsidSect="00F246D9">
      <w:headerReference w:type="even" r:id="rId12"/>
      <w:headerReference w:type="default" r:id="rId13"/>
      <w:footerReference w:type="even" r:id="rId14"/>
      <w:footerReference w:type="default" r:id="rId15"/>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B07" w:rsidRDefault="007A1B07" w:rsidP="005D26EF">
      <w:r>
        <w:separator/>
      </w:r>
    </w:p>
  </w:endnote>
  <w:endnote w:type="continuationSeparator" w:id="0">
    <w:p w:rsidR="007A1B07" w:rsidRDefault="007A1B07"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007ED0"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004072ED" w:rsidRPr="005A21E0">
      <w:rPr>
        <w:rFonts w:ascii="Arial" w:hAnsi="Arial" w:cs="Arial"/>
        <w:sz w:val="16"/>
        <w:szCs w:val="16"/>
      </w:rPr>
      <w:instrText>PAGE   \* MERGEFORMAT</w:instrText>
    </w:r>
    <w:r w:rsidRPr="005A21E0">
      <w:rPr>
        <w:rFonts w:ascii="Arial" w:hAnsi="Arial" w:cs="Arial"/>
        <w:sz w:val="16"/>
        <w:szCs w:val="16"/>
      </w:rPr>
      <w:fldChar w:fldCharType="separate"/>
    </w:r>
    <w:r w:rsidR="004072ED">
      <w:rPr>
        <w:rFonts w:ascii="Arial" w:hAnsi="Arial" w:cs="Arial"/>
        <w:noProof/>
        <w:sz w:val="16"/>
        <w:szCs w:val="16"/>
      </w:rPr>
      <w:t>74</w:t>
    </w:r>
    <w:r w:rsidRPr="005A21E0">
      <w:rPr>
        <w:rFonts w:ascii="Arial" w:hAnsi="Arial" w:cs="Arial"/>
        <w:sz w:val="16"/>
        <w:szCs w:val="16"/>
      </w:rPr>
      <w:fldChar w:fldCharType="end"/>
    </w:r>
    <w:r w:rsidR="004072ED">
      <w:rPr>
        <w:rFonts w:ascii="Arial" w:hAnsi="Arial" w:cs="Arial"/>
        <w:sz w:val="16"/>
        <w:szCs w:val="16"/>
      </w:rPr>
      <w:tab/>
      <w:t>2013</w:t>
    </w:r>
    <w:r w:rsidR="004072ED">
      <w:tab/>
    </w:r>
    <w:r w:rsidR="004072E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007ED0"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rsidR="004072ED">
      <w:tab/>
    </w:r>
    <w:r w:rsidR="004072ED">
      <w:tab/>
    </w:r>
  </w:p>
  <w:p w:rsidR="004072ED" w:rsidRDefault="004072E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0057255B">
      <w:rPr>
        <w:rFonts w:ascii="Arial" w:hAnsi="Arial" w:cs="Arial"/>
        <w:sz w:val="16"/>
        <w:szCs w:val="16"/>
      </w:rPr>
      <w:t>September</w:t>
    </w:r>
    <w:proofErr w:type="spellEnd"/>
    <w:r w:rsidR="008776E4">
      <w:rPr>
        <w:rFonts w:ascii="Arial" w:hAnsi="Arial" w:cs="Arial"/>
        <w:sz w:val="16"/>
        <w:szCs w:val="16"/>
      </w:rPr>
      <w:t xml:space="preserve"> </w:t>
    </w:r>
    <w:r>
      <w:rPr>
        <w:rFonts w:ascii="Arial" w:hAnsi="Arial" w:cs="Arial"/>
        <w:sz w:val="16"/>
        <w:szCs w:val="16"/>
      </w:rPr>
      <w:t>201</w:t>
    </w:r>
    <w:r w:rsidR="0066041C">
      <w:rPr>
        <w:rFonts w:ascii="Arial" w:hAnsi="Arial" w:cs="Arial"/>
        <w:sz w:val="16"/>
        <w:szCs w:val="16"/>
      </w:rPr>
      <w:t>4</w:t>
    </w:r>
    <w:r>
      <w:tab/>
    </w:r>
    <w:r w:rsidR="00007ED0" w:rsidRPr="00B6608F">
      <w:rPr>
        <w:rFonts w:ascii="Arial" w:hAnsi="Arial" w:cs="Arial"/>
        <w:sz w:val="16"/>
        <w:szCs w:val="16"/>
      </w:rPr>
      <w:fldChar w:fldCharType="begin"/>
    </w:r>
    <w:r w:rsidRPr="00B6608F">
      <w:rPr>
        <w:rFonts w:ascii="Arial" w:hAnsi="Arial" w:cs="Arial"/>
        <w:sz w:val="16"/>
        <w:szCs w:val="16"/>
      </w:rPr>
      <w:instrText>PAGE   \* MERGEFORMAT</w:instrText>
    </w:r>
    <w:r w:rsidR="00007ED0" w:rsidRPr="00B6608F">
      <w:rPr>
        <w:rFonts w:ascii="Arial" w:hAnsi="Arial" w:cs="Arial"/>
        <w:sz w:val="16"/>
        <w:szCs w:val="16"/>
      </w:rPr>
      <w:fldChar w:fldCharType="separate"/>
    </w:r>
    <w:r w:rsidR="00A21C1A">
      <w:rPr>
        <w:rFonts w:ascii="Arial" w:hAnsi="Arial" w:cs="Arial"/>
        <w:noProof/>
        <w:sz w:val="16"/>
        <w:szCs w:val="16"/>
      </w:rPr>
      <w:t>1</w:t>
    </w:r>
    <w:r w:rsidR="00007ED0"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B07" w:rsidRDefault="007A1B07" w:rsidP="005D26EF">
      <w:r>
        <w:separator/>
      </w:r>
    </w:p>
  </w:footnote>
  <w:footnote w:type="continuationSeparator" w:id="0">
    <w:p w:rsidR="007A1B07" w:rsidRDefault="007A1B07" w:rsidP="005D26EF">
      <w:r>
        <w:continuationSeparator/>
      </w:r>
    </w:p>
  </w:footnote>
  <w:footnote w:id="1">
    <w:p w:rsidR="00EB76A2" w:rsidRPr="00DF43FF" w:rsidRDefault="00EB76A2" w:rsidP="00EB76A2">
      <w:pPr>
        <w:pStyle w:val="Textpoznpodarou"/>
        <w:jc w:val="both"/>
        <w:rPr>
          <w:spacing w:val="-4"/>
          <w:sz w:val="16"/>
          <w:lang w:val="en-US"/>
        </w:rPr>
      </w:pPr>
      <w:r>
        <w:rPr>
          <w:rStyle w:val="Znakapoznpodarou"/>
          <w:sz w:val="16"/>
          <w:szCs w:val="16"/>
        </w:rPr>
        <w:footnoteRef/>
      </w:r>
      <w:r>
        <w:t xml:space="preserve"> </w:t>
      </w:r>
      <w:proofErr w:type="gramStart"/>
      <w:r w:rsidRPr="000D44EC">
        <w:rPr>
          <w:spacing w:val="-4"/>
          <w:sz w:val="16"/>
          <w:lang w:val="en-GB"/>
        </w:rPr>
        <w:t xml:space="preserve">The increase of rates for </w:t>
      </w:r>
      <w:r w:rsidRPr="00DF43FF">
        <w:rPr>
          <w:spacing w:val="-4"/>
          <w:sz w:val="16"/>
          <w:lang w:val="en-GB"/>
        </w:rPr>
        <w:t xml:space="preserve">consumption </w:t>
      </w:r>
      <w:r w:rsidRPr="00DF43FF">
        <w:rPr>
          <w:i/>
          <w:spacing w:val="-4"/>
          <w:sz w:val="16"/>
          <w:lang w:val="en-GB"/>
        </w:rPr>
        <w:t>tax on tobacco products</w:t>
      </w:r>
      <w:r w:rsidRPr="000D44EC">
        <w:rPr>
          <w:spacing w:val="-4"/>
          <w:sz w:val="16"/>
          <w:lang w:val="en-GB"/>
        </w:rPr>
        <w:t xml:space="preserve"> from 1.1.</w:t>
      </w:r>
      <w:proofErr w:type="gramEnd"/>
      <w:r w:rsidRPr="000D44EC">
        <w:rPr>
          <w:spacing w:val="-4"/>
          <w:sz w:val="16"/>
          <w:lang w:val="en-GB"/>
        </w:rPr>
        <w:t xml:space="preserve"> (it was also realised in the sa</w:t>
      </w:r>
      <w:r>
        <w:rPr>
          <w:spacing w:val="-4"/>
          <w:sz w:val="16"/>
          <w:lang w:val="en-GB"/>
        </w:rPr>
        <w:t>me period in the previous year)</w:t>
      </w:r>
      <w:r>
        <w:rPr>
          <w:spacing w:val="-4"/>
          <w:sz w:val="16"/>
          <w:lang w:val="en-US"/>
        </w:rPr>
        <w:t>;</w:t>
      </w:r>
      <w:r w:rsidRPr="000D44EC">
        <w:rPr>
          <w:spacing w:val="-4"/>
          <w:sz w:val="16"/>
          <w:lang w:val="en-GB"/>
        </w:rPr>
        <w:t xml:space="preserve"> cancelling the right to tax return on mineral oils used for agricultural primary production (so called „green fuel“) for </w:t>
      </w:r>
      <w:r w:rsidRPr="00DF43FF">
        <w:rPr>
          <w:i/>
          <w:spacing w:val="-4"/>
          <w:sz w:val="16"/>
          <w:lang w:val="en-GB"/>
        </w:rPr>
        <w:t>tax on mineral fuels</w:t>
      </w:r>
      <w:r>
        <w:rPr>
          <w:spacing w:val="-4"/>
          <w:sz w:val="16"/>
          <w:lang w:val="en-GB"/>
        </w:rPr>
        <w:t>;</w:t>
      </w:r>
      <w:r w:rsidRPr="000D44EC">
        <w:rPr>
          <w:spacing w:val="-4"/>
          <w:sz w:val="16"/>
          <w:lang w:val="en-GB"/>
        </w:rPr>
        <w:t xml:space="preserve"> lowering of rates from 26 % to 10 % (from 28 % to 11 % resp.) for </w:t>
      </w:r>
      <w:r w:rsidRPr="00DF43FF">
        <w:rPr>
          <w:i/>
          <w:spacing w:val="-4"/>
          <w:sz w:val="16"/>
          <w:lang w:val="en-GB"/>
        </w:rPr>
        <w:t xml:space="preserve">tax payments on „solar systems” </w:t>
      </w:r>
      <w:r w:rsidRPr="000D44EC">
        <w:rPr>
          <w:spacing w:val="-4"/>
          <w:sz w:val="16"/>
          <w:lang w:val="en-GB"/>
        </w:rPr>
        <w:t>accompanied at the same time by lengthening the payment for equipment introduced to operation during the year 2010.</w:t>
      </w:r>
    </w:p>
  </w:footnote>
  <w:footnote w:id="2">
    <w:p w:rsidR="00EB76A2" w:rsidRDefault="00EB76A2" w:rsidP="00EB76A2">
      <w:pPr>
        <w:pStyle w:val="Textpoznpodarou"/>
        <w:jc w:val="both"/>
      </w:pPr>
      <w:r w:rsidRPr="000D44EC">
        <w:rPr>
          <w:rStyle w:val="Znakapoznpodarou"/>
          <w:lang w:val="en-GB"/>
        </w:rPr>
        <w:footnoteRef/>
      </w:r>
      <w:r w:rsidRPr="000D44EC">
        <w:rPr>
          <w:lang w:val="en-GB"/>
        </w:rPr>
        <w:t xml:space="preserve"> </w:t>
      </w:r>
      <w:r w:rsidRPr="000D44EC">
        <w:rPr>
          <w:spacing w:val="-4"/>
          <w:sz w:val="16"/>
          <w:lang w:val="en-GB"/>
        </w:rPr>
        <w:t xml:space="preserve">The collection </w:t>
      </w:r>
      <w:r>
        <w:rPr>
          <w:spacing w:val="-4"/>
          <w:sz w:val="16"/>
          <w:lang w:val="en-GB"/>
        </w:rPr>
        <w:t xml:space="preserve">of these taxes planned for </w:t>
      </w:r>
      <w:r w:rsidRPr="000D44EC">
        <w:rPr>
          <w:spacing w:val="-4"/>
          <w:sz w:val="16"/>
          <w:lang w:val="en-GB"/>
        </w:rPr>
        <w:t xml:space="preserve">whole year </w:t>
      </w:r>
      <w:r>
        <w:rPr>
          <w:spacing w:val="-4"/>
          <w:sz w:val="16"/>
          <w:lang w:val="en-GB"/>
        </w:rPr>
        <w:t xml:space="preserve">of 2014 </w:t>
      </w:r>
      <w:r w:rsidRPr="000D44EC">
        <w:rPr>
          <w:spacing w:val="-4"/>
          <w:sz w:val="16"/>
          <w:lang w:val="en-GB"/>
        </w:rPr>
        <w:t xml:space="preserve">was already fulfilled from 35 % only for first this year’s month (from 29 %, also due to </w:t>
      </w:r>
      <w:proofErr w:type="spellStart"/>
      <w:r w:rsidRPr="000D44EC">
        <w:rPr>
          <w:spacing w:val="-4"/>
          <w:sz w:val="16"/>
          <w:lang w:val="en-GB"/>
        </w:rPr>
        <w:t>prestocking</w:t>
      </w:r>
      <w:proofErr w:type="spellEnd"/>
      <w:r w:rsidRPr="000D44EC">
        <w:rPr>
          <w:spacing w:val="-4"/>
          <w:sz w:val="16"/>
          <w:lang w:val="en-GB"/>
        </w:rPr>
        <w:t xml:space="preserve"> in last year’s January). The effect of </w:t>
      </w:r>
      <w:proofErr w:type="spellStart"/>
      <w:r w:rsidRPr="000D44EC">
        <w:rPr>
          <w:spacing w:val="-4"/>
          <w:sz w:val="16"/>
          <w:lang w:val="en-GB"/>
        </w:rPr>
        <w:t>prestocking</w:t>
      </w:r>
      <w:proofErr w:type="spellEnd"/>
      <w:r w:rsidRPr="000D44EC">
        <w:rPr>
          <w:spacing w:val="-4"/>
          <w:sz w:val="16"/>
          <w:lang w:val="en-GB"/>
        </w:rPr>
        <w:t xml:space="preserve"> will be gradually subduing during the year and the more long-term trends of tobacco consumption will be more apparent apart from the higher rate in the total collection. The collection was already higher by less than one tenth by the end of August </w:t>
      </w:r>
      <w:r>
        <w:rPr>
          <w:spacing w:val="-4"/>
          <w:sz w:val="16"/>
          <w:lang w:val="en-GB"/>
        </w:rPr>
        <w:t xml:space="preserve">2014 </w:t>
      </w:r>
      <w:r w:rsidRPr="000D44EC">
        <w:rPr>
          <w:spacing w:val="-4"/>
          <w:sz w:val="16"/>
          <w:lang w:val="en-GB"/>
        </w:rPr>
        <w:t>year-on-year.</w:t>
      </w:r>
    </w:p>
  </w:footnote>
  <w:footnote w:id="3">
    <w:p w:rsidR="00EB76A2" w:rsidRPr="002D79BD" w:rsidRDefault="00EB76A2" w:rsidP="00EB76A2">
      <w:pPr>
        <w:pStyle w:val="Textpoznpodarou"/>
        <w:rPr>
          <w:lang w:val="en-GB"/>
        </w:rPr>
      </w:pPr>
      <w:r w:rsidRPr="002D79BD">
        <w:rPr>
          <w:rStyle w:val="Znakapoznpodarou"/>
          <w:lang w:val="en-GB"/>
        </w:rPr>
        <w:footnoteRef/>
      </w:r>
      <w:r w:rsidRPr="002D79BD">
        <w:rPr>
          <w:lang w:val="en-GB"/>
        </w:rPr>
        <w:t xml:space="preserve"> </w:t>
      </w:r>
      <w:r w:rsidRPr="002D79BD">
        <w:rPr>
          <w:sz w:val="16"/>
          <w:szCs w:val="16"/>
          <w:lang w:val="en-GB"/>
        </w:rPr>
        <w:t xml:space="preserve">The size of capital expenditure (50.8 </w:t>
      </w:r>
      <w:proofErr w:type="spellStart"/>
      <w:r w:rsidRPr="002D79BD">
        <w:rPr>
          <w:sz w:val="16"/>
          <w:szCs w:val="16"/>
          <w:lang w:val="en-GB"/>
        </w:rPr>
        <w:t>bn</w:t>
      </w:r>
      <w:proofErr w:type="spellEnd"/>
      <w:r w:rsidRPr="002D79BD">
        <w:rPr>
          <w:sz w:val="16"/>
          <w:szCs w:val="16"/>
          <w:lang w:val="en-GB"/>
        </w:rPr>
        <w:t xml:space="preserve"> crowns) was also higher by 5.7 % during the first eight months of 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4072ED"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2012</w:t>
          </w:r>
        </w:p>
      </w:tc>
      <w:tc>
        <w:tcPr>
          <w:tcW w:w="3260" w:type="dxa"/>
        </w:tcPr>
        <w:p w:rsidR="004072ED" w:rsidRPr="00E53687" w:rsidRDefault="004072ED" w:rsidP="00281F36">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kód 1109-12</w:t>
          </w:r>
        </w:p>
      </w:tc>
    </w:tr>
  </w:tbl>
  <w:p w:rsidR="004072ED" w:rsidRPr="00190394" w:rsidRDefault="004072ED"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8776E4" w:rsidP="0057255B">
          <w:pPr>
            <w:pStyle w:val="Zhlav"/>
            <w:tabs>
              <w:tab w:val="clear" w:pos="4536"/>
              <w:tab w:val="clear" w:pos="9072"/>
              <w:tab w:val="left" w:pos="-6379"/>
              <w:tab w:val="center" w:pos="4820"/>
              <w:tab w:val="right" w:pos="9639"/>
            </w:tabs>
            <w:rPr>
              <w:rFonts w:ascii="Arial" w:hAnsi="Arial" w:cs="Arial"/>
              <w:b/>
              <w:sz w:val="16"/>
              <w:szCs w:val="16"/>
            </w:rPr>
          </w:pPr>
          <w:proofErr w:type="spellStart"/>
          <w:r>
            <w:rPr>
              <w:rFonts w:ascii="Arial" w:hAnsi="Arial" w:cs="Arial"/>
              <w:b/>
              <w:sz w:val="16"/>
              <w:szCs w:val="16"/>
            </w:rPr>
            <w:t>The</w:t>
          </w:r>
          <w:proofErr w:type="spellEnd"/>
          <w:r>
            <w:rPr>
              <w:rFonts w:ascii="Arial" w:hAnsi="Arial" w:cs="Arial"/>
              <w:b/>
              <w:sz w:val="16"/>
              <w:szCs w:val="16"/>
            </w:rPr>
            <w:t xml:space="preserve"> </w:t>
          </w:r>
          <w:proofErr w:type="spellStart"/>
          <w:r>
            <w:rPr>
              <w:rFonts w:ascii="Arial" w:hAnsi="Arial" w:cs="Arial"/>
              <w:b/>
              <w:sz w:val="16"/>
              <w:szCs w:val="16"/>
            </w:rPr>
            <w:t>Czech</w:t>
          </w:r>
          <w:proofErr w:type="spellEnd"/>
          <w:r>
            <w:rPr>
              <w:rFonts w:ascii="Arial" w:hAnsi="Arial" w:cs="Arial"/>
              <w:b/>
              <w:sz w:val="16"/>
              <w:szCs w:val="16"/>
            </w:rPr>
            <w:t xml:space="preserve"> </w:t>
          </w:r>
          <w:proofErr w:type="spellStart"/>
          <w:r>
            <w:rPr>
              <w:rFonts w:ascii="Arial" w:hAnsi="Arial" w:cs="Arial"/>
              <w:b/>
              <w:sz w:val="16"/>
              <w:szCs w:val="16"/>
            </w:rPr>
            <w:t>Economy</w:t>
          </w:r>
          <w:proofErr w:type="spellEnd"/>
          <w:r>
            <w:rPr>
              <w:rFonts w:ascii="Arial" w:hAnsi="Arial" w:cs="Arial"/>
              <w:b/>
              <w:sz w:val="16"/>
              <w:szCs w:val="16"/>
            </w:rPr>
            <w:t xml:space="preserve"> </w:t>
          </w:r>
          <w:proofErr w:type="spellStart"/>
          <w:r>
            <w:rPr>
              <w:rFonts w:ascii="Arial" w:hAnsi="Arial" w:cs="Arial"/>
              <w:b/>
              <w:sz w:val="16"/>
              <w:szCs w:val="16"/>
            </w:rPr>
            <w:t>Development</w:t>
          </w:r>
          <w:proofErr w:type="spellEnd"/>
          <w:r>
            <w:rPr>
              <w:rFonts w:ascii="Arial" w:hAnsi="Arial" w:cs="Arial"/>
              <w:b/>
              <w:sz w:val="16"/>
              <w:szCs w:val="16"/>
            </w:rPr>
            <w:t xml:space="preserve">  in </w:t>
          </w:r>
          <w:proofErr w:type="spellStart"/>
          <w:r w:rsidR="0057255B">
            <w:rPr>
              <w:rFonts w:ascii="Arial" w:hAnsi="Arial" w:cs="Arial"/>
              <w:b/>
              <w:sz w:val="16"/>
              <w:szCs w:val="16"/>
            </w:rPr>
            <w:t>the</w:t>
          </w:r>
          <w:proofErr w:type="spellEnd"/>
          <w:r w:rsidR="0057255B">
            <w:rPr>
              <w:rFonts w:ascii="Arial" w:hAnsi="Arial" w:cs="Arial"/>
              <w:b/>
              <w:sz w:val="16"/>
              <w:szCs w:val="16"/>
            </w:rPr>
            <w:t xml:space="preserve"> </w:t>
          </w:r>
          <w:proofErr w:type="spellStart"/>
          <w:r w:rsidR="0057255B">
            <w:rPr>
              <w:rFonts w:ascii="Arial" w:hAnsi="Arial" w:cs="Arial"/>
              <w:b/>
              <w:sz w:val="16"/>
              <w:szCs w:val="16"/>
            </w:rPr>
            <w:t>first</w:t>
          </w:r>
          <w:proofErr w:type="spellEnd"/>
          <w:r w:rsidR="0057255B">
            <w:rPr>
              <w:rFonts w:ascii="Arial" w:hAnsi="Arial" w:cs="Arial"/>
              <w:b/>
              <w:sz w:val="16"/>
              <w:szCs w:val="16"/>
            </w:rPr>
            <w:t xml:space="preserve"> half </w:t>
          </w:r>
          <w:proofErr w:type="spellStart"/>
          <w:r w:rsidR="0057255B">
            <w:rPr>
              <w:rFonts w:ascii="Arial" w:hAnsi="Arial" w:cs="Arial"/>
              <w:b/>
              <w:sz w:val="16"/>
              <w:szCs w:val="16"/>
            </w:rPr>
            <w:t>of</w:t>
          </w:r>
          <w:proofErr w:type="spellEnd"/>
          <w:r w:rsidR="0057255B">
            <w:rPr>
              <w:rFonts w:ascii="Arial" w:hAnsi="Arial" w:cs="Arial"/>
              <w:b/>
              <w:sz w:val="16"/>
              <w:szCs w:val="16"/>
            </w:rPr>
            <w:t xml:space="preserve"> </w:t>
          </w:r>
          <w:r>
            <w:rPr>
              <w:rFonts w:ascii="Arial" w:hAnsi="Arial" w:cs="Arial"/>
              <w:b/>
              <w:sz w:val="16"/>
              <w:szCs w:val="16"/>
            </w:rPr>
            <w:t>201</w:t>
          </w:r>
          <w:r w:rsidR="0057255B">
            <w:rPr>
              <w:rFonts w:ascii="Arial" w:hAnsi="Arial" w:cs="Arial"/>
              <w:b/>
              <w:sz w:val="16"/>
              <w:szCs w:val="16"/>
            </w:rPr>
            <w:t>4</w:t>
          </w:r>
        </w:p>
      </w:tc>
      <w:tc>
        <w:tcPr>
          <w:tcW w:w="3260" w:type="dxa"/>
        </w:tcPr>
        <w:p w:rsidR="004072ED" w:rsidRPr="00E53687" w:rsidRDefault="008776E4" w:rsidP="0057255B">
          <w:pPr>
            <w:pStyle w:val="Zhlav"/>
            <w:tabs>
              <w:tab w:val="clear" w:pos="4536"/>
              <w:tab w:val="clear" w:pos="9072"/>
              <w:tab w:val="left" w:pos="-6379"/>
              <w:tab w:val="center" w:pos="4820"/>
              <w:tab w:val="right" w:pos="9639"/>
            </w:tabs>
            <w:jc w:val="right"/>
            <w:rPr>
              <w:rFonts w:ascii="Arial" w:hAnsi="Arial" w:cs="Arial"/>
              <w:sz w:val="16"/>
              <w:szCs w:val="16"/>
            </w:rPr>
          </w:pPr>
          <w:proofErr w:type="spellStart"/>
          <w:r>
            <w:rPr>
              <w:rFonts w:ascii="Arial" w:hAnsi="Arial" w:cs="Arial"/>
              <w:sz w:val="16"/>
              <w:szCs w:val="16"/>
            </w:rPr>
            <w:t>Code</w:t>
          </w:r>
          <w:proofErr w:type="spellEnd"/>
          <w:r>
            <w:rPr>
              <w:rFonts w:ascii="Arial" w:hAnsi="Arial" w:cs="Arial"/>
              <w:sz w:val="16"/>
              <w:szCs w:val="16"/>
            </w:rPr>
            <w:t xml:space="preserve"> a-</w:t>
          </w:r>
          <w:r w:rsidR="0057255B">
            <w:rPr>
              <w:rFonts w:ascii="Arial" w:hAnsi="Arial" w:cs="Arial"/>
              <w:sz w:val="16"/>
              <w:szCs w:val="16"/>
            </w:rPr>
            <w:t>320194-14</w:t>
          </w:r>
        </w:p>
      </w:tc>
    </w:tr>
  </w:tbl>
  <w:p w:rsidR="004072ED" w:rsidRPr="00190394" w:rsidRDefault="004072ED"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A1708FB"/>
    <w:multiLevelType w:val="multilevel"/>
    <w:tmpl w:val="6F38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0">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1">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520710"/>
    <w:multiLevelType w:val="multilevel"/>
    <w:tmpl w:val="872C31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13"/>
  </w:num>
  <w:num w:numId="7">
    <w:abstractNumId w:val="15"/>
  </w:num>
  <w:num w:numId="8">
    <w:abstractNumId w:val="9"/>
  </w:num>
  <w:num w:numId="9">
    <w:abstractNumId w:val="10"/>
  </w:num>
  <w:num w:numId="10">
    <w:abstractNumId w:val="8"/>
  </w:num>
  <w:num w:numId="11">
    <w:abstractNumId w:val="2"/>
  </w:num>
  <w:num w:numId="12">
    <w:abstractNumId w:val="3"/>
  </w:num>
  <w:num w:numId="13">
    <w:abstractNumId w:val="12"/>
  </w:num>
  <w:num w:numId="14">
    <w:abstractNumId w:val="11"/>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07ED0"/>
    <w:rsid w:val="00027C44"/>
    <w:rsid w:val="000E10B3"/>
    <w:rsid w:val="000E1AAF"/>
    <w:rsid w:val="001216E1"/>
    <w:rsid w:val="00124E53"/>
    <w:rsid w:val="0016164C"/>
    <w:rsid w:val="001903B8"/>
    <w:rsid w:val="00191E76"/>
    <w:rsid w:val="001A3BD0"/>
    <w:rsid w:val="001D4267"/>
    <w:rsid w:val="001E0EBB"/>
    <w:rsid w:val="001F7E6E"/>
    <w:rsid w:val="002163A2"/>
    <w:rsid w:val="00245A51"/>
    <w:rsid w:val="00246EC6"/>
    <w:rsid w:val="00281F36"/>
    <w:rsid w:val="00294F01"/>
    <w:rsid w:val="002B2EEA"/>
    <w:rsid w:val="002C4C7D"/>
    <w:rsid w:val="0032083B"/>
    <w:rsid w:val="00347AF4"/>
    <w:rsid w:val="00375EAD"/>
    <w:rsid w:val="003774A2"/>
    <w:rsid w:val="00384820"/>
    <w:rsid w:val="003B7393"/>
    <w:rsid w:val="003F7946"/>
    <w:rsid w:val="00403295"/>
    <w:rsid w:val="004072ED"/>
    <w:rsid w:val="00480500"/>
    <w:rsid w:val="00480ADD"/>
    <w:rsid w:val="00481237"/>
    <w:rsid w:val="004833C3"/>
    <w:rsid w:val="004841AC"/>
    <w:rsid w:val="0049521B"/>
    <w:rsid w:val="004B7B6C"/>
    <w:rsid w:val="004C2A3B"/>
    <w:rsid w:val="004F761F"/>
    <w:rsid w:val="00524EED"/>
    <w:rsid w:val="005372FC"/>
    <w:rsid w:val="005724BE"/>
    <w:rsid w:val="0057255B"/>
    <w:rsid w:val="005728C8"/>
    <w:rsid w:val="005853B3"/>
    <w:rsid w:val="005D26EF"/>
    <w:rsid w:val="005E2050"/>
    <w:rsid w:val="00607BAF"/>
    <w:rsid w:val="0061770B"/>
    <w:rsid w:val="0066041C"/>
    <w:rsid w:val="00663A03"/>
    <w:rsid w:val="00681716"/>
    <w:rsid w:val="006C3EB2"/>
    <w:rsid w:val="006F45D2"/>
    <w:rsid w:val="00700E82"/>
    <w:rsid w:val="00731380"/>
    <w:rsid w:val="0074198C"/>
    <w:rsid w:val="0074396C"/>
    <w:rsid w:val="00757ED8"/>
    <w:rsid w:val="00770981"/>
    <w:rsid w:val="0079120E"/>
    <w:rsid w:val="0079672A"/>
    <w:rsid w:val="007A1B07"/>
    <w:rsid w:val="007B00CB"/>
    <w:rsid w:val="007B5A60"/>
    <w:rsid w:val="00821AE7"/>
    <w:rsid w:val="008561D0"/>
    <w:rsid w:val="008776E4"/>
    <w:rsid w:val="008B0148"/>
    <w:rsid w:val="008D554E"/>
    <w:rsid w:val="008F1658"/>
    <w:rsid w:val="0091062A"/>
    <w:rsid w:val="0092735F"/>
    <w:rsid w:val="009333FF"/>
    <w:rsid w:val="00947E99"/>
    <w:rsid w:val="00962F01"/>
    <w:rsid w:val="00987CDC"/>
    <w:rsid w:val="009E1234"/>
    <w:rsid w:val="00A21C1A"/>
    <w:rsid w:val="00A94933"/>
    <w:rsid w:val="00A97E1B"/>
    <w:rsid w:val="00AA77BE"/>
    <w:rsid w:val="00AB19CC"/>
    <w:rsid w:val="00AB3103"/>
    <w:rsid w:val="00AB65E3"/>
    <w:rsid w:val="00AC364A"/>
    <w:rsid w:val="00AD6A5F"/>
    <w:rsid w:val="00B16670"/>
    <w:rsid w:val="00B41625"/>
    <w:rsid w:val="00B83269"/>
    <w:rsid w:val="00B8328B"/>
    <w:rsid w:val="00B83EBD"/>
    <w:rsid w:val="00BA2C59"/>
    <w:rsid w:val="00BA4A72"/>
    <w:rsid w:val="00BD7F3C"/>
    <w:rsid w:val="00C06226"/>
    <w:rsid w:val="00C118A0"/>
    <w:rsid w:val="00C55546"/>
    <w:rsid w:val="00C84D22"/>
    <w:rsid w:val="00C95937"/>
    <w:rsid w:val="00CA4BCC"/>
    <w:rsid w:val="00CF0263"/>
    <w:rsid w:val="00CF20EB"/>
    <w:rsid w:val="00D02FD1"/>
    <w:rsid w:val="00D05BC2"/>
    <w:rsid w:val="00D15E52"/>
    <w:rsid w:val="00D353E4"/>
    <w:rsid w:val="00D7149D"/>
    <w:rsid w:val="00DB00A3"/>
    <w:rsid w:val="00DB6775"/>
    <w:rsid w:val="00DC4326"/>
    <w:rsid w:val="00E119ED"/>
    <w:rsid w:val="00E5736B"/>
    <w:rsid w:val="00E97088"/>
    <w:rsid w:val="00EB76A2"/>
    <w:rsid w:val="00EC68F7"/>
    <w:rsid w:val="00ED4F73"/>
    <w:rsid w:val="00F246D9"/>
    <w:rsid w:val="00F40C66"/>
    <w:rsid w:val="00F4718B"/>
    <w:rsid w:val="00F65CF9"/>
    <w:rsid w:val="00F92118"/>
    <w:rsid w:val="00FB385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iPriority w:val="99"/>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uiPriority w:val="99"/>
    <w:rsid w:val="005D26EF"/>
    <w:rPr>
      <w:vertAlign w:val="superscript"/>
    </w:rPr>
  </w:style>
  <w:style w:type="paragraph" w:styleId="Odstavecseseznamem">
    <w:name w:val="List Paragraph"/>
    <w:basedOn w:val="Normln"/>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 w:type="paragraph" w:styleId="Normlnweb">
    <w:name w:val="Normal (Web)"/>
    <w:basedOn w:val="Normln"/>
    <w:uiPriority w:val="99"/>
    <w:unhideWhenUsed/>
    <w:rsid w:val="008776E4"/>
    <w:pPr>
      <w:spacing w:before="100" w:beforeAutospacing="1" w:after="100" w:afterAutospacing="1"/>
      <w:jc w:val="left"/>
    </w:pPr>
    <w:rPr>
      <w:rFonts w:ascii="Times New Roman" w:eastAsia="Calibri"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40A0D-4E41-491F-BDE6-4FF89A11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7889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dubska1552</cp:lastModifiedBy>
  <cp:revision>2</cp:revision>
  <cp:lastPrinted>2013-09-04T06:52:00Z</cp:lastPrinted>
  <dcterms:created xsi:type="dcterms:W3CDTF">2014-11-13T15:44:00Z</dcterms:created>
  <dcterms:modified xsi:type="dcterms:W3CDTF">2014-11-13T15:44:00Z</dcterms:modified>
</cp:coreProperties>
</file>