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09" w:rsidRPr="000D44EC" w:rsidRDefault="000F0F09" w:rsidP="000F0F09">
      <w:pPr>
        <w:pStyle w:val="Nadpis1"/>
        <w:numPr>
          <w:ilvl w:val="0"/>
          <w:numId w:val="19"/>
        </w:numPr>
        <w:spacing w:before="0" w:after="0"/>
        <w:rPr>
          <w:lang w:val="en-GB"/>
        </w:rPr>
      </w:pPr>
      <w:r w:rsidRPr="000D44EC">
        <w:rPr>
          <w:lang w:val="en-GB"/>
        </w:rPr>
        <w:t>Monetary Conditions</w:t>
      </w:r>
    </w:p>
    <w:p w:rsidR="000F0F09" w:rsidRPr="000D44EC" w:rsidRDefault="000F0F09" w:rsidP="000F0F09">
      <w:pPr>
        <w:pStyle w:val="Zhlav"/>
        <w:rPr>
          <w:rFonts w:ascii="Arial" w:hAnsi="Arial" w:cs="Arial"/>
          <w:i/>
          <w:sz w:val="16"/>
          <w:szCs w:val="16"/>
          <w:lang w:val="en-GB"/>
        </w:rPr>
      </w:pPr>
    </w:p>
    <w:tbl>
      <w:tblPr>
        <w:tblW w:w="5081" w:type="pct"/>
        <w:tblInd w:w="-42" w:type="dxa"/>
        <w:tblLayout w:type="fixed"/>
        <w:tblCellMar>
          <w:left w:w="28" w:type="dxa"/>
          <w:right w:w="28" w:type="dxa"/>
        </w:tblCellMar>
        <w:tblLook w:val="04A0"/>
      </w:tblPr>
      <w:tblGrid>
        <w:gridCol w:w="39"/>
        <w:gridCol w:w="1032"/>
        <w:gridCol w:w="1013"/>
        <w:gridCol w:w="278"/>
        <w:gridCol w:w="2559"/>
        <w:gridCol w:w="820"/>
        <w:gridCol w:w="4037"/>
        <w:gridCol w:w="73"/>
      </w:tblGrid>
      <w:tr w:rsidR="000F0F09" w:rsidRPr="000D44EC" w:rsidTr="00B70CF6">
        <w:trPr>
          <w:gridBefore w:val="1"/>
          <w:wBefore w:w="20" w:type="pct"/>
        </w:trPr>
        <w:tc>
          <w:tcPr>
            <w:tcW w:w="1038" w:type="pct"/>
            <w:gridSpan w:val="2"/>
          </w:tcPr>
          <w:p w:rsidR="000F0F09" w:rsidRPr="000D44EC" w:rsidRDefault="000F0F09" w:rsidP="00B70CF6">
            <w:pPr>
              <w:jc w:val="left"/>
              <w:rPr>
                <w:sz w:val="16"/>
                <w:szCs w:val="16"/>
                <w:lang w:val="en-GB"/>
              </w:rPr>
            </w:pPr>
            <w:r w:rsidRPr="000D44EC">
              <w:rPr>
                <w:color w:val="000000"/>
                <w:sz w:val="16"/>
                <w:szCs w:val="16"/>
                <w:lang w:val="en-GB"/>
              </w:rPr>
              <w:t>Growth of the stock of money slower to nominal addition to GDP…</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jc w:val="both"/>
              <w:rPr>
                <w:rFonts w:ascii="Arial" w:hAnsi="Arial" w:cs="Arial"/>
                <w:sz w:val="20"/>
                <w:szCs w:val="20"/>
                <w:lang w:val="en-GB"/>
              </w:rPr>
            </w:pPr>
            <w:r w:rsidRPr="000D44EC">
              <w:rPr>
                <w:rFonts w:ascii="Arial" w:hAnsi="Arial" w:cs="Arial"/>
                <w:sz w:val="20"/>
                <w:szCs w:val="20"/>
                <w:lang w:val="en-GB"/>
              </w:rPr>
              <w:t xml:space="preserve">The prevailing historically low level of basis interest rates in the economy and the exchange rate mode affected by the CNB monetary intervention from November 2013 characterised the monetary conditions in H1 2014. The stock of money (according to the M2 aggregate) increased by 3.9 % year-on-year and arrived at 3 270.8 </w:t>
            </w:r>
            <w:proofErr w:type="spellStart"/>
            <w:r w:rsidRPr="000D44EC">
              <w:rPr>
                <w:rFonts w:ascii="Arial" w:hAnsi="Arial" w:cs="Arial"/>
                <w:sz w:val="20"/>
                <w:szCs w:val="20"/>
                <w:lang w:val="en-GB"/>
              </w:rPr>
              <w:t>bn</w:t>
            </w:r>
            <w:proofErr w:type="spellEnd"/>
            <w:r w:rsidRPr="000D44EC">
              <w:rPr>
                <w:rFonts w:ascii="Arial" w:hAnsi="Arial" w:cs="Arial"/>
                <w:sz w:val="20"/>
                <w:szCs w:val="20"/>
                <w:lang w:val="en-GB"/>
              </w:rPr>
              <w:t xml:space="preserve"> crowns at the end of June. Its growth was lower compared to the growth of the nominal GDP (+5.2 %) year-on-year, while the additions were practically the same in Q1 (+5.1 % against +5.2 % in case of nominal GDP). </w:t>
            </w:r>
          </w:p>
          <w:p w:rsidR="000F0F09" w:rsidRPr="000D44EC" w:rsidRDefault="000F0F09" w:rsidP="00B70CF6">
            <w:pPr>
              <w:pStyle w:val="Zhlav"/>
              <w:jc w:val="both"/>
              <w:rPr>
                <w:rFonts w:ascii="Arial" w:hAnsi="Arial" w:cs="Arial"/>
                <w:sz w:val="16"/>
                <w:szCs w:val="16"/>
                <w:lang w:val="en-GB"/>
              </w:rPr>
            </w:pPr>
          </w:p>
        </w:tc>
      </w:tr>
      <w:tr w:rsidR="000F0F09" w:rsidRPr="000D44EC" w:rsidTr="00B70CF6">
        <w:trPr>
          <w:gridBefore w:val="1"/>
          <w:wBefore w:w="20" w:type="pct"/>
        </w:trPr>
        <w:tc>
          <w:tcPr>
            <w:tcW w:w="1038" w:type="pct"/>
            <w:gridSpan w:val="2"/>
          </w:tcPr>
          <w:p w:rsidR="000F0F09" w:rsidRPr="000D44EC" w:rsidRDefault="000F0F09" w:rsidP="00B70CF6">
            <w:pPr>
              <w:jc w:val="left"/>
              <w:rPr>
                <w:color w:val="000000"/>
                <w:sz w:val="16"/>
                <w:szCs w:val="16"/>
                <w:lang w:val="en-GB"/>
              </w:rPr>
            </w:pPr>
            <w:r w:rsidRPr="000D44EC">
              <w:rPr>
                <w:color w:val="000000"/>
                <w:sz w:val="16"/>
                <w:szCs w:val="16"/>
                <w:lang w:val="en-GB"/>
              </w:rPr>
              <w:t>… and the smallest since half of 201</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jc w:val="both"/>
              <w:rPr>
                <w:rFonts w:ascii="Arial" w:hAnsi="Arial" w:cs="Arial"/>
                <w:sz w:val="20"/>
                <w:szCs w:val="20"/>
                <w:lang w:val="en-GB"/>
              </w:rPr>
            </w:pPr>
            <w:r w:rsidRPr="000D44EC">
              <w:rPr>
                <w:rFonts w:ascii="Arial" w:hAnsi="Arial" w:cs="Arial"/>
                <w:sz w:val="20"/>
                <w:szCs w:val="20"/>
                <w:lang w:val="en-GB"/>
              </w:rPr>
              <w:t xml:space="preserve">Growth of the money stock was thus the lowest addition in the Czech economy since the half of year 2011 (according to year-on-year data monitored always towards the end of each quarter). It was influenced especially by the counter movement of a significant fall of deposits, mainly the firm on one side and the growth of non-term deposits on the other side. A stronger dynamics of credit is missing. </w:t>
            </w:r>
          </w:p>
          <w:p w:rsidR="000F0F09" w:rsidRPr="000D44EC" w:rsidRDefault="000F0F09" w:rsidP="00B70CF6">
            <w:pPr>
              <w:pStyle w:val="Zhlav"/>
              <w:jc w:val="both"/>
              <w:rPr>
                <w:rFonts w:ascii="Arial" w:hAnsi="Arial" w:cs="Arial"/>
                <w:sz w:val="16"/>
                <w:szCs w:val="16"/>
                <w:lang w:val="en-GB"/>
              </w:rPr>
            </w:pPr>
          </w:p>
        </w:tc>
      </w:tr>
      <w:tr w:rsidR="000F0F09" w:rsidRPr="000D44EC" w:rsidTr="00B70CF6">
        <w:trPr>
          <w:gridBefore w:val="1"/>
          <w:wBefore w:w="20" w:type="pct"/>
        </w:trPr>
        <w:tc>
          <w:tcPr>
            <w:tcW w:w="1038" w:type="pct"/>
            <w:gridSpan w:val="2"/>
          </w:tcPr>
          <w:p w:rsidR="000F0F09" w:rsidRPr="000D44EC" w:rsidRDefault="000F0F09" w:rsidP="00B70CF6">
            <w:pPr>
              <w:jc w:val="left"/>
              <w:rPr>
                <w:color w:val="000000"/>
                <w:sz w:val="16"/>
                <w:szCs w:val="16"/>
                <w:lang w:val="en-GB"/>
              </w:rPr>
            </w:pPr>
            <w:r w:rsidRPr="000D44EC">
              <w:rPr>
                <w:color w:val="000000"/>
                <w:sz w:val="16"/>
                <w:szCs w:val="16"/>
                <w:lang w:val="en-GB"/>
              </w:rPr>
              <w:t xml:space="preserve">Deposits, especially the business deposits are declining – companies likely use them to partially finance their investment, as evident from the gross fixed capital formation dynamics in H1 2014   </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jc w:val="both"/>
              <w:rPr>
                <w:rFonts w:ascii="Arial" w:hAnsi="Arial" w:cs="Arial"/>
                <w:sz w:val="20"/>
                <w:szCs w:val="20"/>
                <w:lang w:val="en-GB"/>
              </w:rPr>
            </w:pPr>
            <w:r w:rsidRPr="000D44EC">
              <w:rPr>
                <w:rFonts w:ascii="Arial" w:hAnsi="Arial" w:cs="Arial"/>
                <w:sz w:val="20"/>
                <w:szCs w:val="20"/>
                <w:lang w:val="en-GB"/>
              </w:rPr>
              <w:t xml:space="preserve">A substantial acceleration of the deposit withdrawals occurred during Q2 itself especially for businesses, which „sucked out“ from the deposits with a notice term nearly 22 </w:t>
            </w:r>
            <w:proofErr w:type="spellStart"/>
            <w:r w:rsidRPr="000D44EC">
              <w:rPr>
                <w:rFonts w:ascii="Arial" w:hAnsi="Arial" w:cs="Arial"/>
                <w:sz w:val="20"/>
                <w:szCs w:val="20"/>
                <w:lang w:val="en-GB"/>
              </w:rPr>
              <w:t>bn</w:t>
            </w:r>
            <w:proofErr w:type="spellEnd"/>
            <w:r w:rsidRPr="000D44EC">
              <w:rPr>
                <w:rFonts w:ascii="Arial" w:hAnsi="Arial" w:cs="Arial"/>
                <w:sz w:val="20"/>
                <w:szCs w:val="20"/>
                <w:lang w:val="en-GB"/>
              </w:rPr>
              <w:t xml:space="preserve"> crowns, i.e. -12.3 % (even though the reduction constituted only 15.4 </w:t>
            </w:r>
            <w:proofErr w:type="spellStart"/>
            <w:r w:rsidRPr="000D44EC">
              <w:rPr>
                <w:rFonts w:ascii="Arial" w:hAnsi="Arial" w:cs="Arial"/>
                <w:sz w:val="20"/>
                <w:szCs w:val="20"/>
                <w:lang w:val="en-GB"/>
              </w:rPr>
              <w:t>bn</w:t>
            </w:r>
            <w:proofErr w:type="spellEnd"/>
            <w:r w:rsidRPr="000D44EC">
              <w:rPr>
                <w:rFonts w:ascii="Arial" w:hAnsi="Arial" w:cs="Arial"/>
                <w:sz w:val="20"/>
                <w:szCs w:val="20"/>
                <w:lang w:val="en-GB"/>
              </w:rPr>
              <w:t xml:space="preserve"> crowns against the same period of the previous year, so the withdrawals on such scale is a relatively new thing in Q2). Given that the credit to companies on the contrary rose by 14.9 </w:t>
            </w:r>
            <w:proofErr w:type="spellStart"/>
            <w:r w:rsidRPr="000D44EC">
              <w:rPr>
                <w:rFonts w:ascii="Arial" w:hAnsi="Arial" w:cs="Arial"/>
                <w:sz w:val="20"/>
                <w:szCs w:val="20"/>
                <w:lang w:val="en-GB"/>
              </w:rPr>
              <w:t>bn</w:t>
            </w:r>
            <w:proofErr w:type="spellEnd"/>
            <w:r w:rsidRPr="000D44EC">
              <w:rPr>
                <w:rFonts w:ascii="Arial" w:hAnsi="Arial" w:cs="Arial"/>
                <w:sz w:val="20"/>
                <w:szCs w:val="20"/>
                <w:lang w:val="en-GB"/>
              </w:rPr>
              <w:t xml:space="preserve"> crowns in Q2 itself (+1.5 % by the end of June compared to levels from the end of march), it can be assumed, that the companies thus financed </w:t>
            </w:r>
            <w:proofErr w:type="spellStart"/>
            <w:r w:rsidRPr="000D44EC">
              <w:rPr>
                <w:rFonts w:ascii="Arial" w:hAnsi="Arial" w:cs="Arial"/>
                <w:sz w:val="20"/>
                <w:szCs w:val="20"/>
                <w:lang w:val="en-GB"/>
              </w:rPr>
              <w:t>their</w:t>
            </w:r>
            <w:proofErr w:type="spellEnd"/>
            <w:r w:rsidRPr="000D44EC">
              <w:rPr>
                <w:rFonts w:ascii="Arial" w:hAnsi="Arial" w:cs="Arial"/>
                <w:sz w:val="20"/>
                <w:szCs w:val="20"/>
                <w:lang w:val="en-GB"/>
              </w:rPr>
              <w:t xml:space="preserve"> with respect to past strong fixed investment mostly from own resources in Q2. These resources were relatively high, since both the cash of companies and their deposits on current accounts were accumulating with very low investment in two years of recession</w:t>
            </w:r>
          </w:p>
          <w:p w:rsidR="000F0F09" w:rsidRPr="000D44EC" w:rsidRDefault="000F0F09" w:rsidP="00B70CF6">
            <w:pPr>
              <w:pStyle w:val="Zhlav"/>
              <w:jc w:val="both"/>
              <w:rPr>
                <w:rFonts w:ascii="Arial" w:hAnsi="Arial" w:cs="Arial"/>
                <w:sz w:val="12"/>
                <w:szCs w:val="12"/>
                <w:lang w:val="en-GB"/>
              </w:rPr>
            </w:pPr>
          </w:p>
        </w:tc>
      </w:tr>
      <w:tr w:rsidR="000F0F09" w:rsidRPr="000D44EC" w:rsidTr="00B70CF6">
        <w:trPr>
          <w:gridBefore w:val="1"/>
          <w:wBefore w:w="20" w:type="pct"/>
        </w:trPr>
        <w:tc>
          <w:tcPr>
            <w:tcW w:w="1038" w:type="pct"/>
            <w:gridSpan w:val="2"/>
          </w:tcPr>
          <w:p w:rsidR="000F0F09" w:rsidRPr="000D44EC" w:rsidRDefault="000F0F09" w:rsidP="00B70CF6">
            <w:pPr>
              <w:jc w:val="left"/>
              <w:rPr>
                <w:sz w:val="16"/>
                <w:szCs w:val="16"/>
                <w:lang w:val="en-GB"/>
              </w:rPr>
            </w:pPr>
            <w:r w:rsidRPr="000D44EC">
              <w:rPr>
                <w:color w:val="000000"/>
                <w:sz w:val="16"/>
                <w:szCs w:val="16"/>
                <w:lang w:val="en-GB"/>
              </w:rPr>
              <w:t>Money in decline also on term deposits of households, but their significant increase on non-term deposits…</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ind w:right="-28"/>
              <w:jc w:val="both"/>
              <w:rPr>
                <w:rFonts w:ascii="Arial" w:hAnsi="Arial" w:cs="Arial"/>
                <w:spacing w:val="-2"/>
                <w:sz w:val="20"/>
                <w:szCs w:val="20"/>
                <w:lang w:val="en-GB"/>
              </w:rPr>
            </w:pPr>
            <w:r w:rsidRPr="000D44EC">
              <w:rPr>
                <w:rFonts w:ascii="Arial" w:hAnsi="Arial" w:cs="Arial"/>
                <w:spacing w:val="-2"/>
                <w:sz w:val="20"/>
                <w:szCs w:val="20"/>
                <w:lang w:val="en-GB"/>
              </w:rPr>
              <w:t xml:space="preserve">People were withdrawing money from their term deposits (-49.4 </w:t>
            </w:r>
            <w:proofErr w:type="spellStart"/>
            <w:r w:rsidRPr="000D44EC">
              <w:rPr>
                <w:rFonts w:ascii="Arial" w:hAnsi="Arial" w:cs="Arial"/>
                <w:spacing w:val="-2"/>
                <w:sz w:val="20"/>
                <w:szCs w:val="20"/>
                <w:lang w:val="en-GB"/>
              </w:rPr>
              <w:t>bn</w:t>
            </w:r>
            <w:proofErr w:type="spellEnd"/>
            <w:r w:rsidRPr="000D44EC">
              <w:rPr>
                <w:rFonts w:ascii="Arial" w:hAnsi="Arial" w:cs="Arial"/>
                <w:spacing w:val="-2"/>
                <w:sz w:val="20"/>
                <w:szCs w:val="20"/>
                <w:lang w:val="en-GB"/>
              </w:rPr>
              <w:t xml:space="preserve"> crowns year-on-year, -21.3 </w:t>
            </w:r>
            <w:proofErr w:type="spellStart"/>
            <w:r w:rsidRPr="000D44EC">
              <w:rPr>
                <w:rFonts w:ascii="Arial" w:hAnsi="Arial" w:cs="Arial"/>
                <w:spacing w:val="-2"/>
                <w:sz w:val="20"/>
                <w:szCs w:val="20"/>
                <w:lang w:val="en-GB"/>
              </w:rPr>
              <w:t>bn</w:t>
            </w:r>
            <w:proofErr w:type="spellEnd"/>
            <w:r w:rsidRPr="000D44EC">
              <w:rPr>
                <w:rFonts w:ascii="Arial" w:hAnsi="Arial" w:cs="Arial"/>
                <w:spacing w:val="-2"/>
                <w:sz w:val="20"/>
                <w:szCs w:val="20"/>
                <w:lang w:val="en-GB"/>
              </w:rPr>
              <w:t xml:space="preserve"> crowns quarter-on-quarter) and they had deposited 635.4 </w:t>
            </w:r>
            <w:proofErr w:type="spellStart"/>
            <w:r w:rsidRPr="000D44EC">
              <w:rPr>
                <w:rFonts w:ascii="Arial" w:hAnsi="Arial" w:cs="Arial"/>
                <w:spacing w:val="-2"/>
                <w:sz w:val="20"/>
                <w:szCs w:val="20"/>
                <w:lang w:val="en-GB"/>
              </w:rPr>
              <w:t>bn</w:t>
            </w:r>
            <w:proofErr w:type="spellEnd"/>
            <w:r w:rsidRPr="000D44EC">
              <w:rPr>
                <w:rFonts w:ascii="Arial" w:hAnsi="Arial" w:cs="Arial"/>
                <w:spacing w:val="-2"/>
                <w:sz w:val="20"/>
                <w:szCs w:val="20"/>
                <w:lang w:val="en-GB"/>
              </w:rPr>
              <w:t xml:space="preserve"> crowns on these accounts by the end of June. The decline thus accelerated in Q2. The positive development of gross disposable income of households, evident in Q1, has not been apparently yet reflected in their behaviour (+2.6 % year-on-year, when the balance of gross primary incomes increased even by 3.6 %), which could be explained by both the hesitation and uncertainty of households following the materialized recession or also the continuing inequality in the income distribution. </w:t>
            </w:r>
          </w:p>
          <w:p w:rsidR="000F0F09" w:rsidRPr="000D44EC" w:rsidRDefault="000F0F09" w:rsidP="00B70CF6">
            <w:pPr>
              <w:pStyle w:val="Zhlav"/>
              <w:ind w:right="-70"/>
              <w:jc w:val="both"/>
              <w:rPr>
                <w:sz w:val="12"/>
                <w:szCs w:val="12"/>
                <w:lang w:val="en-GB"/>
              </w:rPr>
            </w:pPr>
          </w:p>
        </w:tc>
      </w:tr>
      <w:tr w:rsidR="000F0F09" w:rsidRPr="000D44EC" w:rsidTr="00B70CF6">
        <w:trPr>
          <w:gridBefore w:val="1"/>
          <w:wBefore w:w="20" w:type="pct"/>
        </w:trPr>
        <w:tc>
          <w:tcPr>
            <w:tcW w:w="1038" w:type="pct"/>
            <w:gridSpan w:val="2"/>
          </w:tcPr>
          <w:p w:rsidR="000F0F09" w:rsidRPr="000D44EC" w:rsidRDefault="000F0F09" w:rsidP="00B70CF6">
            <w:pPr>
              <w:jc w:val="left"/>
              <w:rPr>
                <w:color w:val="000000"/>
                <w:sz w:val="16"/>
                <w:szCs w:val="16"/>
                <w:lang w:val="en-GB"/>
              </w:rPr>
            </w:pPr>
            <w:r w:rsidRPr="000D44EC">
              <w:rPr>
                <w:color w:val="000000"/>
                <w:sz w:val="16"/>
                <w:szCs w:val="16"/>
                <w:lang w:val="en-GB"/>
              </w:rPr>
              <w:t>… is given apart from other influences likely the most by the interest rate policy of banks – which results together with the effect of withdrawal of deposits in lowering of household incomes from property already several quarters in a row, which consist for most part just of the interest income from deposits</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rPr>
                <w:rFonts w:eastAsia="Calibri" w:cs="Arial"/>
                <w:szCs w:val="20"/>
                <w:lang w:val="en-GB" w:eastAsia="en-US"/>
              </w:rPr>
            </w:pPr>
            <w:r w:rsidRPr="000D44EC">
              <w:rPr>
                <w:rFonts w:eastAsia="Calibri" w:cs="Arial"/>
                <w:szCs w:val="20"/>
                <w:lang w:val="en-GB" w:eastAsia="en-US"/>
              </w:rPr>
              <w:t>However, it can especially represent the logical behaviour of households with respect to the interest rate conditions of deposits – the rates on term deposits are so low, that it is more advantageous for the savers to hold money on non-term deposit, which are in addition more liquid (even though the interest rates of non-term deposits of households</w:t>
            </w:r>
            <w:r w:rsidRPr="000D44EC">
              <w:rPr>
                <w:rStyle w:val="Znakapoznpodarou"/>
                <w:rFonts w:cs="Arial"/>
                <w:szCs w:val="20"/>
                <w:lang w:val="en-GB"/>
              </w:rPr>
              <w:footnoteReference w:id="1"/>
            </w:r>
            <w:r w:rsidRPr="000D44EC">
              <w:rPr>
                <w:rFonts w:ascii="Times New Roman" w:eastAsia="Calibri" w:hAnsi="Times New Roman"/>
                <w:sz w:val="24"/>
                <w:lang w:val="en-GB" w:eastAsia="en-US"/>
              </w:rPr>
              <w:t xml:space="preserve"> </w:t>
            </w:r>
            <w:r w:rsidRPr="000D44EC">
              <w:rPr>
                <w:rFonts w:eastAsia="Calibri" w:cs="Arial"/>
                <w:szCs w:val="20"/>
                <w:lang w:val="en-GB" w:eastAsia="en-US"/>
              </w:rPr>
              <w:t xml:space="preserve">in banks consisted for new deals of 0.39 % p.a. in Q2, it consisted e.g. for deposits with a notice period over three months even only 0.57 % p.a.). A strong growth of non-term (one-day) deposits of households, which increased by 109 </w:t>
            </w:r>
            <w:proofErr w:type="spellStart"/>
            <w:r w:rsidRPr="000D44EC">
              <w:rPr>
                <w:rFonts w:eastAsia="Calibri" w:cs="Arial"/>
                <w:szCs w:val="20"/>
                <w:lang w:val="en-GB" w:eastAsia="en-US"/>
              </w:rPr>
              <w:t>bn</w:t>
            </w:r>
            <w:proofErr w:type="spellEnd"/>
            <w:r w:rsidRPr="000D44EC">
              <w:rPr>
                <w:rFonts w:eastAsia="Calibri" w:cs="Arial"/>
                <w:szCs w:val="20"/>
                <w:lang w:val="en-GB" w:eastAsia="en-US"/>
              </w:rPr>
              <w:t xml:space="preserve"> year-on-year (+9.1 %) and by 45 </w:t>
            </w:r>
            <w:proofErr w:type="spellStart"/>
            <w:r w:rsidRPr="000D44EC">
              <w:rPr>
                <w:rFonts w:eastAsia="Calibri" w:cs="Arial"/>
                <w:szCs w:val="20"/>
                <w:lang w:val="en-GB" w:eastAsia="en-US"/>
              </w:rPr>
              <w:t>bn</w:t>
            </w:r>
            <w:proofErr w:type="spellEnd"/>
            <w:r w:rsidRPr="000D44EC">
              <w:rPr>
                <w:rFonts w:eastAsia="Calibri" w:cs="Arial"/>
                <w:szCs w:val="20"/>
                <w:lang w:val="en-GB" w:eastAsia="en-US"/>
              </w:rPr>
              <w:t xml:space="preserve"> crowns (+3.6 %) in Q2 itself, proves this assumption. Secondly, the fact, that households incomes from their property, which are dominated by interest income, further fell also in Q1 2014 year-on-year (-3-3 %) following the slump by 8,4 % in the last quarter of 2013, also points to this assumption. </w:t>
            </w:r>
          </w:p>
          <w:p w:rsidR="000F0F09" w:rsidRPr="000D44EC" w:rsidRDefault="000F0F09" w:rsidP="00B70CF6">
            <w:pPr>
              <w:pStyle w:val="Zhlav"/>
              <w:ind w:right="-70"/>
              <w:jc w:val="both"/>
              <w:rPr>
                <w:rFonts w:ascii="Arial" w:hAnsi="Arial" w:cs="Arial"/>
                <w:sz w:val="16"/>
                <w:szCs w:val="16"/>
                <w:lang w:val="en-GB"/>
              </w:rPr>
            </w:pPr>
          </w:p>
        </w:tc>
      </w:tr>
      <w:tr w:rsidR="000F0F09" w:rsidRPr="000D44EC" w:rsidTr="00B70CF6">
        <w:trPr>
          <w:gridBefore w:val="1"/>
          <w:wBefore w:w="20" w:type="pct"/>
        </w:trPr>
        <w:tc>
          <w:tcPr>
            <w:tcW w:w="1038" w:type="pct"/>
            <w:gridSpan w:val="2"/>
          </w:tcPr>
          <w:p w:rsidR="000F0F09" w:rsidRPr="000D44EC" w:rsidRDefault="000F0F09" w:rsidP="00B70CF6">
            <w:pPr>
              <w:jc w:val="left"/>
              <w:rPr>
                <w:color w:val="000000"/>
                <w:sz w:val="16"/>
                <w:szCs w:val="16"/>
                <w:lang w:val="en-GB"/>
              </w:rPr>
            </w:pPr>
            <w:r w:rsidRPr="000D44EC">
              <w:rPr>
                <w:color w:val="000000"/>
                <w:sz w:val="16"/>
                <w:szCs w:val="16"/>
                <w:lang w:val="en-GB"/>
              </w:rPr>
              <w:t>Economy grows without the credit expansion – growth of domestic credit affected especially by net credit of government sector</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jc w:val="both"/>
              <w:rPr>
                <w:rFonts w:ascii="Arial" w:hAnsi="Arial" w:cs="Arial"/>
                <w:spacing w:val="-4"/>
                <w:sz w:val="20"/>
                <w:szCs w:val="20"/>
                <w:lang w:val="en-GB"/>
              </w:rPr>
            </w:pPr>
            <w:r w:rsidRPr="000D44EC">
              <w:rPr>
                <w:rFonts w:ascii="Arial" w:hAnsi="Arial" w:cs="Arial"/>
                <w:spacing w:val="-4"/>
                <w:sz w:val="20"/>
                <w:szCs w:val="20"/>
                <w:lang w:val="en-GB"/>
              </w:rPr>
              <w:t xml:space="preserve">The increase of credit dynamics, which would correspond to the relatively favourable rate of after-recession recovery – the Czech economy grew faster than the EU economy in H1- , has not eventuated so far. Domestic credit rose by 4.1 % year-o-year. It is the most in the last two </w:t>
            </w:r>
            <w:proofErr w:type="gramStart"/>
            <w:r w:rsidRPr="000D44EC">
              <w:rPr>
                <w:rFonts w:ascii="Arial" w:hAnsi="Arial" w:cs="Arial"/>
                <w:spacing w:val="-4"/>
                <w:sz w:val="20"/>
                <w:szCs w:val="20"/>
                <w:lang w:val="en-GB"/>
              </w:rPr>
              <w:t>years,</w:t>
            </w:r>
            <w:proofErr w:type="gramEnd"/>
            <w:r w:rsidRPr="000D44EC">
              <w:rPr>
                <w:rFonts w:ascii="Arial" w:hAnsi="Arial" w:cs="Arial"/>
                <w:spacing w:val="-4"/>
                <w:sz w:val="20"/>
                <w:szCs w:val="20"/>
                <w:lang w:val="en-GB"/>
              </w:rPr>
              <w:t xml:space="preserve"> however this growth can be attributed for the most part to the increase of net credit to the government sector (+6.3 %). The credit to companies as well as households increased less year-on-year, specifically by 3.9 % and 3.6 % respectively (it is even the lowest addition observed in individual quarters in case of households historically year-on-year).</w:t>
            </w:r>
          </w:p>
          <w:p w:rsidR="000F0F09" w:rsidRPr="000D44EC" w:rsidRDefault="000F0F09" w:rsidP="00B70CF6">
            <w:pPr>
              <w:pStyle w:val="Zhlav"/>
              <w:ind w:right="-70"/>
              <w:jc w:val="both"/>
              <w:rPr>
                <w:rFonts w:ascii="Arial" w:hAnsi="Arial" w:cs="Arial"/>
                <w:sz w:val="16"/>
                <w:szCs w:val="16"/>
                <w:lang w:val="en-GB"/>
              </w:rPr>
            </w:pPr>
            <w:r w:rsidRPr="000D44EC">
              <w:rPr>
                <w:rFonts w:ascii="Arial" w:hAnsi="Arial" w:cs="Arial"/>
                <w:sz w:val="20"/>
                <w:szCs w:val="20"/>
                <w:lang w:val="en-GB"/>
              </w:rPr>
              <w:t xml:space="preserve"> </w:t>
            </w:r>
          </w:p>
        </w:tc>
      </w:tr>
      <w:tr w:rsidR="000F0F09" w:rsidRPr="000D44EC" w:rsidTr="00B70CF6">
        <w:trPr>
          <w:gridBefore w:val="1"/>
          <w:wBefore w:w="20" w:type="pct"/>
        </w:trPr>
        <w:tc>
          <w:tcPr>
            <w:tcW w:w="1038" w:type="pct"/>
            <w:gridSpan w:val="2"/>
          </w:tcPr>
          <w:p w:rsidR="000F0F09" w:rsidRPr="000D44EC" w:rsidRDefault="000F0F09" w:rsidP="00B70CF6">
            <w:pPr>
              <w:jc w:val="left"/>
              <w:rPr>
                <w:sz w:val="16"/>
                <w:szCs w:val="16"/>
                <w:lang w:val="en-GB"/>
              </w:rPr>
            </w:pPr>
            <w:r w:rsidRPr="000D44EC">
              <w:rPr>
                <w:color w:val="000000"/>
                <w:sz w:val="16"/>
                <w:szCs w:val="16"/>
                <w:lang w:val="en-GB"/>
              </w:rPr>
              <w:t xml:space="preserve">Mortgages from banks to population start to </w:t>
            </w:r>
            <w:proofErr w:type="gramStart"/>
            <w:r w:rsidRPr="000D44EC">
              <w:rPr>
                <w:color w:val="000000"/>
                <w:sz w:val="16"/>
                <w:szCs w:val="16"/>
                <w:lang w:val="en-GB"/>
              </w:rPr>
              <w:t>rise</w:t>
            </w:r>
            <w:proofErr w:type="gramEnd"/>
            <w:r w:rsidRPr="000D44EC">
              <w:rPr>
                <w:color w:val="000000"/>
                <w:sz w:val="16"/>
                <w:szCs w:val="16"/>
                <w:lang w:val="en-GB"/>
              </w:rPr>
              <w:t xml:space="preserve"> mildly faster, bank </w:t>
            </w:r>
            <w:r w:rsidRPr="000D44EC">
              <w:rPr>
                <w:color w:val="000000"/>
                <w:sz w:val="16"/>
                <w:szCs w:val="16"/>
                <w:lang w:val="en-GB"/>
              </w:rPr>
              <w:lastRenderedPageBreak/>
              <w:t>consumer loans also revive somewhat for third quarter in a row…</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jc w:val="both"/>
              <w:rPr>
                <w:rFonts w:ascii="Arial" w:hAnsi="Arial" w:cs="Arial"/>
                <w:spacing w:val="-2"/>
                <w:sz w:val="20"/>
                <w:szCs w:val="20"/>
                <w:lang w:val="en-GB"/>
              </w:rPr>
            </w:pPr>
            <w:r w:rsidRPr="000D44EC">
              <w:rPr>
                <w:rFonts w:ascii="Arial" w:hAnsi="Arial" w:cs="Arial"/>
                <w:spacing w:val="-2"/>
                <w:sz w:val="20"/>
                <w:szCs w:val="20"/>
                <w:lang w:val="en-GB"/>
              </w:rPr>
              <w:t xml:space="preserve">Even though the people in the aggregate borrow from banks with a decreasing intensity, with respect to the rates of growth of bank credit provided – the consumer </w:t>
            </w:r>
            <w:r w:rsidRPr="000D44EC">
              <w:rPr>
                <w:rFonts w:ascii="Arial" w:hAnsi="Arial" w:cs="Arial"/>
                <w:spacing w:val="-2"/>
                <w:sz w:val="20"/>
                <w:szCs w:val="20"/>
                <w:lang w:val="en-GB"/>
              </w:rPr>
              <w:lastRenderedPageBreak/>
              <w:t xml:space="preserve">loans from non-bank institutions however gain pace already second quarter in a row -, mortgages to population deepen their pace (+5.7 % year-on-year in Q2), which even increases since autumn 2013. The bank credit to population, whose balances were falling every quarter commencing September 2011 year-o-year, show additions since the last quarter of the past year year-on-year, even though only very modest (+0.3 % in Q2 2014). </w:t>
            </w:r>
          </w:p>
          <w:p w:rsidR="000F0F09" w:rsidRPr="000D44EC" w:rsidRDefault="000F0F09" w:rsidP="00B70CF6">
            <w:pPr>
              <w:pStyle w:val="Zhlav"/>
              <w:ind w:right="-70"/>
              <w:jc w:val="both"/>
              <w:rPr>
                <w:sz w:val="14"/>
                <w:szCs w:val="14"/>
                <w:lang w:val="en-GB"/>
              </w:rPr>
            </w:pPr>
          </w:p>
        </w:tc>
      </w:tr>
      <w:tr w:rsidR="000F0F09" w:rsidRPr="000D44EC" w:rsidTr="00B70CF6">
        <w:trPr>
          <w:gridBefore w:val="1"/>
          <w:wBefore w:w="20" w:type="pct"/>
        </w:trPr>
        <w:tc>
          <w:tcPr>
            <w:tcW w:w="1038" w:type="pct"/>
            <w:gridSpan w:val="2"/>
          </w:tcPr>
          <w:p w:rsidR="000F0F09" w:rsidRPr="000D44EC" w:rsidRDefault="000F0F09" w:rsidP="00B70CF6">
            <w:pPr>
              <w:jc w:val="left"/>
              <w:rPr>
                <w:color w:val="000000"/>
                <w:sz w:val="16"/>
                <w:szCs w:val="16"/>
                <w:lang w:val="en-GB"/>
              </w:rPr>
            </w:pPr>
            <w:r w:rsidRPr="000D44EC">
              <w:rPr>
                <w:color w:val="000000"/>
                <w:sz w:val="16"/>
                <w:szCs w:val="16"/>
                <w:lang w:val="en-GB"/>
              </w:rPr>
              <w:lastRenderedPageBreak/>
              <w:t xml:space="preserve">…together with short-term consumer credit from </w:t>
            </w:r>
            <w:proofErr w:type="spellStart"/>
            <w:r w:rsidRPr="000D44EC">
              <w:rPr>
                <w:color w:val="000000"/>
                <w:sz w:val="16"/>
                <w:szCs w:val="16"/>
                <w:lang w:val="en-GB"/>
              </w:rPr>
              <w:t>installment</w:t>
            </w:r>
            <w:proofErr w:type="spellEnd"/>
            <w:r w:rsidRPr="000D44EC">
              <w:rPr>
                <w:color w:val="000000"/>
                <w:sz w:val="16"/>
                <w:szCs w:val="16"/>
                <w:lang w:val="en-GB"/>
              </w:rPr>
              <w:t xml:space="preserve"> sale companies; loans in the form of financial leasing also start to grow following their slumps </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jc w:val="both"/>
              <w:rPr>
                <w:rFonts w:ascii="Arial" w:hAnsi="Arial" w:cs="Arial"/>
                <w:sz w:val="20"/>
                <w:szCs w:val="20"/>
                <w:lang w:val="en-GB"/>
              </w:rPr>
            </w:pPr>
            <w:r w:rsidRPr="000D44EC">
              <w:rPr>
                <w:rFonts w:ascii="Arial" w:hAnsi="Arial" w:cs="Arial"/>
                <w:sz w:val="20"/>
                <w:szCs w:val="20"/>
                <w:lang w:val="en-GB"/>
              </w:rPr>
              <w:t>The non-bank entities also lend to households on consumption, but only short-term (+4.8 % in Q2), while the levels of these loans rise also a third quarter in a row. The levels of loans to households with longer maturity from these intermediaries nevertheless keep falling (the risk is obviously still perceived). It is not valid for the leasing financing (loans in the form of financial leasing also grow already a third quarter in a row).</w:t>
            </w:r>
          </w:p>
          <w:p w:rsidR="000F0F09" w:rsidRPr="000D44EC" w:rsidRDefault="000F0F09" w:rsidP="00B70CF6">
            <w:pPr>
              <w:pStyle w:val="Zhlav"/>
              <w:ind w:right="-70"/>
              <w:jc w:val="both"/>
              <w:rPr>
                <w:rFonts w:ascii="Arial" w:hAnsi="Arial" w:cs="Arial"/>
                <w:sz w:val="16"/>
                <w:szCs w:val="16"/>
                <w:lang w:val="en-GB"/>
              </w:rPr>
            </w:pPr>
          </w:p>
        </w:tc>
      </w:tr>
      <w:tr w:rsidR="000F0F09" w:rsidRPr="000D44EC" w:rsidTr="00B70CF6">
        <w:trPr>
          <w:gridBefore w:val="1"/>
          <w:wBefore w:w="20" w:type="pct"/>
        </w:trPr>
        <w:tc>
          <w:tcPr>
            <w:tcW w:w="1038" w:type="pct"/>
            <w:gridSpan w:val="2"/>
          </w:tcPr>
          <w:p w:rsidR="000F0F09" w:rsidRPr="000D44EC" w:rsidRDefault="000F0F09" w:rsidP="00B70CF6">
            <w:pPr>
              <w:jc w:val="left"/>
              <w:rPr>
                <w:color w:val="000000"/>
                <w:sz w:val="16"/>
                <w:szCs w:val="16"/>
                <w:lang w:val="en-GB"/>
              </w:rPr>
            </w:pPr>
            <w:r w:rsidRPr="000D44EC">
              <w:rPr>
                <w:color w:val="000000"/>
                <w:sz w:val="16"/>
                <w:szCs w:val="16"/>
                <w:lang w:val="en-GB"/>
              </w:rPr>
              <w:t>Weak crown influenced the size of net foreign assets</w:t>
            </w: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jc w:val="both"/>
              <w:rPr>
                <w:rFonts w:ascii="Arial" w:hAnsi="Arial" w:cs="Arial"/>
                <w:sz w:val="20"/>
                <w:szCs w:val="20"/>
                <w:lang w:val="en-GB"/>
              </w:rPr>
            </w:pPr>
            <w:r w:rsidRPr="000D44EC">
              <w:rPr>
                <w:rFonts w:ascii="Arial" w:hAnsi="Arial" w:cs="Arial"/>
                <w:sz w:val="20"/>
                <w:szCs w:val="20"/>
                <w:lang w:val="en-GB"/>
              </w:rPr>
              <w:t>A strong growth of net foreign assets expressed in crowns, especially the net foreign assets of CNB (+37.2 % year-on-year) relates to the weakening of the Czech crown exchange rate from November 2013.</w:t>
            </w:r>
          </w:p>
        </w:tc>
      </w:tr>
      <w:tr w:rsidR="000F0F09" w:rsidRPr="000D44EC" w:rsidTr="00B70CF6">
        <w:trPr>
          <w:gridBefore w:val="1"/>
          <w:wBefore w:w="20" w:type="pct"/>
        </w:trPr>
        <w:tc>
          <w:tcPr>
            <w:tcW w:w="1038" w:type="pct"/>
            <w:gridSpan w:val="2"/>
          </w:tcPr>
          <w:p w:rsidR="000F0F09" w:rsidRPr="000D44EC" w:rsidRDefault="000F0F09" w:rsidP="00B70CF6">
            <w:pPr>
              <w:jc w:val="left"/>
              <w:rPr>
                <w:sz w:val="16"/>
                <w:szCs w:val="16"/>
                <w:lang w:val="en-GB"/>
              </w:rPr>
            </w:pPr>
          </w:p>
        </w:tc>
        <w:tc>
          <w:tcPr>
            <w:tcW w:w="141" w:type="pct"/>
          </w:tcPr>
          <w:p w:rsidR="000F0F09" w:rsidRPr="000D44EC" w:rsidRDefault="000F0F09" w:rsidP="00B70CF6">
            <w:pPr>
              <w:pStyle w:val="Textpoznpodarou"/>
              <w:jc w:val="both"/>
              <w:rPr>
                <w:lang w:val="en-GB"/>
              </w:rPr>
            </w:pPr>
          </w:p>
        </w:tc>
        <w:tc>
          <w:tcPr>
            <w:tcW w:w="3801" w:type="pct"/>
            <w:gridSpan w:val="4"/>
          </w:tcPr>
          <w:p w:rsidR="000F0F09" w:rsidRPr="000D44EC" w:rsidRDefault="000F0F09" w:rsidP="00B70CF6">
            <w:pPr>
              <w:pStyle w:val="Zhlav"/>
              <w:ind w:right="-70"/>
              <w:jc w:val="both"/>
              <w:rPr>
                <w:rFonts w:ascii="Arial" w:hAnsi="Arial" w:cs="Arial"/>
                <w:sz w:val="16"/>
                <w:szCs w:val="16"/>
                <w:lang w:val="en-GB"/>
              </w:rPr>
            </w:pPr>
          </w:p>
        </w:tc>
      </w:tr>
      <w:tr w:rsidR="000F0F09" w:rsidRPr="000D44EC" w:rsidTr="00B70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37" w:type="pct"/>
        </w:trPr>
        <w:tc>
          <w:tcPr>
            <w:tcW w:w="544" w:type="pct"/>
            <w:gridSpan w:val="2"/>
            <w:tcBorders>
              <w:top w:val="nil"/>
              <w:left w:val="nil"/>
              <w:bottom w:val="nil"/>
              <w:right w:val="nil"/>
            </w:tcBorders>
          </w:tcPr>
          <w:p w:rsidR="000F0F09" w:rsidRPr="000D44EC" w:rsidRDefault="000F0F09" w:rsidP="00B70CF6">
            <w:pPr>
              <w:jc w:val="left"/>
              <w:rPr>
                <w:lang w:val="en-GB"/>
              </w:rPr>
            </w:pPr>
            <w:r w:rsidRPr="000D44EC">
              <w:rPr>
                <w:lang w:val="en-GB"/>
              </w:rPr>
              <w:t>Chart 19</w:t>
            </w:r>
          </w:p>
        </w:tc>
        <w:tc>
          <w:tcPr>
            <w:tcW w:w="1954" w:type="pct"/>
            <w:gridSpan w:val="3"/>
            <w:tcBorders>
              <w:top w:val="nil"/>
              <w:left w:val="nil"/>
              <w:bottom w:val="nil"/>
              <w:right w:val="nil"/>
            </w:tcBorders>
          </w:tcPr>
          <w:p w:rsidR="000F0F09" w:rsidRPr="000D44EC" w:rsidRDefault="000F0F09" w:rsidP="00B70CF6">
            <w:pPr>
              <w:jc w:val="left"/>
              <w:rPr>
                <w:b/>
                <w:lang w:val="en-GB"/>
              </w:rPr>
            </w:pPr>
            <w:r w:rsidRPr="000D44EC">
              <w:rPr>
                <w:b/>
                <w:lang w:val="en-GB"/>
              </w:rPr>
              <w:t>Household deposits (</w:t>
            </w:r>
            <w:r w:rsidRPr="000D44EC">
              <w:rPr>
                <w:bCs/>
                <w:lang w:val="en-GB"/>
              </w:rPr>
              <w:t>y/y, in %)</w:t>
            </w:r>
          </w:p>
        </w:tc>
        <w:tc>
          <w:tcPr>
            <w:tcW w:w="416" w:type="pct"/>
            <w:tcBorders>
              <w:top w:val="nil"/>
              <w:left w:val="nil"/>
              <w:bottom w:val="nil"/>
              <w:right w:val="nil"/>
            </w:tcBorders>
          </w:tcPr>
          <w:p w:rsidR="000F0F09" w:rsidRPr="000D44EC" w:rsidRDefault="000F0F09" w:rsidP="00B70CF6">
            <w:pPr>
              <w:jc w:val="left"/>
              <w:rPr>
                <w:lang w:val="en-GB"/>
              </w:rPr>
            </w:pPr>
            <w:r w:rsidRPr="000D44EC">
              <w:rPr>
                <w:lang w:val="en-GB"/>
              </w:rPr>
              <w:t xml:space="preserve">Chart 20 </w:t>
            </w:r>
          </w:p>
        </w:tc>
        <w:tc>
          <w:tcPr>
            <w:tcW w:w="2049" w:type="pct"/>
            <w:tcBorders>
              <w:top w:val="nil"/>
              <w:left w:val="nil"/>
              <w:bottom w:val="nil"/>
              <w:right w:val="nil"/>
            </w:tcBorders>
          </w:tcPr>
          <w:p w:rsidR="000F0F09" w:rsidRPr="000D44EC" w:rsidRDefault="000F0F09" w:rsidP="00B70CF6">
            <w:pPr>
              <w:jc w:val="left"/>
              <w:rPr>
                <w:lang w:val="en-GB"/>
              </w:rPr>
            </w:pPr>
            <w:r>
              <w:rPr>
                <w:b/>
                <w:lang w:val="en-GB"/>
              </w:rPr>
              <w:t xml:space="preserve">Loans to businesses, loans to </w:t>
            </w:r>
            <w:proofErr w:type="spellStart"/>
            <w:r>
              <w:rPr>
                <w:b/>
                <w:lang w:val="en-GB"/>
              </w:rPr>
              <w:t>houholds</w:t>
            </w:r>
            <w:proofErr w:type="spellEnd"/>
            <w:r>
              <w:rPr>
                <w:b/>
                <w:lang w:val="en-GB"/>
              </w:rPr>
              <w:t>, Domestic credits in total</w:t>
            </w:r>
            <w:r w:rsidRPr="000D44EC">
              <w:rPr>
                <w:b/>
                <w:lang w:val="en-GB"/>
              </w:rPr>
              <w:t xml:space="preserve"> </w:t>
            </w:r>
            <w:r w:rsidRPr="000D44EC">
              <w:rPr>
                <w:lang w:val="en-GB"/>
              </w:rPr>
              <w:t>(</w:t>
            </w:r>
            <w:r w:rsidRPr="000D44EC">
              <w:rPr>
                <w:bCs/>
                <w:lang w:val="en-GB"/>
              </w:rPr>
              <w:t>y/y, v %)</w:t>
            </w:r>
          </w:p>
        </w:tc>
      </w:tr>
      <w:tr w:rsidR="000F0F09" w:rsidRPr="000D44EC" w:rsidTr="000F0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37" w:type="pct"/>
          <w:trHeight w:val="3256"/>
        </w:trPr>
        <w:tc>
          <w:tcPr>
            <w:tcW w:w="2498" w:type="pct"/>
            <w:gridSpan w:val="5"/>
            <w:tcBorders>
              <w:top w:val="nil"/>
              <w:left w:val="nil"/>
              <w:bottom w:val="nil"/>
              <w:right w:val="nil"/>
            </w:tcBorders>
          </w:tcPr>
          <w:p w:rsidR="000F0F09" w:rsidRPr="000D44EC" w:rsidRDefault="00E9627F" w:rsidP="00B70CF6">
            <w:pPr>
              <w:pStyle w:val="Zhlav"/>
              <w:tabs>
                <w:tab w:val="clear" w:pos="4536"/>
                <w:tab w:val="clear" w:pos="9072"/>
              </w:tabs>
              <w:rPr>
                <w:rFonts w:ascii="Arial" w:hAnsi="Arial" w:cs="Arial"/>
                <w:sz w:val="20"/>
                <w:lang w:val="en-GB"/>
              </w:rPr>
            </w:pPr>
            <w:r w:rsidRPr="0052140F">
              <w:rPr>
                <w:rFonts w:ascii="Arial" w:hAnsi="Arial" w:cs="Arial"/>
                <w:noProof/>
                <w:sz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0" o:spid="_x0000_i1025" type="#_x0000_t75" style="width:237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">
                  <v:imagedata r:id="rId8" o:title=""/>
                  <o:lock v:ext="edit" aspectratio="f"/>
                </v:shape>
              </w:pict>
            </w:r>
          </w:p>
        </w:tc>
        <w:tc>
          <w:tcPr>
            <w:tcW w:w="2465" w:type="pct"/>
            <w:gridSpan w:val="2"/>
            <w:tcBorders>
              <w:top w:val="nil"/>
              <w:left w:val="nil"/>
              <w:bottom w:val="nil"/>
              <w:right w:val="nil"/>
            </w:tcBorders>
          </w:tcPr>
          <w:p w:rsidR="000F0F09" w:rsidRPr="000D44EC" w:rsidRDefault="00E9627F" w:rsidP="00B70CF6">
            <w:pPr>
              <w:pStyle w:val="Zhlav"/>
              <w:tabs>
                <w:tab w:val="clear" w:pos="4536"/>
                <w:tab w:val="clear" w:pos="9072"/>
              </w:tabs>
              <w:spacing w:line="235" w:lineRule="auto"/>
              <w:jc w:val="both"/>
              <w:rPr>
                <w:rFonts w:ascii="Arial" w:hAnsi="Arial" w:cs="Arial"/>
                <w:sz w:val="20"/>
                <w:lang w:val="en-GB"/>
              </w:rPr>
            </w:pPr>
            <w:r w:rsidRPr="0052140F">
              <w:rPr>
                <w:rFonts w:ascii="Arial" w:hAnsi="Arial" w:cs="Arial"/>
                <w:noProof/>
                <w:sz w:val="20"/>
                <w:lang w:eastAsia="cs-CZ"/>
              </w:rPr>
              <w:pict>
                <v:shape id="Graf 11" o:spid="_x0000_i1026" type="#_x0000_t75" style="width:234pt;height:192.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">
                  <v:imagedata r:id="rId9" o:title=""/>
                  <o:lock v:ext="edit" aspectratio="f"/>
                </v:shape>
              </w:pict>
            </w:r>
          </w:p>
        </w:tc>
      </w:tr>
    </w:tbl>
    <w:p w:rsidR="000F0F09" w:rsidRPr="000D44EC" w:rsidRDefault="000F0F09" w:rsidP="000F0F09">
      <w:pPr>
        <w:jc w:val="right"/>
        <w:rPr>
          <w:sz w:val="18"/>
          <w:szCs w:val="18"/>
          <w:lang w:val="en-GB"/>
        </w:rPr>
      </w:pPr>
      <w:r w:rsidRPr="000D44EC">
        <w:rPr>
          <w:sz w:val="18"/>
          <w:szCs w:val="18"/>
          <w:lang w:val="en-GB"/>
        </w:rPr>
        <w:t xml:space="preserve">Source: CNB, own calculations </w:t>
      </w:r>
    </w:p>
    <w:p w:rsidR="008F1658" w:rsidRPr="0057255B" w:rsidRDefault="008F1658" w:rsidP="000F0F09">
      <w:pPr>
        <w:jc w:val="right"/>
      </w:pPr>
    </w:p>
    <w:sectPr w:rsidR="008F1658" w:rsidRPr="0057255B" w:rsidSect="00F246D9">
      <w:headerReference w:type="even" r:id="rId10"/>
      <w:headerReference w:type="default" r:id="rId11"/>
      <w:footerReference w:type="even" r:id="rId12"/>
      <w:footerReference w:type="default" r:id="rId13"/>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BB" w:rsidRDefault="00E751BB" w:rsidP="005D26EF">
      <w:r>
        <w:separator/>
      </w:r>
    </w:p>
  </w:endnote>
  <w:endnote w:type="continuationSeparator" w:id="0">
    <w:p w:rsidR="00E751BB" w:rsidRDefault="00E751BB"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52140F"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52140F"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57255B">
      <w:rPr>
        <w:rFonts w:ascii="Arial" w:hAnsi="Arial" w:cs="Arial"/>
        <w:sz w:val="16"/>
        <w:szCs w:val="16"/>
      </w:rPr>
      <w:t>September</w:t>
    </w:r>
    <w:proofErr w:type="spellEnd"/>
    <w:r w:rsidR="008776E4">
      <w:rPr>
        <w:rFonts w:ascii="Arial" w:hAnsi="Arial" w:cs="Arial"/>
        <w:sz w:val="16"/>
        <w:szCs w:val="16"/>
      </w:rPr>
      <w:t xml:space="preserve"> </w:t>
    </w:r>
    <w:r>
      <w:rPr>
        <w:rFonts w:ascii="Arial" w:hAnsi="Arial" w:cs="Arial"/>
        <w:sz w:val="16"/>
        <w:szCs w:val="16"/>
      </w:rPr>
      <w:t>201</w:t>
    </w:r>
    <w:r w:rsidR="0066041C">
      <w:rPr>
        <w:rFonts w:ascii="Arial" w:hAnsi="Arial" w:cs="Arial"/>
        <w:sz w:val="16"/>
        <w:szCs w:val="16"/>
      </w:rPr>
      <w:t>4</w:t>
    </w:r>
    <w:r>
      <w:tab/>
    </w:r>
    <w:r w:rsidR="0052140F" w:rsidRPr="00B6608F">
      <w:rPr>
        <w:rFonts w:ascii="Arial" w:hAnsi="Arial" w:cs="Arial"/>
        <w:sz w:val="16"/>
        <w:szCs w:val="16"/>
      </w:rPr>
      <w:fldChar w:fldCharType="begin"/>
    </w:r>
    <w:r w:rsidRPr="00B6608F">
      <w:rPr>
        <w:rFonts w:ascii="Arial" w:hAnsi="Arial" w:cs="Arial"/>
        <w:sz w:val="16"/>
        <w:szCs w:val="16"/>
      </w:rPr>
      <w:instrText>PAGE   \* MERGEFORMAT</w:instrText>
    </w:r>
    <w:r w:rsidR="0052140F" w:rsidRPr="00B6608F">
      <w:rPr>
        <w:rFonts w:ascii="Arial" w:hAnsi="Arial" w:cs="Arial"/>
        <w:sz w:val="16"/>
        <w:szCs w:val="16"/>
      </w:rPr>
      <w:fldChar w:fldCharType="separate"/>
    </w:r>
    <w:r w:rsidR="00E9627F">
      <w:rPr>
        <w:rFonts w:ascii="Arial" w:hAnsi="Arial" w:cs="Arial"/>
        <w:noProof/>
        <w:sz w:val="16"/>
        <w:szCs w:val="16"/>
      </w:rPr>
      <w:t>1</w:t>
    </w:r>
    <w:r w:rsidR="0052140F"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BB" w:rsidRDefault="00E751BB" w:rsidP="005D26EF">
      <w:r>
        <w:separator/>
      </w:r>
    </w:p>
  </w:footnote>
  <w:footnote w:type="continuationSeparator" w:id="0">
    <w:p w:rsidR="00E751BB" w:rsidRDefault="00E751BB" w:rsidP="005D26EF">
      <w:r>
        <w:continuationSeparator/>
      </w:r>
    </w:p>
  </w:footnote>
  <w:footnote w:id="1">
    <w:p w:rsidR="000F0F09" w:rsidRDefault="000F0F09" w:rsidP="000F0F09">
      <w:pPr>
        <w:pStyle w:val="Textpoznpodarou"/>
      </w:pPr>
      <w:r>
        <w:rPr>
          <w:rStyle w:val="Znakapoznpodarou"/>
        </w:rPr>
        <w:footnoteRef/>
      </w:r>
      <w:r>
        <w:t xml:space="preserve"> </w:t>
      </w:r>
      <w:proofErr w:type="spellStart"/>
      <w:r>
        <w:rPr>
          <w:sz w:val="16"/>
          <w:szCs w:val="16"/>
        </w:rPr>
        <w:t>Incl</w:t>
      </w:r>
      <w:proofErr w:type="spellEnd"/>
      <w:r>
        <w:rPr>
          <w:sz w:val="16"/>
          <w:szCs w:val="16"/>
        </w:rPr>
        <w:t xml:space="preserve"> NISH.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8776E4" w:rsidP="0057255B">
          <w:pPr>
            <w:pStyle w:val="Zhlav"/>
            <w:tabs>
              <w:tab w:val="clear" w:pos="4536"/>
              <w:tab w:val="clear" w:pos="9072"/>
              <w:tab w:val="left" w:pos="-6379"/>
              <w:tab w:val="center" w:pos="4820"/>
              <w:tab w:val="right" w:pos="9639"/>
            </w:tabs>
            <w:rPr>
              <w:rFonts w:ascii="Arial" w:hAnsi="Arial" w:cs="Arial"/>
              <w:b/>
              <w:sz w:val="16"/>
              <w:szCs w:val="16"/>
            </w:rPr>
          </w:pPr>
          <w:proofErr w:type="spellStart"/>
          <w:r>
            <w:rPr>
              <w:rFonts w:ascii="Arial" w:hAnsi="Arial" w:cs="Arial"/>
              <w:b/>
              <w:sz w:val="16"/>
              <w:szCs w:val="16"/>
            </w:rPr>
            <w:t>The</w:t>
          </w:r>
          <w:proofErr w:type="spellEnd"/>
          <w:r>
            <w:rPr>
              <w:rFonts w:ascii="Arial" w:hAnsi="Arial" w:cs="Arial"/>
              <w:b/>
              <w:sz w:val="16"/>
              <w:szCs w:val="16"/>
            </w:rPr>
            <w:t xml:space="preserve"> </w:t>
          </w:r>
          <w:proofErr w:type="spellStart"/>
          <w:r>
            <w:rPr>
              <w:rFonts w:ascii="Arial" w:hAnsi="Arial" w:cs="Arial"/>
              <w:b/>
              <w:sz w:val="16"/>
              <w:szCs w:val="16"/>
            </w:rPr>
            <w:t>Czech</w:t>
          </w:r>
          <w:proofErr w:type="spellEnd"/>
          <w:r>
            <w:rPr>
              <w:rFonts w:ascii="Arial" w:hAnsi="Arial" w:cs="Arial"/>
              <w:b/>
              <w:sz w:val="16"/>
              <w:szCs w:val="16"/>
            </w:rPr>
            <w:t xml:space="preserve"> </w:t>
          </w:r>
          <w:proofErr w:type="spellStart"/>
          <w:r>
            <w:rPr>
              <w:rFonts w:ascii="Arial" w:hAnsi="Arial" w:cs="Arial"/>
              <w:b/>
              <w:sz w:val="16"/>
              <w:szCs w:val="16"/>
            </w:rPr>
            <w:t>Economy</w:t>
          </w:r>
          <w:proofErr w:type="spellEnd"/>
          <w:r>
            <w:rPr>
              <w:rFonts w:ascii="Arial" w:hAnsi="Arial" w:cs="Arial"/>
              <w:b/>
              <w:sz w:val="16"/>
              <w:szCs w:val="16"/>
            </w:rPr>
            <w:t xml:space="preserve"> </w:t>
          </w:r>
          <w:proofErr w:type="spellStart"/>
          <w:r>
            <w:rPr>
              <w:rFonts w:ascii="Arial" w:hAnsi="Arial" w:cs="Arial"/>
              <w:b/>
              <w:sz w:val="16"/>
              <w:szCs w:val="16"/>
            </w:rPr>
            <w:t>Development</w:t>
          </w:r>
          <w:proofErr w:type="spellEnd"/>
          <w:r>
            <w:rPr>
              <w:rFonts w:ascii="Arial" w:hAnsi="Arial" w:cs="Arial"/>
              <w:b/>
              <w:sz w:val="16"/>
              <w:szCs w:val="16"/>
            </w:rPr>
            <w:t xml:space="preserve">  in </w:t>
          </w:r>
          <w:proofErr w:type="spellStart"/>
          <w:r w:rsidR="0057255B">
            <w:rPr>
              <w:rFonts w:ascii="Arial" w:hAnsi="Arial" w:cs="Arial"/>
              <w:b/>
              <w:sz w:val="16"/>
              <w:szCs w:val="16"/>
            </w:rPr>
            <w:t>the</w:t>
          </w:r>
          <w:proofErr w:type="spellEnd"/>
          <w:r w:rsidR="0057255B">
            <w:rPr>
              <w:rFonts w:ascii="Arial" w:hAnsi="Arial" w:cs="Arial"/>
              <w:b/>
              <w:sz w:val="16"/>
              <w:szCs w:val="16"/>
            </w:rPr>
            <w:t xml:space="preserve"> </w:t>
          </w:r>
          <w:proofErr w:type="spellStart"/>
          <w:r w:rsidR="0057255B">
            <w:rPr>
              <w:rFonts w:ascii="Arial" w:hAnsi="Arial" w:cs="Arial"/>
              <w:b/>
              <w:sz w:val="16"/>
              <w:szCs w:val="16"/>
            </w:rPr>
            <w:t>first</w:t>
          </w:r>
          <w:proofErr w:type="spellEnd"/>
          <w:r w:rsidR="0057255B">
            <w:rPr>
              <w:rFonts w:ascii="Arial" w:hAnsi="Arial" w:cs="Arial"/>
              <w:b/>
              <w:sz w:val="16"/>
              <w:szCs w:val="16"/>
            </w:rPr>
            <w:t xml:space="preserve"> half </w:t>
          </w:r>
          <w:proofErr w:type="spellStart"/>
          <w:r w:rsidR="0057255B">
            <w:rPr>
              <w:rFonts w:ascii="Arial" w:hAnsi="Arial" w:cs="Arial"/>
              <w:b/>
              <w:sz w:val="16"/>
              <w:szCs w:val="16"/>
            </w:rPr>
            <w:t>of</w:t>
          </w:r>
          <w:proofErr w:type="spellEnd"/>
          <w:r w:rsidR="0057255B">
            <w:rPr>
              <w:rFonts w:ascii="Arial" w:hAnsi="Arial" w:cs="Arial"/>
              <w:b/>
              <w:sz w:val="16"/>
              <w:szCs w:val="16"/>
            </w:rPr>
            <w:t xml:space="preserve"> </w:t>
          </w:r>
          <w:r>
            <w:rPr>
              <w:rFonts w:ascii="Arial" w:hAnsi="Arial" w:cs="Arial"/>
              <w:b/>
              <w:sz w:val="16"/>
              <w:szCs w:val="16"/>
            </w:rPr>
            <w:t>201</w:t>
          </w:r>
          <w:r w:rsidR="0057255B">
            <w:rPr>
              <w:rFonts w:ascii="Arial" w:hAnsi="Arial" w:cs="Arial"/>
              <w:b/>
              <w:sz w:val="16"/>
              <w:szCs w:val="16"/>
            </w:rPr>
            <w:t>4</w:t>
          </w:r>
        </w:p>
      </w:tc>
      <w:tc>
        <w:tcPr>
          <w:tcW w:w="3260" w:type="dxa"/>
        </w:tcPr>
        <w:p w:rsidR="004072ED" w:rsidRPr="00E53687" w:rsidRDefault="008776E4" w:rsidP="0057255B">
          <w:pPr>
            <w:pStyle w:val="Zhlav"/>
            <w:tabs>
              <w:tab w:val="clear" w:pos="4536"/>
              <w:tab w:val="clear" w:pos="9072"/>
              <w:tab w:val="left" w:pos="-6379"/>
              <w:tab w:val="center" w:pos="4820"/>
              <w:tab w:val="right" w:pos="9639"/>
            </w:tabs>
            <w:jc w:val="right"/>
            <w:rPr>
              <w:rFonts w:ascii="Arial" w:hAnsi="Arial" w:cs="Arial"/>
              <w:sz w:val="16"/>
              <w:szCs w:val="16"/>
            </w:rPr>
          </w:pPr>
          <w:proofErr w:type="spellStart"/>
          <w:r>
            <w:rPr>
              <w:rFonts w:ascii="Arial" w:hAnsi="Arial" w:cs="Arial"/>
              <w:sz w:val="16"/>
              <w:szCs w:val="16"/>
            </w:rPr>
            <w:t>Code</w:t>
          </w:r>
          <w:proofErr w:type="spellEnd"/>
          <w:r>
            <w:rPr>
              <w:rFonts w:ascii="Arial" w:hAnsi="Arial" w:cs="Arial"/>
              <w:sz w:val="16"/>
              <w:szCs w:val="16"/>
            </w:rPr>
            <w:t xml:space="preserve"> a-</w:t>
          </w:r>
          <w:r w:rsidR="0057255B">
            <w:rPr>
              <w:rFonts w:ascii="Arial" w:hAnsi="Arial" w:cs="Arial"/>
              <w:sz w:val="16"/>
              <w:szCs w:val="16"/>
            </w:rPr>
            <w:t>320194-14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3D547E"/>
    <w:multiLevelType w:val="hybridMultilevel"/>
    <w:tmpl w:val="91004290"/>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1">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2">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D520710"/>
    <w:multiLevelType w:val="multilevel"/>
    <w:tmpl w:val="872C318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14"/>
  </w:num>
  <w:num w:numId="7">
    <w:abstractNumId w:val="16"/>
  </w:num>
  <w:num w:numId="8">
    <w:abstractNumId w:val="10"/>
  </w:num>
  <w:num w:numId="9">
    <w:abstractNumId w:val="11"/>
  </w:num>
  <w:num w:numId="10">
    <w:abstractNumId w:val="9"/>
  </w:num>
  <w:num w:numId="11">
    <w:abstractNumId w:val="3"/>
  </w:num>
  <w:num w:numId="12">
    <w:abstractNumId w:val="4"/>
  </w:num>
  <w:num w:numId="13">
    <w:abstractNumId w:val="13"/>
  </w:num>
  <w:num w:numId="14">
    <w:abstractNumId w:val="12"/>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E10B3"/>
    <w:rsid w:val="000E1AAF"/>
    <w:rsid w:val="000F0F09"/>
    <w:rsid w:val="001216E1"/>
    <w:rsid w:val="00121BC3"/>
    <w:rsid w:val="00124E53"/>
    <w:rsid w:val="0016164C"/>
    <w:rsid w:val="001903B8"/>
    <w:rsid w:val="001A3BD0"/>
    <w:rsid w:val="001D4267"/>
    <w:rsid w:val="001E0EBB"/>
    <w:rsid w:val="001F7E6E"/>
    <w:rsid w:val="002163A2"/>
    <w:rsid w:val="00245A51"/>
    <w:rsid w:val="00246EC6"/>
    <w:rsid w:val="00281F36"/>
    <w:rsid w:val="00294F01"/>
    <w:rsid w:val="002B2EEA"/>
    <w:rsid w:val="002C4C7D"/>
    <w:rsid w:val="0032083B"/>
    <w:rsid w:val="00347AF4"/>
    <w:rsid w:val="00375EAD"/>
    <w:rsid w:val="003774A2"/>
    <w:rsid w:val="00384820"/>
    <w:rsid w:val="003B7393"/>
    <w:rsid w:val="003F7946"/>
    <w:rsid w:val="00403295"/>
    <w:rsid w:val="004072ED"/>
    <w:rsid w:val="00480500"/>
    <w:rsid w:val="00480ADD"/>
    <w:rsid w:val="00481237"/>
    <w:rsid w:val="004833C3"/>
    <w:rsid w:val="004841AC"/>
    <w:rsid w:val="0049521B"/>
    <w:rsid w:val="004B7B6C"/>
    <w:rsid w:val="004C2A3B"/>
    <w:rsid w:val="004F761F"/>
    <w:rsid w:val="0052140F"/>
    <w:rsid w:val="00524EED"/>
    <w:rsid w:val="005372FC"/>
    <w:rsid w:val="005724BE"/>
    <w:rsid w:val="0057255B"/>
    <w:rsid w:val="005728C8"/>
    <w:rsid w:val="005853B3"/>
    <w:rsid w:val="005D26EF"/>
    <w:rsid w:val="005E2050"/>
    <w:rsid w:val="00607BAF"/>
    <w:rsid w:val="0061770B"/>
    <w:rsid w:val="00621E22"/>
    <w:rsid w:val="0066041C"/>
    <w:rsid w:val="00663A03"/>
    <w:rsid w:val="00681716"/>
    <w:rsid w:val="006C3EB2"/>
    <w:rsid w:val="006F45D2"/>
    <w:rsid w:val="00700E82"/>
    <w:rsid w:val="00731380"/>
    <w:rsid w:val="0074198C"/>
    <w:rsid w:val="0074396C"/>
    <w:rsid w:val="00757ED8"/>
    <w:rsid w:val="00770981"/>
    <w:rsid w:val="0079120E"/>
    <w:rsid w:val="0079672A"/>
    <w:rsid w:val="007B5A60"/>
    <w:rsid w:val="00821AE7"/>
    <w:rsid w:val="00855D84"/>
    <w:rsid w:val="008561D0"/>
    <w:rsid w:val="008776E4"/>
    <w:rsid w:val="008B0148"/>
    <w:rsid w:val="008D554E"/>
    <w:rsid w:val="008F1658"/>
    <w:rsid w:val="0091062A"/>
    <w:rsid w:val="0092735F"/>
    <w:rsid w:val="009333FF"/>
    <w:rsid w:val="00947E99"/>
    <w:rsid w:val="00962F01"/>
    <w:rsid w:val="00987CDC"/>
    <w:rsid w:val="009E1234"/>
    <w:rsid w:val="00A94933"/>
    <w:rsid w:val="00A97E1B"/>
    <w:rsid w:val="00AA77BE"/>
    <w:rsid w:val="00AB19CC"/>
    <w:rsid w:val="00AB3103"/>
    <w:rsid w:val="00AB65E3"/>
    <w:rsid w:val="00AC364A"/>
    <w:rsid w:val="00AD6A5F"/>
    <w:rsid w:val="00B16670"/>
    <w:rsid w:val="00B41625"/>
    <w:rsid w:val="00B83269"/>
    <w:rsid w:val="00B8328B"/>
    <w:rsid w:val="00B83EBD"/>
    <w:rsid w:val="00BA2C59"/>
    <w:rsid w:val="00BA4A72"/>
    <w:rsid w:val="00BD7F3C"/>
    <w:rsid w:val="00C06226"/>
    <w:rsid w:val="00C118A0"/>
    <w:rsid w:val="00C55546"/>
    <w:rsid w:val="00C84D22"/>
    <w:rsid w:val="00C95937"/>
    <w:rsid w:val="00CA4BCC"/>
    <w:rsid w:val="00CF0263"/>
    <w:rsid w:val="00CF20EB"/>
    <w:rsid w:val="00D02FD1"/>
    <w:rsid w:val="00D05BC2"/>
    <w:rsid w:val="00D15E52"/>
    <w:rsid w:val="00D353E4"/>
    <w:rsid w:val="00D7149D"/>
    <w:rsid w:val="00DB00A3"/>
    <w:rsid w:val="00DB6775"/>
    <w:rsid w:val="00DC4326"/>
    <w:rsid w:val="00E119ED"/>
    <w:rsid w:val="00E5736B"/>
    <w:rsid w:val="00E751BB"/>
    <w:rsid w:val="00E9627F"/>
    <w:rsid w:val="00E97088"/>
    <w:rsid w:val="00EC68F7"/>
    <w:rsid w:val="00ED4F73"/>
    <w:rsid w:val="00F246D9"/>
    <w:rsid w:val="00F40C66"/>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uiPriority w:val="99"/>
    <w:rsid w:val="005D26EF"/>
    <w:rPr>
      <w:vertAlign w:val="superscript"/>
    </w:rPr>
  </w:style>
  <w:style w:type="paragraph" w:styleId="Odstavecseseznamem">
    <w:name w:val="List Paragraph"/>
    <w:basedOn w:val="Normln"/>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 w:type="paragraph" w:styleId="Normlnweb">
    <w:name w:val="Normal (Web)"/>
    <w:basedOn w:val="Normln"/>
    <w:uiPriority w:val="99"/>
    <w:unhideWhenUsed/>
    <w:rsid w:val="008776E4"/>
    <w:pPr>
      <w:spacing w:before="100" w:beforeAutospacing="1" w:after="100" w:afterAutospacing="1"/>
      <w:jc w:val="left"/>
    </w:pPr>
    <w:rPr>
      <w:rFonts w:ascii="Times New Roman" w:eastAsia="Calibri" w:hAnsi="Times New Roman"/>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E1DB7-17C6-46DB-A10F-616DA437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5664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2014-11-13T15:44:00Z</dcterms:created>
  <dcterms:modified xsi:type="dcterms:W3CDTF">2014-11-13T15:44:00Z</dcterms:modified>
</cp:coreProperties>
</file>