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7" w:rsidRDefault="00690CE7" w:rsidP="00690CE7">
      <w:pPr>
        <w:pStyle w:val="Nadpis1"/>
      </w:pPr>
      <w:bookmarkStart w:id="0" w:name="_Toc438111977"/>
      <w:r>
        <w:t xml:space="preserve">4. </w:t>
      </w:r>
      <w:r w:rsidRPr="00363E03">
        <w:t>Žadatelé o azyl a azylanti</w:t>
      </w:r>
      <w:bookmarkEnd w:id="0"/>
    </w:p>
    <w:p w:rsidR="00690CE7" w:rsidRPr="00F27C47" w:rsidRDefault="00690CE7" w:rsidP="00690CE7"/>
    <w:p w:rsidR="00690CE7" w:rsidRPr="0004037F" w:rsidRDefault="00690CE7" w:rsidP="00690CE7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Od roku 2004 až do roku 2013 měl počet žadatelů o mezinárodní ochranu přicházejících do České republiky klesající trend. Zatímco v roce 2003 dosáhl počet žadatelů o mezinárodní ochranu 11 400 osob, v roce 2013 činil již pouhých 707 osob. V roce 2014, v souvislosti s pokračující uprchlickou krizí, však počet osob žádajících o mezinárodní ochranu v České republice vzrostl na 1 156. V období ledna až října 2015 pak počet žadatelů o mezinárodní ochranu dosáhl 1 245 osob. V celoevropském kontextu lze však říci, že Česká republika nepaří zatím mezi země, které žadatelé o mezinárodní ochranu preferují.</w:t>
      </w:r>
    </w:p>
    <w:p w:rsidR="00690CE7" w:rsidRPr="0004037F" w:rsidRDefault="00690CE7" w:rsidP="00690CE7">
      <w:pPr>
        <w:spacing w:line="240" w:lineRule="auto"/>
        <w:jc w:val="center"/>
      </w:pPr>
      <w:r w:rsidRPr="0004037F">
        <w:rPr>
          <w:noProof/>
          <w:lang w:eastAsia="cs-CZ"/>
        </w:rPr>
        <w:drawing>
          <wp:inline distT="0" distB="0" distL="0" distR="0">
            <wp:extent cx="4572000" cy="2962275"/>
            <wp:effectExtent l="0" t="0" r="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CE7" w:rsidRPr="0004037F" w:rsidRDefault="00690CE7" w:rsidP="00690CE7">
      <w:pPr>
        <w:spacing w:line="160" w:lineRule="exact"/>
        <w:rPr>
          <w:rFonts w:ascii="Arial" w:hAnsi="Arial" w:cs="Arial"/>
          <w:sz w:val="18"/>
          <w:szCs w:val="18"/>
        </w:rPr>
      </w:pPr>
      <w:r w:rsidRPr="0004037F">
        <w:rPr>
          <w:i/>
        </w:rPr>
        <w:t xml:space="preserve">                   </w:t>
      </w:r>
      <w:r w:rsidRPr="0004037F">
        <w:rPr>
          <w:i/>
          <w:sz w:val="20"/>
          <w:szCs w:val="20"/>
        </w:rPr>
        <w:t xml:space="preserve">*leden-říjen                                                                                                                       </w:t>
      </w:r>
      <w:r w:rsidRPr="0004037F">
        <w:rPr>
          <w:rFonts w:ascii="Arial" w:hAnsi="Arial" w:cs="Arial"/>
          <w:sz w:val="18"/>
          <w:szCs w:val="18"/>
        </w:rPr>
        <w:t>Zdroj: MV</w:t>
      </w:r>
    </w:p>
    <w:p w:rsidR="00690CE7" w:rsidRPr="0004037F" w:rsidRDefault="00690CE7" w:rsidP="00690CE7">
      <w:pPr>
        <w:spacing w:line="160" w:lineRule="exact"/>
        <w:jc w:val="both"/>
        <w:rPr>
          <w:i/>
          <w:sz w:val="20"/>
          <w:szCs w:val="20"/>
        </w:rPr>
      </w:pP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tab/>
      </w:r>
      <w:r w:rsidRPr="0004037F">
        <w:rPr>
          <w:rFonts w:ascii="Arial" w:hAnsi="Arial" w:cs="Arial"/>
          <w:sz w:val="20"/>
          <w:szCs w:val="20"/>
        </w:rPr>
        <w:t>V pořadí zdrojových zemí dominovala po celé sledované období Ukrajina. Mezi další patřily také Rusko, Vietnam a Bělorusko. V posledním období se mezi významnější zdrojové země zařadila rovněž Sýrie a Kuba.</w:t>
      </w: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>Jak již bylo zmíněno výše od roku 2014 počty osob, které si zažádaly o mezinárodní ochranu v České republice, rostou. V roce 2014 bylo evidováno celkem 1 156 žádostí, což bylo o 63,5 p.</w:t>
      </w:r>
      <w:r>
        <w:rPr>
          <w:rFonts w:ascii="Arial" w:hAnsi="Arial" w:cs="Arial"/>
          <w:sz w:val="20"/>
          <w:szCs w:val="20"/>
        </w:rPr>
        <w:t xml:space="preserve"> </w:t>
      </w:r>
      <w:r w:rsidRPr="0004037F">
        <w:rPr>
          <w:rFonts w:ascii="Arial" w:hAnsi="Arial" w:cs="Arial"/>
          <w:sz w:val="20"/>
          <w:szCs w:val="20"/>
        </w:rPr>
        <w:t xml:space="preserve">b. více než v roce 2013 a rovněž čísla za rok 2015 dokumentují pokračující nárůst. </w:t>
      </w: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>Z údajů Ministerstva vnitra, které počty žadatelů o mezinárodní ochranu eviduje, je zřejmé, že v roce 2014 byl viditelný nárůst zaznamenán zejména mezi žadateli pocházejícími z evropských zemí.  Žadatelé z evropského kontinentu tvořili více než polovinu (56 %) z celkového počtu žadatelů o mezinárodní ochranu v ČR (oproti tomu v roce 2013 reprezentovali pouze 40,5 %). Zastoupení žadatelů z asijského kontinentu se naopak snížilo, a to na 29,3 % (z 41, 4 %  v roce 2013). Podíl žadatelů z afrických zemí do</w:t>
      </w:r>
      <w:r>
        <w:rPr>
          <w:rFonts w:ascii="Arial" w:hAnsi="Arial" w:cs="Arial"/>
          <w:sz w:val="20"/>
          <w:szCs w:val="20"/>
        </w:rPr>
        <w:t xml:space="preserve">sahoval v roce 2014 7,5 %, tzn. </w:t>
      </w:r>
      <w:r w:rsidRPr="0004037F">
        <w:rPr>
          <w:rFonts w:ascii="Arial" w:hAnsi="Arial" w:cs="Arial"/>
          <w:sz w:val="20"/>
          <w:szCs w:val="20"/>
        </w:rPr>
        <w:t xml:space="preserve">mírně poklesl  (z 8,5 % v roce 2013). </w:t>
      </w:r>
      <w:r w:rsidRPr="0004037F">
        <w:rPr>
          <w:rFonts w:ascii="Arial" w:hAnsi="Arial" w:cs="Arial"/>
          <w:sz w:val="20"/>
          <w:szCs w:val="20"/>
        </w:rPr>
        <w:lastRenderedPageBreak/>
        <w:t>Nejméně žadatelů o mezinárodní ochranu (3,9 %) bylo v roce 2014 evidováno z amerického kontinentu, přičemž tato skupina ve srovnání s rokem 2013 (6,1 %) také mírně poklesla.</w:t>
      </w:r>
    </w:p>
    <w:p w:rsidR="00690CE7" w:rsidRPr="0004037F" w:rsidRDefault="00690CE7" w:rsidP="00690CE7">
      <w:pPr>
        <w:jc w:val="center"/>
      </w:pPr>
      <w:r w:rsidRPr="0004037F">
        <w:br/>
        <w:t xml:space="preserve">    </w:t>
      </w:r>
      <w:r w:rsidRPr="0004037F">
        <w:rPr>
          <w:noProof/>
          <w:lang w:eastAsia="cs-CZ"/>
        </w:rPr>
        <w:drawing>
          <wp:inline distT="0" distB="0" distL="0" distR="0">
            <wp:extent cx="5143500" cy="3562351"/>
            <wp:effectExtent l="0" t="0" r="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t xml:space="preserve">       </w:t>
      </w:r>
      <w:r w:rsidRPr="0004037F">
        <w:tab/>
      </w:r>
      <w:r w:rsidRPr="0004037F">
        <w:rPr>
          <w:rFonts w:ascii="Arial" w:hAnsi="Arial" w:cs="Arial"/>
          <w:sz w:val="20"/>
          <w:szCs w:val="20"/>
        </w:rPr>
        <w:t>Žadatelé o mezinárodní ochranu pocházeli v roce 2014 celkem z 58 zemí světa. Spektrum zdrojových států se tak o něco rozšířilo (z 55 zemí v roce 2013). Nejvíce žádostí bylo přijato od státních příslušníků Ukrajiny, která zároveň zaznamenala i nejvyšší meziroční nárůst, o 369 osob nebo</w:t>
      </w:r>
      <w:r w:rsidRPr="0004037F">
        <w:rPr>
          <w:rFonts w:ascii="Arial" w:hAnsi="Arial" w:cs="Arial"/>
          <w:noProof/>
          <w:sz w:val="20"/>
          <w:szCs w:val="20"/>
          <w:lang w:eastAsia="cs-CZ"/>
        </w:rPr>
        <w:t>l</w:t>
      </w:r>
      <w:r w:rsidRPr="0004037F">
        <w:rPr>
          <w:rFonts w:ascii="Arial" w:hAnsi="Arial" w:cs="Arial"/>
          <w:sz w:val="20"/>
          <w:szCs w:val="20"/>
        </w:rPr>
        <w:t>i o 253 procentních bodů.  Dále následovali občané Syrské arabské republiky se 108 žádostmi, občané Vietnamu (64), Ruské federace (43) a Kuby (42).</w:t>
      </w:r>
    </w:p>
    <w:p w:rsidR="00690CE7" w:rsidRPr="0004037F" w:rsidRDefault="00690CE7" w:rsidP="00690CE7">
      <w:pPr>
        <w:jc w:val="center"/>
      </w:pPr>
      <w:r w:rsidRPr="0004037F">
        <w:rPr>
          <w:noProof/>
          <w:lang w:eastAsia="cs-CZ"/>
        </w:rPr>
        <w:lastRenderedPageBreak/>
        <w:drawing>
          <wp:inline distT="0" distB="0" distL="0" distR="0">
            <wp:extent cx="5200650" cy="3819525"/>
            <wp:effectExtent l="0" t="0" r="0" b="0"/>
            <wp:docPr id="17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tab/>
      </w:r>
      <w:r w:rsidRPr="0004037F">
        <w:rPr>
          <w:rFonts w:ascii="Arial" w:hAnsi="Arial" w:cs="Arial"/>
          <w:sz w:val="20"/>
          <w:szCs w:val="20"/>
        </w:rPr>
        <w:t>V období prvních deseti měsíců 2015 (tj. od ledna do konce října 2015) bylo podle údajů MV v ČR podáno celkem 1 245 žádostí o mezinárodní ochranu. Pořadí nejvíce zastoupených státních občanství se poněkud změnilo. Na prvním místě i nadále dominovali občané Ukrajiny s 573 podaných žádostí. Na druhém místě se však se 120 podaných žádostí umístili občané Kuby, dále následovali Syřané (111), Vietnamci (69) a pětici nejvíce zastoupených státních občanství uzavírali občané Arménie (38).</w:t>
      </w: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>Mezi žadateli o mezinárodní ochranu převažovali v roce 2014, stejně jako v předchozích letech, muži. Ženy tvořily o málo více než jednu třetinu (35 %) z celkového počtu. Celkem pětina žadatelů byl nezletilých.</w:t>
      </w: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>Z nejnovějších údajů MV za prvních 10 měsíců roku 2015 je patrné, že se zastoupení mužů mezi žadateli o mezinárodní ochranu o něco zvýšilo. Ženy tak tvořily 31,7 % žadatelů. Podíl nezletilých dosáhl v uvedeném období 17 %.</w:t>
      </w:r>
    </w:p>
    <w:p w:rsidR="00690CE7" w:rsidRPr="0004037F" w:rsidRDefault="00690CE7" w:rsidP="00690C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sz w:val="20"/>
          <w:szCs w:val="20"/>
        </w:rPr>
        <w:t xml:space="preserve">             </w:t>
      </w:r>
      <w:r w:rsidRPr="0004037F">
        <w:rPr>
          <w:rFonts w:ascii="Arial" w:hAnsi="Arial" w:cs="Arial"/>
          <w:sz w:val="20"/>
          <w:szCs w:val="20"/>
        </w:rPr>
        <w:t>V roce 2014 vydalo Ministerstvo vnitra v řízení o uděl</w:t>
      </w:r>
      <w:r>
        <w:rPr>
          <w:rFonts w:ascii="Arial" w:hAnsi="Arial" w:cs="Arial"/>
          <w:sz w:val="20"/>
          <w:szCs w:val="20"/>
        </w:rPr>
        <w:t xml:space="preserve">ení mezinárodní ochrany celkem </w:t>
      </w:r>
      <w:r w:rsidRPr="0004037F">
        <w:rPr>
          <w:rFonts w:ascii="Arial" w:hAnsi="Arial" w:cs="Arial"/>
          <w:sz w:val="20"/>
          <w:szCs w:val="20"/>
        </w:rPr>
        <w:t xml:space="preserve">1 050 rozhodnutí, z toho v 377 případech byla přiznána mezinárodní ochrana ve formě azylu či doplňkové ochrany. </w:t>
      </w:r>
      <w:r>
        <w:rPr>
          <w:rFonts w:ascii="Arial" w:hAnsi="Arial" w:cs="Arial"/>
          <w:sz w:val="20"/>
          <w:szCs w:val="20"/>
        </w:rPr>
        <w:t xml:space="preserve">Formou azylu </w:t>
      </w:r>
      <w:r w:rsidRPr="0004037F">
        <w:rPr>
          <w:rFonts w:ascii="Arial" w:hAnsi="Arial" w:cs="Arial"/>
          <w:sz w:val="20"/>
          <w:szCs w:val="20"/>
        </w:rPr>
        <w:t>byla mezinárodní ochrana v roce 2014 udělena celkem v 82 případech, což bylo o 13 méně než v roce 2013. N</w:t>
      </w:r>
      <w:r>
        <w:rPr>
          <w:rFonts w:ascii="Arial" w:hAnsi="Arial" w:cs="Arial"/>
          <w:sz w:val="20"/>
          <w:szCs w:val="20"/>
        </w:rPr>
        <w:t xml:space="preserve">ejvíce uprchlických azylů (25) </w:t>
      </w:r>
      <w:r w:rsidRPr="0004037F">
        <w:rPr>
          <w:rFonts w:ascii="Arial" w:hAnsi="Arial" w:cs="Arial"/>
          <w:sz w:val="20"/>
          <w:szCs w:val="20"/>
        </w:rPr>
        <w:t>bylo uděleno občanům Ukrajiny. Doplňková ochrana pak byla udělena ve 295 případech, nejčastěji občanům Ukrajiny a Syrské arabské republiky. Počet případů udělení doplňko</w:t>
      </w:r>
      <w:r>
        <w:rPr>
          <w:rFonts w:ascii="Arial" w:hAnsi="Arial" w:cs="Arial"/>
          <w:sz w:val="20"/>
          <w:szCs w:val="20"/>
        </w:rPr>
        <w:t xml:space="preserve">vé ochrany se meziročně zvýšil </w:t>
      </w:r>
      <w:r w:rsidRPr="0004037F">
        <w:rPr>
          <w:rFonts w:ascii="Arial" w:hAnsi="Arial" w:cs="Arial"/>
          <w:sz w:val="20"/>
          <w:szCs w:val="20"/>
        </w:rPr>
        <w:t>(o 39).</w:t>
      </w:r>
    </w:p>
    <w:p w:rsidR="00690CE7" w:rsidRPr="0004037F" w:rsidRDefault="00690CE7" w:rsidP="00690CE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lastRenderedPageBreak/>
        <w:t>Z retrospektivních údajů je patrné, že zatímco v období od roku 2007</w:t>
      </w:r>
      <w:r w:rsidRPr="0004037F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04037F">
        <w:rPr>
          <w:rFonts w:ascii="Arial" w:hAnsi="Arial" w:cs="Arial"/>
          <w:sz w:val="20"/>
          <w:szCs w:val="20"/>
        </w:rPr>
        <w:t xml:space="preserve"> do roku 2010 převažovaly počty udělených azylů nad počty případů udělení doplňkové ochrany, po roce 2010 se tento poměr obrátil a mezinárodní ochrana ve formě institutu doplňkové ochrany</w:t>
      </w:r>
      <w:r>
        <w:rPr>
          <w:rFonts w:ascii="Arial" w:hAnsi="Arial" w:cs="Arial"/>
          <w:sz w:val="20"/>
          <w:szCs w:val="20"/>
        </w:rPr>
        <w:t xml:space="preserve"> </w:t>
      </w:r>
      <w:r w:rsidRPr="0004037F">
        <w:rPr>
          <w:rFonts w:ascii="Arial" w:hAnsi="Arial" w:cs="Arial"/>
          <w:sz w:val="20"/>
          <w:szCs w:val="20"/>
        </w:rPr>
        <w:t>je přiznávána častěji než uprchlický azyl.</w:t>
      </w:r>
    </w:p>
    <w:p w:rsidR="00690CE7" w:rsidRPr="0004037F" w:rsidRDefault="00690CE7" w:rsidP="00690C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Tabulka 1: Udělená mezinárodní ochrana v letech 2007-2014 (podíly z udělené MO celkem)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0CE7" w:rsidRPr="0004037F" w:rsidTr="002369A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udělen/a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azyl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21,8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doplňková ochrana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295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78,2</w:t>
            </w:r>
          </w:p>
        </w:tc>
      </w:tr>
      <w:tr w:rsidR="00690CE7" w:rsidRPr="0004037F" w:rsidTr="002369A1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mezinárodní ochrana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377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zdroj: MV</w:t>
            </w:r>
          </w:p>
        </w:tc>
      </w:tr>
    </w:tbl>
    <w:p w:rsidR="00690CE7" w:rsidRPr="0004037F" w:rsidRDefault="00690CE7" w:rsidP="00690CE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Tabulka 2: Udělená mezinárodní ochrana v letech 2007-2014 (podíly z celkového počtu žadatelů)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0CE7" w:rsidRPr="0004037F" w:rsidTr="002369A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udělen/a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azyl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7,1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doplňková ochrana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295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25,5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žadatelů o 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1156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690CE7" w:rsidRPr="0004037F" w:rsidTr="002369A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zdroj: MV</w:t>
            </w:r>
          </w:p>
        </w:tc>
      </w:tr>
    </w:tbl>
    <w:p w:rsidR="00690CE7" w:rsidRPr="0004037F" w:rsidRDefault="00690CE7" w:rsidP="00690CE7">
      <w:pPr>
        <w:jc w:val="both"/>
        <w:rPr>
          <w:rFonts w:ascii="Arial" w:hAnsi="Arial" w:cs="Arial"/>
        </w:rPr>
      </w:pPr>
    </w:p>
    <w:p w:rsidR="00690CE7" w:rsidRPr="0004037F" w:rsidRDefault="00690CE7" w:rsidP="00690CE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</w:rPr>
        <w:tab/>
      </w:r>
      <w:r w:rsidRPr="0004037F">
        <w:rPr>
          <w:rFonts w:ascii="Arial" w:hAnsi="Arial" w:cs="Arial"/>
          <w:sz w:val="20"/>
          <w:szCs w:val="20"/>
        </w:rPr>
        <w:t xml:space="preserve">Od vzniku samostatné České republiky, tj. do roku 1993, do roku 2014 bylo v České republice uděleno celkem 2 911 azylů, z toho nejvíce občanům Ruské federace (390) a Běloruska (351). S určitým odstupem následovali občané Afghánistánu (265), Arménie (217), Ukrajiny (185) a Myanmaru (163). Doplňková ochrana byla od svého zavedení, tj. od konce roku 2006, do roku 2014 udělena ve 1 452 případech. Nejvíce ji získávali občané Běloruska (237), Sýrie (207) a Kuby (184). </w:t>
      </w:r>
    </w:p>
    <w:p w:rsidR="00690CE7" w:rsidRPr="0004037F" w:rsidRDefault="00690CE7" w:rsidP="00690CE7">
      <w:pPr>
        <w:spacing w:after="120"/>
        <w:jc w:val="both"/>
        <w:rPr>
          <w:rFonts w:ascii="Arial" w:hAnsi="Arial" w:cs="Arial"/>
        </w:rPr>
      </w:pPr>
    </w:p>
    <w:p w:rsidR="00690CE7" w:rsidRPr="0004037F" w:rsidRDefault="00690CE7" w:rsidP="00690CE7">
      <w:pPr>
        <w:spacing w:after="120"/>
        <w:jc w:val="both"/>
        <w:rPr>
          <w:rFonts w:ascii="Arial" w:hAnsi="Arial" w:cs="Arial"/>
        </w:rPr>
      </w:pPr>
    </w:p>
    <w:p w:rsidR="00690CE7" w:rsidRPr="0004037F" w:rsidRDefault="00690CE7" w:rsidP="00690CE7">
      <w:pPr>
        <w:spacing w:after="120" w:line="180" w:lineRule="exact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Toc437949962"/>
      <w:bookmarkStart w:id="2" w:name="_Toc438111978"/>
      <w:r w:rsidRPr="0004037F">
        <w:rPr>
          <w:rFonts w:ascii="Arial" w:hAnsi="Arial" w:cs="Arial"/>
          <w:sz w:val="20"/>
          <w:szCs w:val="20"/>
        </w:rPr>
        <w:lastRenderedPageBreak/>
        <w:t>Tabulka 3:</w:t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  <w:t>Tabulka 4:</w:t>
      </w:r>
      <w:bookmarkEnd w:id="1"/>
      <w:bookmarkEnd w:id="2"/>
    </w:p>
    <w:p w:rsidR="00690CE7" w:rsidRPr="0004037F" w:rsidRDefault="00690CE7" w:rsidP="00690CE7">
      <w:pPr>
        <w:spacing w:after="120" w:line="180" w:lineRule="exact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_Toc437949963"/>
      <w:bookmarkStart w:id="4" w:name="_Toc438111979"/>
      <w:r w:rsidRPr="0004037F">
        <w:rPr>
          <w:rFonts w:ascii="Arial" w:hAnsi="Arial" w:cs="Arial"/>
          <w:sz w:val="20"/>
          <w:szCs w:val="20"/>
        </w:rPr>
        <w:t>Počet azylů udělených v letech 1993-2014</w:t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  <w:t>Počet případů udělené doplňkové ochrany</w:t>
      </w:r>
      <w:bookmarkEnd w:id="3"/>
      <w:bookmarkEnd w:id="4"/>
    </w:p>
    <w:p w:rsidR="00690CE7" w:rsidRPr="0004037F" w:rsidRDefault="00690CE7" w:rsidP="00690CE7">
      <w:pPr>
        <w:spacing w:after="120" w:line="180" w:lineRule="exact"/>
        <w:jc w:val="both"/>
        <w:outlineLvl w:val="0"/>
        <w:rPr>
          <w:rFonts w:ascii="Arial" w:hAnsi="Arial" w:cs="Arial"/>
          <w:sz w:val="20"/>
          <w:szCs w:val="20"/>
        </w:rPr>
      </w:pPr>
      <w:bookmarkStart w:id="5" w:name="_Toc437949964"/>
      <w:bookmarkStart w:id="6" w:name="_Toc438111980"/>
      <w:r w:rsidRPr="0004037F">
        <w:rPr>
          <w:rFonts w:ascii="Arial" w:hAnsi="Arial" w:cs="Arial"/>
          <w:sz w:val="20"/>
          <w:szCs w:val="20"/>
        </w:rPr>
        <w:t>podle státního občanství žadatele</w:t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  <w:t>v letech 2006-2014 podle státního občanství</w:t>
      </w:r>
      <w:bookmarkEnd w:id="5"/>
      <w:bookmarkEnd w:id="6"/>
    </w:p>
    <w:p w:rsidR="00690CE7" w:rsidRPr="0004037F" w:rsidRDefault="00690CE7" w:rsidP="00690CE7">
      <w:pPr>
        <w:spacing w:after="120" w:line="180" w:lineRule="exact"/>
        <w:jc w:val="both"/>
        <w:outlineLvl w:val="0"/>
        <w:rPr>
          <w:rFonts w:ascii="Arial" w:hAnsi="Arial" w:cs="Arial"/>
          <w:sz w:val="20"/>
          <w:szCs w:val="20"/>
        </w:rPr>
      </w:pPr>
      <w:bookmarkStart w:id="7" w:name="_Toc437949965"/>
      <w:bookmarkStart w:id="8" w:name="_Toc438111981"/>
      <w:r>
        <w:rPr>
          <w:rFonts w:ascii="Arial" w:hAnsi="Arial" w:cs="Arial"/>
          <w:sz w:val="20"/>
          <w:szCs w:val="20"/>
        </w:rPr>
        <w:t>(top 10</w:t>
      </w:r>
      <w:r w:rsidRPr="0004037F">
        <w:rPr>
          <w:rFonts w:ascii="Arial" w:hAnsi="Arial" w:cs="Arial"/>
          <w:sz w:val="20"/>
          <w:szCs w:val="20"/>
        </w:rPr>
        <w:t>)</w:t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04037F">
        <w:rPr>
          <w:rFonts w:ascii="Arial" w:hAnsi="Arial" w:cs="Arial"/>
          <w:sz w:val="20"/>
          <w:szCs w:val="20"/>
        </w:rPr>
        <w:t>žadatele (top 10)</w:t>
      </w:r>
      <w:bookmarkEnd w:id="7"/>
      <w:bookmarkEnd w:id="8"/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0"/>
        <w:gridCol w:w="1716"/>
        <w:gridCol w:w="1701"/>
        <w:gridCol w:w="1559"/>
        <w:gridCol w:w="1701"/>
      </w:tblGrid>
      <w:tr w:rsidR="00690CE7" w:rsidRPr="0004037F" w:rsidTr="002369A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státní příslušnost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počet azylů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státní příslušnost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doplňková ochrana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Ruská federace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Bělorusko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237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Bělorusko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Sýrie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207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Afghánistán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184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Arménie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Kazachstán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131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Myanmar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403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Irák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109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Irák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Ruská federace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Kazachstán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Uzbekistán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Rumunsko*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Afghánistán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Gruzie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Kyrgyzstán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</w:tr>
      <w:tr w:rsidR="00690CE7" w:rsidRPr="0004037F" w:rsidTr="002369A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2911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0CE7" w:rsidRPr="0004037F" w:rsidRDefault="00690CE7" w:rsidP="002369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040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1452</w:t>
            </w:r>
          </w:p>
        </w:tc>
      </w:tr>
    </w:tbl>
    <w:p w:rsidR="00690CE7" w:rsidRPr="0004037F" w:rsidRDefault="00690CE7" w:rsidP="00690CE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4037F">
        <w:rPr>
          <w:rFonts w:ascii="Arial" w:hAnsi="Arial" w:cs="Arial"/>
          <w:sz w:val="18"/>
          <w:szCs w:val="18"/>
        </w:rPr>
        <w:t>*z toho 100 azylů udělených do roku 1999                                                                                  zdroj: MV</w:t>
      </w:r>
    </w:p>
    <w:p w:rsidR="00A95688" w:rsidRDefault="00A95688"/>
    <w:sectPr w:rsidR="00A95688" w:rsidSect="00A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8F" w:rsidRDefault="0085088F" w:rsidP="00690CE7">
      <w:pPr>
        <w:spacing w:after="0" w:line="240" w:lineRule="auto"/>
      </w:pPr>
      <w:r>
        <w:separator/>
      </w:r>
    </w:p>
  </w:endnote>
  <w:endnote w:type="continuationSeparator" w:id="0">
    <w:p w:rsidR="0085088F" w:rsidRDefault="0085088F" w:rsidP="0069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8F" w:rsidRDefault="0085088F" w:rsidP="00690CE7">
      <w:pPr>
        <w:spacing w:after="0" w:line="240" w:lineRule="auto"/>
      </w:pPr>
      <w:r>
        <w:separator/>
      </w:r>
    </w:p>
  </w:footnote>
  <w:footnote w:type="continuationSeparator" w:id="0">
    <w:p w:rsidR="0085088F" w:rsidRDefault="0085088F" w:rsidP="00690CE7">
      <w:pPr>
        <w:spacing w:after="0" w:line="240" w:lineRule="auto"/>
      </w:pPr>
      <w:r>
        <w:continuationSeparator/>
      </w:r>
    </w:p>
  </w:footnote>
  <w:footnote w:id="1">
    <w:p w:rsidR="00690CE7" w:rsidRDefault="00690CE7" w:rsidP="00690CE7">
      <w:pPr>
        <w:pStyle w:val="Textpoznpodarou"/>
      </w:pPr>
      <w:r>
        <w:rPr>
          <w:rStyle w:val="Znakapoznpodarou"/>
        </w:rPr>
        <w:footnoteRef/>
      </w:r>
      <w:r>
        <w:t xml:space="preserve"> Doplňková ochrana je v ČR udělována od 1. září 2006, kdy nahradila institut překážek vycestování                                           </w:t>
      </w: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</w:p>
    <w:p w:rsidR="00690CE7" w:rsidRDefault="00690CE7" w:rsidP="00690CE7">
      <w:pPr>
        <w:pStyle w:val="Textpoznpodarou"/>
      </w:pPr>
      <w:r>
        <w:t xml:space="preserve">                                                                                                                                             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E7"/>
    <w:rsid w:val="00690CE7"/>
    <w:rsid w:val="0085088F"/>
    <w:rsid w:val="00A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CE7"/>
  </w:style>
  <w:style w:type="paragraph" w:styleId="Nadpis1">
    <w:name w:val="heading 1"/>
    <w:basedOn w:val="Normln"/>
    <w:next w:val="Normln"/>
    <w:link w:val="Nadpis1Char"/>
    <w:uiPriority w:val="9"/>
    <w:qFormat/>
    <w:rsid w:val="00690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0C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0C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0CE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afy%20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kumenty\grafy%20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kumenty\uprchl&#237;ci_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cs-CZ" sz="1050">
                <a:latin typeface="Arial" pitchFamily="34" charset="0"/>
                <a:cs typeface="Arial" pitchFamily="34" charset="0"/>
              </a:rPr>
              <a:t>Graf 6: Počty žadatelů o mezinárodní ochranu v ČR</a:t>
            </a:r>
            <a:r>
              <a:rPr lang="cs-CZ" sz="1050" baseline="0">
                <a:latin typeface="Arial" pitchFamily="34" charset="0"/>
                <a:cs typeface="Arial" pitchFamily="34" charset="0"/>
              </a:rPr>
              <a:t>  </a:t>
            </a:r>
            <a:r>
              <a:rPr lang="cs-CZ"/>
              <a:t>v</a:t>
            </a:r>
            <a:r>
              <a:rPr lang="cs-CZ" baseline="0"/>
              <a:t> </a:t>
            </a:r>
            <a:r>
              <a:rPr lang="cs-CZ"/>
              <a:t>letech</a:t>
            </a:r>
            <a:r>
              <a:rPr lang="cs-CZ" sz="1050" baseline="0">
                <a:latin typeface="Arial" pitchFamily="34" charset="0"/>
                <a:cs typeface="Arial" pitchFamily="34" charset="0"/>
              </a:rPr>
              <a:t> 2004-2015</a:t>
            </a:r>
            <a:endParaRPr lang="cs-CZ" sz="1050">
              <a:latin typeface="Arial" pitchFamily="34" charset="0"/>
              <a:cs typeface="Arial" pitchFamily="34" charset="0"/>
            </a:endParaRPr>
          </a:p>
        </c:rich>
      </c:tx>
      <c:spPr>
        <a:ln>
          <a:noFill/>
        </a:ln>
      </c:spPr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List2!$C$3:$N$3</c:f>
              <c:strCach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2015*</c:v>
                </c:pt>
              </c:strCache>
            </c:strRef>
          </c:cat>
          <c:val>
            <c:numRef>
              <c:f>List2!$C$4:$N$4</c:f>
              <c:numCache>
                <c:formatCode>General</c:formatCode>
                <c:ptCount val="12"/>
                <c:pt idx="0">
                  <c:v>5459</c:v>
                </c:pt>
                <c:pt idx="1">
                  <c:v>4021</c:v>
                </c:pt>
                <c:pt idx="2">
                  <c:v>3016</c:v>
                </c:pt>
                <c:pt idx="3">
                  <c:v>1878</c:v>
                </c:pt>
                <c:pt idx="4">
                  <c:v>1656</c:v>
                </c:pt>
                <c:pt idx="5">
                  <c:v>1258</c:v>
                </c:pt>
                <c:pt idx="6">
                  <c:v>833</c:v>
                </c:pt>
                <c:pt idx="7">
                  <c:v>756</c:v>
                </c:pt>
                <c:pt idx="8">
                  <c:v>753</c:v>
                </c:pt>
                <c:pt idx="9">
                  <c:v>707</c:v>
                </c:pt>
                <c:pt idx="10">
                  <c:v>1156</c:v>
                </c:pt>
                <c:pt idx="11">
                  <c:v>1245</c:v>
                </c:pt>
              </c:numCache>
            </c:numRef>
          </c:val>
        </c:ser>
        <c:axId val="119577600"/>
        <c:axId val="119596544"/>
      </c:barChart>
      <c:catAx>
        <c:axId val="119577600"/>
        <c:scaling>
          <c:orientation val="minMax"/>
        </c:scaling>
        <c:axPos val="b"/>
        <c:tickLblPos val="nextTo"/>
        <c:crossAx val="119596544"/>
        <c:crosses val="autoZero"/>
        <c:auto val="1"/>
        <c:lblAlgn val="ctr"/>
        <c:lblOffset val="100"/>
      </c:catAx>
      <c:valAx>
        <c:axId val="119596544"/>
        <c:scaling>
          <c:orientation val="minMax"/>
        </c:scaling>
        <c:axPos val="l"/>
        <c:majorGridlines/>
        <c:numFmt formatCode="General" sourceLinked="1"/>
        <c:tickLblPos val="nextTo"/>
        <c:crossAx val="1195776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title>
      <c:tx>
        <c:rich>
          <a:bodyPr/>
          <a:lstStyle/>
          <a:p>
            <a:pPr>
              <a:defRPr sz="1200"/>
            </a:pPr>
            <a:r>
              <a:rPr lang="cs-CZ" sz="1100">
                <a:latin typeface="Arial" pitchFamily="34" charset="0"/>
                <a:cs typeface="Arial" pitchFamily="34" charset="0"/>
              </a:rPr>
              <a:t>Graf 7: Podíl žadatelů o mezinárodní ochranu podle kontinentů v letech 2010-2014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List2!$H$35</c:f>
              <c:strCache>
                <c:ptCount val="1"/>
                <c:pt idx="0">
                  <c:v>Evropa</c:v>
                </c:pt>
              </c:strCache>
            </c:strRef>
          </c:tx>
          <c:dLbls>
            <c:showVal val="1"/>
          </c:dLbls>
          <c:cat>
            <c:numRef>
              <c:f>List2!$I$34:$M$34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List2!$I$35:$M$35</c:f>
              <c:numCache>
                <c:formatCode>0.0</c:formatCode>
                <c:ptCount val="5"/>
                <c:pt idx="0">
                  <c:v>37.454981992796739</c:v>
                </c:pt>
                <c:pt idx="1">
                  <c:v>42.460317460317206</c:v>
                </c:pt>
                <c:pt idx="2">
                  <c:v>43.293492695883131</c:v>
                </c:pt>
                <c:pt idx="3">
                  <c:v>40.45261669024017</c:v>
                </c:pt>
                <c:pt idx="4">
                  <c:v>56.055363321799305</c:v>
                </c:pt>
              </c:numCache>
            </c:numRef>
          </c:val>
        </c:ser>
        <c:ser>
          <c:idx val="1"/>
          <c:order val="1"/>
          <c:tx>
            <c:strRef>
              <c:f>List2!$H$36</c:f>
              <c:strCache>
                <c:ptCount val="1"/>
                <c:pt idx="0">
                  <c:v>Asie</c:v>
                </c:pt>
              </c:strCache>
            </c:strRef>
          </c:tx>
          <c:dLbls>
            <c:showVal val="1"/>
          </c:dLbls>
          <c:cat>
            <c:numRef>
              <c:f>List2!$I$34:$M$34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List2!$I$36:$M$36</c:f>
              <c:numCache>
                <c:formatCode>0.0</c:formatCode>
                <c:ptCount val="5"/>
                <c:pt idx="0">
                  <c:v>43.337334933973587</c:v>
                </c:pt>
                <c:pt idx="1">
                  <c:v>40.211640211639974</c:v>
                </c:pt>
                <c:pt idx="2">
                  <c:v>41.832669322709165</c:v>
                </c:pt>
                <c:pt idx="3">
                  <c:v>41.442715700141463</c:v>
                </c:pt>
                <c:pt idx="4">
                  <c:v>29.32525951557081</c:v>
                </c:pt>
              </c:numCache>
            </c:numRef>
          </c:val>
        </c:ser>
        <c:ser>
          <c:idx val="2"/>
          <c:order val="2"/>
          <c:tx>
            <c:strRef>
              <c:f>List2!$H$37</c:f>
              <c:strCache>
                <c:ptCount val="1"/>
                <c:pt idx="0">
                  <c:v>Afrika</c:v>
                </c:pt>
              </c:strCache>
            </c:strRef>
          </c:tx>
          <c:dLbls>
            <c:showVal val="1"/>
          </c:dLbls>
          <c:cat>
            <c:numRef>
              <c:f>List2!$I$34:$M$34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List2!$I$37:$M$37</c:f>
              <c:numCache>
                <c:formatCode>0.0</c:formatCode>
                <c:ptCount val="5"/>
                <c:pt idx="0">
                  <c:v>11.164465786314498</c:v>
                </c:pt>
                <c:pt idx="1">
                  <c:v>10.582010582010581</c:v>
                </c:pt>
                <c:pt idx="2">
                  <c:v>9.4289508632138119</c:v>
                </c:pt>
                <c:pt idx="3">
                  <c:v>8.4865629420084865</c:v>
                </c:pt>
                <c:pt idx="4">
                  <c:v>7.5259515570933768</c:v>
                </c:pt>
              </c:numCache>
            </c:numRef>
          </c:val>
        </c:ser>
        <c:ser>
          <c:idx val="3"/>
          <c:order val="3"/>
          <c:tx>
            <c:strRef>
              <c:f>List2!$H$38</c:f>
              <c:strCache>
                <c:ptCount val="1"/>
                <c:pt idx="0">
                  <c:v>Amerika</c:v>
                </c:pt>
              </c:strCache>
            </c:strRef>
          </c:tx>
          <c:cat>
            <c:numRef>
              <c:f>List2!$I$34:$M$34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List2!$I$38:$M$38</c:f>
              <c:numCache>
                <c:formatCode>0.0</c:formatCode>
                <c:ptCount val="5"/>
                <c:pt idx="0">
                  <c:v>2.0408163265306132</c:v>
                </c:pt>
                <c:pt idx="1">
                  <c:v>3.1746031746031727</c:v>
                </c:pt>
                <c:pt idx="2">
                  <c:v>2.2576361221779702</c:v>
                </c:pt>
                <c:pt idx="3">
                  <c:v>6.0820367751060775</c:v>
                </c:pt>
                <c:pt idx="4">
                  <c:v>3.8927335640138367</c:v>
                </c:pt>
              </c:numCache>
            </c:numRef>
          </c:val>
        </c:ser>
        <c:ser>
          <c:idx val="4"/>
          <c:order val="4"/>
          <c:tx>
            <c:strRef>
              <c:f>List2!$H$39</c:f>
              <c:strCache>
                <c:ptCount val="1"/>
                <c:pt idx="0">
                  <c:v>ostatní</c:v>
                </c:pt>
              </c:strCache>
            </c:strRef>
          </c:tx>
          <c:cat>
            <c:numRef>
              <c:f>List2!$I$34:$M$34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List2!$I$39:$M$39</c:f>
              <c:numCache>
                <c:formatCode>0.0</c:formatCode>
                <c:ptCount val="5"/>
                <c:pt idx="0">
                  <c:v>6.0024009603841515</c:v>
                </c:pt>
                <c:pt idx="1">
                  <c:v>3.5714285714285707</c:v>
                </c:pt>
                <c:pt idx="2">
                  <c:v>3.1872509960159392</c:v>
                </c:pt>
                <c:pt idx="3">
                  <c:v>3.536067892503536</c:v>
                </c:pt>
                <c:pt idx="4">
                  <c:v>3.2006920415225144</c:v>
                </c:pt>
              </c:numCache>
            </c:numRef>
          </c:val>
        </c:ser>
        <c:overlap val="100"/>
        <c:axId val="122503936"/>
        <c:axId val="122505856"/>
      </c:barChart>
      <c:catAx>
        <c:axId val="122503936"/>
        <c:scaling>
          <c:orientation val="minMax"/>
        </c:scaling>
        <c:axPos val="l"/>
        <c:numFmt formatCode="General" sourceLinked="1"/>
        <c:tickLblPos val="nextTo"/>
        <c:crossAx val="122505856"/>
        <c:crosses val="autoZero"/>
        <c:auto val="1"/>
        <c:lblAlgn val="ctr"/>
        <c:lblOffset val="100"/>
      </c:catAx>
      <c:valAx>
        <c:axId val="122505856"/>
        <c:scaling>
          <c:orientation val="minMax"/>
          <c:max val="10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0.0" sourceLinked="1"/>
        <c:tickLblPos val="nextTo"/>
        <c:crossAx val="1225039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title>
      <c:tx>
        <c:rich>
          <a:bodyPr/>
          <a:lstStyle/>
          <a:p>
            <a:pPr>
              <a:defRPr/>
            </a:pPr>
            <a:r>
              <a:rPr lang="cs-CZ" sz="1100">
                <a:latin typeface="Arial" pitchFamily="34" charset="0"/>
                <a:cs typeface="Arial" pitchFamily="34" charset="0"/>
              </a:rPr>
              <a:t>Graf 8: Vývoj počtu žadatelů o mezinárodní ochranu v ČR podle nepočetnějších státních občanství</a:t>
            </a:r>
          </a:p>
          <a:p>
            <a:pPr>
              <a:defRPr/>
            </a:pPr>
            <a:endParaRPr lang="cs-CZ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5420107989459941"/>
          <c:y val="3.2520325203252036E-2"/>
        </c:manualLayout>
      </c:layout>
    </c:title>
    <c:plotArea>
      <c:layout>
        <c:manualLayout>
          <c:layoutTarget val="inner"/>
          <c:xMode val="edge"/>
          <c:yMode val="edge"/>
          <c:x val="9.4821372180549868E-2"/>
          <c:y val="0.20885186607771589"/>
          <c:w val="0.70941392680944459"/>
          <c:h val="0.68931214390883688"/>
        </c:manualLayout>
      </c:layout>
      <c:barChart>
        <c:barDir val="col"/>
        <c:grouping val="clustered"/>
        <c:ser>
          <c:idx val="0"/>
          <c:order val="0"/>
          <c:tx>
            <c:strRef>
              <c:f>List1!$D$36</c:f>
              <c:strCache>
                <c:ptCount val="1"/>
                <c:pt idx="0">
                  <c:v>Ukrajina</c:v>
                </c:pt>
              </c:strCache>
            </c:strRef>
          </c:tx>
          <c:cat>
            <c:numRef>
              <c:f>List1!$E$35:$O$35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List1!$E$36:$O$36</c:f>
              <c:numCache>
                <c:formatCode>General</c:formatCode>
                <c:ptCount val="11"/>
                <c:pt idx="0">
                  <c:v>1599</c:v>
                </c:pt>
                <c:pt idx="1">
                  <c:v>988</c:v>
                </c:pt>
                <c:pt idx="2">
                  <c:v>571</c:v>
                </c:pt>
                <c:pt idx="3">
                  <c:v>293</c:v>
                </c:pt>
                <c:pt idx="4">
                  <c:v>321</c:v>
                </c:pt>
                <c:pt idx="5">
                  <c:v>203</c:v>
                </c:pt>
                <c:pt idx="6">
                  <c:v>115</c:v>
                </c:pt>
                <c:pt idx="7">
                  <c:v>152</c:v>
                </c:pt>
                <c:pt idx="8">
                  <c:v>174</c:v>
                </c:pt>
                <c:pt idx="9">
                  <c:v>146</c:v>
                </c:pt>
                <c:pt idx="10">
                  <c:v>515</c:v>
                </c:pt>
              </c:numCache>
            </c:numRef>
          </c:val>
        </c:ser>
        <c:ser>
          <c:idx val="1"/>
          <c:order val="1"/>
          <c:tx>
            <c:strRef>
              <c:f>List1!$D$37</c:f>
              <c:strCache>
                <c:ptCount val="1"/>
                <c:pt idx="0">
                  <c:v>Sýrie</c:v>
                </c:pt>
              </c:strCache>
            </c:strRef>
          </c:tx>
          <c:cat>
            <c:numRef>
              <c:f>List1!$E$35:$O$35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List1!$E$37:$O$37</c:f>
              <c:numCache>
                <c:formatCode>General</c:formatCode>
                <c:ptCount val="11"/>
                <c:pt idx="0">
                  <c:v>4</c:v>
                </c:pt>
                <c:pt idx="1">
                  <c:v>22</c:v>
                </c:pt>
                <c:pt idx="2">
                  <c:v>20</c:v>
                </c:pt>
                <c:pt idx="3">
                  <c:v>31</c:v>
                </c:pt>
                <c:pt idx="4">
                  <c:v>36</c:v>
                </c:pt>
                <c:pt idx="5">
                  <c:v>45</c:v>
                </c:pt>
                <c:pt idx="6">
                  <c:v>16</c:v>
                </c:pt>
                <c:pt idx="7">
                  <c:v>23</c:v>
                </c:pt>
                <c:pt idx="8">
                  <c:v>68</c:v>
                </c:pt>
                <c:pt idx="9">
                  <c:v>69</c:v>
                </c:pt>
                <c:pt idx="10">
                  <c:v>108</c:v>
                </c:pt>
              </c:numCache>
            </c:numRef>
          </c:val>
        </c:ser>
        <c:ser>
          <c:idx val="2"/>
          <c:order val="2"/>
          <c:tx>
            <c:strRef>
              <c:f>List1!$D$38</c:f>
              <c:strCache>
                <c:ptCount val="1"/>
                <c:pt idx="0">
                  <c:v>Vietnam</c:v>
                </c:pt>
              </c:strCache>
            </c:strRef>
          </c:tx>
          <c:cat>
            <c:numRef>
              <c:f>List1!$E$35:$O$35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List1!$E$38:$O$38</c:f>
              <c:numCache>
                <c:formatCode>General</c:formatCode>
                <c:ptCount val="11"/>
                <c:pt idx="0">
                  <c:v>386</c:v>
                </c:pt>
                <c:pt idx="1">
                  <c:v>208</c:v>
                </c:pt>
                <c:pt idx="2">
                  <c:v>124</c:v>
                </c:pt>
                <c:pt idx="3">
                  <c:v>100</c:v>
                </c:pt>
                <c:pt idx="4">
                  <c:v>108</c:v>
                </c:pt>
                <c:pt idx="5">
                  <c:v>63</c:v>
                </c:pt>
                <c:pt idx="6">
                  <c:v>44</c:v>
                </c:pt>
                <c:pt idx="7">
                  <c:v>46</c:v>
                </c:pt>
                <c:pt idx="8">
                  <c:v>54</c:v>
                </c:pt>
                <c:pt idx="9">
                  <c:v>49</c:v>
                </c:pt>
                <c:pt idx="10">
                  <c:v>64</c:v>
                </c:pt>
              </c:numCache>
            </c:numRef>
          </c:val>
        </c:ser>
        <c:ser>
          <c:idx val="3"/>
          <c:order val="3"/>
          <c:tx>
            <c:strRef>
              <c:f>List1!$D$39</c:f>
              <c:strCache>
                <c:ptCount val="1"/>
                <c:pt idx="0">
                  <c:v>Rusko</c:v>
                </c:pt>
              </c:strCache>
            </c:strRef>
          </c:tx>
          <c:cat>
            <c:numRef>
              <c:f>List1!$E$35:$O$35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List1!$E$39:$O$39</c:f>
              <c:numCache>
                <c:formatCode>General</c:formatCode>
                <c:ptCount val="11"/>
                <c:pt idx="0">
                  <c:v>1498</c:v>
                </c:pt>
                <c:pt idx="1">
                  <c:v>262</c:v>
                </c:pt>
                <c:pt idx="2">
                  <c:v>170</c:v>
                </c:pt>
                <c:pt idx="3">
                  <c:v>99</c:v>
                </c:pt>
                <c:pt idx="4">
                  <c:v>79</c:v>
                </c:pt>
                <c:pt idx="5">
                  <c:v>57</c:v>
                </c:pt>
                <c:pt idx="6">
                  <c:v>51</c:v>
                </c:pt>
                <c:pt idx="7">
                  <c:v>47</c:v>
                </c:pt>
                <c:pt idx="8">
                  <c:v>40</c:v>
                </c:pt>
                <c:pt idx="9">
                  <c:v>54</c:v>
                </c:pt>
                <c:pt idx="10">
                  <c:v>43</c:v>
                </c:pt>
              </c:numCache>
            </c:numRef>
          </c:val>
        </c:ser>
        <c:ser>
          <c:idx val="4"/>
          <c:order val="4"/>
          <c:tx>
            <c:strRef>
              <c:f>List1!$D$40</c:f>
              <c:strCache>
                <c:ptCount val="1"/>
                <c:pt idx="0">
                  <c:v>Bělorusko</c:v>
                </c:pt>
              </c:strCache>
            </c:strRef>
          </c:tx>
          <c:cat>
            <c:numRef>
              <c:f>List1!$E$35:$O$35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List1!$E$40:$O$40</c:f>
              <c:numCache>
                <c:formatCode>General</c:formatCode>
                <c:ptCount val="11"/>
                <c:pt idx="0">
                  <c:v>226</c:v>
                </c:pt>
                <c:pt idx="1">
                  <c:v>216</c:v>
                </c:pt>
                <c:pt idx="2">
                  <c:v>174</c:v>
                </c:pt>
                <c:pt idx="3">
                  <c:v>130</c:v>
                </c:pt>
                <c:pt idx="4">
                  <c:v>79</c:v>
                </c:pt>
                <c:pt idx="5">
                  <c:v>54</c:v>
                </c:pt>
                <c:pt idx="6">
                  <c:v>56</c:v>
                </c:pt>
                <c:pt idx="7">
                  <c:v>71</c:v>
                </c:pt>
                <c:pt idx="8">
                  <c:v>54</c:v>
                </c:pt>
                <c:pt idx="9">
                  <c:v>22</c:v>
                </c:pt>
                <c:pt idx="10">
                  <c:v>31</c:v>
                </c:pt>
              </c:numCache>
            </c:numRef>
          </c:val>
        </c:ser>
        <c:axId val="124602240"/>
        <c:axId val="124603776"/>
      </c:barChart>
      <c:catAx>
        <c:axId val="124602240"/>
        <c:scaling>
          <c:orientation val="minMax"/>
        </c:scaling>
        <c:axPos val="b"/>
        <c:numFmt formatCode="General" sourceLinked="1"/>
        <c:tickLblPos val="nextTo"/>
        <c:crossAx val="124603776"/>
        <c:crosses val="autoZero"/>
        <c:auto val="1"/>
        <c:lblAlgn val="ctr"/>
        <c:lblOffset val="100"/>
      </c:catAx>
      <c:valAx>
        <c:axId val="124603776"/>
        <c:scaling>
          <c:orientation val="minMax"/>
        </c:scaling>
        <c:axPos val="l"/>
        <c:majorGridlines/>
        <c:numFmt formatCode="General" sourceLinked="1"/>
        <c:tickLblPos val="nextTo"/>
        <c:crossAx val="1246022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0.78333</cdr:x>
      <cdr:y>0.91691</cdr:y>
    </cdr:from>
    <cdr:to>
      <cdr:x>0.98333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581400" y="2943225"/>
          <a:ext cx="914400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 i="0">
              <a:latin typeface="Arial" pitchFamily="34" charset="0"/>
              <a:cs typeface="Arial" pitchFamily="34" charset="0"/>
            </a:rPr>
            <a:t>            Zdroj: MV       </a:t>
          </a:r>
        </a:p>
      </cdr:txBody>
    </cdr:sp>
  </cdr:relSizeAnchor>
  <cdr:relSizeAnchor xmlns:cdr="http://schemas.openxmlformats.org/drawingml/2006/chartDrawing">
    <cdr:from>
      <cdr:x>0.76667</cdr:x>
      <cdr:y>0.89572</cdr:y>
    </cdr:from>
    <cdr:to>
      <cdr:x>0.94444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943350" y="3190875"/>
          <a:ext cx="91440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0.82418</cdr:x>
      <cdr:y>0.94264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86250" y="3600451"/>
          <a:ext cx="914400" cy="2190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itchFamily="34" charset="0"/>
              <a:cs typeface="Arial" pitchFamily="34" charset="0"/>
            </a:rPr>
            <a:t>      Zdroj: MV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5440</Characters>
  <Application>Microsoft Office Word</Application>
  <DocSecurity>0</DocSecurity>
  <Lines>45</Lines>
  <Paragraphs>12</Paragraphs>
  <ScaleCrop>false</ScaleCrop>
  <Company>ČSÚ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maresova16607</dc:creator>
  <cp:lastModifiedBy>maresova16607</cp:lastModifiedBy>
  <cp:revision>1</cp:revision>
  <dcterms:created xsi:type="dcterms:W3CDTF">2015-12-17T09:46:00Z</dcterms:created>
  <dcterms:modified xsi:type="dcterms:W3CDTF">2015-12-17T09:46:00Z</dcterms:modified>
</cp:coreProperties>
</file>