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6E" w:rsidRDefault="00867F6E" w:rsidP="00867F6E">
      <w:pPr>
        <w:pStyle w:val="Nadpis1"/>
      </w:pPr>
      <w:bookmarkStart w:id="0" w:name="_Toc438111975"/>
      <w:r>
        <w:t xml:space="preserve">2. </w:t>
      </w:r>
      <w:r w:rsidRPr="00363E03">
        <w:t>Cizinci pobývající na území ČR podle kategorií pobytu</w:t>
      </w:r>
      <w:bookmarkEnd w:id="0"/>
    </w:p>
    <w:p w:rsidR="00867F6E" w:rsidRPr="001C15B4" w:rsidRDefault="00867F6E" w:rsidP="00867F6E"/>
    <w:p w:rsidR="00867F6E" w:rsidRPr="00015601" w:rsidRDefault="00867F6E" w:rsidP="00867F6E">
      <w:pPr>
        <w:spacing w:line="360" w:lineRule="auto"/>
        <w:jc w:val="both"/>
        <w:rPr>
          <w:sz w:val="24"/>
          <w:szCs w:val="24"/>
        </w:rPr>
      </w:pPr>
      <w:r w:rsidRPr="0004037F">
        <w:rPr>
          <w:sz w:val="24"/>
          <w:szCs w:val="24"/>
        </w:rPr>
        <w:tab/>
      </w:r>
      <w:r w:rsidRPr="0004037F">
        <w:rPr>
          <w:rFonts w:ascii="Arial" w:hAnsi="Arial" w:cs="Arial"/>
          <w:sz w:val="20"/>
          <w:szCs w:val="20"/>
        </w:rPr>
        <w:t>K 31. 12. 2014 pobývalo legálně na území České republiky celkem 451 923 cizinců, z toho většina (249 856 resp. 55,3 %) na základě uděleného povolení k trvalému pobytu (údaje Ředitelství služby cizinecké policie). 199 511 osob mělo k </w:t>
      </w:r>
      <w:r>
        <w:rPr>
          <w:rFonts w:ascii="Arial" w:hAnsi="Arial" w:cs="Arial"/>
          <w:sz w:val="20"/>
          <w:szCs w:val="20"/>
        </w:rPr>
        <w:t>uvedenému datu udělený některý</w:t>
      </w:r>
      <w:r w:rsidRPr="0004037F">
        <w:rPr>
          <w:rFonts w:ascii="Arial" w:hAnsi="Arial" w:cs="Arial"/>
          <w:sz w:val="20"/>
          <w:szCs w:val="20"/>
        </w:rPr>
        <w:t xml:space="preserve"> z typů přechodného pobytu (občané tzv. třetích zemí víza nad 90 dnů nebo dlouhodobý pobyt, občané EU a jejich rodinní příslušníci přechodný pobyt). Zbytek, tj. 2 556 osob, tvořili cizinci, kterým byl na území České republiky udělen azyl.</w:t>
      </w:r>
    </w:p>
    <w:p w:rsidR="00867F6E" w:rsidRPr="0004037F" w:rsidRDefault="00867F6E" w:rsidP="00867F6E">
      <w:pPr>
        <w:jc w:val="center"/>
        <w:rPr>
          <w:sz w:val="24"/>
          <w:szCs w:val="24"/>
        </w:rPr>
      </w:pPr>
      <w:r w:rsidRPr="0004037F">
        <w:rPr>
          <w:noProof/>
          <w:sz w:val="24"/>
          <w:szCs w:val="24"/>
          <w:lang w:eastAsia="cs-CZ"/>
        </w:rPr>
        <w:drawing>
          <wp:inline distT="0" distB="0" distL="0" distR="0">
            <wp:extent cx="4572000" cy="3019425"/>
            <wp:effectExtent l="19050" t="0" r="0" b="0"/>
            <wp:docPr id="5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867F6E" w:rsidRPr="0004037F" w:rsidRDefault="00867F6E" w:rsidP="00867F6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4037F">
        <w:rPr>
          <w:sz w:val="24"/>
          <w:szCs w:val="24"/>
        </w:rPr>
        <w:tab/>
      </w:r>
      <w:r w:rsidRPr="0004037F">
        <w:rPr>
          <w:rFonts w:ascii="Arial" w:hAnsi="Arial" w:cs="Arial"/>
          <w:sz w:val="20"/>
          <w:szCs w:val="20"/>
        </w:rPr>
        <w:t>Podíváme-li se na časovou řadu podle jednotlivých kategorií pobytu, je patrné, že zatímco do roku 2012 převažovali mezi cizinci s uděleným povolením k pobytu cizinci s některým z typů přechodného pobytu, od roku 2013 se tento poměr obrátil a převažují držitelé povolení k trvalému pobytu, přičemž jejich počty stále rostou. Naopak počty cizinců s přechodným pobytem v posledních letech klesají. Počet cizinců, kteří v ČR získali azyl nebo dočasnou ochranu vzhledem k nízkým počtům kladně vyřízených žádostí rostou v posledním období pouze pozvolně.</w:t>
      </w:r>
    </w:p>
    <w:p w:rsidR="00867F6E" w:rsidRPr="0004037F" w:rsidRDefault="00867F6E" w:rsidP="00867F6E">
      <w:pPr>
        <w:jc w:val="both"/>
        <w:rPr>
          <w:sz w:val="24"/>
          <w:szCs w:val="24"/>
        </w:rPr>
      </w:pPr>
      <w:r w:rsidRPr="0004037F">
        <w:rPr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5762625" cy="3924300"/>
            <wp:effectExtent l="0" t="0" r="0" b="0"/>
            <wp:docPr id="4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67F6E" w:rsidRPr="0004037F" w:rsidRDefault="00867F6E" w:rsidP="00867F6E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4037F">
        <w:rPr>
          <w:rFonts w:ascii="Arial" w:hAnsi="Arial" w:cs="Arial"/>
          <w:sz w:val="20"/>
          <w:szCs w:val="20"/>
        </w:rPr>
        <w:t>Zastoupení žen mezi cizinci s povoleným pobytem dlouhodobě roste, i když muži mají stále většinu. Koncem roku 2014 tvořily ženy 43,5 % legálně žijících cizinců v ČR (pro srovnání v roce 2006 to bylo 40 %).</w:t>
      </w:r>
    </w:p>
    <w:p w:rsidR="00867F6E" w:rsidRPr="0004037F" w:rsidRDefault="00867F6E" w:rsidP="00867F6E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4037F">
        <w:rPr>
          <w:rFonts w:ascii="Arial" w:hAnsi="Arial" w:cs="Arial"/>
          <w:sz w:val="20"/>
          <w:szCs w:val="20"/>
        </w:rPr>
        <w:t>Občané států EU-28 dosáhli v roce 2014 více než čtyř desetin (40,9 %) z legálně pobývajících cizinců v ČR, přičemž jejich zastoupení stále roste (v roce 2006 tvořili pouze 31,8 %). Oproti tomu, podíl občanů třetích zemí se</w:t>
      </w:r>
      <w:r w:rsidRPr="0004037F">
        <w:rPr>
          <w:rFonts w:ascii="Arial" w:hAnsi="Arial" w:cs="Arial"/>
          <w:i/>
          <w:sz w:val="20"/>
          <w:szCs w:val="20"/>
        </w:rPr>
        <w:t xml:space="preserve"> </w:t>
      </w:r>
      <w:r w:rsidRPr="0004037F">
        <w:rPr>
          <w:rFonts w:ascii="Arial" w:hAnsi="Arial" w:cs="Arial"/>
          <w:sz w:val="20"/>
          <w:szCs w:val="20"/>
        </w:rPr>
        <w:t xml:space="preserve">snižuje (rychleji v období 2010-2013). </w:t>
      </w:r>
    </w:p>
    <w:p w:rsidR="00867F6E" w:rsidRPr="0004037F" w:rsidRDefault="00867F6E" w:rsidP="00867F6E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4037F">
        <w:rPr>
          <w:rFonts w:ascii="Arial" w:hAnsi="Arial" w:cs="Arial"/>
          <w:sz w:val="20"/>
          <w:szCs w:val="20"/>
        </w:rPr>
        <w:t>Pořadí nejvíce zastoupených státních občanství se ve statistikách cizinců s povoleným pobytem v poslední době výrazněji nemění. Mezi nejvíce zastoupené skupiny patří tradičně občané Ukrajiny, Slovenska a Vietnamu. Občané těchto tří zemí tvořili v roce 2014 celkem 56,9 % cizinců s </w:t>
      </w:r>
      <w:proofErr w:type="gramStart"/>
      <w:r w:rsidRPr="0004037F">
        <w:rPr>
          <w:rFonts w:ascii="Arial" w:hAnsi="Arial" w:cs="Arial"/>
          <w:sz w:val="20"/>
          <w:szCs w:val="20"/>
        </w:rPr>
        <w:t>povolením k  pobytu</w:t>
      </w:r>
      <w:proofErr w:type="gramEnd"/>
      <w:r w:rsidRPr="0004037F">
        <w:rPr>
          <w:rFonts w:ascii="Arial" w:hAnsi="Arial" w:cs="Arial"/>
          <w:sz w:val="20"/>
          <w:szCs w:val="20"/>
        </w:rPr>
        <w:t xml:space="preserve"> v České republice.</w:t>
      </w:r>
    </w:p>
    <w:p w:rsidR="00867F6E" w:rsidRPr="0004037F" w:rsidRDefault="00867F6E" w:rsidP="00867F6E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4037F">
        <w:rPr>
          <w:rFonts w:ascii="Arial" w:hAnsi="Arial" w:cs="Arial"/>
          <w:sz w:val="20"/>
          <w:szCs w:val="20"/>
        </w:rPr>
        <w:t xml:space="preserve">Na prvním místě se v roce 2014 umístili občané Ukrajiny, se 104 388 registrovanými osobami. V meziročním </w:t>
      </w:r>
      <w:proofErr w:type="gramStart"/>
      <w:r w:rsidRPr="0004037F">
        <w:rPr>
          <w:rFonts w:ascii="Arial" w:hAnsi="Arial" w:cs="Arial"/>
          <w:sz w:val="20"/>
          <w:szCs w:val="20"/>
        </w:rPr>
        <w:t>srovnání  jejich</w:t>
      </w:r>
      <w:proofErr w:type="gramEnd"/>
      <w:r w:rsidRPr="0004037F">
        <w:rPr>
          <w:rFonts w:ascii="Arial" w:hAnsi="Arial" w:cs="Arial"/>
          <w:sz w:val="20"/>
          <w:szCs w:val="20"/>
        </w:rPr>
        <w:t xml:space="preserve"> počty mírně poklesly, a to o cca 900 osob (o 0,9 procentního bodu) a jejich podíl z celkového počtu cizinců dosáhl 23,2 %. Převážná většina občanů Ukrajiny (71 %) pobývá na území České republiky na základě povolení k trvalému pobytu, přičemž podíl držitelů povolení k trvalému pobytu mezi Ukrajinci stále roste.</w:t>
      </w:r>
    </w:p>
    <w:p w:rsidR="00867F6E" w:rsidRPr="0004037F" w:rsidRDefault="00867F6E" w:rsidP="00867F6E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4037F">
        <w:rPr>
          <w:rFonts w:ascii="Arial" w:hAnsi="Arial" w:cs="Arial"/>
          <w:sz w:val="20"/>
          <w:szCs w:val="20"/>
        </w:rPr>
        <w:t>Slovenští občané tvořili v roce 2014 druhou nejpočetnější skupinu cizinců s povoleným pobytem na území ČR, s 96 222 registrovanými osobami, tj. 21,4 % z celkového počtu cizinců. Na rozdíl od předchozí skupiny, Ukrajinců, se jejich počty meziročně zvýšily, a to o 5 274 neboli</w:t>
      </w:r>
      <w:r>
        <w:rPr>
          <w:rFonts w:ascii="Arial" w:hAnsi="Arial" w:cs="Arial"/>
          <w:sz w:val="20"/>
          <w:szCs w:val="20"/>
        </w:rPr>
        <w:t xml:space="preserve"> o</w:t>
      </w:r>
      <w:r w:rsidRPr="0004037F">
        <w:rPr>
          <w:rFonts w:ascii="Arial" w:hAnsi="Arial" w:cs="Arial"/>
          <w:sz w:val="20"/>
          <w:szCs w:val="20"/>
        </w:rPr>
        <w:t xml:space="preserve"> 5,8</w:t>
      </w:r>
      <w:r>
        <w:rPr>
          <w:rFonts w:ascii="Arial" w:hAnsi="Arial" w:cs="Arial"/>
        </w:rPr>
        <w:t xml:space="preserve">  </w:t>
      </w:r>
      <w:r w:rsidRPr="0004037F">
        <w:rPr>
          <w:rFonts w:ascii="Arial" w:hAnsi="Arial" w:cs="Arial"/>
          <w:sz w:val="20"/>
          <w:szCs w:val="20"/>
        </w:rPr>
        <w:lastRenderedPageBreak/>
        <w:t>procentního bodu. Mezi občany Slovenska, oproti občanům Ukrajiny, převažují osoby s přechodným pobytem, jejichž podíl dosáhl ke konci roku 2014 59,5 %.</w:t>
      </w:r>
    </w:p>
    <w:p w:rsidR="00867F6E" w:rsidRPr="0004037F" w:rsidRDefault="00867F6E" w:rsidP="00867F6E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4037F">
        <w:rPr>
          <w:rFonts w:ascii="Arial" w:hAnsi="Arial" w:cs="Arial"/>
          <w:sz w:val="20"/>
          <w:szCs w:val="20"/>
        </w:rPr>
        <w:t xml:space="preserve">Počet občanů třetí z nejvíce zastoupených národnostních skupin, Vietnamců, dosáhl v roce 2014 56 666 osob neboli 12,6 % z celkového počtu registrovaných cizinců v ČR. Ve srovnání s rokem 2013 počet občanů této skupiny mírně poklesl, a to o 1,3 p. </w:t>
      </w:r>
      <w:proofErr w:type="spellStart"/>
      <w:r w:rsidRPr="0004037F">
        <w:rPr>
          <w:rFonts w:ascii="Arial" w:hAnsi="Arial" w:cs="Arial"/>
          <w:sz w:val="20"/>
          <w:szCs w:val="20"/>
        </w:rPr>
        <w:t>b</w:t>
      </w:r>
      <w:proofErr w:type="spellEnd"/>
      <w:r w:rsidRPr="0004037F">
        <w:rPr>
          <w:rFonts w:ascii="Arial" w:hAnsi="Arial" w:cs="Arial"/>
          <w:sz w:val="20"/>
          <w:szCs w:val="20"/>
        </w:rPr>
        <w:t xml:space="preserve">. (740 osob). Podobně jako u občanů Ukrajiny, i mezi občany této skupiny převažují držitelé povolení k trvalému pobytu (80,4 %) nad cizinci s přechodným pobytem, přičemž jejich nárůst je zejména v posledním období velmi dynamický. </w:t>
      </w:r>
    </w:p>
    <w:p w:rsidR="00867F6E" w:rsidRPr="0004037F" w:rsidRDefault="00867F6E" w:rsidP="00867F6E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4037F">
        <w:rPr>
          <w:rFonts w:ascii="Arial" w:hAnsi="Arial" w:cs="Arial"/>
          <w:sz w:val="20"/>
          <w:szCs w:val="20"/>
        </w:rPr>
        <w:t>Pořadí na ostatních místech tohoto žebříčku se v průběhu let příliš nezměnilo. V roce 2014 byli na čtvrtém místě Rusové (34 684), následováni Němci (19 687) a Poláky (19 626). Další místa byla obsazena Bulhary (10 058), Rumuny (7 741), občany Velké Británie (6 647) a USA (6 476).</w:t>
      </w:r>
    </w:p>
    <w:p w:rsidR="00867F6E" w:rsidRDefault="00867F6E" w:rsidP="00867F6E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4037F">
        <w:rPr>
          <w:rFonts w:ascii="Arial" w:hAnsi="Arial" w:cs="Arial"/>
          <w:sz w:val="20"/>
          <w:szCs w:val="20"/>
        </w:rPr>
        <w:t>U téměř všech skupin cizinců pocházejících ze zemí EU-28 byl zaznamenán meziroční nárůst – v absolutních hodnotách největší u Slováků (5 274), Němců (1 180), Rumunů (996) a Bulharů (929). Na druhé straně největší meziroční úbytek zaznamenali Ukrajinci (- 901), Vietnamci  (-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4037F">
        <w:rPr>
          <w:rFonts w:ascii="Arial" w:hAnsi="Arial" w:cs="Arial"/>
          <w:sz w:val="20"/>
          <w:szCs w:val="20"/>
        </w:rPr>
        <w:t>740) a  občané</w:t>
      </w:r>
      <w:proofErr w:type="gramEnd"/>
      <w:r w:rsidRPr="0004037F">
        <w:rPr>
          <w:rFonts w:ascii="Arial" w:hAnsi="Arial" w:cs="Arial"/>
          <w:sz w:val="20"/>
          <w:szCs w:val="20"/>
        </w:rPr>
        <w:t xml:space="preserve"> USA (- 658).</w:t>
      </w:r>
    </w:p>
    <w:p w:rsidR="00A95688" w:rsidRDefault="00A95688"/>
    <w:sectPr w:rsidR="00A95688" w:rsidSect="00A95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 w:grammar="clean"/>
  <w:defaultTabStop w:val="708"/>
  <w:hyphenationZone w:val="425"/>
  <w:characterSpacingControl w:val="doNotCompress"/>
  <w:compat/>
  <w:rsids>
    <w:rsidRoot w:val="00867F6E"/>
    <w:rsid w:val="005F3CA1"/>
    <w:rsid w:val="00867F6E"/>
    <w:rsid w:val="008B4D5B"/>
    <w:rsid w:val="00A95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7F6E"/>
  </w:style>
  <w:style w:type="paragraph" w:styleId="Nadpis1">
    <w:name w:val="heading 1"/>
    <w:basedOn w:val="Normln"/>
    <w:next w:val="Normln"/>
    <w:link w:val="Nadpis1Char"/>
    <w:uiPriority w:val="9"/>
    <w:qFormat/>
    <w:rsid w:val="00867F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67F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7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7F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Dokumenty\grafy%202015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D:\Dokumenty\grafy%20201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9"/>
  <c:chart>
    <c:title>
      <c:tx>
        <c:rich>
          <a:bodyPr/>
          <a:lstStyle/>
          <a:p>
            <a:pPr>
              <a:defRPr sz="1050">
                <a:latin typeface="Arial" pitchFamily="34" charset="0"/>
                <a:cs typeface="Arial" pitchFamily="34" charset="0"/>
              </a:defRPr>
            </a:pPr>
            <a:r>
              <a:rPr lang="cs-CZ" sz="1050">
                <a:latin typeface="Arial" pitchFamily="34" charset="0"/>
                <a:cs typeface="Arial" pitchFamily="34" charset="0"/>
              </a:rPr>
              <a:t>Graf 1: Cizinci</a:t>
            </a:r>
            <a:r>
              <a:rPr lang="cs-CZ" sz="1050" baseline="0">
                <a:latin typeface="Arial" pitchFamily="34" charset="0"/>
                <a:cs typeface="Arial" pitchFamily="34" charset="0"/>
              </a:rPr>
              <a:t> v ČR podle kategorie pobytu</a:t>
            </a:r>
          </a:p>
          <a:p>
            <a:pPr>
              <a:defRPr sz="1050">
                <a:latin typeface="Arial" pitchFamily="34" charset="0"/>
                <a:cs typeface="Arial" pitchFamily="34" charset="0"/>
              </a:defRPr>
            </a:pPr>
            <a:r>
              <a:rPr lang="cs-CZ" sz="1050" baseline="0">
                <a:latin typeface="Arial" pitchFamily="34" charset="0"/>
                <a:cs typeface="Arial" pitchFamily="34" charset="0"/>
              </a:rPr>
              <a:t>údaje k 31.12.2014</a:t>
            </a:r>
            <a:endParaRPr lang="cs-CZ" sz="1050">
              <a:latin typeface="Arial" pitchFamily="34" charset="0"/>
              <a:cs typeface="Arial" pitchFamily="34" charset="0"/>
            </a:endParaRP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dLbls>
            <c:showVal val="1"/>
            <c:showLeaderLines val="1"/>
          </c:dLbls>
          <c:cat>
            <c:strRef>
              <c:f>List1!$C$58:$C$60</c:f>
              <c:strCache>
                <c:ptCount val="3"/>
                <c:pt idx="0">
                  <c:v>Trvalý pobyt</c:v>
                </c:pt>
                <c:pt idx="1">
                  <c:v>Přechodný pobyt</c:v>
                </c:pt>
                <c:pt idx="2">
                  <c:v>Azylanti</c:v>
                </c:pt>
              </c:strCache>
            </c:strRef>
          </c:cat>
          <c:val>
            <c:numRef>
              <c:f>List1!$E$58:$E$60</c:f>
              <c:numCache>
                <c:formatCode>0.0%</c:formatCode>
                <c:ptCount val="3"/>
                <c:pt idx="0">
                  <c:v>0.55300000000000005</c:v>
                </c:pt>
                <c:pt idx="1">
                  <c:v>0.44100000000000106</c:v>
                </c:pt>
                <c:pt idx="2">
                  <c:v>6.0000000000000504E-3</c:v>
                </c:pt>
              </c:numCache>
            </c:numRef>
          </c:val>
        </c:ser>
      </c:pie3DChart>
    </c:plotArea>
    <c:legend>
      <c:legendPos val="r"/>
    </c:legend>
    <c:plotVisOnly val="1"/>
  </c:chart>
  <c:spPr>
    <a:ln>
      <a:noFill/>
    </a:ln>
  </c:sp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1"/>
  <c:chart>
    <c:title>
      <c:tx>
        <c:rich>
          <a:bodyPr/>
          <a:lstStyle/>
          <a:p>
            <a:pPr>
              <a:defRPr/>
            </a:pPr>
            <a:r>
              <a:rPr lang="cs-CZ" sz="1100">
                <a:latin typeface="Arial" pitchFamily="34" charset="0"/>
                <a:cs typeface="Arial" pitchFamily="34" charset="0"/>
              </a:rPr>
              <a:t>Graf 2: </a:t>
            </a:r>
            <a:r>
              <a:rPr lang="en-US" sz="1100">
                <a:latin typeface="Arial" pitchFamily="34" charset="0"/>
                <a:cs typeface="Arial" pitchFamily="34" charset="0"/>
              </a:rPr>
              <a:t>Cizinci v ČR podle kategorie pobytu</a:t>
            </a:r>
            <a:r>
              <a:rPr lang="cs-CZ" sz="1100">
                <a:latin typeface="Arial" pitchFamily="34" charset="0"/>
                <a:cs typeface="Arial" pitchFamily="34" charset="0"/>
              </a:rPr>
              <a:t> v letech </a:t>
            </a:r>
          </a:p>
          <a:p>
            <a:pPr>
              <a:defRPr/>
            </a:pPr>
            <a:r>
              <a:rPr lang="cs-CZ" sz="1100">
                <a:latin typeface="Arial" pitchFamily="34" charset="0"/>
                <a:cs typeface="Arial" pitchFamily="34" charset="0"/>
              </a:rPr>
              <a:t>2006-2014</a:t>
            </a:r>
            <a:endParaRPr lang="en-US" sz="1100">
              <a:latin typeface="Arial" pitchFamily="34" charset="0"/>
              <a:cs typeface="Arial" pitchFamily="34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0.14325057108529421"/>
          <c:y val="0.16768480169563055"/>
          <c:w val="0.61490401126185956"/>
          <c:h val="0.75084651444641148"/>
        </c:manualLayout>
      </c:layout>
      <c:barChart>
        <c:barDir val="col"/>
        <c:grouping val="clustered"/>
        <c:ser>
          <c:idx val="0"/>
          <c:order val="0"/>
          <c:tx>
            <c:strRef>
              <c:f>List1!$B$6</c:f>
              <c:strCache>
                <c:ptCount val="1"/>
                <c:pt idx="0">
                  <c:v>Trvalý pobyt</c:v>
                </c:pt>
              </c:strCache>
            </c:strRef>
          </c:tx>
          <c:dLbls>
            <c:dLbl>
              <c:idx val="6"/>
              <c:layout>
                <c:manualLayout>
                  <c:x val="-5.2390307793058434E-3"/>
                  <c:y val="2.2764227642276452E-2"/>
                </c:manualLayout>
              </c:layout>
              <c:showVal val="1"/>
            </c:dLbl>
            <c:showVal val="1"/>
          </c:dLbls>
          <c:cat>
            <c:numRef>
              <c:f>List1!$C$5:$K$5</c:f>
              <c:numCache>
                <c:formatCode>General</c:formatCode>
                <c:ptCount val="9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</c:numCache>
            </c:numRef>
          </c:cat>
          <c:val>
            <c:numRef>
              <c:f>List1!$C$6:$K$6</c:f>
              <c:numCache>
                <c:formatCode>General</c:formatCode>
                <c:ptCount val="9"/>
                <c:pt idx="0">
                  <c:v>139.19999999999999</c:v>
                </c:pt>
                <c:pt idx="1">
                  <c:v>157.5</c:v>
                </c:pt>
                <c:pt idx="2">
                  <c:v>172.2</c:v>
                </c:pt>
                <c:pt idx="3">
                  <c:v>180.4</c:v>
                </c:pt>
                <c:pt idx="4" formatCode="0.0">
                  <c:v>189</c:v>
                </c:pt>
                <c:pt idx="5">
                  <c:v>196.4</c:v>
                </c:pt>
                <c:pt idx="6">
                  <c:v>212.5</c:v>
                </c:pt>
                <c:pt idx="7">
                  <c:v>236.5</c:v>
                </c:pt>
                <c:pt idx="8">
                  <c:v>249.9</c:v>
                </c:pt>
              </c:numCache>
            </c:numRef>
          </c:val>
        </c:ser>
        <c:ser>
          <c:idx val="1"/>
          <c:order val="1"/>
          <c:tx>
            <c:strRef>
              <c:f>List1!$B$7</c:f>
              <c:strCache>
                <c:ptCount val="1"/>
                <c:pt idx="0">
                  <c:v>Přechodný pobyt</c:v>
                </c:pt>
              </c:strCache>
            </c:strRef>
          </c:tx>
          <c:dLbls>
            <c:showVal val="1"/>
          </c:dLbls>
          <c:cat>
            <c:numRef>
              <c:f>List1!$C$5:$K$5</c:f>
              <c:numCache>
                <c:formatCode>General</c:formatCode>
                <c:ptCount val="9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</c:numCache>
            </c:numRef>
          </c:cat>
          <c:val>
            <c:numRef>
              <c:f>List1!$C$7:$K$7</c:f>
              <c:numCache>
                <c:formatCode>General</c:formatCode>
                <c:ptCount val="9"/>
                <c:pt idx="0">
                  <c:v>182.3</c:v>
                </c:pt>
                <c:pt idx="1">
                  <c:v>234.8</c:v>
                </c:pt>
                <c:pt idx="2">
                  <c:v>265.39999999999969</c:v>
                </c:pt>
                <c:pt idx="3">
                  <c:v>252.1</c:v>
                </c:pt>
                <c:pt idx="4">
                  <c:v>235.3</c:v>
                </c:pt>
                <c:pt idx="5">
                  <c:v>237.7</c:v>
                </c:pt>
                <c:pt idx="6">
                  <c:v>223.5</c:v>
                </c:pt>
                <c:pt idx="7">
                  <c:v>202.6</c:v>
                </c:pt>
                <c:pt idx="8">
                  <c:v>199.5</c:v>
                </c:pt>
              </c:numCache>
            </c:numRef>
          </c:val>
        </c:ser>
        <c:ser>
          <c:idx val="2"/>
          <c:order val="2"/>
          <c:tx>
            <c:strRef>
              <c:f>List1!$B$8</c:f>
              <c:strCache>
                <c:ptCount val="1"/>
                <c:pt idx="0">
                  <c:v>Azylanti</c:v>
                </c:pt>
              </c:strCache>
            </c:strRef>
          </c:tx>
          <c:dLbls>
            <c:showVal val="1"/>
          </c:dLbls>
          <c:cat>
            <c:numRef>
              <c:f>List1!$C$5:$K$5</c:f>
              <c:numCache>
                <c:formatCode>General</c:formatCode>
                <c:ptCount val="9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</c:numCache>
            </c:numRef>
          </c:cat>
          <c:val>
            <c:numRef>
              <c:f>List1!$C$8:$K$8</c:f>
              <c:numCache>
                <c:formatCode>0.0</c:formatCode>
                <c:ptCount val="9"/>
                <c:pt idx="0" formatCode="General">
                  <c:v>1.9000000000000001</c:v>
                </c:pt>
                <c:pt idx="1">
                  <c:v>2</c:v>
                </c:pt>
                <c:pt idx="2" formatCode="General">
                  <c:v>1.9000000000000001</c:v>
                </c:pt>
                <c:pt idx="3" formatCode="General">
                  <c:v>2.1</c:v>
                </c:pt>
                <c:pt idx="4" formatCode="General">
                  <c:v>2.1</c:v>
                </c:pt>
                <c:pt idx="5" formatCode="General">
                  <c:v>2.2000000000000002</c:v>
                </c:pt>
                <c:pt idx="6" formatCode="General">
                  <c:v>2.1</c:v>
                </c:pt>
                <c:pt idx="7" formatCode="General">
                  <c:v>2.2999999999999998</c:v>
                </c:pt>
                <c:pt idx="8" formatCode="General">
                  <c:v>2.6</c:v>
                </c:pt>
              </c:numCache>
            </c:numRef>
          </c:val>
        </c:ser>
        <c:axId val="129083648"/>
        <c:axId val="125403520"/>
      </c:barChart>
      <c:catAx>
        <c:axId val="129083648"/>
        <c:scaling>
          <c:orientation val="minMax"/>
        </c:scaling>
        <c:axPos val="b"/>
        <c:numFmt formatCode="General" sourceLinked="1"/>
        <c:tickLblPos val="nextTo"/>
        <c:crossAx val="125403520"/>
        <c:crosses val="autoZero"/>
        <c:auto val="1"/>
        <c:lblAlgn val="ctr"/>
        <c:lblOffset val="100"/>
      </c:catAx>
      <c:valAx>
        <c:axId val="125403520"/>
        <c:scaling>
          <c:orientation val="minMax"/>
          <c:max val="300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tisíce</a:t>
                </a:r>
              </a:p>
            </c:rich>
          </c:tx>
        </c:title>
        <c:numFmt formatCode="General" sourceLinked="1"/>
        <c:tickLblPos val="nextTo"/>
        <c:crossAx val="129083648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</cdr:x>
      <cdr:y>0.88194</cdr:y>
    </cdr:from>
    <cdr:to>
      <cdr:x>1</cdr:x>
      <cdr:y>1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3657600" y="2419350"/>
          <a:ext cx="914400" cy="3238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cs-CZ" sz="900">
              <a:latin typeface="Arial" pitchFamily="34" charset="0"/>
              <a:cs typeface="Arial" pitchFamily="34" charset="0"/>
            </a:rPr>
            <a:t>Zdroj:</a:t>
          </a:r>
          <a:r>
            <a:rPr lang="cs-CZ" sz="900" baseline="0">
              <a:latin typeface="Arial" pitchFamily="34" charset="0"/>
              <a:cs typeface="Arial" pitchFamily="34" charset="0"/>
            </a:rPr>
            <a:t> ŘSCP</a:t>
          </a:r>
          <a:endParaRPr lang="cs-CZ" sz="900">
            <a:latin typeface="Arial" pitchFamily="34" charset="0"/>
            <a:cs typeface="Arial" pitchFamily="34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0.83168</cdr:x>
      <cdr:y>0.90886</cdr:y>
    </cdr:from>
    <cdr:to>
      <cdr:x>0.99041</cdr:x>
      <cdr:y>1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4791075" y="3419475"/>
          <a:ext cx="914400" cy="3429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0.80655</cdr:x>
      <cdr:y>0.94177</cdr:y>
    </cdr:from>
    <cdr:to>
      <cdr:x>0.96528</cdr:x>
      <cdr:y>1</cdr:y>
    </cdr:to>
    <cdr:sp macro="" textlink="">
      <cdr:nvSpPr>
        <cdr:cNvPr id="3" name="TextovéPole 2"/>
        <cdr:cNvSpPr txBox="1"/>
      </cdr:nvSpPr>
      <cdr:spPr>
        <a:xfrm xmlns:a="http://schemas.openxmlformats.org/drawingml/2006/main">
          <a:off x="4646295" y="3543300"/>
          <a:ext cx="914400" cy="2190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cs-CZ" sz="900" i="0">
              <a:latin typeface="Arial" pitchFamily="34" charset="0"/>
              <a:cs typeface="Arial" pitchFamily="34" charset="0"/>
            </a:rPr>
            <a:t>Zdroj: ŘSCP</a:t>
          </a:r>
        </a:p>
      </cdr:txBody>
    </cdr:sp>
  </cdr:relSizeAnchor>
</c:userShape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556</Words>
  <Characters>3282</Characters>
  <Application>Microsoft Office Word</Application>
  <DocSecurity>0</DocSecurity>
  <Lines>27</Lines>
  <Paragraphs>7</Paragraphs>
  <ScaleCrop>false</ScaleCrop>
  <Company>ČSÚ</Company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maresova16607</dc:creator>
  <cp:lastModifiedBy>maresova16607</cp:lastModifiedBy>
  <cp:revision>2</cp:revision>
  <dcterms:created xsi:type="dcterms:W3CDTF">2015-12-17T09:42:00Z</dcterms:created>
  <dcterms:modified xsi:type="dcterms:W3CDTF">2015-12-17T09:45:00Z</dcterms:modified>
</cp:coreProperties>
</file>