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Default="00576A3E" w:rsidP="00CE17ED">
      <w:pPr>
        <w:pStyle w:val="Nadpis1"/>
        <w:numPr>
          <w:ilvl w:val="0"/>
          <w:numId w:val="6"/>
        </w:numPr>
        <w:jc w:val="both"/>
      </w:pPr>
      <w:bookmarkStart w:id="0" w:name="_Toc422471572"/>
      <w:r>
        <w:t>Státní rozpočet</w:t>
      </w:r>
      <w:bookmarkEnd w:id="0"/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7D4281" w:rsidTr="007D4281">
        <w:tc>
          <w:tcPr>
            <w:tcW w:w="1054" w:type="pct"/>
          </w:tcPr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 w:rsidRPr="007D4281">
              <w:rPr>
                <w:rFonts w:cs="Arial"/>
                <w:bCs/>
                <w:iCs/>
                <w:color w:val="000000"/>
                <w:sz w:val="16"/>
                <w:szCs w:val="16"/>
              </w:rPr>
              <w:t>Přebytek hospodaření států se meziročně ztenčil o více než polovinu, přesto šlo o druhý nejlepší výsledek v historii samostatné ČR</w:t>
            </w:r>
          </w:p>
          <w:p w:rsidR="007D4281" w:rsidRDefault="007D4281" w:rsidP="007D4281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42" w:type="pct"/>
          </w:tcPr>
          <w:p w:rsidR="007D4281" w:rsidRDefault="007D4281" w:rsidP="007D428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D4281" w:rsidRPr="005B1380" w:rsidRDefault="007D4281" w:rsidP="007D4281">
            <w:pPr>
              <w:pStyle w:val="Textpoznpodarou"/>
              <w:jc w:val="both"/>
              <w:rPr>
                <w:rFonts w:cs="Arial"/>
                <w:spacing w:val="-2"/>
              </w:rPr>
            </w:pPr>
            <w:r w:rsidRPr="005B1380">
              <w:rPr>
                <w:rFonts w:cs="Arial"/>
                <w:spacing w:val="-2"/>
              </w:rPr>
              <w:t xml:space="preserve">Výsledky hospodaření státu v 1. čtvrtletí 2015 byly ovlivněny sílícím hospodářským růstem, postupným odklonem od dřívějších restriktivních výdajových opatření, jakož i nebývale intenzivním čerpáním prostředků z rozpočtu EU (v souvislosti s končícím programovacím obdobím). Státní rozpočet (SR) dosáhl (dle pokladního plnění) přebytku </w:t>
            </w:r>
            <w:r w:rsidR="009954FF">
              <w:rPr>
                <w:rFonts w:cs="Arial"/>
                <w:spacing w:val="-2"/>
              </w:rPr>
              <w:t>19,9</w:t>
            </w:r>
            <w:r w:rsidRPr="005B1380">
              <w:rPr>
                <w:rFonts w:cs="Arial"/>
                <w:spacing w:val="-2"/>
              </w:rPr>
              <w:t xml:space="preserve"> mld. korun</w:t>
            </w:r>
            <w:r w:rsidRPr="005B1380">
              <w:rPr>
                <w:rStyle w:val="Znakapoznpodarou"/>
                <w:rFonts w:cs="Arial"/>
                <w:spacing w:val="-2"/>
              </w:rPr>
              <w:footnoteReference w:id="1"/>
            </w:r>
            <w:r w:rsidRPr="005B1380">
              <w:rPr>
                <w:rFonts w:cs="Arial"/>
                <w:spacing w:val="-2"/>
              </w:rPr>
              <w:t>, v kladných číslech skončil v prvních třech měsících roku již potřetí v řadě.</w:t>
            </w:r>
            <w:r w:rsidRPr="005B1380">
              <w:rPr>
                <w:rFonts w:cs="Arial"/>
                <w:color w:val="000000" w:themeColor="text1"/>
                <w:spacing w:val="-2"/>
              </w:rPr>
              <w:t xml:space="preserve"> Saldo SR (tvořící klíčovou složku přebytku či deficitu sektoru vládních institucí) činilo v poměru k nominálnímu HDP +1,9 % (loni +4,4 %).</w:t>
            </w:r>
          </w:p>
          <w:p w:rsidR="007D4281" w:rsidRPr="005B1380" w:rsidRDefault="007D4281" w:rsidP="007D4281">
            <w:pPr>
              <w:pStyle w:val="Textpoznpodarou"/>
              <w:spacing w:line="216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7D4281" w:rsidTr="007D4281">
        <w:tc>
          <w:tcPr>
            <w:tcW w:w="1054" w:type="pct"/>
          </w:tcPr>
          <w:p w:rsidR="007D4281" w:rsidRPr="007D2ED0" w:rsidRDefault="007D4281" w:rsidP="007D4281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7D4281">
              <w:rPr>
                <w:rFonts w:cs="Arial"/>
                <w:bCs/>
                <w:iCs/>
                <w:color w:val="000000"/>
                <w:sz w:val="16"/>
                <w:szCs w:val="16"/>
              </w:rPr>
              <w:t>Nepříznivé meziroční srovnání příjmů ovlivněno vyšší loňsku základnou taženou výběrem nepřímých daní i mimořádnými příjmy</w:t>
            </w:r>
          </w:p>
        </w:tc>
        <w:tc>
          <w:tcPr>
            <w:tcW w:w="142" w:type="pct"/>
          </w:tcPr>
          <w:p w:rsidR="007D4281" w:rsidRDefault="007D4281" w:rsidP="007D428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D4281" w:rsidRPr="005B1380" w:rsidRDefault="007D4281" w:rsidP="007D4281">
            <w:pPr>
              <w:pStyle w:val="Textpoznpodarou"/>
              <w:jc w:val="both"/>
              <w:rPr>
                <w:rFonts w:cs="Arial"/>
                <w:spacing w:val="-2"/>
              </w:rPr>
            </w:pPr>
            <w:r w:rsidRPr="005B1380">
              <w:rPr>
                <w:rFonts w:cs="Arial"/>
                <w:spacing w:val="-2"/>
              </w:rPr>
              <w:t xml:space="preserve">O meziročně nižší přebytek hospodaření SR se přičinily </w:t>
            </w:r>
            <w:r w:rsidR="00000FA7">
              <w:rPr>
                <w:rFonts w:cs="Arial"/>
                <w:spacing w:val="-2"/>
              </w:rPr>
              <w:t xml:space="preserve">jak </w:t>
            </w:r>
            <w:r w:rsidRPr="005B1380">
              <w:rPr>
                <w:rFonts w:cs="Arial"/>
                <w:spacing w:val="-2"/>
              </w:rPr>
              <w:t>svižný růst výdajů (+5 %)</w:t>
            </w:r>
            <w:r w:rsidR="00000FA7">
              <w:rPr>
                <w:rFonts w:cs="Arial"/>
                <w:spacing w:val="-2"/>
              </w:rPr>
              <w:t>, tak</w:t>
            </w:r>
            <w:r w:rsidRPr="005B1380">
              <w:rPr>
                <w:rFonts w:cs="Arial"/>
                <w:spacing w:val="-2"/>
              </w:rPr>
              <w:t xml:space="preserve"> i příjmy, které naopak zaostaly vlivem vysoké meziroční základny</w:t>
            </w:r>
            <w:r w:rsidRPr="005B1380">
              <w:rPr>
                <w:rStyle w:val="Znakapoznpodarou"/>
                <w:rFonts w:cs="Arial"/>
                <w:spacing w:val="-2"/>
              </w:rPr>
              <w:footnoteReference w:id="2"/>
            </w:r>
            <w:r w:rsidRPr="005B1380">
              <w:rPr>
                <w:rFonts w:cs="Arial"/>
                <w:spacing w:val="-2"/>
              </w:rPr>
              <w:t xml:space="preserve"> za rozpočtovým očekáváním i loňskou skutečností (-3 %). SR získal méně především na spotřební dani z tabákových výrobků (-13,1 mld. korun), DPH (-8,6 mld. korun) a na nedaňových příjmech (-8,7 mld. korun). Tyto výpadky stačily jen zčásti tlumit sílící příjmy z rozpočtu EU a vyšší výběr pojistného na sociální zabezpečení.</w:t>
            </w:r>
          </w:p>
          <w:p w:rsidR="007D4281" w:rsidRPr="005B1380" w:rsidRDefault="007D4281" w:rsidP="007D4281">
            <w:pPr>
              <w:pStyle w:val="Textpoznpodarou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7D4281" w:rsidTr="007D4281">
        <w:tc>
          <w:tcPr>
            <w:tcW w:w="1054" w:type="pct"/>
          </w:tcPr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 w:rsidRPr="007D4281">
              <w:rPr>
                <w:rFonts w:cs="Arial"/>
                <w:bCs/>
                <w:iCs/>
                <w:color w:val="000000"/>
                <w:sz w:val="16"/>
                <w:szCs w:val="16"/>
              </w:rPr>
              <w:t>Celostátní výběr DPH lze v prvních dvou měsících roku s loňskou úrovní jen obtížně srovnávat. Za prvních pět měsíců byl stále meziročně slabší (o 7,4 %), předloňskou výši ale již o necelé 1 % překonal</w:t>
            </w:r>
          </w:p>
        </w:tc>
        <w:tc>
          <w:tcPr>
            <w:tcW w:w="142" w:type="pct"/>
          </w:tcPr>
          <w:p w:rsidR="007D4281" w:rsidRDefault="007D4281" w:rsidP="007D428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D4281" w:rsidRPr="005B1380" w:rsidRDefault="007D4281" w:rsidP="007D4281">
            <w:pPr>
              <w:pStyle w:val="Textpoznpodarou"/>
              <w:jc w:val="both"/>
              <w:rPr>
                <w:rFonts w:cs="Arial"/>
                <w:spacing w:val="-2"/>
              </w:rPr>
            </w:pPr>
            <w:r w:rsidRPr="005B1380">
              <w:rPr>
                <w:rFonts w:cs="Arial"/>
                <w:spacing w:val="-2"/>
              </w:rPr>
              <w:t xml:space="preserve">Navzdory méně příznivému meziročnímu vývoji zůstala nejvýznamnějším daňovým příjmem DPH. Proti nestandardně vysoké loňské základně zaostal celostátní výběr </w:t>
            </w:r>
          </w:p>
          <w:p w:rsidR="007D4281" w:rsidRPr="005B1380" w:rsidRDefault="007D4281" w:rsidP="007D4281">
            <w:pPr>
              <w:pStyle w:val="Textpoznpodarou"/>
              <w:jc w:val="both"/>
              <w:rPr>
                <w:rFonts w:cs="Arial"/>
                <w:spacing w:val="-2"/>
              </w:rPr>
            </w:pPr>
            <w:r w:rsidRPr="005B1380">
              <w:rPr>
                <w:rFonts w:cs="Arial"/>
                <w:spacing w:val="-2"/>
              </w:rPr>
              <w:t xml:space="preserve">o sedminu (zároveň zůstal těsně pod úrovní z 1. čtvrtletí 2012). Na inkaso působily negativně i klesající ceny PHM, z menší části i zavedení druhé snížené sazby DPH (léky, knihy). V opačném směru by mělo působit oživování ekonomiky vyjádřené i růstem výdajů na konečnou spotřebu (+2,6 % meziročně). Od března do května již celostátní inkaso DPH meziročně mírně posilovalo (v úhrnu o 4,1 mld. korun). </w:t>
            </w:r>
          </w:p>
          <w:p w:rsidR="007D4281" w:rsidRPr="005B1380" w:rsidRDefault="007D4281" w:rsidP="007D4281">
            <w:pPr>
              <w:pStyle w:val="Textpoznpodarou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7D4281" w:rsidTr="007D4281">
        <w:tc>
          <w:tcPr>
            <w:tcW w:w="1054" w:type="pct"/>
          </w:tcPr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 w:rsidRPr="007D4281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Celkové inkaso spotřebních daní táhly dolů nižší výběry daní z tabákových výrobků (kde silný efekt loňského předzásobení zastínil vliv opětovného navýšení sazeb)  </w:t>
            </w:r>
          </w:p>
        </w:tc>
        <w:tc>
          <w:tcPr>
            <w:tcW w:w="142" w:type="pct"/>
          </w:tcPr>
          <w:p w:rsidR="007D4281" w:rsidRDefault="007D4281" w:rsidP="007D428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D4281" w:rsidRPr="005B1380" w:rsidRDefault="007D4281" w:rsidP="007D4281">
            <w:pPr>
              <w:pStyle w:val="Textpoznpodarou"/>
              <w:jc w:val="both"/>
              <w:rPr>
                <w:rFonts w:cs="Arial"/>
                <w:spacing w:val="-2"/>
              </w:rPr>
            </w:pPr>
            <w:r w:rsidRPr="005B1380">
              <w:rPr>
                <w:rFonts w:cs="Arial"/>
                <w:spacing w:val="-2"/>
              </w:rPr>
              <w:t>Z váhově dominantní položky spotřebních daní – z minerálních olejů získal stát meziročně o 2,4 % více. Příznivé ceny PHM stimulovaly poptávku (vč. zahraničních přepravců), k rozvoji dopravy přispěl i zrychlují růst ekonomiky. U výběru daně z tabákových výrobků zatím efekt enormního loňského předzásobení stále zastiňuje vliv opětovného zvýšení sazeb (na konci roku 2014). Stát tak v 1. čtvrtletí nezískal meziročně ani polovinu loňského inkasa, na konci května se propad letošního výběru zmírnil na 30 % (resp. 7,8 mld. korun). Výběr spotřební daně z lihu či piva zůstal bez významnějších změn, naopak význam odvodů z elektřiny ze slunečního záření pro SR v posledních letech stále klesá.</w:t>
            </w:r>
          </w:p>
          <w:p w:rsidR="007D4281" w:rsidRPr="005B1380" w:rsidRDefault="007D4281" w:rsidP="007D4281">
            <w:pPr>
              <w:pStyle w:val="Textpoznpodarou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7D4281" w:rsidTr="007D4281">
        <w:tc>
          <w:tcPr>
            <w:tcW w:w="1054" w:type="pct"/>
          </w:tcPr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 w:rsidRPr="007D4281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Nejrychlejší meziroční růst korporátních daní za posledních sedm let </w:t>
            </w:r>
          </w:p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</w:p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 w:rsidRPr="007D4281">
              <w:rPr>
                <w:rFonts w:cs="Arial"/>
                <w:bCs/>
                <w:iCs/>
                <w:color w:val="000000"/>
                <w:sz w:val="16"/>
                <w:szCs w:val="16"/>
              </w:rPr>
              <w:t>Daně od zaměstnanců drží na uzdě dosud umírněný růst mezd navzdory stále se lepšící situaci na trhu práce</w:t>
            </w:r>
          </w:p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</w:p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 w:rsidRPr="007D4281">
              <w:rPr>
                <w:rFonts w:cs="Arial"/>
                <w:bCs/>
                <w:iCs/>
                <w:color w:val="000000"/>
                <w:sz w:val="16"/>
                <w:szCs w:val="16"/>
              </w:rPr>
              <w:t>DPFO placené na základě přiznání zůstávají v poklesu i za rozpočtovým očekáváním, zčásti vlivem legislativních úprav</w:t>
            </w:r>
          </w:p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:rsidR="007D4281" w:rsidRDefault="007D4281" w:rsidP="007D428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D4281" w:rsidRPr="005B1380" w:rsidRDefault="007D4281" w:rsidP="007D4281">
            <w:pPr>
              <w:pStyle w:val="Textpoznpodarou"/>
              <w:jc w:val="both"/>
              <w:rPr>
                <w:rFonts w:cs="Arial"/>
                <w:spacing w:val="-2"/>
              </w:rPr>
            </w:pPr>
            <w:r w:rsidRPr="005B1380">
              <w:rPr>
                <w:rFonts w:cs="Arial"/>
                <w:spacing w:val="-2"/>
              </w:rPr>
              <w:t>Díky zlepšené ekonomické situaci firem pokračoval loňský růst celostátního výběru korporátních daní (+7,3 %), jenž byl v rámci 1. čtvrtletí nejvyšší po roce 2008. Naopak střídmý byl zatím výběr daně z příjmů fyzických osob (DPFO) ze závislé činnosti (+1,7 %)</w:t>
            </w:r>
            <w:r w:rsidR="00000FA7">
              <w:rPr>
                <w:rFonts w:cs="Arial"/>
                <w:spacing w:val="-2"/>
              </w:rPr>
              <w:t>,</w:t>
            </w:r>
            <w:r w:rsidRPr="005B1380">
              <w:rPr>
                <w:rFonts w:cs="Arial"/>
                <w:spacing w:val="-2"/>
              </w:rPr>
              <w:t xml:space="preserve"> přesto i tak překonal loňskou dynamikou (+0,8 %). Do růstových temp inkasa se promítají jak dosud velmi umírněný růst mezd (navzdory významnému zvyšování zaměstnanosti i počtu volných pracovních míst), tak postupně </w:t>
            </w:r>
            <w:r w:rsidR="00000FA7">
              <w:rPr>
                <w:rFonts w:cs="Arial"/>
                <w:spacing w:val="-2"/>
              </w:rPr>
              <w:t>i legislativní vlivy (navrácení</w:t>
            </w:r>
            <w:r w:rsidRPr="005B1380">
              <w:rPr>
                <w:rFonts w:cs="Arial"/>
                <w:spacing w:val="-2"/>
              </w:rPr>
              <w:t xml:space="preserve"> základní slevy na dani pro pracující důchodce, zvýšení slevy na druhé a třetí dítě). Přesto se celostátní výběr daní od z</w:t>
            </w:r>
            <w:r w:rsidR="00000FA7">
              <w:rPr>
                <w:rFonts w:cs="Arial"/>
                <w:spacing w:val="-2"/>
              </w:rPr>
              <w:t>aměstnanců za první letošní čtvrt</w:t>
            </w:r>
            <w:r w:rsidRPr="005B1380">
              <w:rPr>
                <w:rFonts w:cs="Arial"/>
                <w:spacing w:val="-2"/>
              </w:rPr>
              <w:t>letí nacházel o 8 % nad úrovní počátk</w:t>
            </w:r>
            <w:r w:rsidR="00000FA7">
              <w:rPr>
                <w:rFonts w:cs="Arial"/>
                <w:spacing w:val="-2"/>
              </w:rPr>
              <w:t>u konjunkturního roku 2008</w:t>
            </w:r>
            <w:r w:rsidRPr="005B1380">
              <w:rPr>
                <w:rFonts w:cs="Arial"/>
                <w:spacing w:val="-2"/>
              </w:rPr>
              <w:t>, naopak u korporací byl stále o sedminu nižší (vedle dopadů recese na zisky firem byl tlumen i opakovaným snižováním daňové sazby). Výběr DPFO placené na základě přiznání zůstává pod loňskou úrovní (což platilo i po tradičních dubnových vratkách daně), mj. i vlivem znovu zavedení slevy na pracující důchodce. Vyšší meziroční plnění v daňové oblasti zaznamenaly v 1. čtvrtletí jen spotřební daně z minerálních olejů, daně příjmu od zaměstnanců a z menších položek pak majetkové daně a správní poplatky.</w:t>
            </w:r>
          </w:p>
          <w:p w:rsidR="007D4281" w:rsidRPr="005B1380" w:rsidRDefault="007D4281" w:rsidP="007D4281">
            <w:pPr>
              <w:pStyle w:val="Textpoznpodarou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7D4281" w:rsidTr="007D4281">
        <w:tc>
          <w:tcPr>
            <w:tcW w:w="1054" w:type="pct"/>
          </w:tcPr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 w:rsidRPr="007D4281">
              <w:rPr>
                <w:rFonts w:cs="Arial"/>
                <w:bCs/>
                <w:iCs/>
                <w:color w:val="000000"/>
                <w:sz w:val="16"/>
                <w:szCs w:val="16"/>
              </w:rPr>
              <w:t>Uvolnění dřívějších restriktivních opatření společně s vyšší potřebou kofinancování na konci programovacího období přispěly k nejrychlejšímu růstu celkových výdajů SR po roce 2010</w:t>
            </w:r>
          </w:p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</w:p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</w:p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 w:rsidRPr="007D4281">
              <w:rPr>
                <w:rFonts w:cs="Arial"/>
                <w:bCs/>
                <w:iCs/>
                <w:color w:val="000000"/>
                <w:sz w:val="16"/>
                <w:szCs w:val="16"/>
              </w:rPr>
              <w:t>Snižování deficitu důchodového účtu pokračovalo vlivem silného růstu výběru pojistného</w:t>
            </w:r>
          </w:p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:rsidR="007D4281" w:rsidRDefault="007D4281" w:rsidP="007D428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D4281" w:rsidRDefault="007D4281" w:rsidP="007D4281">
            <w:pPr>
              <w:pStyle w:val="Textpoznpodarou"/>
              <w:jc w:val="both"/>
              <w:rPr>
                <w:rFonts w:cs="Arial"/>
                <w:spacing w:val="-4"/>
              </w:rPr>
            </w:pPr>
            <w:r w:rsidRPr="005B1380">
              <w:rPr>
                <w:rFonts w:cs="Arial"/>
                <w:spacing w:val="-4"/>
              </w:rPr>
              <w:t xml:space="preserve">Celkové výdaje SR, po stagnaci v předchozích třech letech, </w:t>
            </w:r>
            <w:r w:rsidR="00000FA7">
              <w:rPr>
                <w:rFonts w:cs="Arial"/>
                <w:spacing w:val="-4"/>
              </w:rPr>
              <w:t xml:space="preserve">vzrostly v 1. čtvrtletí o 5 %, </w:t>
            </w:r>
            <w:r w:rsidRPr="005B1380">
              <w:rPr>
                <w:rFonts w:cs="Arial"/>
                <w:spacing w:val="-4"/>
              </w:rPr>
              <w:t xml:space="preserve">nejvíce od roku 2010. Ze dvou třetin k tomu přispěly vyšší běžné výdaje (+9 mld korun), z třetiny investice. Klíčová část výdajů – na sociální dávky se oproti všem výdajům meziročně zvýšila pouze polovičním tempem. Podíl sociálních dávek na všech výdajích </w:t>
            </w:r>
            <w:r w:rsidR="00000FA7">
              <w:rPr>
                <w:rFonts w:cs="Arial"/>
                <w:spacing w:val="-4"/>
              </w:rPr>
              <w:t xml:space="preserve">SR </w:t>
            </w:r>
            <w:r w:rsidRPr="005B1380">
              <w:rPr>
                <w:rFonts w:cs="Arial"/>
                <w:spacing w:val="-4"/>
              </w:rPr>
              <w:t>činil 40,4 % (v roce 2012 pak 42 %). Více než tři čtvrtiny výdajů sociálních dávek směřovaly na důchody, na jejichž objem měl vliv opětovný přechod na dřívější plnou valorizaci důchodů, zčásti i mezigenerační obměna důchodců (jejich počty byly posledních třech letech stabilizované, podobně jako podíly trvale krácených starobních důchodů – ty tvořily v 1. čtvrtletí 2015 téměř třetinu ze všech nově přiznaných starobních důchodů). Ačkoliv meziroční dynamika výdajů na důchody (+2,8 %) byla letos nejvyšší za poslední čtyři roky, deficit salda důchodového účtu (jako rozdíl mezi příjmy a výdaji na důchody ze SR) se vlivem dynamického růstu výběru pojistného (+4,7 %, nejvyššího po roce 2008) nadále snižoval.</w:t>
            </w:r>
          </w:p>
          <w:p w:rsidR="007D4281" w:rsidRPr="00481057" w:rsidRDefault="007D4281" w:rsidP="007D4281">
            <w:pPr>
              <w:pStyle w:val="Textpoznpodarou"/>
              <w:jc w:val="both"/>
              <w:rPr>
                <w:rFonts w:cs="Arial"/>
                <w:spacing w:val="-4"/>
                <w:sz w:val="16"/>
                <w:szCs w:val="16"/>
              </w:rPr>
            </w:pPr>
          </w:p>
        </w:tc>
      </w:tr>
      <w:tr w:rsidR="007D4281" w:rsidTr="007D4281">
        <w:tc>
          <w:tcPr>
            <w:tcW w:w="1054" w:type="pct"/>
          </w:tcPr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 w:rsidRPr="007D4281">
              <w:rPr>
                <w:rFonts w:cs="Arial"/>
                <w:bCs/>
                <w:iCs/>
                <w:color w:val="000000"/>
                <w:sz w:val="16"/>
                <w:szCs w:val="16"/>
              </w:rPr>
              <w:t>Ostatní sociální dávky (bez důchodů) byly meziročně o 2,1 % vyšší vlivem růstu všech dávek</w:t>
            </w:r>
            <w:r w:rsidR="00000FA7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nemocenského pojištění i dávek</w:t>
            </w:r>
            <w:r w:rsidRPr="007D4281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sociální péče </w:t>
            </w:r>
          </w:p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:rsidR="007D4281" w:rsidRDefault="007D4281" w:rsidP="007D428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D4281" w:rsidRDefault="007D4281" w:rsidP="007D4281">
            <w:pPr>
              <w:pStyle w:val="Textpoznpodarou"/>
              <w:jc w:val="both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U ostatních sociálních dávek vydal stát meziročně více na dávky nemocenského pojištění (+13,6 %), vlivem legislativních úprav (opět</w:t>
            </w:r>
            <w:r w:rsidR="00000FA7">
              <w:rPr>
                <w:rFonts w:cs="Arial"/>
                <w:spacing w:val="-2"/>
              </w:rPr>
              <w:t>ovně vyplácení nemocenské již o</w:t>
            </w:r>
            <w:r>
              <w:rPr>
                <w:rFonts w:cs="Arial"/>
                <w:spacing w:val="-2"/>
              </w:rPr>
              <w:t>d</w:t>
            </w:r>
            <w:r w:rsidR="00000FA7"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  <w:spacing w:val="-2"/>
              </w:rPr>
              <w:t>15 dne) i růstu pracovní neschopnosti. Mírně vzr</w:t>
            </w:r>
            <w:r w:rsidR="00000FA7">
              <w:rPr>
                <w:rFonts w:cs="Arial"/>
                <w:spacing w:val="-2"/>
              </w:rPr>
              <w:t>ostly i dávky sociální péče vlivem vyšších příspěvků na péči i dávek</w:t>
            </w:r>
            <w:r>
              <w:rPr>
                <w:rFonts w:cs="Arial"/>
                <w:spacing w:val="-2"/>
              </w:rPr>
              <w:t xml:space="preserve"> pro zdravotně postižené, naopak dříve silně rostoucí doplatky na bydlení v 1. čtvrtletí stagnovaly. Stát naopak mírně ušetřil na státní sociální podpoře (kde rostly jen příspěvky na bydlení, porodné a dávky pěstounům) a na nezaměstnaných (při meziročně o sedminu nižším počtu r</w:t>
            </w:r>
            <w:r w:rsidR="00000FA7">
              <w:rPr>
                <w:rFonts w:cs="Arial"/>
                <w:spacing w:val="-2"/>
              </w:rPr>
              <w:t>egistrovaných uchazečů a zároveň</w:t>
            </w:r>
            <w:r>
              <w:rPr>
                <w:rFonts w:cs="Arial"/>
                <w:spacing w:val="-2"/>
              </w:rPr>
              <w:t xml:space="preserve"> nižším podílu uchazečů s nárokem na podporu). </w:t>
            </w:r>
          </w:p>
          <w:p w:rsidR="007D4281" w:rsidRPr="00481057" w:rsidRDefault="007D4281" w:rsidP="007D4281">
            <w:pPr>
              <w:pStyle w:val="Textpoznpodarou"/>
              <w:jc w:val="both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</w:rPr>
              <w:t xml:space="preserve">  </w:t>
            </w:r>
          </w:p>
        </w:tc>
      </w:tr>
      <w:tr w:rsidR="007D4281" w:rsidTr="007D4281">
        <w:tc>
          <w:tcPr>
            <w:tcW w:w="1054" w:type="pct"/>
          </w:tcPr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pacing w:val="-4"/>
                <w:sz w:val="16"/>
                <w:szCs w:val="16"/>
              </w:rPr>
            </w:pPr>
            <w:r w:rsidRPr="007D4281">
              <w:rPr>
                <w:rFonts w:cs="Arial"/>
                <w:bCs/>
                <w:iCs/>
                <w:color w:val="000000"/>
                <w:spacing w:val="-4"/>
                <w:sz w:val="16"/>
                <w:szCs w:val="16"/>
              </w:rPr>
              <w:t xml:space="preserve">Poprvé po čtyřech letech obrat v investicích - vlivem nebývalé intenzivního dočerpávání prostředků z EU  </w:t>
            </w:r>
          </w:p>
        </w:tc>
        <w:tc>
          <w:tcPr>
            <w:tcW w:w="142" w:type="pct"/>
          </w:tcPr>
          <w:p w:rsidR="007D4281" w:rsidRDefault="007D4281" w:rsidP="007D428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D4281" w:rsidRDefault="007D4281" w:rsidP="007D4281">
            <w:pPr>
              <w:pStyle w:val="Textpoznpodarou"/>
              <w:jc w:val="both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Po čtyřech letech se zastavil soustavný pokles kapitálových výdajů, když v 1. čtvrtletí 2015 meziročně vzrostl o třetinu (za prv</w:t>
            </w:r>
            <w:r w:rsidR="005350F2">
              <w:rPr>
                <w:rFonts w:cs="Arial"/>
                <w:spacing w:val="-2"/>
              </w:rPr>
              <w:t>ních pět měsíců o 55 %). Více ne</w:t>
            </w:r>
            <w:r>
              <w:rPr>
                <w:rFonts w:cs="Arial"/>
                <w:spacing w:val="-2"/>
              </w:rPr>
              <w:t>ž 80 % výdajů tvoří kofinancování projektů s EU (především ROP a OP Podnikání a inovace). Investice tvořily 6,7 % všech výdajů SR, v letech 2008-2010 ale 11,6 %. Čerpání z evropských fondů se projevuje mj. i v plánovaném i realizovaném posílení výdajů státu na aktivní politiku zaměstnanosti. Celkové příjmy státu z rozpočtu EU dosáhly v 1. čtvrtletí historických 66 mld. korun (meziročně o 28 % více).</w:t>
            </w:r>
          </w:p>
          <w:p w:rsidR="007D4281" w:rsidRPr="00481057" w:rsidRDefault="007D4281" w:rsidP="007D4281">
            <w:pPr>
              <w:pStyle w:val="Textpoznpodarou"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7D4281" w:rsidTr="007D4281">
        <w:tc>
          <w:tcPr>
            <w:tcW w:w="1054" w:type="pct"/>
          </w:tcPr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 w:rsidRPr="007D4281">
              <w:rPr>
                <w:rFonts w:cs="Arial"/>
                <w:bCs/>
                <w:iCs/>
                <w:color w:val="000000"/>
                <w:sz w:val="16"/>
                <w:szCs w:val="16"/>
              </w:rPr>
              <w:t>Výdaje na platy státních zaměstnanců poprvé překonaly úroveň v let 2009-2010</w:t>
            </w:r>
          </w:p>
        </w:tc>
        <w:tc>
          <w:tcPr>
            <w:tcW w:w="142" w:type="pct"/>
          </w:tcPr>
          <w:p w:rsidR="007D4281" w:rsidRDefault="007D4281" w:rsidP="007D428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D4281" w:rsidRPr="00000FA7" w:rsidRDefault="007D4281" w:rsidP="007D4281">
            <w:pPr>
              <w:pStyle w:val="Textpoznpodarou"/>
              <w:jc w:val="both"/>
              <w:rPr>
                <w:rFonts w:cs="Arial"/>
                <w:spacing w:val="-4"/>
              </w:rPr>
            </w:pPr>
            <w:r w:rsidRPr="00000FA7">
              <w:rPr>
                <w:rFonts w:cs="Arial"/>
                <w:spacing w:val="-4"/>
              </w:rPr>
              <w:t>Uvolnění dřívějších restriktivních op</w:t>
            </w:r>
            <w:r w:rsidR="00000FA7" w:rsidRPr="00000FA7">
              <w:rPr>
                <w:rFonts w:cs="Arial"/>
                <w:spacing w:val="-4"/>
              </w:rPr>
              <w:t>atření se promítlo mj. i nárůstem</w:t>
            </w:r>
            <w:r w:rsidRPr="00000FA7">
              <w:rPr>
                <w:rFonts w:cs="Arial"/>
                <w:spacing w:val="-4"/>
              </w:rPr>
              <w:t xml:space="preserve"> </w:t>
            </w:r>
            <w:r w:rsidR="00000FA7" w:rsidRPr="00000FA7">
              <w:rPr>
                <w:rFonts w:cs="Arial"/>
                <w:spacing w:val="-4"/>
              </w:rPr>
              <w:t xml:space="preserve">výdajů </w:t>
            </w:r>
            <w:r w:rsidRPr="00000FA7">
              <w:rPr>
                <w:rFonts w:cs="Arial"/>
                <w:spacing w:val="-4"/>
              </w:rPr>
              <w:t>na platy státní</w:t>
            </w:r>
            <w:r w:rsidR="00000FA7" w:rsidRPr="00000FA7">
              <w:rPr>
                <w:rFonts w:cs="Arial"/>
                <w:spacing w:val="-4"/>
              </w:rPr>
              <w:t>ch zaměstnanců (+6,7 %) i vyšší</w:t>
            </w:r>
            <w:r w:rsidRPr="00000FA7">
              <w:rPr>
                <w:rFonts w:cs="Arial"/>
                <w:spacing w:val="-4"/>
              </w:rPr>
              <w:t xml:space="preserve">mi transfery územním rozpočtům (např. na platy učitelů). Stát naopak ušetřil na výdajích na státní dluh či odvodech do rozpočtu EU. </w:t>
            </w:r>
          </w:p>
          <w:p w:rsidR="007D4281" w:rsidRPr="00481057" w:rsidRDefault="007D4281" w:rsidP="007D4281">
            <w:pPr>
              <w:pStyle w:val="Textpoznpodarou"/>
              <w:spacing w:line="216" w:lineRule="auto"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7D4281" w:rsidTr="007D4281">
        <w:tc>
          <w:tcPr>
            <w:tcW w:w="1054" w:type="pct"/>
          </w:tcPr>
          <w:p w:rsidR="007D4281" w:rsidRPr="007D4281" w:rsidRDefault="007D4281" w:rsidP="007D4281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 w:rsidRPr="007D4281">
              <w:rPr>
                <w:rFonts w:cs="Arial"/>
                <w:bCs/>
                <w:iCs/>
                <w:color w:val="000000"/>
                <w:sz w:val="16"/>
                <w:szCs w:val="16"/>
              </w:rPr>
              <w:t>Již téměř dva pokračuje stabilizace výše státního dluhu, výpůjční potřeba státu se soustřeďuje na domácí trh</w:t>
            </w:r>
          </w:p>
        </w:tc>
        <w:tc>
          <w:tcPr>
            <w:tcW w:w="142" w:type="pct"/>
          </w:tcPr>
          <w:p w:rsidR="007D4281" w:rsidRDefault="007D4281" w:rsidP="007D428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D4281" w:rsidRPr="00481057" w:rsidRDefault="007D4281" w:rsidP="00F00D3C">
            <w:pPr>
              <w:pStyle w:val="Textpoznpodarou"/>
              <w:jc w:val="both"/>
              <w:rPr>
                <w:rFonts w:cs="Arial"/>
                <w:spacing w:val="-2"/>
                <w:sz w:val="16"/>
                <w:szCs w:val="16"/>
              </w:rPr>
            </w:pPr>
            <w:r w:rsidRPr="002C4546">
              <w:rPr>
                <w:rFonts w:cs="Arial"/>
                <w:spacing w:val="-2"/>
              </w:rPr>
              <w:t>Dlouhodobý růst celkového státního dluhu se v 1.pololetí 2013 zastavil, dluh od té doby fakticky stagnuje. Na konci 1. čtvrtletí 2015 dosahoval 1 663 mld. korun</w:t>
            </w:r>
            <w:r w:rsidR="00000FA7">
              <w:rPr>
                <w:rFonts w:cs="Arial"/>
                <w:spacing w:val="-2"/>
              </w:rPr>
              <w:t>,</w:t>
            </w:r>
            <w:r w:rsidRPr="002C4546">
              <w:rPr>
                <w:rFonts w:cs="Arial"/>
                <w:spacing w:val="-2"/>
              </w:rPr>
              <w:t xml:space="preserve"> při minimálním pohybu ve vnější i vnitřním dluhu od počátku roku. V meziročním pohledu se celkový dluh snížil o 20 mld. korun. Přispěla k tomu významná redukce vnějšího dluhu (-24 %), když stát svoje nové výpůjčky realizoval </w:t>
            </w:r>
            <w:r w:rsidR="00F00D3C">
              <w:rPr>
                <w:rFonts w:cs="Arial"/>
                <w:spacing w:val="-2"/>
              </w:rPr>
              <w:t>prioritně</w:t>
            </w:r>
            <w:r w:rsidRPr="002C4546">
              <w:rPr>
                <w:rFonts w:cs="Arial"/>
                <w:spacing w:val="-2"/>
              </w:rPr>
              <w:t xml:space="preserve"> na domácím trhu. Vnější dluh se na celkovém státním dluhu podílel necelými 18 %, což bylo nejméně od počátku roku 2008.</w:t>
            </w:r>
            <w:r>
              <w:rPr>
                <w:rFonts w:cs="Arial"/>
                <w:spacing w:val="-2"/>
              </w:rPr>
              <w:t xml:space="preserve"> </w:t>
            </w:r>
          </w:p>
        </w:tc>
      </w:tr>
    </w:tbl>
    <w:p w:rsidR="007D4281" w:rsidRDefault="007D4281" w:rsidP="007D4281">
      <w:pPr>
        <w:pStyle w:val="Bezmezer"/>
        <w:rPr>
          <w:szCs w:val="14"/>
        </w:rPr>
      </w:pPr>
    </w:p>
    <w:tbl>
      <w:tblPr>
        <w:tblW w:w="5063" w:type="pct"/>
        <w:tblCellMar>
          <w:left w:w="28" w:type="dxa"/>
          <w:right w:w="28" w:type="dxa"/>
        </w:tblCellMar>
        <w:tblLook w:val="04A0"/>
      </w:tblPr>
      <w:tblGrid>
        <w:gridCol w:w="734"/>
        <w:gridCol w:w="4077"/>
        <w:gridCol w:w="735"/>
        <w:gridCol w:w="4286"/>
      </w:tblGrid>
      <w:tr w:rsidR="007D4281" w:rsidTr="00EE6C6B">
        <w:tc>
          <w:tcPr>
            <w:tcW w:w="375" w:type="pct"/>
          </w:tcPr>
          <w:p w:rsidR="007D4281" w:rsidRDefault="007D4281" w:rsidP="007D4281">
            <w:pPr>
              <w:spacing w:line="240" w:lineRule="auto"/>
            </w:pPr>
            <w:r>
              <w:t xml:space="preserve">Graf č. </w:t>
            </w:r>
            <w:r w:rsidR="00676F11">
              <w:t>19</w:t>
            </w:r>
          </w:p>
        </w:tc>
        <w:tc>
          <w:tcPr>
            <w:tcW w:w="2083" w:type="pct"/>
          </w:tcPr>
          <w:p w:rsidR="007D4281" w:rsidRDefault="007D4281" w:rsidP="007D428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Celostátní inkasa daňových příjmů </w:t>
            </w:r>
          </w:p>
          <w:p w:rsidR="007D4281" w:rsidRDefault="007D4281" w:rsidP="007D4281">
            <w:pPr>
              <w:spacing w:line="240" w:lineRule="auto"/>
            </w:pPr>
            <w:r w:rsidRPr="008A3A85">
              <w:rPr>
                <w:rFonts w:cs="Arial"/>
                <w:bCs/>
              </w:rPr>
              <w:t>(y/y, v %)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 vývoj salda státního rozpočtu</w:t>
            </w:r>
            <w:r>
              <w:t xml:space="preserve"> </w:t>
            </w:r>
          </w:p>
          <w:p w:rsidR="007D4281" w:rsidRDefault="007D4281" w:rsidP="007D4281">
            <w:pPr>
              <w:spacing w:line="240" w:lineRule="auto"/>
            </w:pPr>
            <w:r w:rsidRPr="00DB06E9">
              <w:rPr>
                <w:rFonts w:cs="Arial"/>
                <w:bCs/>
              </w:rPr>
              <w:t>(v mld. korun)</w:t>
            </w:r>
            <w:r>
              <w:rPr>
                <w:rFonts w:cs="Arial"/>
                <w:bCs/>
              </w:rPr>
              <w:t>, údaje za jednotlivá čtvrtletí</w:t>
            </w:r>
          </w:p>
        </w:tc>
        <w:tc>
          <w:tcPr>
            <w:tcW w:w="372" w:type="pct"/>
          </w:tcPr>
          <w:p w:rsidR="007D4281" w:rsidRDefault="007D4281" w:rsidP="007D4281">
            <w:pPr>
              <w:spacing w:line="240" w:lineRule="auto"/>
            </w:pPr>
            <w:r>
              <w:t>Graf č. 2</w:t>
            </w:r>
            <w:r w:rsidR="00676F11">
              <w:t>0</w:t>
            </w:r>
          </w:p>
        </w:tc>
        <w:tc>
          <w:tcPr>
            <w:tcW w:w="2170" w:type="pct"/>
          </w:tcPr>
          <w:p w:rsidR="007D4281" w:rsidRDefault="007D4281" w:rsidP="007D4281">
            <w:pPr>
              <w:spacing w:line="240" w:lineRule="auto"/>
              <w:rPr>
                <w:rFonts w:cs="Arial"/>
                <w:bCs/>
                <w:spacing w:val="-2"/>
              </w:rPr>
            </w:pPr>
            <w:r w:rsidRPr="006F2BEE">
              <w:rPr>
                <w:rFonts w:cs="Arial"/>
                <w:b/>
                <w:bCs/>
                <w:spacing w:val="-2"/>
              </w:rPr>
              <w:t xml:space="preserve">Počet příjemců důchodů, příjmy a výdaje na důchody ze státního rozpočtu </w:t>
            </w:r>
            <w:r w:rsidRPr="006F2BEE">
              <w:rPr>
                <w:rFonts w:cs="Arial"/>
                <w:bCs/>
                <w:spacing w:val="-2"/>
              </w:rPr>
              <w:t xml:space="preserve">(y/y, v %) </w:t>
            </w:r>
          </w:p>
          <w:p w:rsidR="007D4281" w:rsidRPr="006F2BEE" w:rsidRDefault="007D4281" w:rsidP="007D4281">
            <w:pPr>
              <w:spacing w:line="240" w:lineRule="auto"/>
              <w:rPr>
                <w:rFonts w:cs="Arial"/>
                <w:b/>
                <w:bCs/>
                <w:spacing w:val="-2"/>
              </w:rPr>
            </w:pPr>
            <w:r w:rsidRPr="006F2BEE">
              <w:rPr>
                <w:rFonts w:cs="Arial"/>
                <w:b/>
                <w:bCs/>
                <w:spacing w:val="-2"/>
              </w:rPr>
              <w:t xml:space="preserve">a bilance </w:t>
            </w:r>
            <w:r>
              <w:rPr>
                <w:rFonts w:cs="Arial"/>
                <w:b/>
                <w:bCs/>
                <w:spacing w:val="-2"/>
              </w:rPr>
              <w:t>důchodového</w:t>
            </w:r>
            <w:r w:rsidRPr="006F2BEE">
              <w:rPr>
                <w:rFonts w:cs="Arial"/>
                <w:b/>
                <w:bCs/>
                <w:spacing w:val="-2"/>
              </w:rPr>
              <w:t xml:space="preserve"> účtu </w:t>
            </w:r>
            <w:r w:rsidRPr="006F2BEE">
              <w:rPr>
                <w:rFonts w:cs="Arial"/>
                <w:bCs/>
                <w:spacing w:val="-2"/>
              </w:rPr>
              <w:t>(v mld. korun)</w:t>
            </w:r>
          </w:p>
        </w:tc>
      </w:tr>
      <w:tr w:rsidR="007D4281" w:rsidTr="00EE6C6B">
        <w:tc>
          <w:tcPr>
            <w:tcW w:w="2458" w:type="pct"/>
            <w:gridSpan w:val="2"/>
          </w:tcPr>
          <w:p w:rsidR="007D4281" w:rsidRDefault="00CE17ED" w:rsidP="007D4281">
            <w:pPr>
              <w:pStyle w:val="Textpoznpodarou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37.75pt;height:206.25pt">
                  <v:imagedata r:id="rId8" o:title=""/>
                </v:shape>
              </w:pict>
            </w:r>
          </w:p>
        </w:tc>
        <w:tc>
          <w:tcPr>
            <w:tcW w:w="2542" w:type="pct"/>
            <w:gridSpan w:val="2"/>
          </w:tcPr>
          <w:p w:rsidR="007D4281" w:rsidRDefault="00CE17ED" w:rsidP="007D4281">
            <w:pPr>
              <w:pStyle w:val="Textpoznpodarou"/>
              <w:jc w:val="both"/>
            </w:pPr>
            <w:r>
              <w:pict>
                <v:shape id="_x0000_i1044" type="#_x0000_t75" style="width:248.25pt;height:205.5pt">
                  <v:imagedata r:id="rId9" o:title=""/>
                </v:shape>
              </w:pict>
            </w:r>
          </w:p>
        </w:tc>
      </w:tr>
      <w:tr w:rsidR="007D4281" w:rsidTr="00EE6C6B">
        <w:trPr>
          <w:trHeight w:val="74"/>
        </w:trPr>
        <w:tc>
          <w:tcPr>
            <w:tcW w:w="5000" w:type="pct"/>
            <w:gridSpan w:val="4"/>
          </w:tcPr>
          <w:p w:rsidR="007D4281" w:rsidRDefault="007D4281" w:rsidP="007D4281">
            <w:pPr>
              <w:pStyle w:val="Textpoznpodarou"/>
              <w:rPr>
                <w:sz w:val="6"/>
                <w:szCs w:val="18"/>
              </w:rPr>
            </w:pPr>
          </w:p>
        </w:tc>
      </w:tr>
    </w:tbl>
    <w:p w:rsidR="00000FA7" w:rsidRDefault="00EE6C6B" w:rsidP="00EE6C6B">
      <w:pPr>
        <w:pStyle w:val="Textpoznpodarou"/>
        <w:jc w:val="right"/>
      </w:pPr>
      <w:r>
        <w:rPr>
          <w:rFonts w:cs="Arial"/>
          <w:sz w:val="18"/>
          <w:szCs w:val="18"/>
        </w:rPr>
        <w:t>Pramen: MF ČR, ČSSZ</w:t>
      </w:r>
    </w:p>
    <w:tbl>
      <w:tblPr>
        <w:tblW w:w="5007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38"/>
        <w:gridCol w:w="4149"/>
        <w:gridCol w:w="670"/>
        <w:gridCol w:w="4151"/>
      </w:tblGrid>
      <w:tr w:rsidR="007D4281" w:rsidTr="007D4281">
        <w:tc>
          <w:tcPr>
            <w:tcW w:w="380" w:type="pct"/>
          </w:tcPr>
          <w:p w:rsidR="007D4281" w:rsidRDefault="007D4281" w:rsidP="007D4281">
            <w:pPr>
              <w:spacing w:line="240" w:lineRule="auto"/>
            </w:pPr>
            <w:r>
              <w:t>Graf č. 2</w:t>
            </w:r>
            <w:r w:rsidR="00676F11">
              <w:t>1</w:t>
            </w:r>
          </w:p>
        </w:tc>
        <w:tc>
          <w:tcPr>
            <w:tcW w:w="2137" w:type="pct"/>
          </w:tcPr>
          <w:p w:rsidR="007D4281" w:rsidRDefault="007D4281" w:rsidP="00824081">
            <w:pPr>
              <w:pStyle w:val="Textpoznpodarou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</w:rPr>
              <w:t xml:space="preserve">Příjmy a výdaje státního rozpočtu </w:t>
            </w:r>
            <w:r w:rsidR="00824081">
              <w:rPr>
                <w:rFonts w:cs="Arial"/>
                <w:b/>
                <w:bCs/>
              </w:rPr>
              <w:t>ČR</w:t>
            </w:r>
            <w:r>
              <w:rPr>
                <w:rFonts w:cs="Arial"/>
                <w:b/>
                <w:bCs/>
              </w:rPr>
              <w:t xml:space="preserve"> ve vztahu k EU </w:t>
            </w:r>
            <w:r>
              <w:rPr>
                <w:rFonts w:cs="Arial"/>
                <w:bCs/>
              </w:rPr>
              <w:t xml:space="preserve">(1. čtvrtletí, </w:t>
            </w:r>
            <w:r w:rsidRPr="00DB06E9">
              <w:rPr>
                <w:rFonts w:cs="Arial"/>
                <w:bCs/>
              </w:rPr>
              <w:t>v mld. korun)</w:t>
            </w:r>
          </w:p>
        </w:tc>
        <w:tc>
          <w:tcPr>
            <w:tcW w:w="345" w:type="pct"/>
          </w:tcPr>
          <w:p w:rsidR="007D4281" w:rsidRDefault="007D4281" w:rsidP="007D4281">
            <w:pPr>
              <w:spacing w:line="240" w:lineRule="auto"/>
            </w:pPr>
            <w:r>
              <w:t>Graf č. 2</w:t>
            </w:r>
            <w:r w:rsidR="00676F11">
              <w:t>2</w:t>
            </w:r>
          </w:p>
        </w:tc>
        <w:tc>
          <w:tcPr>
            <w:tcW w:w="2138" w:type="pct"/>
          </w:tcPr>
          <w:p w:rsidR="007D4281" w:rsidRDefault="007D4281" w:rsidP="007D428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Vybrané výdaje státního rozpočtu</w:t>
            </w:r>
          </w:p>
          <w:p w:rsidR="007D4281" w:rsidRPr="007D366F" w:rsidRDefault="007D4281" w:rsidP="007D4281">
            <w:pPr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(1. čtvrtletí, </w:t>
            </w:r>
            <w:r w:rsidRPr="00DB06E9">
              <w:rPr>
                <w:rFonts w:cs="Arial"/>
                <w:bCs/>
              </w:rPr>
              <w:t>v mld. korun)</w:t>
            </w:r>
          </w:p>
        </w:tc>
      </w:tr>
      <w:tr w:rsidR="007D4281" w:rsidTr="007D4281">
        <w:tc>
          <w:tcPr>
            <w:tcW w:w="2517" w:type="pct"/>
            <w:gridSpan w:val="2"/>
          </w:tcPr>
          <w:p w:rsidR="007D4281" w:rsidRDefault="00CE17ED" w:rsidP="007D4281">
            <w:pPr>
              <w:pStyle w:val="Textpoznpodarou"/>
              <w:jc w:val="both"/>
            </w:pPr>
            <w:r>
              <w:pict>
                <v:shape id="_x0000_i1045" type="#_x0000_t75" style="width:237.75pt;height:189pt">
                  <v:imagedata r:id="rId10" o:title=""/>
                </v:shape>
              </w:pict>
            </w:r>
          </w:p>
        </w:tc>
        <w:tc>
          <w:tcPr>
            <w:tcW w:w="2483" w:type="pct"/>
            <w:gridSpan w:val="2"/>
          </w:tcPr>
          <w:p w:rsidR="007D4281" w:rsidRDefault="00CE17ED" w:rsidP="007D4281">
            <w:pPr>
              <w:pStyle w:val="Textpoznpodarou"/>
              <w:jc w:val="both"/>
            </w:pPr>
            <w:r>
              <w:pict>
                <v:shape id="_x0000_i1046" type="#_x0000_t75" style="width:237.75pt;height:189pt">
                  <v:imagedata r:id="rId11" o:title=""/>
                </v:shape>
              </w:pict>
            </w:r>
          </w:p>
        </w:tc>
      </w:tr>
      <w:tr w:rsidR="007D4281" w:rsidTr="007D4281">
        <w:tc>
          <w:tcPr>
            <w:tcW w:w="2517" w:type="pct"/>
            <w:gridSpan w:val="2"/>
          </w:tcPr>
          <w:p w:rsidR="007D4281" w:rsidRPr="0020709F" w:rsidRDefault="007D4281" w:rsidP="007D428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  <w:tc>
          <w:tcPr>
            <w:tcW w:w="2483" w:type="pct"/>
            <w:gridSpan w:val="2"/>
          </w:tcPr>
          <w:p w:rsidR="007D4281" w:rsidRPr="006555BD" w:rsidRDefault="007D4281" w:rsidP="007D4281">
            <w:pPr>
              <w:pStyle w:val="Textpoznpodaro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*vč. dávek pěstounské péče</w:t>
            </w:r>
          </w:p>
          <w:p w:rsidR="007D4281" w:rsidRPr="00A10AFE" w:rsidRDefault="007D4281" w:rsidP="007D4281">
            <w:pPr>
              <w:pStyle w:val="Textpoznpodarou"/>
              <w:rPr>
                <w:rFonts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**</w:t>
            </w:r>
            <w:r w:rsidRPr="006555BD">
              <w:rPr>
                <w:sz w:val="16"/>
                <w:szCs w:val="16"/>
              </w:rPr>
              <w:t>dávky pomoci v hmotné nouzi, dávky osobám se zdravotním postižením, příspěvek na péči podle zákona o sociálních službách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D4281" w:rsidTr="007D4281">
        <w:tc>
          <w:tcPr>
            <w:tcW w:w="5000" w:type="pct"/>
            <w:gridSpan w:val="4"/>
          </w:tcPr>
          <w:p w:rsidR="007D4281" w:rsidRDefault="007D4281" w:rsidP="007D4281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Pramen: MF ČR</w:t>
            </w:r>
          </w:p>
        </w:tc>
      </w:tr>
    </w:tbl>
    <w:p w:rsidR="007D4281" w:rsidRDefault="007D4281" w:rsidP="007D4281">
      <w:pPr>
        <w:pStyle w:val="Bezmezer"/>
        <w:ind w:left="720"/>
        <w:rPr>
          <w:lang w:eastAsia="ar-SA"/>
        </w:rPr>
      </w:pPr>
    </w:p>
    <w:sectPr w:rsidR="007D4281" w:rsidSect="00CE17E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4D" w:rsidRDefault="00AB104D" w:rsidP="00E71A58">
      <w:r>
        <w:separator/>
      </w:r>
    </w:p>
  </w:endnote>
  <w:endnote w:type="continuationSeparator" w:id="0">
    <w:p w:rsidR="00AB104D" w:rsidRDefault="00AB104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Default="00382412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AB104D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CE17ED">
      <w:rPr>
        <w:rFonts w:ascii="Arial" w:hAnsi="Arial" w:cs="Arial"/>
        <w:noProof/>
        <w:sz w:val="16"/>
        <w:szCs w:val="16"/>
      </w:rPr>
      <w:t>22</w:t>
    </w:r>
    <w:r w:rsidRPr="005A21E0">
      <w:rPr>
        <w:rFonts w:ascii="Arial" w:hAnsi="Arial" w:cs="Arial"/>
        <w:sz w:val="16"/>
        <w:szCs w:val="16"/>
      </w:rPr>
      <w:fldChar w:fldCharType="end"/>
    </w:r>
    <w:r w:rsidR="00AB104D">
      <w:rPr>
        <w:rFonts w:ascii="Arial" w:hAnsi="Arial" w:cs="Arial"/>
        <w:sz w:val="16"/>
        <w:szCs w:val="16"/>
      </w:rPr>
      <w:tab/>
      <w:t>2015</w:t>
    </w:r>
    <w:r w:rsidR="00AB104D">
      <w:tab/>
    </w:r>
    <w:r w:rsidR="00AB104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Default="00382412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AB104D">
      <w:tab/>
    </w:r>
    <w:r w:rsidR="00AB104D">
      <w:tab/>
    </w:r>
    <w:r w:rsidR="00AB104D" w:rsidRPr="00DC5B3B">
      <w:t xml:space="preserve">                              </w:t>
    </w:r>
  </w:p>
  <w:p w:rsidR="00AB104D" w:rsidRPr="00223E00" w:rsidRDefault="00AB104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382412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382412" w:rsidRPr="00223E00">
      <w:rPr>
        <w:rFonts w:ascii="Arial" w:hAnsi="Arial" w:cs="Arial"/>
        <w:sz w:val="16"/>
        <w:szCs w:val="16"/>
      </w:rPr>
      <w:fldChar w:fldCharType="separate"/>
    </w:r>
    <w:r w:rsidR="00CE17ED">
      <w:rPr>
        <w:rFonts w:ascii="Arial" w:hAnsi="Arial" w:cs="Arial"/>
        <w:noProof/>
        <w:sz w:val="16"/>
        <w:szCs w:val="16"/>
      </w:rPr>
      <w:t>23</w:t>
    </w:r>
    <w:r w:rsidR="00382412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4D" w:rsidRDefault="00AB104D" w:rsidP="00E71A58">
      <w:r>
        <w:separator/>
      </w:r>
    </w:p>
  </w:footnote>
  <w:footnote w:type="continuationSeparator" w:id="0">
    <w:p w:rsidR="00AB104D" w:rsidRDefault="00AB104D" w:rsidP="00E71A58">
      <w:r>
        <w:continuationSeparator/>
      </w:r>
    </w:p>
  </w:footnote>
  <w:footnote w:id="1">
    <w:p w:rsidR="00AB104D" w:rsidRDefault="00AB104D" w:rsidP="007D428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85D8A">
        <w:rPr>
          <w:iCs/>
          <w:spacing w:val="-2"/>
          <w:sz w:val="16"/>
        </w:rPr>
        <w:t>Za prvních pět měsíců roku 2015 hospodařil SR se schodkem 22,1 mld. korun, třetím nejnižším od roku 2001.</w:t>
      </w:r>
    </w:p>
  </w:footnote>
  <w:footnote w:id="2">
    <w:p w:rsidR="00AB104D" w:rsidRDefault="00AB104D" w:rsidP="007D42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1B4442">
        <w:rPr>
          <w:iCs/>
          <w:spacing w:val="-2"/>
          <w:sz w:val="16"/>
        </w:rPr>
        <w:t xml:space="preserve">Za </w:t>
      </w:r>
      <w:r>
        <w:rPr>
          <w:iCs/>
          <w:spacing w:val="-2"/>
          <w:sz w:val="16"/>
        </w:rPr>
        <w:t>vyšší základnou loňského 1. čtvrtletí stojí jak mimořádné příjmy (</w:t>
      </w:r>
      <w:r>
        <w:rPr>
          <w:spacing w:val="-2"/>
          <w:sz w:val="16"/>
        </w:rPr>
        <w:t>aukce</w:t>
      </w:r>
      <w:r w:rsidRPr="008020C2">
        <w:rPr>
          <w:spacing w:val="-2"/>
          <w:sz w:val="16"/>
        </w:rPr>
        <w:t xml:space="preserve"> kmitočtů </w:t>
      </w:r>
      <w:r>
        <w:rPr>
          <w:spacing w:val="-2"/>
          <w:sz w:val="16"/>
        </w:rPr>
        <w:t>pro rychlé mobilní sítě za 8,5 mld. korun), tak i výběr nepřímých daní. U</w:t>
      </w:r>
      <w:r w:rsidRPr="00007498">
        <w:rPr>
          <w:spacing w:val="-2"/>
          <w:sz w:val="16"/>
        </w:rPr>
        <w:t xml:space="preserve"> </w:t>
      </w:r>
      <w:r>
        <w:rPr>
          <w:iCs/>
          <w:spacing w:val="-2"/>
          <w:sz w:val="16"/>
        </w:rPr>
        <w:t>spotřební daně</w:t>
      </w:r>
      <w:r w:rsidRPr="00007498">
        <w:rPr>
          <w:iCs/>
          <w:spacing w:val="-2"/>
          <w:sz w:val="16"/>
        </w:rPr>
        <w:t xml:space="preserve"> z tabákových výrobků</w:t>
      </w:r>
      <w:r>
        <w:rPr>
          <w:iCs/>
          <w:spacing w:val="-2"/>
          <w:sz w:val="16"/>
        </w:rPr>
        <w:t xml:space="preserve"> souviselo vyšší loňské inkaso s intenzivním </w:t>
      </w:r>
      <w:r w:rsidRPr="0032109A">
        <w:rPr>
          <w:spacing w:val="-2"/>
          <w:sz w:val="16"/>
        </w:rPr>
        <w:t xml:space="preserve">předzásobením obchodníků na konci roku 2013 z </w:t>
      </w:r>
      <w:r>
        <w:rPr>
          <w:spacing w:val="-2"/>
          <w:sz w:val="16"/>
        </w:rPr>
        <w:t>důvodu následného zvýšení sazeb. K 1.12.2014 došlo k dalšímu navýšení sazeb spotřební daně u tabákových výrobků, doplněné ale navíc i regulací předzásobení. Vyšší základna u DPH souvisela s dočasným zadržením výplaty části nadměrných odpočtů na počátku roku (ve výši 8,4</w:t>
      </w:r>
      <w:r w:rsidRPr="00092208">
        <w:rPr>
          <w:spacing w:val="-2"/>
          <w:sz w:val="16"/>
        </w:rPr>
        <w:t> </w:t>
      </w:r>
      <w:r>
        <w:rPr>
          <w:spacing w:val="-2"/>
          <w:sz w:val="16"/>
        </w:rPr>
        <w:t>mld. korun) u neusazených plátců DPH.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Pr="00173642" w:rsidRDefault="00AB104D" w:rsidP="0017364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Pr="00DC5B3B" w:rsidRDefault="00AB104D" w:rsidP="002C6091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D45F2"/>
    <w:multiLevelType w:val="hybridMultilevel"/>
    <w:tmpl w:val="BFC21FC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73E"/>
    <w:rsid w:val="00017F05"/>
    <w:rsid w:val="000202C6"/>
    <w:rsid w:val="00020946"/>
    <w:rsid w:val="00024887"/>
    <w:rsid w:val="00024CBA"/>
    <w:rsid w:val="00025501"/>
    <w:rsid w:val="00026998"/>
    <w:rsid w:val="0003066A"/>
    <w:rsid w:val="00032838"/>
    <w:rsid w:val="00032C12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0D51"/>
    <w:rsid w:val="000D14B3"/>
    <w:rsid w:val="000D208B"/>
    <w:rsid w:val="000D2B8D"/>
    <w:rsid w:val="000D2E41"/>
    <w:rsid w:val="000D5E7A"/>
    <w:rsid w:val="000D5FAA"/>
    <w:rsid w:val="000D65A4"/>
    <w:rsid w:val="000D6AEF"/>
    <w:rsid w:val="000E025B"/>
    <w:rsid w:val="000E153A"/>
    <w:rsid w:val="000E19A8"/>
    <w:rsid w:val="000E4A42"/>
    <w:rsid w:val="000E78D2"/>
    <w:rsid w:val="000F3332"/>
    <w:rsid w:val="000F33EE"/>
    <w:rsid w:val="000F401E"/>
    <w:rsid w:val="000F5445"/>
    <w:rsid w:val="000F67B2"/>
    <w:rsid w:val="000F790F"/>
    <w:rsid w:val="000F7E1B"/>
    <w:rsid w:val="00100014"/>
    <w:rsid w:val="0010039A"/>
    <w:rsid w:val="00102F02"/>
    <w:rsid w:val="001041B6"/>
    <w:rsid w:val="001070EA"/>
    <w:rsid w:val="0011002A"/>
    <w:rsid w:val="0011110A"/>
    <w:rsid w:val="001118AF"/>
    <w:rsid w:val="0011256E"/>
    <w:rsid w:val="00116DB9"/>
    <w:rsid w:val="00116F28"/>
    <w:rsid w:val="00121C39"/>
    <w:rsid w:val="00123255"/>
    <w:rsid w:val="00124D2D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2046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050"/>
    <w:rsid w:val="001764D8"/>
    <w:rsid w:val="00176A8F"/>
    <w:rsid w:val="00180D58"/>
    <w:rsid w:val="00182981"/>
    <w:rsid w:val="00184CF9"/>
    <w:rsid w:val="00185010"/>
    <w:rsid w:val="001874CF"/>
    <w:rsid w:val="00190D9B"/>
    <w:rsid w:val="00191BAE"/>
    <w:rsid w:val="00195444"/>
    <w:rsid w:val="001A2BDB"/>
    <w:rsid w:val="001A552F"/>
    <w:rsid w:val="001A56F3"/>
    <w:rsid w:val="001A750C"/>
    <w:rsid w:val="001B1D89"/>
    <w:rsid w:val="001B3110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C65"/>
    <w:rsid w:val="001E23E3"/>
    <w:rsid w:val="001E387A"/>
    <w:rsid w:val="001E3DA4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048E1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3229C"/>
    <w:rsid w:val="00234280"/>
    <w:rsid w:val="0023500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1D59"/>
    <w:rsid w:val="00252602"/>
    <w:rsid w:val="00252FDC"/>
    <w:rsid w:val="00261E5B"/>
    <w:rsid w:val="00263470"/>
    <w:rsid w:val="00263733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354"/>
    <w:rsid w:val="002A35EA"/>
    <w:rsid w:val="002A3BD5"/>
    <w:rsid w:val="002A43A2"/>
    <w:rsid w:val="002A4612"/>
    <w:rsid w:val="002A5263"/>
    <w:rsid w:val="002A6821"/>
    <w:rsid w:val="002A74D2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2CE4"/>
    <w:rsid w:val="002F33FB"/>
    <w:rsid w:val="002F7594"/>
    <w:rsid w:val="00301357"/>
    <w:rsid w:val="00301D04"/>
    <w:rsid w:val="00304771"/>
    <w:rsid w:val="00305736"/>
    <w:rsid w:val="00306C5B"/>
    <w:rsid w:val="00306E3B"/>
    <w:rsid w:val="00312C3D"/>
    <w:rsid w:val="00314331"/>
    <w:rsid w:val="00320214"/>
    <w:rsid w:val="003209D6"/>
    <w:rsid w:val="0032109A"/>
    <w:rsid w:val="0032214F"/>
    <w:rsid w:val="00322164"/>
    <w:rsid w:val="0032513D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4F1E"/>
    <w:rsid w:val="00376DEC"/>
    <w:rsid w:val="00380E04"/>
    <w:rsid w:val="00382412"/>
    <w:rsid w:val="00383227"/>
    <w:rsid w:val="00384D8F"/>
    <w:rsid w:val="00385D98"/>
    <w:rsid w:val="00385EC5"/>
    <w:rsid w:val="0039066E"/>
    <w:rsid w:val="00391C95"/>
    <w:rsid w:val="00396DAC"/>
    <w:rsid w:val="003A0214"/>
    <w:rsid w:val="003A1D74"/>
    <w:rsid w:val="003A2B4D"/>
    <w:rsid w:val="003A2D2B"/>
    <w:rsid w:val="003A2DD4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C601E"/>
    <w:rsid w:val="003D3600"/>
    <w:rsid w:val="003D3825"/>
    <w:rsid w:val="003D4760"/>
    <w:rsid w:val="003D49DC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681B"/>
    <w:rsid w:val="0043068A"/>
    <w:rsid w:val="004306E0"/>
    <w:rsid w:val="004329BE"/>
    <w:rsid w:val="00432C38"/>
    <w:rsid w:val="00437C76"/>
    <w:rsid w:val="004441A0"/>
    <w:rsid w:val="00444268"/>
    <w:rsid w:val="004443BF"/>
    <w:rsid w:val="00444C19"/>
    <w:rsid w:val="00446892"/>
    <w:rsid w:val="00450C30"/>
    <w:rsid w:val="00455ECA"/>
    <w:rsid w:val="00460164"/>
    <w:rsid w:val="0046039A"/>
    <w:rsid w:val="00460A6B"/>
    <w:rsid w:val="00461977"/>
    <w:rsid w:val="004629FD"/>
    <w:rsid w:val="00463F4D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D29"/>
    <w:rsid w:val="00477241"/>
    <w:rsid w:val="00477EAF"/>
    <w:rsid w:val="00477EE0"/>
    <w:rsid w:val="0048139F"/>
    <w:rsid w:val="00483053"/>
    <w:rsid w:val="004879E9"/>
    <w:rsid w:val="00491218"/>
    <w:rsid w:val="00493362"/>
    <w:rsid w:val="00496C2F"/>
    <w:rsid w:val="0049740D"/>
    <w:rsid w:val="004A11F8"/>
    <w:rsid w:val="004A22FA"/>
    <w:rsid w:val="004A269A"/>
    <w:rsid w:val="004A30FB"/>
    <w:rsid w:val="004A35DD"/>
    <w:rsid w:val="004A37D3"/>
    <w:rsid w:val="004A5865"/>
    <w:rsid w:val="004A77DF"/>
    <w:rsid w:val="004B0295"/>
    <w:rsid w:val="004B22DA"/>
    <w:rsid w:val="004B3CB7"/>
    <w:rsid w:val="004B3D55"/>
    <w:rsid w:val="004B55B7"/>
    <w:rsid w:val="004C00A6"/>
    <w:rsid w:val="004C0BBB"/>
    <w:rsid w:val="004C3382"/>
    <w:rsid w:val="004C3867"/>
    <w:rsid w:val="004C4CD0"/>
    <w:rsid w:val="004C57B5"/>
    <w:rsid w:val="004C5C25"/>
    <w:rsid w:val="004C6CFF"/>
    <w:rsid w:val="004C70DC"/>
    <w:rsid w:val="004C7268"/>
    <w:rsid w:val="004D0211"/>
    <w:rsid w:val="004D1C9C"/>
    <w:rsid w:val="004D504B"/>
    <w:rsid w:val="004D536E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10189"/>
    <w:rsid w:val="005108C0"/>
    <w:rsid w:val="00511873"/>
    <w:rsid w:val="00513B7E"/>
    <w:rsid w:val="00514474"/>
    <w:rsid w:val="005215EF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3F9F"/>
    <w:rsid w:val="005C6400"/>
    <w:rsid w:val="005C7F1E"/>
    <w:rsid w:val="005D374F"/>
    <w:rsid w:val="005D5802"/>
    <w:rsid w:val="005D6CFC"/>
    <w:rsid w:val="005D73E2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119"/>
    <w:rsid w:val="0060107A"/>
    <w:rsid w:val="00601AFF"/>
    <w:rsid w:val="00602D1D"/>
    <w:rsid w:val="00604307"/>
    <w:rsid w:val="0060487F"/>
    <w:rsid w:val="00605814"/>
    <w:rsid w:val="00606B93"/>
    <w:rsid w:val="006118AA"/>
    <w:rsid w:val="006153E3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C90"/>
    <w:rsid w:val="00635E79"/>
    <w:rsid w:val="006404A7"/>
    <w:rsid w:val="006407F3"/>
    <w:rsid w:val="00644DFC"/>
    <w:rsid w:val="006451E4"/>
    <w:rsid w:val="006460B8"/>
    <w:rsid w:val="006520C7"/>
    <w:rsid w:val="006530B8"/>
    <w:rsid w:val="006535D6"/>
    <w:rsid w:val="006572ED"/>
    <w:rsid w:val="00657E87"/>
    <w:rsid w:val="00660457"/>
    <w:rsid w:val="00660E1E"/>
    <w:rsid w:val="006637B1"/>
    <w:rsid w:val="00665D67"/>
    <w:rsid w:val="00665D77"/>
    <w:rsid w:val="006660CD"/>
    <w:rsid w:val="00666F4B"/>
    <w:rsid w:val="006676D0"/>
    <w:rsid w:val="00670FAC"/>
    <w:rsid w:val="006710C9"/>
    <w:rsid w:val="00675E37"/>
    <w:rsid w:val="00676F11"/>
    <w:rsid w:val="00680079"/>
    <w:rsid w:val="0068260E"/>
    <w:rsid w:val="0068373D"/>
    <w:rsid w:val="00683BFE"/>
    <w:rsid w:val="006857DF"/>
    <w:rsid w:val="00685E66"/>
    <w:rsid w:val="00686B72"/>
    <w:rsid w:val="00690A09"/>
    <w:rsid w:val="00693FEA"/>
    <w:rsid w:val="00695170"/>
    <w:rsid w:val="00695BEF"/>
    <w:rsid w:val="006960D6"/>
    <w:rsid w:val="00696AA5"/>
    <w:rsid w:val="006977F6"/>
    <w:rsid w:val="00697A13"/>
    <w:rsid w:val="006A109C"/>
    <w:rsid w:val="006A672B"/>
    <w:rsid w:val="006B3F8A"/>
    <w:rsid w:val="006B5CA3"/>
    <w:rsid w:val="006B7714"/>
    <w:rsid w:val="006B78D8"/>
    <w:rsid w:val="006C090F"/>
    <w:rsid w:val="006C113F"/>
    <w:rsid w:val="006C38DD"/>
    <w:rsid w:val="006C5577"/>
    <w:rsid w:val="006C559A"/>
    <w:rsid w:val="006C58FA"/>
    <w:rsid w:val="006D042D"/>
    <w:rsid w:val="006D06EF"/>
    <w:rsid w:val="006D142E"/>
    <w:rsid w:val="006D4E6F"/>
    <w:rsid w:val="006D61F6"/>
    <w:rsid w:val="006E1F4C"/>
    <w:rsid w:val="006E279A"/>
    <w:rsid w:val="006E2F3F"/>
    <w:rsid w:val="006E313B"/>
    <w:rsid w:val="006E442A"/>
    <w:rsid w:val="006E5CFD"/>
    <w:rsid w:val="006F1326"/>
    <w:rsid w:val="006F2BEE"/>
    <w:rsid w:val="006F3708"/>
    <w:rsid w:val="006F3E6B"/>
    <w:rsid w:val="006F4A59"/>
    <w:rsid w:val="007014C7"/>
    <w:rsid w:val="00702D6F"/>
    <w:rsid w:val="007047D5"/>
    <w:rsid w:val="00705D98"/>
    <w:rsid w:val="00707891"/>
    <w:rsid w:val="00711EF1"/>
    <w:rsid w:val="0071229A"/>
    <w:rsid w:val="00712572"/>
    <w:rsid w:val="00713495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4253"/>
    <w:rsid w:val="007558D3"/>
    <w:rsid w:val="00755D3A"/>
    <w:rsid w:val="00760141"/>
    <w:rsid w:val="007609C6"/>
    <w:rsid w:val="007610A0"/>
    <w:rsid w:val="007620F2"/>
    <w:rsid w:val="00762EBA"/>
    <w:rsid w:val="0076359D"/>
    <w:rsid w:val="00772536"/>
    <w:rsid w:val="00773613"/>
    <w:rsid w:val="00774782"/>
    <w:rsid w:val="00776527"/>
    <w:rsid w:val="0078113E"/>
    <w:rsid w:val="00781834"/>
    <w:rsid w:val="007821DB"/>
    <w:rsid w:val="00782818"/>
    <w:rsid w:val="00784C4A"/>
    <w:rsid w:val="00787432"/>
    <w:rsid w:val="00787507"/>
    <w:rsid w:val="007879F2"/>
    <w:rsid w:val="00791CF8"/>
    <w:rsid w:val="00793387"/>
    <w:rsid w:val="00793BAE"/>
    <w:rsid w:val="00794E0A"/>
    <w:rsid w:val="00796642"/>
    <w:rsid w:val="007A11D9"/>
    <w:rsid w:val="007A327B"/>
    <w:rsid w:val="007A4606"/>
    <w:rsid w:val="007B3DCC"/>
    <w:rsid w:val="007B4518"/>
    <w:rsid w:val="007B5031"/>
    <w:rsid w:val="007B573F"/>
    <w:rsid w:val="007D2A5A"/>
    <w:rsid w:val="007D2AD8"/>
    <w:rsid w:val="007D2C47"/>
    <w:rsid w:val="007D3167"/>
    <w:rsid w:val="007D4281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7181"/>
    <w:rsid w:val="00827746"/>
    <w:rsid w:val="0083143E"/>
    <w:rsid w:val="0083159D"/>
    <w:rsid w:val="008336D8"/>
    <w:rsid w:val="008339C4"/>
    <w:rsid w:val="00834F0A"/>
    <w:rsid w:val="00834FAA"/>
    <w:rsid w:val="00836086"/>
    <w:rsid w:val="00841D9F"/>
    <w:rsid w:val="00842604"/>
    <w:rsid w:val="00843ECF"/>
    <w:rsid w:val="00846673"/>
    <w:rsid w:val="0085281A"/>
    <w:rsid w:val="008559FE"/>
    <w:rsid w:val="00857339"/>
    <w:rsid w:val="00862A7A"/>
    <w:rsid w:val="00863D9E"/>
    <w:rsid w:val="00867E29"/>
    <w:rsid w:val="00870F2B"/>
    <w:rsid w:val="008746E6"/>
    <w:rsid w:val="00876086"/>
    <w:rsid w:val="008768D6"/>
    <w:rsid w:val="008775D1"/>
    <w:rsid w:val="008777BB"/>
    <w:rsid w:val="00877E5D"/>
    <w:rsid w:val="0088733A"/>
    <w:rsid w:val="00891BE0"/>
    <w:rsid w:val="00893302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63FD"/>
    <w:rsid w:val="008C6CB8"/>
    <w:rsid w:val="008C7815"/>
    <w:rsid w:val="008C7A07"/>
    <w:rsid w:val="008D0171"/>
    <w:rsid w:val="008D2A16"/>
    <w:rsid w:val="008D2ECF"/>
    <w:rsid w:val="008D3F3D"/>
    <w:rsid w:val="008E31FF"/>
    <w:rsid w:val="008E5DE6"/>
    <w:rsid w:val="008E6113"/>
    <w:rsid w:val="008E6AB3"/>
    <w:rsid w:val="008E6AD3"/>
    <w:rsid w:val="008E71A6"/>
    <w:rsid w:val="008E77B6"/>
    <w:rsid w:val="008F032E"/>
    <w:rsid w:val="008F0F14"/>
    <w:rsid w:val="008F4FCE"/>
    <w:rsid w:val="008F5301"/>
    <w:rsid w:val="008F7D28"/>
    <w:rsid w:val="009003A8"/>
    <w:rsid w:val="00902CBE"/>
    <w:rsid w:val="00902D74"/>
    <w:rsid w:val="00902EFF"/>
    <w:rsid w:val="00903E06"/>
    <w:rsid w:val="009066E1"/>
    <w:rsid w:val="00907A41"/>
    <w:rsid w:val="009102BD"/>
    <w:rsid w:val="00910F93"/>
    <w:rsid w:val="00914426"/>
    <w:rsid w:val="0091675F"/>
    <w:rsid w:val="00917709"/>
    <w:rsid w:val="00917918"/>
    <w:rsid w:val="00921F14"/>
    <w:rsid w:val="009243A5"/>
    <w:rsid w:val="00926283"/>
    <w:rsid w:val="00937B11"/>
    <w:rsid w:val="00940F1F"/>
    <w:rsid w:val="00941250"/>
    <w:rsid w:val="0094427A"/>
    <w:rsid w:val="009459C5"/>
    <w:rsid w:val="0095013A"/>
    <w:rsid w:val="00953AEF"/>
    <w:rsid w:val="009551E2"/>
    <w:rsid w:val="00955783"/>
    <w:rsid w:val="00955E5F"/>
    <w:rsid w:val="009560B0"/>
    <w:rsid w:val="00957871"/>
    <w:rsid w:val="00964498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9DF"/>
    <w:rsid w:val="00980621"/>
    <w:rsid w:val="00982072"/>
    <w:rsid w:val="00983ECF"/>
    <w:rsid w:val="00986745"/>
    <w:rsid w:val="00987109"/>
    <w:rsid w:val="0099012D"/>
    <w:rsid w:val="009954FF"/>
    <w:rsid w:val="00996355"/>
    <w:rsid w:val="009A2014"/>
    <w:rsid w:val="009A4E12"/>
    <w:rsid w:val="009A5C68"/>
    <w:rsid w:val="009B04D0"/>
    <w:rsid w:val="009B052C"/>
    <w:rsid w:val="009B0EF2"/>
    <w:rsid w:val="009B23A3"/>
    <w:rsid w:val="009B4B4B"/>
    <w:rsid w:val="009B6FD3"/>
    <w:rsid w:val="009B70BD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420C"/>
    <w:rsid w:val="00A14821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22E17"/>
    <w:rsid w:val="00B27293"/>
    <w:rsid w:val="00B3229E"/>
    <w:rsid w:val="00B32DDB"/>
    <w:rsid w:val="00B35BEA"/>
    <w:rsid w:val="00B3793D"/>
    <w:rsid w:val="00B41BE6"/>
    <w:rsid w:val="00B457E7"/>
    <w:rsid w:val="00B45D1B"/>
    <w:rsid w:val="00B47430"/>
    <w:rsid w:val="00B52D2D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22D2"/>
    <w:rsid w:val="00B848B8"/>
    <w:rsid w:val="00B84A41"/>
    <w:rsid w:val="00B84D57"/>
    <w:rsid w:val="00B85689"/>
    <w:rsid w:val="00B86748"/>
    <w:rsid w:val="00B91EC9"/>
    <w:rsid w:val="00B924CA"/>
    <w:rsid w:val="00B93384"/>
    <w:rsid w:val="00B94417"/>
    <w:rsid w:val="00B95940"/>
    <w:rsid w:val="00B95EF8"/>
    <w:rsid w:val="00B95F50"/>
    <w:rsid w:val="00B96BD9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C00F20"/>
    <w:rsid w:val="00C034E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D22"/>
    <w:rsid w:val="00C24E77"/>
    <w:rsid w:val="00C2732D"/>
    <w:rsid w:val="00C273C6"/>
    <w:rsid w:val="00C27913"/>
    <w:rsid w:val="00C300C6"/>
    <w:rsid w:val="00C3271C"/>
    <w:rsid w:val="00C34FDE"/>
    <w:rsid w:val="00C35C16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1A1D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CA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2642"/>
    <w:rsid w:val="00CC2E15"/>
    <w:rsid w:val="00CC3908"/>
    <w:rsid w:val="00CC62AD"/>
    <w:rsid w:val="00CC7B80"/>
    <w:rsid w:val="00CD2B3C"/>
    <w:rsid w:val="00CD30F6"/>
    <w:rsid w:val="00CD4B29"/>
    <w:rsid w:val="00CD6EF1"/>
    <w:rsid w:val="00CE17ED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ECF"/>
    <w:rsid w:val="00D142E5"/>
    <w:rsid w:val="00D148CD"/>
    <w:rsid w:val="00D1611E"/>
    <w:rsid w:val="00D16E69"/>
    <w:rsid w:val="00D205A9"/>
    <w:rsid w:val="00D217EE"/>
    <w:rsid w:val="00D26923"/>
    <w:rsid w:val="00D27856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57F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21FD"/>
    <w:rsid w:val="00DF2873"/>
    <w:rsid w:val="00DF5578"/>
    <w:rsid w:val="00DF7FEC"/>
    <w:rsid w:val="00E01C0E"/>
    <w:rsid w:val="00E03B27"/>
    <w:rsid w:val="00E04694"/>
    <w:rsid w:val="00E05B2B"/>
    <w:rsid w:val="00E06A2A"/>
    <w:rsid w:val="00E07F05"/>
    <w:rsid w:val="00E127E1"/>
    <w:rsid w:val="00E144D2"/>
    <w:rsid w:val="00E15346"/>
    <w:rsid w:val="00E15B7D"/>
    <w:rsid w:val="00E215EA"/>
    <w:rsid w:val="00E24619"/>
    <w:rsid w:val="00E25223"/>
    <w:rsid w:val="00E30BEA"/>
    <w:rsid w:val="00E31764"/>
    <w:rsid w:val="00E34E4A"/>
    <w:rsid w:val="00E365B3"/>
    <w:rsid w:val="00E366BB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70510"/>
    <w:rsid w:val="00E71262"/>
    <w:rsid w:val="00E71A58"/>
    <w:rsid w:val="00E7724B"/>
    <w:rsid w:val="00E84F21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FFF"/>
    <w:rsid w:val="00F2441D"/>
    <w:rsid w:val="00F24FAA"/>
    <w:rsid w:val="00F26197"/>
    <w:rsid w:val="00F318FC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54FD3"/>
    <w:rsid w:val="00F63DDE"/>
    <w:rsid w:val="00F63FB7"/>
    <w:rsid w:val="00F64726"/>
    <w:rsid w:val="00F6561A"/>
    <w:rsid w:val="00F727D5"/>
    <w:rsid w:val="00F72F44"/>
    <w:rsid w:val="00F73A0C"/>
    <w:rsid w:val="00F759DC"/>
    <w:rsid w:val="00F771A5"/>
    <w:rsid w:val="00F81C3A"/>
    <w:rsid w:val="00F835FC"/>
    <w:rsid w:val="00F83E21"/>
    <w:rsid w:val="00F84E18"/>
    <w:rsid w:val="00F852E5"/>
    <w:rsid w:val="00F95117"/>
    <w:rsid w:val="00FA05D7"/>
    <w:rsid w:val="00FA1C6C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D1261"/>
    <w:rsid w:val="00FD1627"/>
    <w:rsid w:val="00FD473D"/>
    <w:rsid w:val="00FD61C8"/>
    <w:rsid w:val="00FD63CE"/>
    <w:rsid w:val="00FD7D49"/>
    <w:rsid w:val="00FE1251"/>
    <w:rsid w:val="00FE2F78"/>
    <w:rsid w:val="00FE3510"/>
    <w:rsid w:val="00FE375F"/>
    <w:rsid w:val="00FE4FCB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F308F-F1D9-49D1-B828-E9791811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18</TotalTime>
  <Pages>3</Pages>
  <Words>1284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dubska1552</cp:lastModifiedBy>
  <cp:revision>7</cp:revision>
  <cp:lastPrinted>2015-06-19T06:21:00Z</cp:lastPrinted>
  <dcterms:created xsi:type="dcterms:W3CDTF">2015-06-19T08:08:00Z</dcterms:created>
  <dcterms:modified xsi:type="dcterms:W3CDTF">2015-06-19T08:52:00Z</dcterms:modified>
</cp:coreProperties>
</file>