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A3E" w:rsidRPr="0075057A" w:rsidRDefault="00576A3E" w:rsidP="00D345F9">
      <w:pPr>
        <w:pStyle w:val="Nadpis1"/>
        <w:numPr>
          <w:ilvl w:val="0"/>
          <w:numId w:val="6"/>
        </w:numPr>
        <w:jc w:val="both"/>
      </w:pPr>
      <w:bookmarkStart w:id="0" w:name="_Toc422471571"/>
      <w:r>
        <w:t>Měnové podmínky</w:t>
      </w:r>
      <w:bookmarkEnd w:id="0"/>
    </w:p>
    <w:tbl>
      <w:tblPr>
        <w:tblW w:w="5000" w:type="pct"/>
        <w:tblLayout w:type="fixed"/>
        <w:tblLook w:val="00A0"/>
      </w:tblPr>
      <w:tblGrid>
        <w:gridCol w:w="38"/>
        <w:gridCol w:w="790"/>
        <w:gridCol w:w="276"/>
        <w:gridCol w:w="979"/>
        <w:gridCol w:w="282"/>
        <w:gridCol w:w="2599"/>
        <w:gridCol w:w="788"/>
        <w:gridCol w:w="256"/>
        <w:gridCol w:w="3812"/>
        <w:gridCol w:w="34"/>
      </w:tblGrid>
      <w:tr w:rsidR="00576A3E" w:rsidRPr="007D44C3" w:rsidTr="00235000">
        <w:tc>
          <w:tcPr>
            <w:tcW w:w="1057" w:type="pct"/>
            <w:gridSpan w:val="4"/>
          </w:tcPr>
          <w:p w:rsidR="00576A3E" w:rsidRPr="00160CF3" w:rsidRDefault="00576A3E" w:rsidP="00D136D4">
            <w:pPr>
              <w:spacing w:line="240" w:lineRule="auto"/>
              <w:rPr>
                <w:sz w:val="16"/>
                <w:szCs w:val="16"/>
              </w:rPr>
            </w:pPr>
            <w:r w:rsidRPr="00160CF3">
              <w:rPr>
                <w:color w:val="000000"/>
                <w:spacing w:val="-2"/>
                <w:sz w:val="16"/>
                <w:szCs w:val="16"/>
              </w:rPr>
              <w:t>Pozitivní vliv na růst české ekonomiky měl</w:t>
            </w:r>
            <w:r>
              <w:rPr>
                <w:color w:val="000000"/>
                <w:spacing w:val="-2"/>
                <w:sz w:val="16"/>
                <w:szCs w:val="16"/>
              </w:rPr>
              <w:t>a</w:t>
            </w:r>
            <w:r w:rsidRPr="00160CF3">
              <w:rPr>
                <w:color w:val="000000"/>
                <w:spacing w:val="-2"/>
                <w:sz w:val="16"/>
                <w:szCs w:val="16"/>
              </w:rPr>
              <w:t xml:space="preserve"> </w:t>
            </w:r>
            <w:r>
              <w:rPr>
                <w:color w:val="000000"/>
                <w:spacing w:val="-2"/>
                <w:sz w:val="16"/>
                <w:szCs w:val="16"/>
              </w:rPr>
              <w:t xml:space="preserve">z pohledu měnových podmínek stále </w:t>
            </w:r>
            <w:r w:rsidRPr="00160CF3">
              <w:rPr>
                <w:color w:val="000000"/>
                <w:spacing w:val="-2"/>
                <w:sz w:val="16"/>
                <w:szCs w:val="16"/>
              </w:rPr>
              <w:t xml:space="preserve">úroveň směnného kurzu koruny ovlivněného měnovou intervencí ČNB </w:t>
            </w:r>
            <w:r>
              <w:rPr>
                <w:color w:val="000000"/>
                <w:spacing w:val="-2"/>
                <w:sz w:val="16"/>
                <w:szCs w:val="16"/>
              </w:rPr>
              <w:t xml:space="preserve">a zčásti i přetrvávající </w:t>
            </w:r>
            <w:r w:rsidRPr="00160CF3">
              <w:rPr>
                <w:color w:val="000000"/>
                <w:spacing w:val="-2"/>
                <w:sz w:val="16"/>
                <w:szCs w:val="16"/>
              </w:rPr>
              <w:t xml:space="preserve">velmi nízké </w:t>
            </w:r>
            <w:r>
              <w:rPr>
                <w:color w:val="000000"/>
                <w:spacing w:val="-2"/>
                <w:sz w:val="16"/>
                <w:szCs w:val="16"/>
              </w:rPr>
              <w:t xml:space="preserve">základní </w:t>
            </w:r>
            <w:r w:rsidRPr="00160CF3">
              <w:rPr>
                <w:color w:val="000000"/>
                <w:spacing w:val="-2"/>
                <w:sz w:val="16"/>
                <w:szCs w:val="16"/>
              </w:rPr>
              <w:t xml:space="preserve">úrokové sazby  </w:t>
            </w:r>
          </w:p>
        </w:tc>
        <w:tc>
          <w:tcPr>
            <w:tcW w:w="143" w:type="pct"/>
          </w:tcPr>
          <w:p w:rsidR="00576A3E" w:rsidRDefault="00576A3E" w:rsidP="008B1A8A">
            <w:pPr>
              <w:pStyle w:val="Textpoznpodarou"/>
              <w:jc w:val="both"/>
            </w:pPr>
          </w:p>
        </w:tc>
        <w:tc>
          <w:tcPr>
            <w:tcW w:w="3800" w:type="pct"/>
            <w:gridSpan w:val="5"/>
          </w:tcPr>
          <w:p w:rsidR="00576A3E" w:rsidRDefault="00576A3E" w:rsidP="00C53D82">
            <w:pPr>
              <w:pStyle w:val="Textpoznpodarou"/>
              <w:jc w:val="both"/>
              <w:rPr>
                <w:color w:val="000000"/>
              </w:rPr>
            </w:pPr>
            <w:r>
              <w:rPr>
                <w:color w:val="000000"/>
              </w:rPr>
              <w:t xml:space="preserve">Zásoba peněz v české ekonomice se podle agregátu M2 v 1. čtvrtletí </w:t>
            </w:r>
            <w:r w:rsidR="00772536">
              <w:rPr>
                <w:color w:val="000000"/>
              </w:rPr>
              <w:t>2015 zvětšila meziročně o 4,6 %</w:t>
            </w:r>
            <w:r>
              <w:rPr>
                <w:color w:val="000000"/>
              </w:rPr>
              <w:t xml:space="preserve"> a dosáhla téměř 3,5 bil. korun (3 422,8 miliard). Proti stejnému čtvrtletí roku 2014, kdy peněžní zásoba stoupla meziročně o 5,1 %</w:t>
            </w:r>
            <w:r w:rsidR="00772536">
              <w:rPr>
                <w:color w:val="000000"/>
              </w:rPr>
              <w:t>,</w:t>
            </w:r>
            <w:r>
              <w:rPr>
                <w:color w:val="000000"/>
              </w:rPr>
              <w:t xml:space="preserve"> sice její tempo poněkud zpomalilo, proti závěru roku (+4,6 %) ale zůstalo stejné. </w:t>
            </w:r>
          </w:p>
          <w:p w:rsidR="00576A3E" w:rsidRPr="00C83F9C" w:rsidRDefault="00576A3E" w:rsidP="00C53D82">
            <w:pPr>
              <w:pStyle w:val="Textpoznpodarou"/>
              <w:jc w:val="both"/>
              <w:rPr>
                <w:color w:val="000000"/>
                <w:sz w:val="12"/>
                <w:szCs w:val="12"/>
              </w:rPr>
            </w:pPr>
          </w:p>
          <w:p w:rsidR="00576A3E" w:rsidRPr="00C53D82" w:rsidRDefault="00576A3E" w:rsidP="00C53D82">
            <w:pPr>
              <w:pStyle w:val="Textpoznpodarou"/>
              <w:jc w:val="both"/>
              <w:rPr>
                <w:color w:val="000000"/>
              </w:rPr>
            </w:pPr>
            <w:r>
              <w:rPr>
                <w:color w:val="000000"/>
              </w:rPr>
              <w:t>Velmi nízká úroveň základních úrokových sazeb v ekonomice zůstává obecně stimulem pro hospodářskou expanzi, i když dosavadní nárůst firemních úvěrů tomuto významnému podnětu stále příliš neodpovídá. Tempo nominálního HDP (+5,4 % meziročně za 1.</w:t>
            </w:r>
            <w:r w:rsidR="00772536">
              <w:rPr>
                <w:color w:val="000000"/>
              </w:rPr>
              <w:t xml:space="preserve"> </w:t>
            </w:r>
            <w:r>
              <w:rPr>
                <w:color w:val="000000"/>
              </w:rPr>
              <w:t xml:space="preserve">čtvrtletí 2015) však přírůstek měnové zásoby překonalo. Zrychlila tak peněžní obrátka. </w:t>
            </w:r>
          </w:p>
          <w:p w:rsidR="00576A3E" w:rsidRPr="00C75C7E" w:rsidRDefault="00576A3E" w:rsidP="008B1A8A">
            <w:pPr>
              <w:rPr>
                <w:sz w:val="12"/>
                <w:szCs w:val="12"/>
              </w:rPr>
            </w:pPr>
          </w:p>
        </w:tc>
      </w:tr>
      <w:tr w:rsidR="00576A3E" w:rsidRPr="007D44C3" w:rsidTr="00235000">
        <w:tc>
          <w:tcPr>
            <w:tcW w:w="1057" w:type="pct"/>
            <w:gridSpan w:val="4"/>
          </w:tcPr>
          <w:p w:rsidR="00576A3E" w:rsidRDefault="00576A3E" w:rsidP="00772536">
            <w:pPr>
              <w:spacing w:line="240" w:lineRule="auto"/>
              <w:rPr>
                <w:sz w:val="16"/>
                <w:szCs w:val="16"/>
              </w:rPr>
            </w:pPr>
            <w:r>
              <w:rPr>
                <w:sz w:val="16"/>
                <w:szCs w:val="16"/>
              </w:rPr>
              <w:t>Dále se rozevřely nůžky mezi objemem netermínovaných vkladů domácností a firem a vkladů termínovaných</w:t>
            </w:r>
          </w:p>
        </w:tc>
        <w:tc>
          <w:tcPr>
            <w:tcW w:w="143" w:type="pct"/>
          </w:tcPr>
          <w:p w:rsidR="00576A3E" w:rsidRDefault="00576A3E" w:rsidP="008B1A8A">
            <w:pPr>
              <w:pStyle w:val="Textpoznpodarou"/>
              <w:jc w:val="both"/>
            </w:pPr>
          </w:p>
        </w:tc>
        <w:tc>
          <w:tcPr>
            <w:tcW w:w="3800" w:type="pct"/>
            <w:gridSpan w:val="5"/>
          </w:tcPr>
          <w:p w:rsidR="00576A3E" w:rsidRPr="005E61DF" w:rsidRDefault="00576A3E" w:rsidP="00C53D82">
            <w:pPr>
              <w:pStyle w:val="Textpoznpodarou"/>
              <w:jc w:val="both"/>
              <w:rPr>
                <w:color w:val="000000"/>
              </w:rPr>
            </w:pPr>
            <w:r>
              <w:t>Růst peněžní zásoby táhla dynamika domácích úvěrů, především však úvěrů vládním institucím spíše než úvěrů domácnostem a firmám. Na straně pasiv rostly především netermínované vklady, dvojciferným tempem jak u domácností</w:t>
            </w:r>
            <w:r w:rsidR="00772536">
              <w:t>,</w:t>
            </w:r>
            <w:r>
              <w:t xml:space="preserve"> tak u firem. Naopak zůstatky termínovaných depozit i vkladů s výpovědní lhůtou domácností i firem meziročně opět významně poklesly.     </w:t>
            </w:r>
          </w:p>
          <w:p w:rsidR="00576A3E" w:rsidRPr="0032214F" w:rsidRDefault="00576A3E" w:rsidP="00FB483B">
            <w:pPr>
              <w:pStyle w:val="Textpoznpodarou"/>
              <w:jc w:val="both"/>
              <w:rPr>
                <w:sz w:val="12"/>
                <w:szCs w:val="12"/>
              </w:rPr>
            </w:pPr>
          </w:p>
        </w:tc>
      </w:tr>
      <w:tr w:rsidR="00576A3E" w:rsidRPr="007D44C3" w:rsidTr="00235000">
        <w:tc>
          <w:tcPr>
            <w:tcW w:w="1057" w:type="pct"/>
            <w:gridSpan w:val="4"/>
          </w:tcPr>
          <w:p w:rsidR="00576A3E" w:rsidRDefault="00576A3E" w:rsidP="00D136D4">
            <w:pPr>
              <w:spacing w:line="240" w:lineRule="auto"/>
              <w:rPr>
                <w:color w:val="000000"/>
                <w:sz w:val="16"/>
                <w:szCs w:val="16"/>
              </w:rPr>
            </w:pPr>
            <w:r>
              <w:rPr>
                <w:color w:val="000000"/>
                <w:sz w:val="16"/>
                <w:szCs w:val="16"/>
              </w:rPr>
              <w:t>Dluh vládě významně narostl</w:t>
            </w:r>
            <w:r w:rsidR="00772536">
              <w:rPr>
                <w:color w:val="000000"/>
                <w:sz w:val="16"/>
                <w:szCs w:val="16"/>
              </w:rPr>
              <w:t>,</w:t>
            </w:r>
            <w:r>
              <w:rPr>
                <w:color w:val="000000"/>
                <w:sz w:val="16"/>
                <w:szCs w:val="16"/>
              </w:rPr>
              <w:t>…</w:t>
            </w:r>
          </w:p>
        </w:tc>
        <w:tc>
          <w:tcPr>
            <w:tcW w:w="143" w:type="pct"/>
          </w:tcPr>
          <w:p w:rsidR="00576A3E" w:rsidRDefault="00576A3E" w:rsidP="008B1A8A">
            <w:pPr>
              <w:pStyle w:val="Textpoznpodarou"/>
              <w:jc w:val="both"/>
            </w:pPr>
          </w:p>
        </w:tc>
        <w:tc>
          <w:tcPr>
            <w:tcW w:w="3800" w:type="pct"/>
            <w:gridSpan w:val="5"/>
          </w:tcPr>
          <w:p w:rsidR="00576A3E" w:rsidRDefault="00576A3E" w:rsidP="00C53D82">
            <w:pPr>
              <w:pStyle w:val="Textpoznpodarou"/>
              <w:jc w:val="both"/>
              <w:rPr>
                <w:color w:val="000000"/>
                <w:spacing w:val="-4"/>
              </w:rPr>
            </w:pPr>
            <w:r w:rsidRPr="008E5DE6">
              <w:t xml:space="preserve">Pro 1. čtvrtletí 2015 je </w:t>
            </w:r>
            <w:r>
              <w:t>ch</w:t>
            </w:r>
            <w:r w:rsidR="00772536">
              <w:t>arakteristický</w:t>
            </w:r>
            <w:r w:rsidRPr="008E5DE6">
              <w:t xml:space="preserve"> výrazný přírůstek čistého </w:t>
            </w:r>
            <w:r>
              <w:t>úvěru</w:t>
            </w:r>
            <w:r w:rsidRPr="008E5DE6">
              <w:t xml:space="preserve"> v</w:t>
            </w:r>
            <w:r>
              <w:t>l</w:t>
            </w:r>
            <w:r w:rsidRPr="008E5DE6">
              <w:t>ádní</w:t>
            </w:r>
            <w:r>
              <w:t>mu</w:t>
            </w:r>
            <w:r w:rsidRPr="008E5DE6">
              <w:t xml:space="preserve"> sektoru</w:t>
            </w:r>
            <w:r>
              <w:t xml:space="preserve"> (vč. cenných papírů)</w:t>
            </w:r>
            <w:r w:rsidRPr="008E5DE6">
              <w:t>, v temp</w:t>
            </w:r>
            <w:r>
              <w:t>u</w:t>
            </w:r>
            <w:r w:rsidRPr="008E5DE6">
              <w:t xml:space="preserve"> patrn</w:t>
            </w:r>
            <w:r>
              <w:t>ém</w:t>
            </w:r>
            <w:r w:rsidRPr="008E5DE6">
              <w:t xml:space="preserve"> nap</w:t>
            </w:r>
            <w:r>
              <w:t>o</w:t>
            </w:r>
            <w:r w:rsidRPr="008E5DE6">
              <w:t xml:space="preserve">sledy v roce 2011. Čistý </w:t>
            </w:r>
            <w:r>
              <w:t>úvěr</w:t>
            </w:r>
            <w:r w:rsidRPr="008E5DE6">
              <w:t xml:space="preserve"> centrální vlád</w:t>
            </w:r>
            <w:r>
              <w:t>ě</w:t>
            </w:r>
            <w:r w:rsidRPr="008E5DE6">
              <w:t xml:space="preserve"> se zvýšil mezi</w:t>
            </w:r>
            <w:r>
              <w:t>r</w:t>
            </w:r>
            <w:r w:rsidRPr="008E5DE6">
              <w:t>očn</w:t>
            </w:r>
            <w:r>
              <w:t>ě</w:t>
            </w:r>
            <w:r w:rsidRPr="008E5DE6">
              <w:t xml:space="preserve"> o 46 </w:t>
            </w:r>
            <w:r>
              <w:t>%</w:t>
            </w:r>
            <w:r w:rsidRPr="008E5DE6">
              <w:t xml:space="preserve">, ovšem významnou roli </w:t>
            </w:r>
            <w:r>
              <w:t>lze připsat</w:t>
            </w:r>
            <w:r w:rsidRPr="008E5DE6">
              <w:t xml:space="preserve"> pře</w:t>
            </w:r>
            <w:r>
              <w:t xml:space="preserve">dchozí srovnávací základně (celkový čistý úvěr vládním institucím ČR vč. cenných papírů koncem 1. čtvrtletí 2014 meziročně o více než desetinu klesl a výrazně níž byl i v dubnu a květnu toho roku). </w:t>
            </w:r>
            <w:proofErr w:type="gramStart"/>
            <w:r>
              <w:t>I když</w:t>
            </w:r>
            <w:proofErr w:type="gramEnd"/>
            <w:r>
              <w:t xml:space="preserve"> co do své výše je úvěr vládnímu sektoru jen necelou pětinou úhrnu úvěrů firem a domácností, </w:t>
            </w:r>
            <w:proofErr w:type="gramStart"/>
            <w:r>
              <w:t>přesto</w:t>
            </w:r>
            <w:proofErr w:type="gramEnd"/>
            <w:r>
              <w:t xml:space="preserve"> stačila jeho změna  - narostl meziročně o 173 mld., především vlivem úvěru centrální vládě (+176 mld. korun) - významně ovlivnit dynamiku domácích úvěrů. Ty stouply meziročně o 10,8 %, zatímco ve stejném období 2014 jen o 1,5 %.  </w:t>
            </w:r>
          </w:p>
          <w:p w:rsidR="00576A3E" w:rsidRPr="0032214F" w:rsidRDefault="00576A3E" w:rsidP="00116F28">
            <w:pPr>
              <w:pStyle w:val="Textpoznpodarou"/>
              <w:jc w:val="both"/>
              <w:rPr>
                <w:color w:val="000000"/>
                <w:sz w:val="12"/>
                <w:szCs w:val="12"/>
              </w:rPr>
            </w:pPr>
          </w:p>
        </w:tc>
      </w:tr>
      <w:tr w:rsidR="00576A3E" w:rsidRPr="007D44C3" w:rsidTr="00235000">
        <w:tc>
          <w:tcPr>
            <w:tcW w:w="1057" w:type="pct"/>
            <w:gridSpan w:val="4"/>
          </w:tcPr>
          <w:p w:rsidR="00576A3E" w:rsidRDefault="00576A3E" w:rsidP="00D136D4">
            <w:pPr>
              <w:spacing w:line="240" w:lineRule="auto"/>
              <w:rPr>
                <w:color w:val="000000"/>
                <w:sz w:val="16"/>
                <w:szCs w:val="16"/>
              </w:rPr>
            </w:pPr>
            <w:r>
              <w:rPr>
                <w:color w:val="000000"/>
                <w:sz w:val="16"/>
                <w:szCs w:val="16"/>
              </w:rPr>
              <w:t>… zrychlilo poněkud i tempo úvěrování firem…</w:t>
            </w:r>
          </w:p>
          <w:p w:rsidR="00576A3E" w:rsidRDefault="00576A3E" w:rsidP="00D136D4">
            <w:pPr>
              <w:spacing w:line="240" w:lineRule="auto"/>
              <w:rPr>
                <w:color w:val="000000"/>
                <w:sz w:val="16"/>
                <w:szCs w:val="16"/>
              </w:rPr>
            </w:pPr>
          </w:p>
          <w:p w:rsidR="00576A3E" w:rsidRDefault="00576A3E" w:rsidP="00D136D4">
            <w:pPr>
              <w:spacing w:line="240" w:lineRule="auto"/>
              <w:rPr>
                <w:color w:val="000000"/>
                <w:sz w:val="16"/>
                <w:szCs w:val="16"/>
              </w:rPr>
            </w:pPr>
          </w:p>
          <w:p w:rsidR="00576A3E" w:rsidRDefault="00576A3E" w:rsidP="00D136D4">
            <w:pPr>
              <w:spacing w:line="240" w:lineRule="auto"/>
              <w:rPr>
                <w:color w:val="000000"/>
                <w:sz w:val="16"/>
                <w:szCs w:val="16"/>
              </w:rPr>
            </w:pPr>
          </w:p>
        </w:tc>
        <w:tc>
          <w:tcPr>
            <w:tcW w:w="143" w:type="pct"/>
          </w:tcPr>
          <w:p w:rsidR="00576A3E" w:rsidRDefault="00576A3E" w:rsidP="008B1A8A">
            <w:pPr>
              <w:pStyle w:val="Textpoznpodarou"/>
              <w:jc w:val="both"/>
            </w:pPr>
          </w:p>
        </w:tc>
        <w:tc>
          <w:tcPr>
            <w:tcW w:w="3800" w:type="pct"/>
            <w:gridSpan w:val="5"/>
          </w:tcPr>
          <w:p w:rsidR="00576A3E" w:rsidRDefault="00576A3E" w:rsidP="00C53D82">
            <w:pPr>
              <w:pStyle w:val="Textpoznpodarou"/>
              <w:jc w:val="both"/>
              <w:rPr>
                <w:color w:val="000000"/>
                <w:spacing w:val="-2"/>
              </w:rPr>
            </w:pPr>
            <w:r>
              <w:rPr>
                <w:color w:val="000000"/>
                <w:spacing w:val="-2"/>
              </w:rPr>
              <w:t xml:space="preserve">Ve srovnání s vysokou meziroční dynamikou úvěrů vládnímu sektoru se přírůstek úvěrů firmám jeví nižší (+5,5 % koncem března 2015), ovšem před rokem jejich objem prakticky jen stagnoval (+0,9 %). Je tak možné soudit, že po relativně dlouhé době nízké potřeby firem přijímat nové úvěry už stávající ekonomická expanze tuto potřebu zvýšila. Stále však platí, že velmi vysoké růsty firemních zisků jsou „polštářem“ pro jejich investiční možnosti, který potlačuje úvěrovou expanzi, jež by za jiných okolností byla s tak silným růstem hospodářství české ekonomiky v 1. čtvrtletí 2015 s největší pravděpodobností spojena.  </w:t>
            </w:r>
          </w:p>
          <w:p w:rsidR="00576A3E" w:rsidRPr="0032214F" w:rsidRDefault="00576A3E" w:rsidP="00116F28">
            <w:pPr>
              <w:pStyle w:val="Textpoznpodarou"/>
              <w:jc w:val="both"/>
              <w:rPr>
                <w:color w:val="000000"/>
                <w:sz w:val="12"/>
                <w:szCs w:val="12"/>
              </w:rPr>
            </w:pPr>
          </w:p>
        </w:tc>
      </w:tr>
      <w:tr w:rsidR="00576A3E" w:rsidRPr="00026998" w:rsidTr="00235000">
        <w:tc>
          <w:tcPr>
            <w:tcW w:w="1057" w:type="pct"/>
            <w:gridSpan w:val="4"/>
          </w:tcPr>
          <w:p w:rsidR="00576A3E" w:rsidRDefault="00576A3E" w:rsidP="00D136D4">
            <w:pPr>
              <w:spacing w:line="240" w:lineRule="auto"/>
              <w:rPr>
                <w:color w:val="000000"/>
                <w:sz w:val="16"/>
                <w:szCs w:val="16"/>
              </w:rPr>
            </w:pPr>
            <w:r>
              <w:rPr>
                <w:color w:val="000000"/>
                <w:sz w:val="16"/>
                <w:szCs w:val="16"/>
              </w:rPr>
              <w:t xml:space="preserve">… a dynamika zadlužování domácností byla skromnější ve srovnání s oživováním </w:t>
            </w:r>
            <w:proofErr w:type="spellStart"/>
            <w:r>
              <w:rPr>
                <w:color w:val="000000"/>
                <w:sz w:val="16"/>
                <w:szCs w:val="16"/>
              </w:rPr>
              <w:t>korporátních</w:t>
            </w:r>
            <w:proofErr w:type="spellEnd"/>
            <w:r>
              <w:rPr>
                <w:color w:val="000000"/>
                <w:sz w:val="16"/>
                <w:szCs w:val="16"/>
              </w:rPr>
              <w:t xml:space="preserve"> úvěrů; meziročně dále oslabila, ale půjčky na bydlení rostou, a to i úvěry poskytované domácnostem od stavebních spořitelen </w:t>
            </w:r>
          </w:p>
          <w:p w:rsidR="00576A3E" w:rsidRDefault="00576A3E" w:rsidP="00D136D4">
            <w:pPr>
              <w:spacing w:line="240" w:lineRule="auto"/>
              <w:rPr>
                <w:color w:val="000000"/>
                <w:sz w:val="16"/>
                <w:szCs w:val="16"/>
              </w:rPr>
            </w:pPr>
          </w:p>
        </w:tc>
        <w:tc>
          <w:tcPr>
            <w:tcW w:w="143" w:type="pct"/>
          </w:tcPr>
          <w:p w:rsidR="00576A3E" w:rsidRDefault="00576A3E" w:rsidP="008B1A8A">
            <w:pPr>
              <w:pStyle w:val="Textpoznpodarou"/>
              <w:jc w:val="both"/>
            </w:pPr>
          </w:p>
        </w:tc>
        <w:tc>
          <w:tcPr>
            <w:tcW w:w="3800" w:type="pct"/>
            <w:gridSpan w:val="5"/>
          </w:tcPr>
          <w:p w:rsidR="00576A3E" w:rsidRDefault="00576A3E" w:rsidP="00116F28">
            <w:pPr>
              <w:pStyle w:val="Textpoznpodarou"/>
              <w:jc w:val="both"/>
              <w:rPr>
                <w:color w:val="000000"/>
                <w:spacing w:val="-4"/>
              </w:rPr>
            </w:pPr>
            <w:r>
              <w:rPr>
                <w:color w:val="000000"/>
                <w:spacing w:val="-4"/>
              </w:rPr>
              <w:t xml:space="preserve">Úvěry domácnostem byly v závěru 1. čtvrtletí 2015 meziročně výš jen o 3 %, zatímco ve stejném období 2014 o 4 %. Je však patrné, že od listopadu 2014 (+1,9 %) jejich tempo každý měsíc mírně ožívá (v dubnu 2015 +3,1 %). </w:t>
            </w:r>
          </w:p>
          <w:p w:rsidR="00576A3E" w:rsidRPr="00C83F9C" w:rsidRDefault="00576A3E" w:rsidP="00116F28">
            <w:pPr>
              <w:pStyle w:val="Textpoznpodarou"/>
              <w:jc w:val="both"/>
              <w:rPr>
                <w:color w:val="000000"/>
                <w:spacing w:val="-4"/>
                <w:sz w:val="12"/>
                <w:szCs w:val="12"/>
              </w:rPr>
            </w:pPr>
          </w:p>
          <w:p w:rsidR="00576A3E" w:rsidRDefault="00576A3E" w:rsidP="00116F28">
            <w:pPr>
              <w:pStyle w:val="Textpoznpodarou"/>
              <w:jc w:val="both"/>
              <w:rPr>
                <w:color w:val="000000"/>
                <w:spacing w:val="-4"/>
              </w:rPr>
            </w:pPr>
            <w:r>
              <w:rPr>
                <w:color w:val="000000"/>
                <w:spacing w:val="-4"/>
              </w:rPr>
              <w:t>Z údajů statistiky obchodních bank vyplývá, že růst úvěrů domácnostem ovlivňují především půjčky obyvatelstvu na bydlení – objem hypotečních úvěrů činil na konci 1. čtvrtletí 806,4 mld. korun a proti stejnému období 2014 byl o 6,2 % vyšší. Ožily však po velmi dlouhém čase i úvěry od stavebních spořitelen, a to zejména úvěry překlenovací. Jejich přírůstky byly vidět zhruba od poloviny loňského roku a koncem března 2015 narostly meziročně o 4,1 %. Předtím jejich stavy po celé čtyři roky neustále klesaly. Zlepšení je však patrné i v čerpání řádnýc</w:t>
            </w:r>
            <w:r w:rsidR="00772536">
              <w:rPr>
                <w:color w:val="000000"/>
                <w:spacing w:val="-4"/>
              </w:rPr>
              <w:t>h úvěrů od stavebních spořitelen</w:t>
            </w:r>
            <w:r>
              <w:rPr>
                <w:color w:val="000000"/>
                <w:spacing w:val="-4"/>
              </w:rPr>
              <w:t xml:space="preserve">, ovšem jen ve zmírnění meziročních poklesů (-9,3 % koncem 1. čtvrtletí 2015 po -12,1 % ve stejném období 2014). </w:t>
            </w:r>
          </w:p>
          <w:p w:rsidR="00576A3E" w:rsidRPr="00C83F9C" w:rsidRDefault="00576A3E" w:rsidP="00116F28">
            <w:pPr>
              <w:pStyle w:val="Textpoznpodarou"/>
              <w:jc w:val="both"/>
              <w:rPr>
                <w:color w:val="000000"/>
                <w:spacing w:val="-4"/>
                <w:sz w:val="12"/>
                <w:szCs w:val="12"/>
              </w:rPr>
            </w:pPr>
          </w:p>
          <w:p w:rsidR="00576A3E" w:rsidRPr="007A11D9" w:rsidRDefault="00576A3E" w:rsidP="00116F28">
            <w:pPr>
              <w:pStyle w:val="Textpoznpodarou"/>
              <w:jc w:val="both"/>
              <w:rPr>
                <w:color w:val="000000"/>
                <w:spacing w:val="-4"/>
              </w:rPr>
            </w:pPr>
            <w:r>
              <w:rPr>
                <w:color w:val="000000"/>
                <w:spacing w:val="-4"/>
              </w:rPr>
              <w:t xml:space="preserve">Ukazuje se tak, že úvěry na bydlení začínají zřejmě čerpat i domácnosti s nižší bonitou, jak tomu zpravidla bývá </w:t>
            </w:r>
            <w:r w:rsidR="00772536">
              <w:rPr>
                <w:color w:val="000000"/>
                <w:spacing w:val="-4"/>
              </w:rPr>
              <w:t>u klientů stavebních spořitelem.</w:t>
            </w:r>
          </w:p>
          <w:p w:rsidR="00576A3E" w:rsidRPr="00F318FC" w:rsidRDefault="00576A3E" w:rsidP="007A11D9">
            <w:pPr>
              <w:pStyle w:val="Textpoznpodarou"/>
              <w:jc w:val="both"/>
              <w:rPr>
                <w:color w:val="000000"/>
                <w:sz w:val="16"/>
                <w:szCs w:val="16"/>
              </w:rPr>
            </w:pPr>
          </w:p>
        </w:tc>
      </w:tr>
      <w:tr w:rsidR="00576A3E" w:rsidRPr="007D44C3" w:rsidTr="00235000">
        <w:tc>
          <w:tcPr>
            <w:tcW w:w="1057" w:type="pct"/>
            <w:gridSpan w:val="4"/>
          </w:tcPr>
          <w:p w:rsidR="00576A3E" w:rsidRDefault="00576A3E" w:rsidP="00772536">
            <w:pPr>
              <w:spacing w:line="240" w:lineRule="auto"/>
              <w:rPr>
                <w:color w:val="000000"/>
                <w:sz w:val="16"/>
                <w:szCs w:val="16"/>
              </w:rPr>
            </w:pPr>
            <w:r>
              <w:rPr>
                <w:color w:val="000000"/>
                <w:sz w:val="16"/>
                <w:szCs w:val="16"/>
              </w:rPr>
              <w:t xml:space="preserve">Na spotřebu si lidé prakticky přestali půjčovat, své potřeby zřejmě uspokojují z větší části z předchozích úspor a letošního růstu příjmů </w:t>
            </w:r>
          </w:p>
        </w:tc>
        <w:tc>
          <w:tcPr>
            <w:tcW w:w="143" w:type="pct"/>
          </w:tcPr>
          <w:p w:rsidR="00576A3E" w:rsidRDefault="00576A3E" w:rsidP="008B1A8A">
            <w:pPr>
              <w:pStyle w:val="Textpoznpodarou"/>
              <w:jc w:val="both"/>
            </w:pPr>
          </w:p>
        </w:tc>
        <w:tc>
          <w:tcPr>
            <w:tcW w:w="3800" w:type="pct"/>
            <w:gridSpan w:val="5"/>
          </w:tcPr>
          <w:p w:rsidR="00576A3E" w:rsidRDefault="00576A3E" w:rsidP="00C53D82">
            <w:pPr>
              <w:pStyle w:val="Textpoznpodarou"/>
              <w:jc w:val="both"/>
              <w:rPr>
                <w:color w:val="000000"/>
              </w:rPr>
            </w:pPr>
            <w:r>
              <w:rPr>
                <w:color w:val="000000"/>
              </w:rPr>
              <w:t xml:space="preserve">Opačně se ve srovnání s úvěry domácnostem na bydlení i nadále vyvíjejí úvěry na spotřebu. Pokles jejich stavů u bank, ale i nebankovních zprostředkovatelů, neindikuje ani tak fakt, že by se tento typ úvěrování přesouval do sféry „černých půjček“. Spíše lze soudit, že lidé právě na zboží pořizované z těchto typů půjček (tj. zpravidla krátkodobých, poskytovaných v nižších částkách) využívají peníze naspořené v předchozím období, resp. peníze ze svých narůstajících příjmů plynoucí ze zlepšeného trhu práce a zvyšování mezd. </w:t>
            </w:r>
          </w:p>
          <w:p w:rsidR="00576A3E" w:rsidRPr="00F318FC" w:rsidRDefault="00576A3E" w:rsidP="007A11D9">
            <w:pPr>
              <w:pStyle w:val="Textpoznpodarou"/>
              <w:jc w:val="both"/>
              <w:rPr>
                <w:color w:val="000000"/>
                <w:sz w:val="16"/>
                <w:szCs w:val="16"/>
              </w:rPr>
            </w:pPr>
          </w:p>
        </w:tc>
      </w:tr>
      <w:tr w:rsidR="00576A3E" w:rsidRPr="007D44C3" w:rsidTr="00235000">
        <w:tc>
          <w:tcPr>
            <w:tcW w:w="1057" w:type="pct"/>
            <w:gridSpan w:val="4"/>
          </w:tcPr>
          <w:p w:rsidR="00576A3E" w:rsidRDefault="00576A3E" w:rsidP="00D136D4">
            <w:pPr>
              <w:spacing w:line="240" w:lineRule="auto"/>
              <w:rPr>
                <w:color w:val="000000"/>
                <w:sz w:val="16"/>
                <w:szCs w:val="16"/>
              </w:rPr>
            </w:pPr>
            <w:r>
              <w:rPr>
                <w:color w:val="000000"/>
                <w:sz w:val="16"/>
                <w:szCs w:val="16"/>
              </w:rPr>
              <w:t xml:space="preserve">Méně táhnou kreditní karty, nižší jsou i stavy samotných spotřebitelských úvěrů  </w:t>
            </w:r>
          </w:p>
        </w:tc>
        <w:tc>
          <w:tcPr>
            <w:tcW w:w="143" w:type="pct"/>
          </w:tcPr>
          <w:p w:rsidR="00576A3E" w:rsidRDefault="00576A3E" w:rsidP="008B1A8A">
            <w:pPr>
              <w:pStyle w:val="Textpoznpodarou"/>
              <w:jc w:val="both"/>
            </w:pPr>
          </w:p>
        </w:tc>
        <w:tc>
          <w:tcPr>
            <w:tcW w:w="3800" w:type="pct"/>
            <w:gridSpan w:val="5"/>
          </w:tcPr>
          <w:p w:rsidR="00576A3E" w:rsidRDefault="00576A3E" w:rsidP="00C53D82">
            <w:pPr>
              <w:pStyle w:val="Textpoznpodarou"/>
              <w:jc w:val="both"/>
              <w:rPr>
                <w:color w:val="000000"/>
              </w:rPr>
            </w:pPr>
            <w:r>
              <w:rPr>
                <w:color w:val="000000"/>
              </w:rPr>
              <w:t>Od března 2014 do března 2015 klesaly stavy bankovních úvěrů domácnostem určené na spotřebu každý měsíc</w:t>
            </w:r>
            <w:r w:rsidR="00772536">
              <w:rPr>
                <w:color w:val="000000"/>
              </w:rPr>
              <w:t xml:space="preserve"> meziročně</w:t>
            </w:r>
            <w:r>
              <w:rPr>
                <w:color w:val="000000"/>
              </w:rPr>
              <w:t xml:space="preserve"> v průměru o 0,5 %. V závěru 1. čtvrtletí 2015 byly nižší o 1,2 % a dosahovaly 191,6 mld. korun. Největší měrou redukují výši svých úvěrových zůstatků lidé na kartových účtech (-8,6 % meziročně), a zčásti je nahrazují čerpáním povolených debetů na svých žirových účtech (+5,2 % meziročně). Projevil se tak zřejmě efekt částečné úpravy (snížení) úrokových sazeb některých bank a lidé tak využívají spíše tento typ úvěru než velmi drahé kreditní karty. Největší část úvěrů obyvatelstvu na spotřebu (157,7 mld. korun), tj. více než tři čtvrtiny jejich objemu, tvoří samotné spotřebitelské úvěry, jejichž stavy však rovněž meziročně poklesly (-0,6 %).    </w:t>
            </w:r>
          </w:p>
          <w:p w:rsidR="00576A3E" w:rsidRPr="00F318FC" w:rsidRDefault="00576A3E" w:rsidP="007A11D9">
            <w:pPr>
              <w:pStyle w:val="Textpoznpodarou"/>
              <w:jc w:val="both"/>
              <w:rPr>
                <w:color w:val="000000"/>
                <w:sz w:val="16"/>
                <w:szCs w:val="16"/>
              </w:rPr>
            </w:pPr>
          </w:p>
        </w:tc>
      </w:tr>
      <w:tr w:rsidR="00576A3E" w:rsidRPr="007D44C3" w:rsidTr="00235000">
        <w:tc>
          <w:tcPr>
            <w:tcW w:w="1057" w:type="pct"/>
            <w:gridSpan w:val="4"/>
          </w:tcPr>
          <w:p w:rsidR="00576A3E" w:rsidRDefault="00576A3E" w:rsidP="00D136D4">
            <w:pPr>
              <w:spacing w:line="240" w:lineRule="auto"/>
              <w:rPr>
                <w:color w:val="000000"/>
                <w:sz w:val="16"/>
                <w:szCs w:val="16"/>
              </w:rPr>
            </w:pPr>
            <w:r>
              <w:rPr>
                <w:color w:val="000000"/>
                <w:sz w:val="16"/>
                <w:szCs w:val="16"/>
              </w:rPr>
              <w:t>Klesají i úvěry domácnostem od nebankovních zprostředkovatelů s výjimkou finančního leasingu…,</w:t>
            </w:r>
          </w:p>
        </w:tc>
        <w:tc>
          <w:tcPr>
            <w:tcW w:w="143" w:type="pct"/>
          </w:tcPr>
          <w:p w:rsidR="00576A3E" w:rsidRDefault="00576A3E" w:rsidP="008B1A8A">
            <w:pPr>
              <w:pStyle w:val="Textpoznpodarou"/>
              <w:jc w:val="both"/>
            </w:pPr>
          </w:p>
        </w:tc>
        <w:tc>
          <w:tcPr>
            <w:tcW w:w="3800" w:type="pct"/>
            <w:gridSpan w:val="5"/>
          </w:tcPr>
          <w:p w:rsidR="00576A3E" w:rsidRDefault="00576A3E" w:rsidP="00C53D82">
            <w:pPr>
              <w:pStyle w:val="Textpoznpodarou"/>
              <w:jc w:val="both"/>
              <w:rPr>
                <w:color w:val="000000"/>
              </w:rPr>
            </w:pPr>
            <w:r>
              <w:rPr>
                <w:color w:val="000000"/>
              </w:rPr>
              <w:t>Alternativu ke spotřebním úvě</w:t>
            </w:r>
            <w:r w:rsidR="00772536">
              <w:rPr>
                <w:color w:val="000000"/>
              </w:rPr>
              <w:t>rům</w:t>
            </w:r>
            <w:r>
              <w:rPr>
                <w:color w:val="000000"/>
              </w:rPr>
              <w:t xml:space="preserve"> od bank představují pro obyvatelstvo půjčky od nebankovních zprostředkovatelů aktiv, tj. společností splátkového prodeje a leasingových společností. I u nich si však v úhrnu lidé nové úvěry neberou a soustřeďují se především na splácení svých závazků. </w:t>
            </w:r>
          </w:p>
          <w:p w:rsidR="00576A3E" w:rsidRPr="00C83F9C" w:rsidRDefault="00576A3E" w:rsidP="00C53D82">
            <w:pPr>
              <w:pStyle w:val="Textpoznpodarou"/>
              <w:jc w:val="both"/>
              <w:rPr>
                <w:color w:val="000000"/>
                <w:sz w:val="12"/>
                <w:szCs w:val="12"/>
              </w:rPr>
            </w:pPr>
          </w:p>
          <w:p w:rsidR="00576A3E" w:rsidRPr="00180D58" w:rsidRDefault="00576A3E" w:rsidP="007A11D9">
            <w:pPr>
              <w:pStyle w:val="Textpoznpodarou"/>
              <w:jc w:val="both"/>
              <w:rPr>
                <w:color w:val="000000"/>
              </w:rPr>
            </w:pPr>
            <w:r>
              <w:rPr>
                <w:color w:val="000000"/>
              </w:rPr>
              <w:t>Těmto nebankovním zprostředkovatelům dlužily domácnosti v úvěrech na spotřebu v závěru 1. čtvrtletí 2015 celkem 73</w:t>
            </w:r>
            <w:r w:rsidR="00772536">
              <w:rPr>
                <w:color w:val="000000"/>
              </w:rPr>
              <w:t>,6 mld. korun, což bylo nejméně</w:t>
            </w:r>
            <w:r>
              <w:rPr>
                <w:color w:val="000000"/>
              </w:rPr>
              <w:t xml:space="preserve"> od doby, kdy je tato statistika sledována (tj. od roku 2006). Proti stejnému období roku 2014 pak dlužily méně o 3 %. Nejvíce si domácnosti půjčovaly od nebankovních společností v roce 2009, kdy jim dlužily celkem 148 mld. korun. Tehdy byl</w:t>
            </w:r>
            <w:r w:rsidR="00B22E17">
              <w:rPr>
                <w:color w:val="000000"/>
              </w:rPr>
              <w:t>y</w:t>
            </w:r>
            <w:r>
              <w:rPr>
                <w:color w:val="000000"/>
              </w:rPr>
              <w:t xml:space="preserve"> ale významně využíván</w:t>
            </w:r>
            <w:r w:rsidR="00B22E17">
              <w:rPr>
                <w:color w:val="000000"/>
              </w:rPr>
              <w:t xml:space="preserve">y služby </w:t>
            </w:r>
            <w:r>
              <w:rPr>
                <w:color w:val="000000"/>
              </w:rPr>
              <w:t>leasing</w:t>
            </w:r>
            <w:r w:rsidR="00B22E17">
              <w:rPr>
                <w:color w:val="000000"/>
              </w:rPr>
              <w:t>ových společností</w:t>
            </w:r>
            <w:r>
              <w:rPr>
                <w:color w:val="000000"/>
              </w:rPr>
              <w:t xml:space="preserve"> (v té době totiž platila protikrizová opatření umožňující živnostníkům z řad domácností zrychlené odpisy na pořizované vozy, což výrazně zvyšovalo jejich nákupy). </w:t>
            </w:r>
          </w:p>
          <w:p w:rsidR="00576A3E" w:rsidRPr="00902D74" w:rsidRDefault="00576A3E" w:rsidP="00235000">
            <w:pPr>
              <w:pStyle w:val="Textpoznpodarou"/>
              <w:jc w:val="both"/>
              <w:rPr>
                <w:color w:val="000000"/>
                <w:sz w:val="16"/>
                <w:szCs w:val="16"/>
              </w:rPr>
            </w:pPr>
          </w:p>
        </w:tc>
      </w:tr>
      <w:tr w:rsidR="00576A3E" w:rsidRPr="007D44C3" w:rsidTr="00235000">
        <w:tc>
          <w:tcPr>
            <w:tcW w:w="1057" w:type="pct"/>
            <w:gridSpan w:val="4"/>
          </w:tcPr>
          <w:p w:rsidR="00576A3E" w:rsidRDefault="00576A3E" w:rsidP="00D136D4">
            <w:pPr>
              <w:spacing w:line="240" w:lineRule="auto"/>
              <w:rPr>
                <w:color w:val="000000"/>
                <w:sz w:val="16"/>
                <w:szCs w:val="16"/>
              </w:rPr>
            </w:pPr>
            <w:r>
              <w:rPr>
                <w:color w:val="000000"/>
                <w:sz w:val="16"/>
                <w:szCs w:val="16"/>
              </w:rPr>
              <w:t>… jemuž pomohlo oživení ekonomiky</w:t>
            </w:r>
          </w:p>
        </w:tc>
        <w:tc>
          <w:tcPr>
            <w:tcW w:w="143" w:type="pct"/>
          </w:tcPr>
          <w:p w:rsidR="00576A3E" w:rsidRDefault="00576A3E" w:rsidP="008B1A8A">
            <w:pPr>
              <w:pStyle w:val="Textpoznpodarou"/>
              <w:jc w:val="both"/>
            </w:pPr>
          </w:p>
        </w:tc>
        <w:tc>
          <w:tcPr>
            <w:tcW w:w="3800" w:type="pct"/>
            <w:gridSpan w:val="5"/>
          </w:tcPr>
          <w:p w:rsidR="00576A3E" w:rsidRDefault="00576A3E" w:rsidP="00C53D82">
            <w:pPr>
              <w:pStyle w:val="Textpoznpodarou"/>
              <w:jc w:val="both"/>
              <w:rPr>
                <w:color w:val="000000"/>
              </w:rPr>
            </w:pPr>
            <w:r>
              <w:rPr>
                <w:color w:val="000000"/>
              </w:rPr>
              <w:t xml:space="preserve">I nyní oživení české ekonomiky </w:t>
            </w:r>
            <w:r w:rsidR="00B22E17">
              <w:rPr>
                <w:color w:val="000000"/>
              </w:rPr>
              <w:t xml:space="preserve">napomáhá </w:t>
            </w:r>
            <w:r>
              <w:rPr>
                <w:color w:val="000000"/>
              </w:rPr>
              <w:t>nákupům motorových vozidel i jej</w:t>
            </w:r>
            <w:r w:rsidR="00B22E17">
              <w:rPr>
                <w:color w:val="000000"/>
              </w:rPr>
              <w:t>ich financování prostřednictvím</w:t>
            </w:r>
            <w:r>
              <w:rPr>
                <w:color w:val="000000"/>
              </w:rPr>
              <w:t xml:space="preserve"> leasing</w:t>
            </w:r>
            <w:r w:rsidR="00B22E17">
              <w:rPr>
                <w:color w:val="000000"/>
              </w:rPr>
              <w:t>ových společností</w:t>
            </w:r>
            <w:r>
              <w:rPr>
                <w:color w:val="000000"/>
              </w:rPr>
              <w:t xml:space="preserve"> - samotné domácnosti ho v 1. čtvrtletí využívaly co do objemu „půjčené“ částky na 1-5 let meziročně podstatně intenzivněji (hodnota leasingu stoupla o 5,8 % na 12,5 mld. korun proti -9,5 % v 1. čtvrtletí 2014), leasingové obchody se splatností do roka byly vyšší o 41 % a </w:t>
            </w:r>
            <w:r w:rsidR="00B22E17">
              <w:rPr>
                <w:color w:val="000000"/>
              </w:rPr>
              <w:t>dosáhly 8,2 mld. korun.</w:t>
            </w:r>
          </w:p>
          <w:p w:rsidR="00576A3E" w:rsidRPr="00C53D82" w:rsidRDefault="00576A3E" w:rsidP="00C53D82">
            <w:pPr>
              <w:pStyle w:val="Textpoznpodarou"/>
              <w:jc w:val="both"/>
              <w:rPr>
                <w:color w:val="000000"/>
              </w:rPr>
            </w:pPr>
            <w:r w:rsidRPr="00C53D82">
              <w:rPr>
                <w:color w:val="000000"/>
              </w:rPr>
              <w:t xml:space="preserve">    </w:t>
            </w:r>
          </w:p>
        </w:tc>
      </w:tr>
      <w:tr w:rsidR="00576A3E" w:rsidRPr="007D44C3" w:rsidTr="00235000">
        <w:tc>
          <w:tcPr>
            <w:tcW w:w="1057" w:type="pct"/>
            <w:gridSpan w:val="4"/>
          </w:tcPr>
          <w:p w:rsidR="00576A3E" w:rsidRDefault="00576A3E" w:rsidP="00D136D4">
            <w:pPr>
              <w:spacing w:line="240" w:lineRule="auto"/>
              <w:rPr>
                <w:rFonts w:cs="Arial"/>
                <w:bCs/>
                <w:iCs/>
                <w:color w:val="000000"/>
                <w:sz w:val="16"/>
                <w:szCs w:val="16"/>
              </w:rPr>
            </w:pPr>
            <w:r>
              <w:rPr>
                <w:rFonts w:cs="Arial"/>
                <w:bCs/>
                <w:iCs/>
                <w:color w:val="000000"/>
                <w:sz w:val="16"/>
                <w:szCs w:val="16"/>
              </w:rPr>
              <w:t xml:space="preserve">Úrokové sazby jsou nemotivující a část úspor obyvatelstva se přesouvá do investičních produktů  </w:t>
            </w:r>
          </w:p>
        </w:tc>
        <w:tc>
          <w:tcPr>
            <w:tcW w:w="143" w:type="pct"/>
          </w:tcPr>
          <w:p w:rsidR="00576A3E" w:rsidRDefault="00576A3E" w:rsidP="008B1A8A">
            <w:pPr>
              <w:pStyle w:val="Textpoznpodarou"/>
              <w:jc w:val="both"/>
            </w:pPr>
          </w:p>
        </w:tc>
        <w:tc>
          <w:tcPr>
            <w:tcW w:w="3800" w:type="pct"/>
            <w:gridSpan w:val="5"/>
          </w:tcPr>
          <w:p w:rsidR="00576A3E" w:rsidRDefault="00576A3E" w:rsidP="0023229C">
            <w:pPr>
              <w:pStyle w:val="Textpoznpodarou"/>
              <w:jc w:val="both"/>
              <w:rPr>
                <w:color w:val="000000"/>
              </w:rPr>
            </w:pPr>
            <w:r w:rsidRPr="00C53D82">
              <w:rPr>
                <w:color w:val="000000"/>
              </w:rPr>
              <w:t>Ú</w:t>
            </w:r>
            <w:r>
              <w:rPr>
                <w:color w:val="000000"/>
              </w:rPr>
              <w:t>roveň depozitních úrokových sazeb demotivovala střadatele i nadále. Z vkladů se splatností vybraly domácnosti téměř 37 mld., z vkladů s výpovědní lhůtou pak skoro 28 mld. korun za období od konce března 2014 do ko</w:t>
            </w:r>
            <w:r w:rsidR="00B22E17">
              <w:rPr>
                <w:color w:val="000000"/>
              </w:rPr>
              <w:t>n</w:t>
            </w:r>
            <w:r>
              <w:rPr>
                <w:color w:val="000000"/>
              </w:rPr>
              <w:t xml:space="preserve">ce března 2015. Ve snaze o vyšší zhodnocení svých peněz nakupovali lidé více podílové listy a jejich majetek v nich spolu se zhodnocením na kapitálových trzích tak stoupl koncem března na </w:t>
            </w:r>
            <w:r w:rsidR="003C601E">
              <w:rPr>
                <w:color w:val="000000"/>
              </w:rPr>
              <w:t>278</w:t>
            </w:r>
            <w:r>
              <w:rPr>
                <w:color w:val="000000"/>
              </w:rPr>
              <w:t xml:space="preserve"> mld. korun, což byl o</w:t>
            </w:r>
            <w:r w:rsidR="003C601E">
              <w:rPr>
                <w:color w:val="000000"/>
              </w:rPr>
              <w:t xml:space="preserve"> 70</w:t>
            </w:r>
            <w:r>
              <w:rPr>
                <w:color w:val="000000"/>
              </w:rPr>
              <w:t xml:space="preserve"> mld</w:t>
            </w:r>
            <w:r w:rsidR="003C601E">
              <w:rPr>
                <w:color w:val="000000"/>
              </w:rPr>
              <w:t>. více než před rokem.</w:t>
            </w:r>
          </w:p>
          <w:p w:rsidR="00576A3E" w:rsidRPr="00E7724B" w:rsidRDefault="00576A3E" w:rsidP="0023229C">
            <w:pPr>
              <w:pStyle w:val="Textpoznpodarou"/>
              <w:jc w:val="both"/>
              <w:rPr>
                <w:rFonts w:cs="Arial"/>
                <w:bCs/>
              </w:rPr>
            </w:pPr>
            <w:r>
              <w:rPr>
                <w:rFonts w:cs="Arial"/>
                <w:bCs/>
              </w:rPr>
              <w:t xml:space="preserve">  </w:t>
            </w:r>
          </w:p>
        </w:tc>
      </w:tr>
      <w:tr w:rsidR="00576A3E" w:rsidRPr="00EB4FA4" w:rsidTr="00235000">
        <w:tblPrEx>
          <w:tblCellMar>
            <w:left w:w="70" w:type="dxa"/>
            <w:right w:w="70" w:type="dxa"/>
          </w:tblCellMar>
          <w:tblLook w:val="0000"/>
        </w:tblPrEx>
        <w:trPr>
          <w:gridBefore w:val="1"/>
          <w:gridAfter w:val="1"/>
          <w:wBefore w:w="19" w:type="pct"/>
          <w:wAfter w:w="17" w:type="pct"/>
        </w:trPr>
        <w:tc>
          <w:tcPr>
            <w:tcW w:w="541" w:type="pct"/>
            <w:gridSpan w:val="2"/>
          </w:tcPr>
          <w:p w:rsidR="00576A3E" w:rsidRPr="00CD4B29" w:rsidRDefault="00576A3E" w:rsidP="00AA23FB">
            <w:r w:rsidRPr="00CD4B29">
              <w:t xml:space="preserve">Graf č. 17 </w:t>
            </w:r>
          </w:p>
        </w:tc>
        <w:tc>
          <w:tcPr>
            <w:tcW w:w="1959" w:type="pct"/>
            <w:gridSpan w:val="3"/>
          </w:tcPr>
          <w:p w:rsidR="00576A3E" w:rsidRPr="009E3710" w:rsidRDefault="00576A3E" w:rsidP="008B1A8A">
            <w:pPr>
              <w:rPr>
                <w:b/>
              </w:rPr>
            </w:pPr>
            <w:r>
              <w:rPr>
                <w:b/>
                <w:bCs/>
              </w:rPr>
              <w:t xml:space="preserve">Dynamika úvěrů </w:t>
            </w:r>
            <w:r>
              <w:rPr>
                <w:bCs/>
              </w:rPr>
              <w:t>(y/y v %)</w:t>
            </w:r>
            <w:r>
              <w:rPr>
                <w:b/>
                <w:bCs/>
              </w:rPr>
              <w:t xml:space="preserve"> </w:t>
            </w:r>
            <w:r w:rsidRPr="009E3710">
              <w:rPr>
                <w:b/>
                <w:bCs/>
              </w:rPr>
              <w:t xml:space="preserve"> </w:t>
            </w:r>
          </w:p>
        </w:tc>
        <w:tc>
          <w:tcPr>
            <w:tcW w:w="530" w:type="pct"/>
            <w:gridSpan w:val="2"/>
          </w:tcPr>
          <w:p w:rsidR="00576A3E" w:rsidRPr="00CD4B29" w:rsidRDefault="00576A3E" w:rsidP="00AA23FB">
            <w:pPr>
              <w:rPr>
                <w:szCs w:val="20"/>
              </w:rPr>
            </w:pPr>
            <w:r w:rsidRPr="00CD4B29">
              <w:rPr>
                <w:szCs w:val="20"/>
              </w:rPr>
              <w:t>Graf č. 18</w:t>
            </w:r>
          </w:p>
        </w:tc>
        <w:tc>
          <w:tcPr>
            <w:tcW w:w="1934" w:type="pct"/>
          </w:tcPr>
          <w:p w:rsidR="00576A3E" w:rsidRPr="00EB4FA4" w:rsidRDefault="00576A3E" w:rsidP="00055059">
            <w:pPr>
              <w:spacing w:line="240" w:lineRule="auto"/>
              <w:rPr>
                <w:b/>
                <w:szCs w:val="20"/>
              </w:rPr>
            </w:pPr>
            <w:r>
              <w:rPr>
                <w:b/>
                <w:bCs/>
              </w:rPr>
              <w:t xml:space="preserve">Vklady domácností a firem </w:t>
            </w:r>
            <w:r w:rsidRPr="00235000">
              <w:rPr>
                <w:bCs/>
              </w:rPr>
              <w:t>(y/y v %)</w:t>
            </w:r>
          </w:p>
        </w:tc>
      </w:tr>
      <w:tr w:rsidR="00576A3E" w:rsidTr="00235000">
        <w:tblPrEx>
          <w:tblCellMar>
            <w:left w:w="70" w:type="dxa"/>
            <w:right w:w="70" w:type="dxa"/>
          </w:tblCellMar>
          <w:tblLook w:val="0000"/>
        </w:tblPrEx>
        <w:trPr>
          <w:gridBefore w:val="1"/>
          <w:gridAfter w:val="1"/>
          <w:wBefore w:w="19" w:type="pct"/>
          <w:wAfter w:w="17" w:type="pct"/>
          <w:trHeight w:val="3256"/>
        </w:trPr>
        <w:tc>
          <w:tcPr>
            <w:tcW w:w="2499" w:type="pct"/>
            <w:gridSpan w:val="5"/>
          </w:tcPr>
          <w:p w:rsidR="00576A3E" w:rsidRDefault="00576A3E" w:rsidP="008B1A8A">
            <w:pPr>
              <w:pStyle w:val="Zhlav"/>
              <w:tabs>
                <w:tab w:val="clear" w:pos="4536"/>
                <w:tab w:val="clear" w:pos="9072"/>
              </w:tabs>
              <w:rPr>
                <w:rFonts w:ascii="Arial" w:hAnsi="Arial" w:cs="Arial"/>
                <w:sz w:val="20"/>
              </w:rPr>
            </w:pPr>
            <w:r w:rsidRPr="00E70510">
              <w:rPr>
                <w:rFonts w:ascii="Arial" w:hAnsi="Arial" w:cs="Arial"/>
                <w:noProof/>
                <w:sz w:val="20"/>
                <w:lang w:eastAsia="cs-CZ"/>
              </w:rPr>
              <w:object w:dxaOrig="4620" w:dyaOrig="3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31pt;height:189pt" o:ole="">
                  <v:imagedata r:id="rId8" o:title=""/>
                </v:shape>
                <o:OLEObject Type="Embed" ProgID="Excel.Sheet.8" ShapeID="_x0000_i1041" DrawAspect="Content" ObjectID="_1496216186" r:id="rId9">
                  <o:FieldCodes>\s</o:FieldCodes>
                </o:OLEObject>
              </w:object>
            </w:r>
          </w:p>
        </w:tc>
        <w:tc>
          <w:tcPr>
            <w:tcW w:w="2464" w:type="pct"/>
            <w:gridSpan w:val="3"/>
          </w:tcPr>
          <w:p w:rsidR="00576A3E" w:rsidRPr="00E70510" w:rsidRDefault="00576A3E" w:rsidP="008B1A8A">
            <w:pPr>
              <w:pStyle w:val="Zhlav"/>
              <w:tabs>
                <w:tab w:val="clear" w:pos="4536"/>
                <w:tab w:val="clear" w:pos="9072"/>
              </w:tabs>
              <w:spacing w:line="235" w:lineRule="auto"/>
              <w:jc w:val="both"/>
              <w:rPr>
                <w:rFonts w:ascii="Arial" w:hAnsi="Arial" w:cs="Arial"/>
                <w:sz w:val="20"/>
              </w:rPr>
            </w:pPr>
            <w:r w:rsidRPr="00E70510">
              <w:rPr>
                <w:rFonts w:ascii="Arial" w:hAnsi="Arial" w:cs="Arial"/>
                <w:sz w:val="20"/>
              </w:rPr>
              <w:object w:dxaOrig="4705" w:dyaOrig="3781">
                <v:shape id="_x0000_i1042" type="#_x0000_t75" style="width:235.5pt;height:189pt" o:ole="">
                  <v:imagedata r:id="rId10" o:title=""/>
                </v:shape>
                <o:OLEObject Type="Embed" ProgID="Excel.Sheet.8" ShapeID="_x0000_i1042" DrawAspect="Content" ObjectID="_1496216187" r:id="rId11">
                  <o:FieldCodes>\s</o:FieldCodes>
                </o:OLEObject>
              </w:object>
            </w:r>
          </w:p>
        </w:tc>
      </w:tr>
      <w:tr w:rsidR="00576A3E" w:rsidRPr="005215EF" w:rsidTr="00235000">
        <w:tblPrEx>
          <w:tblCellMar>
            <w:left w:w="70" w:type="dxa"/>
            <w:right w:w="70" w:type="dxa"/>
          </w:tblCellMar>
          <w:tblLook w:val="0000"/>
        </w:tblPrEx>
        <w:trPr>
          <w:gridBefore w:val="1"/>
          <w:gridAfter w:val="1"/>
          <w:wBefore w:w="19" w:type="pct"/>
          <w:wAfter w:w="17" w:type="pct"/>
        </w:trPr>
        <w:tc>
          <w:tcPr>
            <w:tcW w:w="401" w:type="pct"/>
          </w:tcPr>
          <w:p w:rsidR="00576A3E" w:rsidRPr="00953AEF" w:rsidRDefault="00576A3E" w:rsidP="008B1A8A">
            <w:pPr>
              <w:rPr>
                <w:color w:val="FF0000"/>
              </w:rPr>
            </w:pPr>
          </w:p>
        </w:tc>
        <w:tc>
          <w:tcPr>
            <w:tcW w:w="2099" w:type="pct"/>
            <w:gridSpan w:val="4"/>
          </w:tcPr>
          <w:p w:rsidR="00576A3E" w:rsidRPr="009E3710" w:rsidRDefault="00576A3E" w:rsidP="008B1A8A">
            <w:pPr>
              <w:rPr>
                <w:b/>
              </w:rPr>
            </w:pPr>
          </w:p>
        </w:tc>
        <w:tc>
          <w:tcPr>
            <w:tcW w:w="400" w:type="pct"/>
          </w:tcPr>
          <w:p w:rsidR="00576A3E" w:rsidRPr="00953AEF" w:rsidRDefault="00576A3E" w:rsidP="008B1A8A">
            <w:pPr>
              <w:rPr>
                <w:color w:val="FF0000"/>
              </w:rPr>
            </w:pPr>
          </w:p>
        </w:tc>
        <w:tc>
          <w:tcPr>
            <w:tcW w:w="2064" w:type="pct"/>
            <w:gridSpan w:val="2"/>
          </w:tcPr>
          <w:p w:rsidR="00576A3E" w:rsidRPr="00801FDD" w:rsidRDefault="00576A3E" w:rsidP="00463F4D">
            <w:pPr>
              <w:rPr>
                <w:sz w:val="18"/>
                <w:szCs w:val="18"/>
              </w:rPr>
            </w:pPr>
            <w:r w:rsidRPr="005215EF">
              <w:rPr>
                <w:b/>
                <w:sz w:val="18"/>
                <w:szCs w:val="18"/>
              </w:rPr>
              <w:t xml:space="preserve">                                              </w:t>
            </w:r>
            <w:r>
              <w:rPr>
                <w:b/>
                <w:sz w:val="18"/>
                <w:szCs w:val="18"/>
              </w:rPr>
              <w:t xml:space="preserve">        </w:t>
            </w:r>
            <w:r w:rsidRPr="005215EF">
              <w:rPr>
                <w:b/>
                <w:sz w:val="18"/>
                <w:szCs w:val="18"/>
              </w:rPr>
              <w:t xml:space="preserve"> </w:t>
            </w:r>
            <w:r w:rsidRPr="00801FDD">
              <w:rPr>
                <w:sz w:val="18"/>
                <w:szCs w:val="18"/>
              </w:rPr>
              <w:t xml:space="preserve">Zdroj: </w:t>
            </w:r>
            <w:r w:rsidR="00F255F9">
              <w:rPr>
                <w:sz w:val="18"/>
                <w:szCs w:val="18"/>
              </w:rPr>
              <w:t>ČNB</w:t>
            </w:r>
          </w:p>
        </w:tc>
      </w:tr>
    </w:tbl>
    <w:p w:rsidR="00576A3E" w:rsidRDefault="00576A3E" w:rsidP="005513D5"/>
    <w:sectPr w:rsidR="00576A3E" w:rsidSect="00D345F9">
      <w:headerReference w:type="even" r:id="rId12"/>
      <w:headerReference w:type="default" r:id="rId13"/>
      <w:footerReference w:type="even" r:id="rId14"/>
      <w:footerReference w:type="default" r:id="rId15"/>
      <w:type w:val="continuous"/>
      <w:pgSz w:w="11906" w:h="16838" w:code="9"/>
      <w:pgMar w:top="1134" w:right="1134" w:bottom="1418" w:left="1134" w:header="680" w:footer="680" w:gutter="0"/>
      <w:pgNumType w:start="1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04D" w:rsidRDefault="00AB104D" w:rsidP="00E71A58">
      <w:r>
        <w:separator/>
      </w:r>
    </w:p>
  </w:endnote>
  <w:endnote w:type="continuationSeparator" w:id="0">
    <w:p w:rsidR="00AB104D" w:rsidRDefault="00AB104D"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04D" w:rsidRDefault="00470532" w:rsidP="00357449">
    <w:pPr>
      <w:pStyle w:val="Zpat"/>
      <w:tabs>
        <w:tab w:val="clear" w:pos="4536"/>
        <w:tab w:val="clear" w:pos="9072"/>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50" type="#_x0000_t75" alt="Description: 3" style="position:absolute;margin-left:445.7pt;margin-top:-4.1pt;width:36.75pt;height:17.25pt;z-index:251657728;visibility:visible">
          <v:imagedata r:id="rId1" o:title=""/>
        </v:shape>
      </w:pict>
    </w:r>
    <w:r w:rsidRPr="005A21E0">
      <w:rPr>
        <w:rFonts w:ascii="Arial" w:hAnsi="Arial" w:cs="Arial"/>
        <w:sz w:val="16"/>
        <w:szCs w:val="16"/>
      </w:rPr>
      <w:fldChar w:fldCharType="begin"/>
    </w:r>
    <w:r w:rsidR="00AB104D" w:rsidRPr="005A21E0">
      <w:rPr>
        <w:rFonts w:ascii="Arial" w:hAnsi="Arial" w:cs="Arial"/>
        <w:sz w:val="16"/>
        <w:szCs w:val="16"/>
      </w:rPr>
      <w:instrText>PAGE   \* MERGEFORMAT</w:instrText>
    </w:r>
    <w:r w:rsidRPr="005A21E0">
      <w:rPr>
        <w:rFonts w:ascii="Arial" w:hAnsi="Arial" w:cs="Arial"/>
        <w:sz w:val="16"/>
        <w:szCs w:val="16"/>
      </w:rPr>
      <w:fldChar w:fldCharType="separate"/>
    </w:r>
    <w:r w:rsidR="00F255F9">
      <w:rPr>
        <w:rFonts w:ascii="Arial" w:hAnsi="Arial" w:cs="Arial"/>
        <w:noProof/>
        <w:sz w:val="16"/>
        <w:szCs w:val="16"/>
      </w:rPr>
      <w:t>20</w:t>
    </w:r>
    <w:r w:rsidRPr="005A21E0">
      <w:rPr>
        <w:rFonts w:ascii="Arial" w:hAnsi="Arial" w:cs="Arial"/>
        <w:sz w:val="16"/>
        <w:szCs w:val="16"/>
      </w:rPr>
      <w:fldChar w:fldCharType="end"/>
    </w:r>
    <w:r w:rsidR="00AB104D">
      <w:rPr>
        <w:rFonts w:ascii="Arial" w:hAnsi="Arial" w:cs="Arial"/>
        <w:sz w:val="16"/>
        <w:szCs w:val="16"/>
      </w:rPr>
      <w:tab/>
      <w:t>2015</w:t>
    </w:r>
    <w:r w:rsidR="00AB104D">
      <w:tab/>
    </w:r>
    <w:r w:rsidR="00AB104D">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04D" w:rsidRDefault="00470532" w:rsidP="00357449">
    <w:pPr>
      <w:pStyle w:val="Zpat"/>
      <w:tabs>
        <w:tab w:val="clear" w:pos="4536"/>
        <w:tab w:val="clear" w:pos="9072"/>
        <w:tab w:val="left" w:pos="1134"/>
        <w:tab w:val="left" w:pos="1920"/>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Description: 3" style="position:absolute;margin-left:.3pt;margin-top:7.1pt;width:39pt;height:21pt;z-index:251658752;visibility:visible">
          <v:imagedata r:id="rId1" o:title=""/>
        </v:shape>
      </w:pict>
    </w:r>
    <w:r w:rsidR="00AB104D">
      <w:tab/>
    </w:r>
    <w:r w:rsidR="00AB104D">
      <w:tab/>
    </w:r>
    <w:r w:rsidR="00AB104D" w:rsidRPr="00DC5B3B">
      <w:t xml:space="preserve">                              </w:t>
    </w:r>
  </w:p>
  <w:p w:rsidR="00AB104D" w:rsidRPr="00223E00" w:rsidRDefault="00AB104D"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2015</w:t>
    </w:r>
    <w:r>
      <w:rPr>
        <w:rFonts w:ascii="Arial" w:hAnsi="Arial" w:cs="Arial"/>
        <w:sz w:val="16"/>
        <w:szCs w:val="16"/>
      </w:rPr>
      <w:tab/>
    </w:r>
    <w:r w:rsidR="00470532"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470532" w:rsidRPr="00223E00">
      <w:rPr>
        <w:rFonts w:ascii="Arial" w:hAnsi="Arial" w:cs="Arial"/>
        <w:sz w:val="16"/>
        <w:szCs w:val="16"/>
      </w:rPr>
      <w:fldChar w:fldCharType="separate"/>
    </w:r>
    <w:r w:rsidR="00F255F9">
      <w:rPr>
        <w:rFonts w:ascii="Arial" w:hAnsi="Arial" w:cs="Arial"/>
        <w:noProof/>
        <w:sz w:val="16"/>
        <w:szCs w:val="16"/>
      </w:rPr>
      <w:t>19</w:t>
    </w:r>
    <w:r w:rsidR="00470532"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04D" w:rsidRDefault="00AB104D" w:rsidP="00E71A58">
      <w:r>
        <w:separator/>
      </w:r>
    </w:p>
  </w:footnote>
  <w:footnote w:type="continuationSeparator" w:id="0">
    <w:p w:rsidR="00AB104D" w:rsidRDefault="00AB104D"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04D" w:rsidRPr="00173642" w:rsidRDefault="00AB104D" w:rsidP="00173642">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1. čtvrtletí 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04D" w:rsidRPr="00DC5B3B" w:rsidRDefault="00AB104D" w:rsidP="002C6091">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1. čtvrtletí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67DAF"/>
    <w:multiLevelType w:val="hybridMultilevel"/>
    <w:tmpl w:val="61AEC036"/>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D4D0FE2"/>
    <w:multiLevelType w:val="hybridMultilevel"/>
    <w:tmpl w:val="03541CA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4"/>
  <w:doNotTrackMoves/>
  <w:defaultTabStop w:val="708"/>
  <w:hyphenationZone w:val="425"/>
  <w:evenAndOddHeaders/>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70BD"/>
    <w:rsid w:val="00000FA7"/>
    <w:rsid w:val="00003687"/>
    <w:rsid w:val="00003C43"/>
    <w:rsid w:val="00007498"/>
    <w:rsid w:val="0000767A"/>
    <w:rsid w:val="000101F5"/>
    <w:rsid w:val="000104B9"/>
    <w:rsid w:val="00010702"/>
    <w:rsid w:val="00011191"/>
    <w:rsid w:val="0001159B"/>
    <w:rsid w:val="00012986"/>
    <w:rsid w:val="0001573E"/>
    <w:rsid w:val="00017F05"/>
    <w:rsid w:val="000202C6"/>
    <w:rsid w:val="00020946"/>
    <w:rsid w:val="00024887"/>
    <w:rsid w:val="00024CBA"/>
    <w:rsid w:val="00025501"/>
    <w:rsid w:val="00026998"/>
    <w:rsid w:val="0003066A"/>
    <w:rsid w:val="00032838"/>
    <w:rsid w:val="00032C12"/>
    <w:rsid w:val="00035FC6"/>
    <w:rsid w:val="00037667"/>
    <w:rsid w:val="000411E1"/>
    <w:rsid w:val="00043E05"/>
    <w:rsid w:val="0004694F"/>
    <w:rsid w:val="000500DC"/>
    <w:rsid w:val="00052172"/>
    <w:rsid w:val="00055059"/>
    <w:rsid w:val="000553E4"/>
    <w:rsid w:val="00062EC5"/>
    <w:rsid w:val="00064256"/>
    <w:rsid w:val="000706A4"/>
    <w:rsid w:val="00072118"/>
    <w:rsid w:val="00073173"/>
    <w:rsid w:val="000779AC"/>
    <w:rsid w:val="00083803"/>
    <w:rsid w:val="0008716A"/>
    <w:rsid w:val="00087634"/>
    <w:rsid w:val="00091237"/>
    <w:rsid w:val="0009191B"/>
    <w:rsid w:val="000920EC"/>
    <w:rsid w:val="00092208"/>
    <w:rsid w:val="00092505"/>
    <w:rsid w:val="00097D02"/>
    <w:rsid w:val="000A1183"/>
    <w:rsid w:val="000A2121"/>
    <w:rsid w:val="000A2484"/>
    <w:rsid w:val="000B1CFE"/>
    <w:rsid w:val="000B210A"/>
    <w:rsid w:val="000B249B"/>
    <w:rsid w:val="000B3DB9"/>
    <w:rsid w:val="000B3F02"/>
    <w:rsid w:val="000B48E7"/>
    <w:rsid w:val="000B7663"/>
    <w:rsid w:val="000C11D3"/>
    <w:rsid w:val="000C12F5"/>
    <w:rsid w:val="000C3408"/>
    <w:rsid w:val="000D0D51"/>
    <w:rsid w:val="000D14B3"/>
    <w:rsid w:val="000D208B"/>
    <w:rsid w:val="000D2B8D"/>
    <w:rsid w:val="000D2E41"/>
    <w:rsid w:val="000D5E7A"/>
    <w:rsid w:val="000D5FAA"/>
    <w:rsid w:val="000D65A4"/>
    <w:rsid w:val="000D6AEF"/>
    <w:rsid w:val="000E025B"/>
    <w:rsid w:val="000E153A"/>
    <w:rsid w:val="000E19A8"/>
    <w:rsid w:val="000E4A42"/>
    <w:rsid w:val="000E78D2"/>
    <w:rsid w:val="000F3332"/>
    <w:rsid w:val="000F33EE"/>
    <w:rsid w:val="000F401E"/>
    <w:rsid w:val="000F5445"/>
    <w:rsid w:val="000F67B2"/>
    <w:rsid w:val="000F7E1B"/>
    <w:rsid w:val="00100014"/>
    <w:rsid w:val="0010039A"/>
    <w:rsid w:val="00102F02"/>
    <w:rsid w:val="001041B6"/>
    <w:rsid w:val="001070EA"/>
    <w:rsid w:val="0011002A"/>
    <w:rsid w:val="0011110A"/>
    <w:rsid w:val="001118AF"/>
    <w:rsid w:val="0011256E"/>
    <w:rsid w:val="00116DB9"/>
    <w:rsid w:val="00116F28"/>
    <w:rsid w:val="00121C39"/>
    <w:rsid w:val="00123255"/>
    <w:rsid w:val="00124D2D"/>
    <w:rsid w:val="001307BE"/>
    <w:rsid w:val="00130C8F"/>
    <w:rsid w:val="001314F2"/>
    <w:rsid w:val="001317DA"/>
    <w:rsid w:val="001323BA"/>
    <w:rsid w:val="0013254D"/>
    <w:rsid w:val="00133AAC"/>
    <w:rsid w:val="00136561"/>
    <w:rsid w:val="001400E1"/>
    <w:rsid w:val="001405FA"/>
    <w:rsid w:val="001413B3"/>
    <w:rsid w:val="001425C3"/>
    <w:rsid w:val="00142F16"/>
    <w:rsid w:val="00143E03"/>
    <w:rsid w:val="00143E93"/>
    <w:rsid w:val="00151AC0"/>
    <w:rsid w:val="00152046"/>
    <w:rsid w:val="00156318"/>
    <w:rsid w:val="0015639A"/>
    <w:rsid w:val="0016081D"/>
    <w:rsid w:val="00160CF3"/>
    <w:rsid w:val="001620FA"/>
    <w:rsid w:val="00162853"/>
    <w:rsid w:val="00163793"/>
    <w:rsid w:val="001707DE"/>
    <w:rsid w:val="00170B04"/>
    <w:rsid w:val="00170F47"/>
    <w:rsid w:val="001714F2"/>
    <w:rsid w:val="00173642"/>
    <w:rsid w:val="00174CE8"/>
    <w:rsid w:val="00176050"/>
    <w:rsid w:val="001764D8"/>
    <w:rsid w:val="00176A8F"/>
    <w:rsid w:val="00180D58"/>
    <w:rsid w:val="00182981"/>
    <w:rsid w:val="00184CF9"/>
    <w:rsid w:val="00185010"/>
    <w:rsid w:val="001874CF"/>
    <w:rsid w:val="00190D9B"/>
    <w:rsid w:val="00191BAE"/>
    <w:rsid w:val="00195444"/>
    <w:rsid w:val="001A2BDB"/>
    <w:rsid w:val="001A552F"/>
    <w:rsid w:val="001A56F3"/>
    <w:rsid w:val="001A750C"/>
    <w:rsid w:val="001B1D89"/>
    <w:rsid w:val="001B3110"/>
    <w:rsid w:val="001B44BC"/>
    <w:rsid w:val="001B6545"/>
    <w:rsid w:val="001B681B"/>
    <w:rsid w:val="001B6A49"/>
    <w:rsid w:val="001B74FB"/>
    <w:rsid w:val="001B77A1"/>
    <w:rsid w:val="001C0422"/>
    <w:rsid w:val="001C0E0E"/>
    <w:rsid w:val="001C1219"/>
    <w:rsid w:val="001C357A"/>
    <w:rsid w:val="001C3A37"/>
    <w:rsid w:val="001C4384"/>
    <w:rsid w:val="001C65FF"/>
    <w:rsid w:val="001D47E5"/>
    <w:rsid w:val="001D584C"/>
    <w:rsid w:val="001D66C1"/>
    <w:rsid w:val="001E0C65"/>
    <w:rsid w:val="001E23E3"/>
    <w:rsid w:val="001E387A"/>
    <w:rsid w:val="001E3DA4"/>
    <w:rsid w:val="001E684C"/>
    <w:rsid w:val="001E701C"/>
    <w:rsid w:val="001E7C03"/>
    <w:rsid w:val="001F02AF"/>
    <w:rsid w:val="001F28F4"/>
    <w:rsid w:val="001F3C79"/>
    <w:rsid w:val="001F3E68"/>
    <w:rsid w:val="001F4597"/>
    <w:rsid w:val="00200D15"/>
    <w:rsid w:val="00203074"/>
    <w:rsid w:val="002048E1"/>
    <w:rsid w:val="00210278"/>
    <w:rsid w:val="00210CC2"/>
    <w:rsid w:val="00210F5B"/>
    <w:rsid w:val="00211262"/>
    <w:rsid w:val="00211AC9"/>
    <w:rsid w:val="0021355B"/>
    <w:rsid w:val="002205F2"/>
    <w:rsid w:val="0022080E"/>
    <w:rsid w:val="0022139E"/>
    <w:rsid w:val="0022272B"/>
    <w:rsid w:val="00222A99"/>
    <w:rsid w:val="00223678"/>
    <w:rsid w:val="00223E00"/>
    <w:rsid w:val="002252E0"/>
    <w:rsid w:val="002255F6"/>
    <w:rsid w:val="00226466"/>
    <w:rsid w:val="0023229C"/>
    <w:rsid w:val="00234280"/>
    <w:rsid w:val="00235000"/>
    <w:rsid w:val="002350E3"/>
    <w:rsid w:val="00236443"/>
    <w:rsid w:val="00240A5B"/>
    <w:rsid w:val="002436BA"/>
    <w:rsid w:val="002444ED"/>
    <w:rsid w:val="00244A15"/>
    <w:rsid w:val="00244D40"/>
    <w:rsid w:val="00246AE9"/>
    <w:rsid w:val="0024799E"/>
    <w:rsid w:val="00251D59"/>
    <w:rsid w:val="00252602"/>
    <w:rsid w:val="00252FDC"/>
    <w:rsid w:val="00261E5B"/>
    <w:rsid w:val="00263470"/>
    <w:rsid w:val="00263733"/>
    <w:rsid w:val="00265536"/>
    <w:rsid w:val="00265E54"/>
    <w:rsid w:val="00266F3E"/>
    <w:rsid w:val="00272464"/>
    <w:rsid w:val="00273DCD"/>
    <w:rsid w:val="00274291"/>
    <w:rsid w:val="00276CFE"/>
    <w:rsid w:val="00277071"/>
    <w:rsid w:val="0027786C"/>
    <w:rsid w:val="00281416"/>
    <w:rsid w:val="00285CD3"/>
    <w:rsid w:val="0028686A"/>
    <w:rsid w:val="00286E66"/>
    <w:rsid w:val="002919B5"/>
    <w:rsid w:val="00293441"/>
    <w:rsid w:val="0029493E"/>
    <w:rsid w:val="00296C2E"/>
    <w:rsid w:val="002A1B05"/>
    <w:rsid w:val="002A3354"/>
    <w:rsid w:val="002A35EA"/>
    <w:rsid w:val="002A3BD5"/>
    <w:rsid w:val="002A43A2"/>
    <w:rsid w:val="002A4612"/>
    <w:rsid w:val="002A5263"/>
    <w:rsid w:val="002A6821"/>
    <w:rsid w:val="002A74D2"/>
    <w:rsid w:val="002B1544"/>
    <w:rsid w:val="002B36C8"/>
    <w:rsid w:val="002B7240"/>
    <w:rsid w:val="002C2668"/>
    <w:rsid w:val="002C43BD"/>
    <w:rsid w:val="002C5261"/>
    <w:rsid w:val="002C6091"/>
    <w:rsid w:val="002D0562"/>
    <w:rsid w:val="002D1B5A"/>
    <w:rsid w:val="002D3F00"/>
    <w:rsid w:val="002D4D59"/>
    <w:rsid w:val="002D54BF"/>
    <w:rsid w:val="002D5E94"/>
    <w:rsid w:val="002D632D"/>
    <w:rsid w:val="002E02A1"/>
    <w:rsid w:val="002E0982"/>
    <w:rsid w:val="002E2CE4"/>
    <w:rsid w:val="002F33FB"/>
    <w:rsid w:val="002F7594"/>
    <w:rsid w:val="00301357"/>
    <w:rsid w:val="00301D04"/>
    <w:rsid w:val="00304771"/>
    <w:rsid w:val="00305736"/>
    <w:rsid w:val="00306C5B"/>
    <w:rsid w:val="00306E3B"/>
    <w:rsid w:val="00312C3D"/>
    <w:rsid w:val="00314331"/>
    <w:rsid w:val="00320214"/>
    <w:rsid w:val="003209D6"/>
    <w:rsid w:val="0032109A"/>
    <w:rsid w:val="0032214F"/>
    <w:rsid w:val="00322164"/>
    <w:rsid w:val="0032513D"/>
    <w:rsid w:val="00326251"/>
    <w:rsid w:val="00327DEE"/>
    <w:rsid w:val="003329F3"/>
    <w:rsid w:val="0033352E"/>
    <w:rsid w:val="00333690"/>
    <w:rsid w:val="00333D20"/>
    <w:rsid w:val="003340EF"/>
    <w:rsid w:val="00334A49"/>
    <w:rsid w:val="00335BB0"/>
    <w:rsid w:val="0033627B"/>
    <w:rsid w:val="003406BD"/>
    <w:rsid w:val="00343F84"/>
    <w:rsid w:val="00344135"/>
    <w:rsid w:val="00351B63"/>
    <w:rsid w:val="00352E57"/>
    <w:rsid w:val="003541B0"/>
    <w:rsid w:val="00355885"/>
    <w:rsid w:val="0035605E"/>
    <w:rsid w:val="00357449"/>
    <w:rsid w:val="0036238B"/>
    <w:rsid w:val="00365680"/>
    <w:rsid w:val="003657F3"/>
    <w:rsid w:val="00367038"/>
    <w:rsid w:val="0037144E"/>
    <w:rsid w:val="00374F1E"/>
    <w:rsid w:val="00376DEC"/>
    <w:rsid w:val="00380E04"/>
    <w:rsid w:val="00383227"/>
    <w:rsid w:val="00384D8F"/>
    <w:rsid w:val="00385D98"/>
    <w:rsid w:val="00385EC5"/>
    <w:rsid w:val="0039066E"/>
    <w:rsid w:val="00391C95"/>
    <w:rsid w:val="00396DAC"/>
    <w:rsid w:val="003A0214"/>
    <w:rsid w:val="003A1D74"/>
    <w:rsid w:val="003A2B4D"/>
    <w:rsid w:val="003A2D2B"/>
    <w:rsid w:val="003A2DD4"/>
    <w:rsid w:val="003A3B1C"/>
    <w:rsid w:val="003A478C"/>
    <w:rsid w:val="003A4F82"/>
    <w:rsid w:val="003A5525"/>
    <w:rsid w:val="003A6B38"/>
    <w:rsid w:val="003B2E63"/>
    <w:rsid w:val="003B3189"/>
    <w:rsid w:val="003B3A9D"/>
    <w:rsid w:val="003B5031"/>
    <w:rsid w:val="003B5A32"/>
    <w:rsid w:val="003B6105"/>
    <w:rsid w:val="003C04C4"/>
    <w:rsid w:val="003C26F4"/>
    <w:rsid w:val="003C4852"/>
    <w:rsid w:val="003C601E"/>
    <w:rsid w:val="003D3600"/>
    <w:rsid w:val="003D3825"/>
    <w:rsid w:val="003D4760"/>
    <w:rsid w:val="003D49DC"/>
    <w:rsid w:val="003E0663"/>
    <w:rsid w:val="003E133F"/>
    <w:rsid w:val="003E699C"/>
    <w:rsid w:val="003E69F3"/>
    <w:rsid w:val="003E782E"/>
    <w:rsid w:val="003E7A0B"/>
    <w:rsid w:val="003E7B2B"/>
    <w:rsid w:val="003F1A48"/>
    <w:rsid w:val="003F2B0A"/>
    <w:rsid w:val="003F313C"/>
    <w:rsid w:val="003F37FC"/>
    <w:rsid w:val="003F49A6"/>
    <w:rsid w:val="003F5098"/>
    <w:rsid w:val="003F5568"/>
    <w:rsid w:val="003F5A95"/>
    <w:rsid w:val="003F6D19"/>
    <w:rsid w:val="004000D5"/>
    <w:rsid w:val="00401716"/>
    <w:rsid w:val="0040273A"/>
    <w:rsid w:val="00402C25"/>
    <w:rsid w:val="004050D7"/>
    <w:rsid w:val="004078BD"/>
    <w:rsid w:val="00410132"/>
    <w:rsid w:val="00410BCD"/>
    <w:rsid w:val="0041175D"/>
    <w:rsid w:val="004123BE"/>
    <w:rsid w:val="00414CE5"/>
    <w:rsid w:val="00416673"/>
    <w:rsid w:val="0042160D"/>
    <w:rsid w:val="0042681B"/>
    <w:rsid w:val="0043068A"/>
    <w:rsid w:val="004306E0"/>
    <w:rsid w:val="004329BE"/>
    <w:rsid w:val="00432C38"/>
    <w:rsid w:val="00437C76"/>
    <w:rsid w:val="004441A0"/>
    <w:rsid w:val="00444268"/>
    <w:rsid w:val="004443BF"/>
    <w:rsid w:val="00444C19"/>
    <w:rsid w:val="00446892"/>
    <w:rsid w:val="00450C30"/>
    <w:rsid w:val="00455ECA"/>
    <w:rsid w:val="00460164"/>
    <w:rsid w:val="0046039A"/>
    <w:rsid w:val="00460A6B"/>
    <w:rsid w:val="00461977"/>
    <w:rsid w:val="004629FD"/>
    <w:rsid w:val="00463F4D"/>
    <w:rsid w:val="00464BE8"/>
    <w:rsid w:val="00465019"/>
    <w:rsid w:val="0046613F"/>
    <w:rsid w:val="0046655D"/>
    <w:rsid w:val="0046765E"/>
    <w:rsid w:val="004676E2"/>
    <w:rsid w:val="00470532"/>
    <w:rsid w:val="00471EDD"/>
    <w:rsid w:val="00473E94"/>
    <w:rsid w:val="0047400C"/>
    <w:rsid w:val="004745D9"/>
    <w:rsid w:val="00476D29"/>
    <w:rsid w:val="00477241"/>
    <w:rsid w:val="00477EAF"/>
    <w:rsid w:val="00477EE0"/>
    <w:rsid w:val="0048139F"/>
    <w:rsid w:val="00483053"/>
    <w:rsid w:val="004879E9"/>
    <w:rsid w:val="00491218"/>
    <w:rsid w:val="00493362"/>
    <w:rsid w:val="00496C2F"/>
    <w:rsid w:val="0049740D"/>
    <w:rsid w:val="004A11F8"/>
    <w:rsid w:val="004A22FA"/>
    <w:rsid w:val="004A269A"/>
    <w:rsid w:val="004A30FB"/>
    <w:rsid w:val="004A35DD"/>
    <w:rsid w:val="004A37D3"/>
    <w:rsid w:val="004A5865"/>
    <w:rsid w:val="004A77DF"/>
    <w:rsid w:val="004B0295"/>
    <w:rsid w:val="004B22DA"/>
    <w:rsid w:val="004B3CB7"/>
    <w:rsid w:val="004B3D55"/>
    <w:rsid w:val="004B55B7"/>
    <w:rsid w:val="004C00A6"/>
    <w:rsid w:val="004C0BBB"/>
    <w:rsid w:val="004C3382"/>
    <w:rsid w:val="004C3867"/>
    <w:rsid w:val="004C4CD0"/>
    <w:rsid w:val="004C57B5"/>
    <w:rsid w:val="004C5C25"/>
    <w:rsid w:val="004C6CFF"/>
    <w:rsid w:val="004C70DC"/>
    <w:rsid w:val="004C7268"/>
    <w:rsid w:val="004D0211"/>
    <w:rsid w:val="004D1C9C"/>
    <w:rsid w:val="004D504B"/>
    <w:rsid w:val="004D536E"/>
    <w:rsid w:val="004E4A75"/>
    <w:rsid w:val="004E541A"/>
    <w:rsid w:val="004E5A5C"/>
    <w:rsid w:val="004E76D6"/>
    <w:rsid w:val="004F06F5"/>
    <w:rsid w:val="004F191F"/>
    <w:rsid w:val="004F2A73"/>
    <w:rsid w:val="004F33A0"/>
    <w:rsid w:val="004F4353"/>
    <w:rsid w:val="004F447D"/>
    <w:rsid w:val="004F4C28"/>
    <w:rsid w:val="004F5CC5"/>
    <w:rsid w:val="00510189"/>
    <w:rsid w:val="005108C0"/>
    <w:rsid w:val="00511873"/>
    <w:rsid w:val="00513B7E"/>
    <w:rsid w:val="00514474"/>
    <w:rsid w:val="005215EF"/>
    <w:rsid w:val="00525137"/>
    <w:rsid w:val="005251DD"/>
    <w:rsid w:val="0053017A"/>
    <w:rsid w:val="00530492"/>
    <w:rsid w:val="00532854"/>
    <w:rsid w:val="005350F2"/>
    <w:rsid w:val="00535152"/>
    <w:rsid w:val="00535359"/>
    <w:rsid w:val="005357A2"/>
    <w:rsid w:val="00535D87"/>
    <w:rsid w:val="00535EF0"/>
    <w:rsid w:val="0053734B"/>
    <w:rsid w:val="00537AFD"/>
    <w:rsid w:val="00537CB4"/>
    <w:rsid w:val="0054516B"/>
    <w:rsid w:val="0054559E"/>
    <w:rsid w:val="005513D5"/>
    <w:rsid w:val="005523B9"/>
    <w:rsid w:val="005545E0"/>
    <w:rsid w:val="00554865"/>
    <w:rsid w:val="00554E57"/>
    <w:rsid w:val="00562749"/>
    <w:rsid w:val="00562DE9"/>
    <w:rsid w:val="005638A5"/>
    <w:rsid w:val="00566381"/>
    <w:rsid w:val="00566A03"/>
    <w:rsid w:val="00571932"/>
    <w:rsid w:val="00573C97"/>
    <w:rsid w:val="00574240"/>
    <w:rsid w:val="00575CDC"/>
    <w:rsid w:val="005765D5"/>
    <w:rsid w:val="00576A3E"/>
    <w:rsid w:val="00583D5B"/>
    <w:rsid w:val="00583FFD"/>
    <w:rsid w:val="00587CCD"/>
    <w:rsid w:val="005908AE"/>
    <w:rsid w:val="0059176E"/>
    <w:rsid w:val="00593152"/>
    <w:rsid w:val="00593CA3"/>
    <w:rsid w:val="00594161"/>
    <w:rsid w:val="00594969"/>
    <w:rsid w:val="00596C5E"/>
    <w:rsid w:val="005A2194"/>
    <w:rsid w:val="005A21E0"/>
    <w:rsid w:val="005A33A1"/>
    <w:rsid w:val="005A54EE"/>
    <w:rsid w:val="005A7500"/>
    <w:rsid w:val="005B1BDB"/>
    <w:rsid w:val="005B2BAA"/>
    <w:rsid w:val="005B2D53"/>
    <w:rsid w:val="005B3247"/>
    <w:rsid w:val="005B3409"/>
    <w:rsid w:val="005B7B12"/>
    <w:rsid w:val="005C16CB"/>
    <w:rsid w:val="005C3F9F"/>
    <w:rsid w:val="005C6400"/>
    <w:rsid w:val="005C7F1E"/>
    <w:rsid w:val="005D374F"/>
    <w:rsid w:val="005D5802"/>
    <w:rsid w:val="005D6CFC"/>
    <w:rsid w:val="005D73E2"/>
    <w:rsid w:val="005E1E4B"/>
    <w:rsid w:val="005E362D"/>
    <w:rsid w:val="005E492C"/>
    <w:rsid w:val="005E4BAA"/>
    <w:rsid w:val="005E52EF"/>
    <w:rsid w:val="005E5B56"/>
    <w:rsid w:val="005E6088"/>
    <w:rsid w:val="005E61DF"/>
    <w:rsid w:val="005E6B78"/>
    <w:rsid w:val="005F4057"/>
    <w:rsid w:val="005F4088"/>
    <w:rsid w:val="005F6119"/>
    <w:rsid w:val="0060107A"/>
    <w:rsid w:val="00601AFF"/>
    <w:rsid w:val="00602D1D"/>
    <w:rsid w:val="00604307"/>
    <w:rsid w:val="0060487F"/>
    <w:rsid w:val="00605814"/>
    <w:rsid w:val="00606B93"/>
    <w:rsid w:val="006118AA"/>
    <w:rsid w:val="006153E3"/>
    <w:rsid w:val="00617D2D"/>
    <w:rsid w:val="00617D83"/>
    <w:rsid w:val="00620AC5"/>
    <w:rsid w:val="00621575"/>
    <w:rsid w:val="006215FC"/>
    <w:rsid w:val="00624093"/>
    <w:rsid w:val="00630F66"/>
    <w:rsid w:val="00631FC2"/>
    <w:rsid w:val="00632171"/>
    <w:rsid w:val="0063332A"/>
    <w:rsid w:val="006347F9"/>
    <w:rsid w:val="00634C90"/>
    <w:rsid w:val="00635E79"/>
    <w:rsid w:val="006404A7"/>
    <w:rsid w:val="006407F3"/>
    <w:rsid w:val="00644DFC"/>
    <w:rsid w:val="006451E4"/>
    <w:rsid w:val="006460B8"/>
    <w:rsid w:val="006520C7"/>
    <w:rsid w:val="006530B8"/>
    <w:rsid w:val="006535D6"/>
    <w:rsid w:val="006572ED"/>
    <w:rsid w:val="00657E87"/>
    <w:rsid w:val="00660457"/>
    <w:rsid w:val="00660E1E"/>
    <w:rsid w:val="006637B1"/>
    <w:rsid w:val="00665D67"/>
    <w:rsid w:val="00665D77"/>
    <w:rsid w:val="006660CD"/>
    <w:rsid w:val="00666F4B"/>
    <w:rsid w:val="006676D0"/>
    <w:rsid w:val="00670FAC"/>
    <w:rsid w:val="006710C9"/>
    <w:rsid w:val="00675E37"/>
    <w:rsid w:val="00676F11"/>
    <w:rsid w:val="00680079"/>
    <w:rsid w:val="0068260E"/>
    <w:rsid w:val="0068373D"/>
    <w:rsid w:val="00683BFE"/>
    <w:rsid w:val="006857DF"/>
    <w:rsid w:val="00685E66"/>
    <w:rsid w:val="00686B72"/>
    <w:rsid w:val="00690A09"/>
    <w:rsid w:val="00693FEA"/>
    <w:rsid w:val="00695170"/>
    <w:rsid w:val="00695BEF"/>
    <w:rsid w:val="006960D6"/>
    <w:rsid w:val="00696AA5"/>
    <w:rsid w:val="006977F6"/>
    <w:rsid w:val="00697A13"/>
    <w:rsid w:val="006A109C"/>
    <w:rsid w:val="006A672B"/>
    <w:rsid w:val="006B3F8A"/>
    <w:rsid w:val="006B5CA3"/>
    <w:rsid w:val="006B78D8"/>
    <w:rsid w:val="006C090F"/>
    <w:rsid w:val="006C113F"/>
    <w:rsid w:val="006C38DD"/>
    <w:rsid w:val="006C5577"/>
    <w:rsid w:val="006C559A"/>
    <w:rsid w:val="006C58FA"/>
    <w:rsid w:val="006D042D"/>
    <w:rsid w:val="006D06EF"/>
    <w:rsid w:val="006D142E"/>
    <w:rsid w:val="006D4E6F"/>
    <w:rsid w:val="006D61F6"/>
    <w:rsid w:val="006E1F4C"/>
    <w:rsid w:val="006E279A"/>
    <w:rsid w:val="006E2F3F"/>
    <w:rsid w:val="006E313B"/>
    <w:rsid w:val="006E442A"/>
    <w:rsid w:val="006E5CFD"/>
    <w:rsid w:val="006F1326"/>
    <w:rsid w:val="006F2BEE"/>
    <w:rsid w:val="006F3708"/>
    <w:rsid w:val="006F3E6B"/>
    <w:rsid w:val="006F4A59"/>
    <w:rsid w:val="007014C7"/>
    <w:rsid w:val="00702D6F"/>
    <w:rsid w:val="007047D5"/>
    <w:rsid w:val="00705D98"/>
    <w:rsid w:val="00707891"/>
    <w:rsid w:val="00711EF1"/>
    <w:rsid w:val="0071229A"/>
    <w:rsid w:val="00712572"/>
    <w:rsid w:val="00713495"/>
    <w:rsid w:val="00720FA2"/>
    <w:rsid w:val="007211F5"/>
    <w:rsid w:val="00724666"/>
    <w:rsid w:val="00726043"/>
    <w:rsid w:val="0072704A"/>
    <w:rsid w:val="00730AE8"/>
    <w:rsid w:val="00731963"/>
    <w:rsid w:val="00734321"/>
    <w:rsid w:val="00740310"/>
    <w:rsid w:val="00740652"/>
    <w:rsid w:val="00740F02"/>
    <w:rsid w:val="00740FEC"/>
    <w:rsid w:val="0074132E"/>
    <w:rsid w:val="00741493"/>
    <w:rsid w:val="007426B3"/>
    <w:rsid w:val="007426FD"/>
    <w:rsid w:val="00744376"/>
    <w:rsid w:val="007449EA"/>
    <w:rsid w:val="00746DD9"/>
    <w:rsid w:val="0075057A"/>
    <w:rsid w:val="00751771"/>
    <w:rsid w:val="00751C1C"/>
    <w:rsid w:val="00752180"/>
    <w:rsid w:val="007521A1"/>
    <w:rsid w:val="0075315D"/>
    <w:rsid w:val="00754253"/>
    <w:rsid w:val="007558D3"/>
    <w:rsid w:val="00755D3A"/>
    <w:rsid w:val="00760141"/>
    <w:rsid w:val="007609C6"/>
    <w:rsid w:val="007610A0"/>
    <w:rsid w:val="007620F2"/>
    <w:rsid w:val="00762EBA"/>
    <w:rsid w:val="0076359D"/>
    <w:rsid w:val="00772536"/>
    <w:rsid w:val="00773613"/>
    <w:rsid w:val="00774782"/>
    <w:rsid w:val="00776527"/>
    <w:rsid w:val="0078113E"/>
    <w:rsid w:val="00781834"/>
    <w:rsid w:val="007821DB"/>
    <w:rsid w:val="00782818"/>
    <w:rsid w:val="00784C4A"/>
    <w:rsid w:val="00787432"/>
    <w:rsid w:val="00787507"/>
    <w:rsid w:val="007879F2"/>
    <w:rsid w:val="00791CF8"/>
    <w:rsid w:val="00793387"/>
    <w:rsid w:val="00793BAE"/>
    <w:rsid w:val="00794E0A"/>
    <w:rsid w:val="00796642"/>
    <w:rsid w:val="007A11D9"/>
    <w:rsid w:val="007A327B"/>
    <w:rsid w:val="007A4606"/>
    <w:rsid w:val="007B3DCC"/>
    <w:rsid w:val="007B4518"/>
    <w:rsid w:val="007B5031"/>
    <w:rsid w:val="007B573F"/>
    <w:rsid w:val="007D2A5A"/>
    <w:rsid w:val="007D2AD8"/>
    <w:rsid w:val="007D2C47"/>
    <w:rsid w:val="007D3167"/>
    <w:rsid w:val="007D4281"/>
    <w:rsid w:val="007D44C3"/>
    <w:rsid w:val="007D5947"/>
    <w:rsid w:val="007D65C1"/>
    <w:rsid w:val="007E030F"/>
    <w:rsid w:val="007E0E59"/>
    <w:rsid w:val="007E0F4B"/>
    <w:rsid w:val="007E7E61"/>
    <w:rsid w:val="007F0845"/>
    <w:rsid w:val="007F16F9"/>
    <w:rsid w:val="007F5F14"/>
    <w:rsid w:val="007F7B54"/>
    <w:rsid w:val="008005D7"/>
    <w:rsid w:val="00801FDD"/>
    <w:rsid w:val="008020C2"/>
    <w:rsid w:val="0080255C"/>
    <w:rsid w:val="0081187C"/>
    <w:rsid w:val="00811E24"/>
    <w:rsid w:val="00812E2B"/>
    <w:rsid w:val="00813A70"/>
    <w:rsid w:val="00813FE6"/>
    <w:rsid w:val="0081645F"/>
    <w:rsid w:val="008178C2"/>
    <w:rsid w:val="008178CF"/>
    <w:rsid w:val="00817C98"/>
    <w:rsid w:val="00820C9F"/>
    <w:rsid w:val="00821FF6"/>
    <w:rsid w:val="00823AAF"/>
    <w:rsid w:val="00824081"/>
    <w:rsid w:val="0082409A"/>
    <w:rsid w:val="00827181"/>
    <w:rsid w:val="00827746"/>
    <w:rsid w:val="0083143E"/>
    <w:rsid w:val="0083159D"/>
    <w:rsid w:val="008336D8"/>
    <w:rsid w:val="008339C4"/>
    <w:rsid w:val="00834F0A"/>
    <w:rsid w:val="00834FAA"/>
    <w:rsid w:val="00836086"/>
    <w:rsid w:val="00841D9F"/>
    <w:rsid w:val="00842604"/>
    <w:rsid w:val="00843ECF"/>
    <w:rsid w:val="00846673"/>
    <w:rsid w:val="0085281A"/>
    <w:rsid w:val="008559FE"/>
    <w:rsid w:val="00857339"/>
    <w:rsid w:val="00862A7A"/>
    <w:rsid w:val="00863D9E"/>
    <w:rsid w:val="00867E29"/>
    <w:rsid w:val="00870F2B"/>
    <w:rsid w:val="008746E6"/>
    <w:rsid w:val="00876086"/>
    <w:rsid w:val="008768D6"/>
    <w:rsid w:val="008775D1"/>
    <w:rsid w:val="008777BB"/>
    <w:rsid w:val="00877E5D"/>
    <w:rsid w:val="0088733A"/>
    <w:rsid w:val="00891BE0"/>
    <w:rsid w:val="00893302"/>
    <w:rsid w:val="008945A1"/>
    <w:rsid w:val="00894A63"/>
    <w:rsid w:val="00895A54"/>
    <w:rsid w:val="00896916"/>
    <w:rsid w:val="00896BDE"/>
    <w:rsid w:val="008A0861"/>
    <w:rsid w:val="008A0BB2"/>
    <w:rsid w:val="008A1AB3"/>
    <w:rsid w:val="008A1D5C"/>
    <w:rsid w:val="008A3292"/>
    <w:rsid w:val="008A3A85"/>
    <w:rsid w:val="008A43E9"/>
    <w:rsid w:val="008A4CB1"/>
    <w:rsid w:val="008A615E"/>
    <w:rsid w:val="008A632B"/>
    <w:rsid w:val="008A6BFE"/>
    <w:rsid w:val="008B190E"/>
    <w:rsid w:val="008B1A8A"/>
    <w:rsid w:val="008B7306"/>
    <w:rsid w:val="008B775F"/>
    <w:rsid w:val="008B7C02"/>
    <w:rsid w:val="008B7F9E"/>
    <w:rsid w:val="008C0E88"/>
    <w:rsid w:val="008C1AA8"/>
    <w:rsid w:val="008C63FD"/>
    <w:rsid w:val="008C6CB8"/>
    <w:rsid w:val="008C7815"/>
    <w:rsid w:val="008C7A07"/>
    <w:rsid w:val="008D0171"/>
    <w:rsid w:val="008D2A16"/>
    <w:rsid w:val="008D2ECF"/>
    <w:rsid w:val="008D3F3D"/>
    <w:rsid w:val="008E31FF"/>
    <w:rsid w:val="008E5DE6"/>
    <w:rsid w:val="008E6113"/>
    <w:rsid w:val="008E6AB3"/>
    <w:rsid w:val="008E6AD3"/>
    <w:rsid w:val="008E71A6"/>
    <w:rsid w:val="008E77B6"/>
    <w:rsid w:val="008F032E"/>
    <w:rsid w:val="008F0F14"/>
    <w:rsid w:val="008F4FCE"/>
    <w:rsid w:val="008F5301"/>
    <w:rsid w:val="008F7D28"/>
    <w:rsid w:val="009003A8"/>
    <w:rsid w:val="00902CBE"/>
    <w:rsid w:val="00902D74"/>
    <w:rsid w:val="00902EFF"/>
    <w:rsid w:val="00903E06"/>
    <w:rsid w:val="009066E1"/>
    <w:rsid w:val="00907A41"/>
    <w:rsid w:val="009102BD"/>
    <w:rsid w:val="00910F93"/>
    <w:rsid w:val="00914426"/>
    <w:rsid w:val="0091675F"/>
    <w:rsid w:val="00917709"/>
    <w:rsid w:val="00917918"/>
    <w:rsid w:val="00921F14"/>
    <w:rsid w:val="009243A5"/>
    <w:rsid w:val="00926283"/>
    <w:rsid w:val="00937B11"/>
    <w:rsid w:val="00940F1F"/>
    <w:rsid w:val="00941250"/>
    <w:rsid w:val="0094427A"/>
    <w:rsid w:val="009459C5"/>
    <w:rsid w:val="0095013A"/>
    <w:rsid w:val="00953AEF"/>
    <w:rsid w:val="009551E2"/>
    <w:rsid w:val="00955783"/>
    <w:rsid w:val="00955E5F"/>
    <w:rsid w:val="009560B0"/>
    <w:rsid w:val="00957871"/>
    <w:rsid w:val="00964498"/>
    <w:rsid w:val="0096650F"/>
    <w:rsid w:val="009700DB"/>
    <w:rsid w:val="00972263"/>
    <w:rsid w:val="00972D8D"/>
    <w:rsid w:val="00973AAE"/>
    <w:rsid w:val="0097476C"/>
    <w:rsid w:val="00974923"/>
    <w:rsid w:val="00974D48"/>
    <w:rsid w:val="00974D5F"/>
    <w:rsid w:val="009759DF"/>
    <w:rsid w:val="00980621"/>
    <w:rsid w:val="00982072"/>
    <w:rsid w:val="00983ECF"/>
    <w:rsid w:val="00986745"/>
    <w:rsid w:val="00987109"/>
    <w:rsid w:val="0099012D"/>
    <w:rsid w:val="009954FF"/>
    <w:rsid w:val="00996355"/>
    <w:rsid w:val="009A2014"/>
    <w:rsid w:val="009A4E12"/>
    <w:rsid w:val="009A5C68"/>
    <w:rsid w:val="009B04D0"/>
    <w:rsid w:val="009B052C"/>
    <w:rsid w:val="009B0EF2"/>
    <w:rsid w:val="009B23A3"/>
    <w:rsid w:val="009B4B4B"/>
    <w:rsid w:val="009B6FD3"/>
    <w:rsid w:val="009B70BD"/>
    <w:rsid w:val="009C7388"/>
    <w:rsid w:val="009D1551"/>
    <w:rsid w:val="009D2859"/>
    <w:rsid w:val="009D4173"/>
    <w:rsid w:val="009D6095"/>
    <w:rsid w:val="009D6306"/>
    <w:rsid w:val="009E048A"/>
    <w:rsid w:val="009E1FBA"/>
    <w:rsid w:val="009E2C54"/>
    <w:rsid w:val="009E3710"/>
    <w:rsid w:val="009E7B1F"/>
    <w:rsid w:val="009F41C4"/>
    <w:rsid w:val="009F5846"/>
    <w:rsid w:val="009F7D77"/>
    <w:rsid w:val="00A10D66"/>
    <w:rsid w:val="00A1420C"/>
    <w:rsid w:val="00A14821"/>
    <w:rsid w:val="00A2055B"/>
    <w:rsid w:val="00A2253C"/>
    <w:rsid w:val="00A23545"/>
    <w:rsid w:val="00A23A55"/>
    <w:rsid w:val="00A23E43"/>
    <w:rsid w:val="00A24F8C"/>
    <w:rsid w:val="00A262BF"/>
    <w:rsid w:val="00A271AD"/>
    <w:rsid w:val="00A276D5"/>
    <w:rsid w:val="00A30336"/>
    <w:rsid w:val="00A30BB5"/>
    <w:rsid w:val="00A3128F"/>
    <w:rsid w:val="00A326D0"/>
    <w:rsid w:val="00A35287"/>
    <w:rsid w:val="00A378F8"/>
    <w:rsid w:val="00A40B19"/>
    <w:rsid w:val="00A424F8"/>
    <w:rsid w:val="00A437B7"/>
    <w:rsid w:val="00A46DE0"/>
    <w:rsid w:val="00A4778A"/>
    <w:rsid w:val="00A5067F"/>
    <w:rsid w:val="00A55301"/>
    <w:rsid w:val="00A57B3C"/>
    <w:rsid w:val="00A6128E"/>
    <w:rsid w:val="00A62CE1"/>
    <w:rsid w:val="00A631FA"/>
    <w:rsid w:val="00A64203"/>
    <w:rsid w:val="00A64348"/>
    <w:rsid w:val="00A721FB"/>
    <w:rsid w:val="00A727BA"/>
    <w:rsid w:val="00A72D4B"/>
    <w:rsid w:val="00A732AE"/>
    <w:rsid w:val="00A75E40"/>
    <w:rsid w:val="00A77EB2"/>
    <w:rsid w:val="00A82B66"/>
    <w:rsid w:val="00A83B58"/>
    <w:rsid w:val="00A851B6"/>
    <w:rsid w:val="00A85729"/>
    <w:rsid w:val="00A8574B"/>
    <w:rsid w:val="00A857C0"/>
    <w:rsid w:val="00A96463"/>
    <w:rsid w:val="00A97E3F"/>
    <w:rsid w:val="00AA09D3"/>
    <w:rsid w:val="00AA23FB"/>
    <w:rsid w:val="00AA42AB"/>
    <w:rsid w:val="00AA559A"/>
    <w:rsid w:val="00AB104D"/>
    <w:rsid w:val="00AB2AF1"/>
    <w:rsid w:val="00AB440B"/>
    <w:rsid w:val="00AB47E3"/>
    <w:rsid w:val="00AB74C5"/>
    <w:rsid w:val="00AB7DF2"/>
    <w:rsid w:val="00AC1E3F"/>
    <w:rsid w:val="00AC4F18"/>
    <w:rsid w:val="00AD0B46"/>
    <w:rsid w:val="00AD1094"/>
    <w:rsid w:val="00AD2565"/>
    <w:rsid w:val="00AD306C"/>
    <w:rsid w:val="00AD3424"/>
    <w:rsid w:val="00AD50D1"/>
    <w:rsid w:val="00AD59BB"/>
    <w:rsid w:val="00AD5D68"/>
    <w:rsid w:val="00AD6C73"/>
    <w:rsid w:val="00AE06D0"/>
    <w:rsid w:val="00AE39DC"/>
    <w:rsid w:val="00AE3CDA"/>
    <w:rsid w:val="00AE7968"/>
    <w:rsid w:val="00AF128B"/>
    <w:rsid w:val="00AF1AEA"/>
    <w:rsid w:val="00AF2852"/>
    <w:rsid w:val="00AF3225"/>
    <w:rsid w:val="00AF518B"/>
    <w:rsid w:val="00AF5275"/>
    <w:rsid w:val="00AF6367"/>
    <w:rsid w:val="00AF6A79"/>
    <w:rsid w:val="00AF724E"/>
    <w:rsid w:val="00AF73A9"/>
    <w:rsid w:val="00B01C2C"/>
    <w:rsid w:val="00B0231C"/>
    <w:rsid w:val="00B15DCD"/>
    <w:rsid w:val="00B17E71"/>
    <w:rsid w:val="00B17FDE"/>
    <w:rsid w:val="00B208FC"/>
    <w:rsid w:val="00B20C65"/>
    <w:rsid w:val="00B22E17"/>
    <w:rsid w:val="00B27293"/>
    <w:rsid w:val="00B3229E"/>
    <w:rsid w:val="00B32DDB"/>
    <w:rsid w:val="00B35BEA"/>
    <w:rsid w:val="00B3793D"/>
    <w:rsid w:val="00B41BE6"/>
    <w:rsid w:val="00B457E7"/>
    <w:rsid w:val="00B45D1B"/>
    <w:rsid w:val="00B47430"/>
    <w:rsid w:val="00B52D2D"/>
    <w:rsid w:val="00B55F15"/>
    <w:rsid w:val="00B561A6"/>
    <w:rsid w:val="00B60062"/>
    <w:rsid w:val="00B62960"/>
    <w:rsid w:val="00B63A11"/>
    <w:rsid w:val="00B63FD0"/>
    <w:rsid w:val="00B65C84"/>
    <w:rsid w:val="00B6608F"/>
    <w:rsid w:val="00B74317"/>
    <w:rsid w:val="00B76D1E"/>
    <w:rsid w:val="00B822D2"/>
    <w:rsid w:val="00B848B8"/>
    <w:rsid w:val="00B84A41"/>
    <w:rsid w:val="00B84D57"/>
    <w:rsid w:val="00B85689"/>
    <w:rsid w:val="00B86748"/>
    <w:rsid w:val="00B91EC9"/>
    <w:rsid w:val="00B924CA"/>
    <w:rsid w:val="00B93384"/>
    <w:rsid w:val="00B94417"/>
    <w:rsid w:val="00B95940"/>
    <w:rsid w:val="00B95EF8"/>
    <w:rsid w:val="00B95F50"/>
    <w:rsid w:val="00B96BD9"/>
    <w:rsid w:val="00BB2C53"/>
    <w:rsid w:val="00BB32DA"/>
    <w:rsid w:val="00BB3A54"/>
    <w:rsid w:val="00BB4E21"/>
    <w:rsid w:val="00BB7746"/>
    <w:rsid w:val="00BC22EB"/>
    <w:rsid w:val="00BC682B"/>
    <w:rsid w:val="00BC6B04"/>
    <w:rsid w:val="00BD186B"/>
    <w:rsid w:val="00BD3428"/>
    <w:rsid w:val="00BD366B"/>
    <w:rsid w:val="00BD534C"/>
    <w:rsid w:val="00BD56BC"/>
    <w:rsid w:val="00BD5D91"/>
    <w:rsid w:val="00BD6615"/>
    <w:rsid w:val="00BD6D50"/>
    <w:rsid w:val="00BE0D79"/>
    <w:rsid w:val="00BE0DB0"/>
    <w:rsid w:val="00BE3381"/>
    <w:rsid w:val="00BE3F09"/>
    <w:rsid w:val="00BE670A"/>
    <w:rsid w:val="00BE6906"/>
    <w:rsid w:val="00BF18F4"/>
    <w:rsid w:val="00BF1A69"/>
    <w:rsid w:val="00BF3BC8"/>
    <w:rsid w:val="00BF3DF1"/>
    <w:rsid w:val="00BF4C31"/>
    <w:rsid w:val="00BF4E57"/>
    <w:rsid w:val="00C00F20"/>
    <w:rsid w:val="00C034E6"/>
    <w:rsid w:val="00C0784A"/>
    <w:rsid w:val="00C10B28"/>
    <w:rsid w:val="00C10FAE"/>
    <w:rsid w:val="00C12A69"/>
    <w:rsid w:val="00C150BE"/>
    <w:rsid w:val="00C15A0C"/>
    <w:rsid w:val="00C15DCB"/>
    <w:rsid w:val="00C1711F"/>
    <w:rsid w:val="00C20744"/>
    <w:rsid w:val="00C20C4D"/>
    <w:rsid w:val="00C21D46"/>
    <w:rsid w:val="00C21F94"/>
    <w:rsid w:val="00C222A1"/>
    <w:rsid w:val="00C23D22"/>
    <w:rsid w:val="00C24E77"/>
    <w:rsid w:val="00C2732D"/>
    <w:rsid w:val="00C273C6"/>
    <w:rsid w:val="00C27913"/>
    <w:rsid w:val="00C300C6"/>
    <w:rsid w:val="00C3271C"/>
    <w:rsid w:val="00C34FDE"/>
    <w:rsid w:val="00C35C16"/>
    <w:rsid w:val="00C41463"/>
    <w:rsid w:val="00C41A72"/>
    <w:rsid w:val="00C476C5"/>
    <w:rsid w:val="00C503B0"/>
    <w:rsid w:val="00C511C2"/>
    <w:rsid w:val="00C53D82"/>
    <w:rsid w:val="00C60696"/>
    <w:rsid w:val="00C615F1"/>
    <w:rsid w:val="00C61627"/>
    <w:rsid w:val="00C64E60"/>
    <w:rsid w:val="00C657A4"/>
    <w:rsid w:val="00C6736C"/>
    <w:rsid w:val="00C71A1D"/>
    <w:rsid w:val="00C75C7E"/>
    <w:rsid w:val="00C75C9B"/>
    <w:rsid w:val="00C76D8E"/>
    <w:rsid w:val="00C77833"/>
    <w:rsid w:val="00C80C9B"/>
    <w:rsid w:val="00C8335E"/>
    <w:rsid w:val="00C83F9C"/>
    <w:rsid w:val="00C84CE3"/>
    <w:rsid w:val="00C85614"/>
    <w:rsid w:val="00C90CF4"/>
    <w:rsid w:val="00C91C19"/>
    <w:rsid w:val="00C929A0"/>
    <w:rsid w:val="00C93389"/>
    <w:rsid w:val="00C937DB"/>
    <w:rsid w:val="00C94519"/>
    <w:rsid w:val="00C94E83"/>
    <w:rsid w:val="00CA140F"/>
    <w:rsid w:val="00CA25C2"/>
    <w:rsid w:val="00CA37CA"/>
    <w:rsid w:val="00CA6508"/>
    <w:rsid w:val="00CA6BA1"/>
    <w:rsid w:val="00CA6CD5"/>
    <w:rsid w:val="00CB1910"/>
    <w:rsid w:val="00CB2150"/>
    <w:rsid w:val="00CB28EE"/>
    <w:rsid w:val="00CB43A7"/>
    <w:rsid w:val="00CB5996"/>
    <w:rsid w:val="00CB7452"/>
    <w:rsid w:val="00CC0E10"/>
    <w:rsid w:val="00CC2642"/>
    <w:rsid w:val="00CC2E15"/>
    <w:rsid w:val="00CC3908"/>
    <w:rsid w:val="00CC62AD"/>
    <w:rsid w:val="00CC7B80"/>
    <w:rsid w:val="00CD2B3C"/>
    <w:rsid w:val="00CD30F6"/>
    <w:rsid w:val="00CD4B29"/>
    <w:rsid w:val="00CD6EF1"/>
    <w:rsid w:val="00CE21C7"/>
    <w:rsid w:val="00CE57D8"/>
    <w:rsid w:val="00CE617A"/>
    <w:rsid w:val="00CF28C2"/>
    <w:rsid w:val="00CF42BD"/>
    <w:rsid w:val="00CF51EC"/>
    <w:rsid w:val="00CF6CD7"/>
    <w:rsid w:val="00D0037A"/>
    <w:rsid w:val="00D00DAF"/>
    <w:rsid w:val="00D017EC"/>
    <w:rsid w:val="00D01CDA"/>
    <w:rsid w:val="00D040DD"/>
    <w:rsid w:val="00D04E1B"/>
    <w:rsid w:val="00D076DB"/>
    <w:rsid w:val="00D1067C"/>
    <w:rsid w:val="00D136D4"/>
    <w:rsid w:val="00D13ECF"/>
    <w:rsid w:val="00D142E5"/>
    <w:rsid w:val="00D148CD"/>
    <w:rsid w:val="00D1611E"/>
    <w:rsid w:val="00D16E69"/>
    <w:rsid w:val="00D205A9"/>
    <w:rsid w:val="00D217EE"/>
    <w:rsid w:val="00D26923"/>
    <w:rsid w:val="00D27856"/>
    <w:rsid w:val="00D30740"/>
    <w:rsid w:val="00D31075"/>
    <w:rsid w:val="00D31445"/>
    <w:rsid w:val="00D31932"/>
    <w:rsid w:val="00D345F9"/>
    <w:rsid w:val="00D378CC"/>
    <w:rsid w:val="00D4042C"/>
    <w:rsid w:val="00D42312"/>
    <w:rsid w:val="00D43998"/>
    <w:rsid w:val="00D4615E"/>
    <w:rsid w:val="00D478E2"/>
    <w:rsid w:val="00D5264C"/>
    <w:rsid w:val="00D547BA"/>
    <w:rsid w:val="00D55626"/>
    <w:rsid w:val="00D556BC"/>
    <w:rsid w:val="00D5626D"/>
    <w:rsid w:val="00D60277"/>
    <w:rsid w:val="00D61F88"/>
    <w:rsid w:val="00D62901"/>
    <w:rsid w:val="00D6470C"/>
    <w:rsid w:val="00D64853"/>
    <w:rsid w:val="00D64CB5"/>
    <w:rsid w:val="00D66D48"/>
    <w:rsid w:val="00D73256"/>
    <w:rsid w:val="00D73A30"/>
    <w:rsid w:val="00D74C65"/>
    <w:rsid w:val="00D75DC2"/>
    <w:rsid w:val="00D82462"/>
    <w:rsid w:val="00D868CE"/>
    <w:rsid w:val="00D86DAE"/>
    <w:rsid w:val="00D90C1E"/>
    <w:rsid w:val="00D91BDF"/>
    <w:rsid w:val="00D93F09"/>
    <w:rsid w:val="00D954C2"/>
    <w:rsid w:val="00D97BB8"/>
    <w:rsid w:val="00DA1318"/>
    <w:rsid w:val="00DA1382"/>
    <w:rsid w:val="00DA4AF6"/>
    <w:rsid w:val="00DB016E"/>
    <w:rsid w:val="00DB06E9"/>
    <w:rsid w:val="00DB378E"/>
    <w:rsid w:val="00DB3E9D"/>
    <w:rsid w:val="00DB47B9"/>
    <w:rsid w:val="00DB4FB8"/>
    <w:rsid w:val="00DB53CE"/>
    <w:rsid w:val="00DB549D"/>
    <w:rsid w:val="00DC257F"/>
    <w:rsid w:val="00DC408A"/>
    <w:rsid w:val="00DC5B3B"/>
    <w:rsid w:val="00DC6796"/>
    <w:rsid w:val="00DC78DF"/>
    <w:rsid w:val="00DD0821"/>
    <w:rsid w:val="00DD0E32"/>
    <w:rsid w:val="00DD373E"/>
    <w:rsid w:val="00DD57AD"/>
    <w:rsid w:val="00DE009B"/>
    <w:rsid w:val="00DE2ED9"/>
    <w:rsid w:val="00DE319A"/>
    <w:rsid w:val="00DF0DC3"/>
    <w:rsid w:val="00DF21FD"/>
    <w:rsid w:val="00DF2873"/>
    <w:rsid w:val="00DF5578"/>
    <w:rsid w:val="00DF7FEC"/>
    <w:rsid w:val="00E01C0E"/>
    <w:rsid w:val="00E03B27"/>
    <w:rsid w:val="00E04694"/>
    <w:rsid w:val="00E05B2B"/>
    <w:rsid w:val="00E06A2A"/>
    <w:rsid w:val="00E07F05"/>
    <w:rsid w:val="00E127E1"/>
    <w:rsid w:val="00E144D2"/>
    <w:rsid w:val="00E15346"/>
    <w:rsid w:val="00E15B7D"/>
    <w:rsid w:val="00E215EA"/>
    <w:rsid w:val="00E24619"/>
    <w:rsid w:val="00E25223"/>
    <w:rsid w:val="00E30BEA"/>
    <w:rsid w:val="00E31764"/>
    <w:rsid w:val="00E34E4A"/>
    <w:rsid w:val="00E365B3"/>
    <w:rsid w:val="00E366BB"/>
    <w:rsid w:val="00E37C45"/>
    <w:rsid w:val="00E40AAA"/>
    <w:rsid w:val="00E438CF"/>
    <w:rsid w:val="00E43C41"/>
    <w:rsid w:val="00E450CE"/>
    <w:rsid w:val="00E45A00"/>
    <w:rsid w:val="00E45CE7"/>
    <w:rsid w:val="00E4631F"/>
    <w:rsid w:val="00E522BB"/>
    <w:rsid w:val="00E539E4"/>
    <w:rsid w:val="00E569C7"/>
    <w:rsid w:val="00E571F2"/>
    <w:rsid w:val="00E57429"/>
    <w:rsid w:val="00E70510"/>
    <w:rsid w:val="00E71262"/>
    <w:rsid w:val="00E71A58"/>
    <w:rsid w:val="00E7724B"/>
    <w:rsid w:val="00E84F21"/>
    <w:rsid w:val="00E921C7"/>
    <w:rsid w:val="00E92995"/>
    <w:rsid w:val="00E94612"/>
    <w:rsid w:val="00E95797"/>
    <w:rsid w:val="00E9682F"/>
    <w:rsid w:val="00E96A8D"/>
    <w:rsid w:val="00E972BA"/>
    <w:rsid w:val="00E97FA2"/>
    <w:rsid w:val="00EA06CB"/>
    <w:rsid w:val="00EA0C68"/>
    <w:rsid w:val="00EA3EBE"/>
    <w:rsid w:val="00EA3FAC"/>
    <w:rsid w:val="00EA4153"/>
    <w:rsid w:val="00EA5CD6"/>
    <w:rsid w:val="00EB20A0"/>
    <w:rsid w:val="00EB30B6"/>
    <w:rsid w:val="00EB4FA4"/>
    <w:rsid w:val="00EB5146"/>
    <w:rsid w:val="00EB55E9"/>
    <w:rsid w:val="00EB5641"/>
    <w:rsid w:val="00EB5CA9"/>
    <w:rsid w:val="00EB5ED4"/>
    <w:rsid w:val="00EB6537"/>
    <w:rsid w:val="00EB70E1"/>
    <w:rsid w:val="00EB7EB5"/>
    <w:rsid w:val="00EC454B"/>
    <w:rsid w:val="00EC6153"/>
    <w:rsid w:val="00EC7F92"/>
    <w:rsid w:val="00ED00A8"/>
    <w:rsid w:val="00ED0A79"/>
    <w:rsid w:val="00ED2989"/>
    <w:rsid w:val="00ED2CA5"/>
    <w:rsid w:val="00ED336F"/>
    <w:rsid w:val="00ED54D6"/>
    <w:rsid w:val="00ED5726"/>
    <w:rsid w:val="00EE0298"/>
    <w:rsid w:val="00EE0384"/>
    <w:rsid w:val="00EE10AA"/>
    <w:rsid w:val="00EE1637"/>
    <w:rsid w:val="00EE3B7A"/>
    <w:rsid w:val="00EE3E78"/>
    <w:rsid w:val="00EE5E02"/>
    <w:rsid w:val="00EE617D"/>
    <w:rsid w:val="00EE61BF"/>
    <w:rsid w:val="00EE6748"/>
    <w:rsid w:val="00EE6C6B"/>
    <w:rsid w:val="00EF0E75"/>
    <w:rsid w:val="00EF1F5A"/>
    <w:rsid w:val="00EF4685"/>
    <w:rsid w:val="00EF5397"/>
    <w:rsid w:val="00EF6BE3"/>
    <w:rsid w:val="00F00D0E"/>
    <w:rsid w:val="00F00D3C"/>
    <w:rsid w:val="00F04811"/>
    <w:rsid w:val="00F0488C"/>
    <w:rsid w:val="00F0496E"/>
    <w:rsid w:val="00F04D10"/>
    <w:rsid w:val="00F0625B"/>
    <w:rsid w:val="00F101FF"/>
    <w:rsid w:val="00F10A33"/>
    <w:rsid w:val="00F15BEF"/>
    <w:rsid w:val="00F172BE"/>
    <w:rsid w:val="00F1776C"/>
    <w:rsid w:val="00F2037E"/>
    <w:rsid w:val="00F20D17"/>
    <w:rsid w:val="00F2103E"/>
    <w:rsid w:val="00F214FC"/>
    <w:rsid w:val="00F21C31"/>
    <w:rsid w:val="00F23FFF"/>
    <w:rsid w:val="00F2441D"/>
    <w:rsid w:val="00F24FAA"/>
    <w:rsid w:val="00F255F9"/>
    <w:rsid w:val="00F26197"/>
    <w:rsid w:val="00F318FC"/>
    <w:rsid w:val="00F31F76"/>
    <w:rsid w:val="00F3364D"/>
    <w:rsid w:val="00F35ACD"/>
    <w:rsid w:val="00F36BF8"/>
    <w:rsid w:val="00F37760"/>
    <w:rsid w:val="00F403D1"/>
    <w:rsid w:val="00F43921"/>
    <w:rsid w:val="00F4591F"/>
    <w:rsid w:val="00F4736B"/>
    <w:rsid w:val="00F47D05"/>
    <w:rsid w:val="00F50030"/>
    <w:rsid w:val="00F51FC9"/>
    <w:rsid w:val="00F54B31"/>
    <w:rsid w:val="00F54FD3"/>
    <w:rsid w:val="00F63DDE"/>
    <w:rsid w:val="00F63FB7"/>
    <w:rsid w:val="00F64726"/>
    <w:rsid w:val="00F6561A"/>
    <w:rsid w:val="00F727D5"/>
    <w:rsid w:val="00F72F44"/>
    <w:rsid w:val="00F73A0C"/>
    <w:rsid w:val="00F759DC"/>
    <w:rsid w:val="00F771A5"/>
    <w:rsid w:val="00F81C3A"/>
    <w:rsid w:val="00F835FC"/>
    <w:rsid w:val="00F83E21"/>
    <w:rsid w:val="00F84E18"/>
    <w:rsid w:val="00F852E5"/>
    <w:rsid w:val="00F95117"/>
    <w:rsid w:val="00FA05D7"/>
    <w:rsid w:val="00FA1C6C"/>
    <w:rsid w:val="00FA2C2A"/>
    <w:rsid w:val="00FA309A"/>
    <w:rsid w:val="00FA7644"/>
    <w:rsid w:val="00FB0A9A"/>
    <w:rsid w:val="00FB483B"/>
    <w:rsid w:val="00FB56F1"/>
    <w:rsid w:val="00FB5FD4"/>
    <w:rsid w:val="00FB67F3"/>
    <w:rsid w:val="00FC0D8A"/>
    <w:rsid w:val="00FC0E5F"/>
    <w:rsid w:val="00FC135D"/>
    <w:rsid w:val="00FC3C84"/>
    <w:rsid w:val="00FC4660"/>
    <w:rsid w:val="00FC56DE"/>
    <w:rsid w:val="00FD1261"/>
    <w:rsid w:val="00FD1627"/>
    <w:rsid w:val="00FD473D"/>
    <w:rsid w:val="00FD61C8"/>
    <w:rsid w:val="00FD63CE"/>
    <w:rsid w:val="00FD7D49"/>
    <w:rsid w:val="00FE1251"/>
    <w:rsid w:val="00FE2F78"/>
    <w:rsid w:val="00FE3510"/>
    <w:rsid w:val="00FE375F"/>
    <w:rsid w:val="00FE4FCB"/>
    <w:rsid w:val="00FF28E0"/>
    <w:rsid w:val="00FF2FB4"/>
    <w:rsid w:val="00FF30B3"/>
    <w:rsid w:val="00FF3DF3"/>
    <w:rsid w:val="00FF4027"/>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s>
</file>

<file path=word/webSettings.xml><?xml version="1.0" encoding="utf-8"?>
<w:webSettings xmlns:r="http://schemas.openxmlformats.org/officeDocument/2006/relationships" xmlns:w="http://schemas.openxmlformats.org/wordprocessingml/2006/main">
  <w:divs>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List_aplikace_Microsoft_Office_Excel_97-20032.xls"/><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List_aplikace_Microsoft_Office_Excel_97-20031.xls"/><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D196DB-7F05-47BF-85F4-57FBB0A68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bar_vicetematicke.dot</Template>
  <TotalTime>18</TotalTime>
  <Pages>2</Pages>
  <Words>1181</Words>
  <Characters>6669</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dubska1552</cp:lastModifiedBy>
  <cp:revision>7</cp:revision>
  <cp:lastPrinted>2015-06-19T06:21:00Z</cp:lastPrinted>
  <dcterms:created xsi:type="dcterms:W3CDTF">2015-06-19T08:08:00Z</dcterms:created>
  <dcterms:modified xsi:type="dcterms:W3CDTF">2015-06-19T08:50:00Z</dcterms:modified>
</cp:coreProperties>
</file>