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6B2EFD">
      <w:pPr>
        <w:pStyle w:val="Nadpis1"/>
        <w:numPr>
          <w:ilvl w:val="0"/>
          <w:numId w:val="6"/>
        </w:numPr>
        <w:jc w:val="both"/>
      </w:pPr>
      <w:bookmarkStart w:id="0" w:name="_Toc422471568"/>
      <w:r>
        <w:t>Vnější ekonomické vztahy</w:t>
      </w:r>
      <w:bookmarkEnd w:id="0"/>
    </w:p>
    <w:tbl>
      <w:tblPr>
        <w:tblW w:w="5087" w:type="pct"/>
        <w:tblInd w:w="-84" w:type="dxa"/>
        <w:tblCellMar>
          <w:left w:w="28" w:type="dxa"/>
          <w:right w:w="28" w:type="dxa"/>
        </w:tblCellMar>
        <w:tblLook w:val="00A0"/>
      </w:tblPr>
      <w:tblGrid>
        <w:gridCol w:w="42"/>
        <w:gridCol w:w="30"/>
        <w:gridCol w:w="907"/>
        <w:gridCol w:w="1069"/>
        <w:gridCol w:w="32"/>
        <w:gridCol w:w="219"/>
        <w:gridCol w:w="53"/>
        <w:gridCol w:w="2454"/>
        <w:gridCol w:w="1016"/>
        <w:gridCol w:w="3943"/>
        <w:gridCol w:w="55"/>
        <w:gridCol w:w="43"/>
      </w:tblGrid>
      <w:tr w:rsidR="00576A3E" w:rsidRPr="00632171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Příznivé výsledky vnějších ekonomických vztahů ČR se projevily vysokým přebytkem na běžném </w:t>
            </w:r>
            <w:proofErr w:type="gramStart"/>
            <w:r>
              <w:rPr>
                <w:color w:val="000000"/>
                <w:sz w:val="16"/>
                <w:szCs w:val="16"/>
              </w:rPr>
              <w:t>účtu  platební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bilance</w:t>
            </w:r>
            <w:r w:rsidR="004F435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8" w:type="pct"/>
            <w:gridSpan w:val="2"/>
          </w:tcPr>
          <w:p w:rsidR="00576A3E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Default="00AB47E3" w:rsidP="00602D1D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Překonávání</w:t>
            </w:r>
            <w:r w:rsidR="00576A3E">
              <w:rPr>
                <w:color w:val="000000"/>
                <w:spacing w:val="-2"/>
              </w:rPr>
              <w:t xml:space="preserve"> rekordů v pozitivních výsledcích vnějších ekonomických vztahů ČR měřených prostřednictvím toků peněz na běžném účtu platební bilance pokračovalo i v 1. čtvrtletí 2015. První čtvrtletí sice vykazují v ČR přebytky pravidelně od roku 2005 - vlivem skutečnosti, že odliv výnosů (dividend) způsobující deficity bývá v prvních třech měsících roku zpravidla nižší. Přebytek na běžném účtu v 1. čtvrtletí 2015 byl však dosud největší - dosáhl 91,5 mld. korun, což představovalo 8,8 % nominálního HDP na čtvrtletní bázi a</w:t>
            </w:r>
            <w:r>
              <w:rPr>
                <w:color w:val="000000"/>
                <w:spacing w:val="-2"/>
              </w:rPr>
              <w:t xml:space="preserve"> 0,8 % </w:t>
            </w:r>
            <w:proofErr w:type="spellStart"/>
            <w:r>
              <w:rPr>
                <w:color w:val="000000"/>
                <w:spacing w:val="-2"/>
              </w:rPr>
              <w:t>a</w:t>
            </w:r>
            <w:r w:rsidR="00576A3E">
              <w:rPr>
                <w:color w:val="000000"/>
                <w:spacing w:val="-2"/>
              </w:rPr>
              <w:t>nualizovaně</w:t>
            </w:r>
            <w:proofErr w:type="spellEnd"/>
            <w:r w:rsidR="00576A3E">
              <w:rPr>
                <w:color w:val="000000"/>
                <w:spacing w:val="-2"/>
              </w:rPr>
              <w:t xml:space="preserve">.  </w:t>
            </w:r>
          </w:p>
          <w:p w:rsidR="00576A3E" w:rsidRPr="006B2EFD" w:rsidRDefault="00576A3E" w:rsidP="00444C19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576A3E" w:rsidRPr="00B45D1B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602D1D">
              <w:rPr>
                <w:color w:val="000000"/>
                <w:sz w:val="16"/>
                <w:szCs w:val="16"/>
              </w:rPr>
              <w:t xml:space="preserve">... </w:t>
            </w:r>
            <w:r>
              <w:rPr>
                <w:color w:val="000000"/>
                <w:sz w:val="16"/>
                <w:szCs w:val="16"/>
              </w:rPr>
              <w:t>a</w:t>
            </w:r>
            <w:r w:rsidRPr="00602D1D">
              <w:rPr>
                <w:color w:val="000000"/>
                <w:sz w:val="16"/>
                <w:szCs w:val="16"/>
              </w:rPr>
              <w:t xml:space="preserve"> rekordní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byl i </w:t>
            </w:r>
            <w:r w:rsidR="004F4353">
              <w:rPr>
                <w:color w:val="000000"/>
                <w:sz w:val="16"/>
                <w:szCs w:val="16"/>
              </w:rPr>
              <w:t>přebytek</w:t>
            </w:r>
            <w:r>
              <w:rPr>
                <w:color w:val="000000"/>
                <w:sz w:val="16"/>
                <w:szCs w:val="16"/>
              </w:rPr>
              <w:t xml:space="preserve"> na kapitálovém účtu, který spolu s přebytkem běžného účtu stačil financovat deficit účtu finančního </w:t>
            </w:r>
          </w:p>
        </w:tc>
        <w:tc>
          <w:tcPr>
            <w:tcW w:w="138" w:type="pct"/>
            <w:gridSpan w:val="2"/>
          </w:tcPr>
          <w:p w:rsidR="00576A3E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Pr="005E52EF" w:rsidRDefault="00576A3E" w:rsidP="00602D1D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Historicky nejvyšší bylo i kladné saldo </w:t>
            </w:r>
            <w:r w:rsidR="004F4353">
              <w:rPr>
                <w:color w:val="000000"/>
                <w:spacing w:val="-2"/>
              </w:rPr>
              <w:t>na kapitálovém účtu ve výši 30,6</w:t>
            </w:r>
            <w:r>
              <w:rPr>
                <w:color w:val="000000"/>
                <w:spacing w:val="-2"/>
              </w:rPr>
              <w:t xml:space="preserve"> mld. korun. Jeho přebytky jsou patrné od roku 2004. Finanční účet však skončil vůbec nejhlubším deficitem v historii prvních čtvrtletí, když odliv peněz ze země v podobě zahraničních aktiv českých subjektů (113,5 mld.) výrazně převýšil jejich příliv (16,6 mld. korun).</w:t>
            </w:r>
            <w:r w:rsidR="006D142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Nakonec však úhrnný přebytek běžného a kapitálového účtu ve výši 122,1 mld. převyšující vysoce deficitní účet finanční (-96,8 mld.) způsobil, že vnější rovnováha ČR zůstala velmi příznivá. Čisté chyby a opomenutí byly v platební bilanci vyčísleny na 25,3 mld. korun. </w:t>
            </w:r>
          </w:p>
          <w:p w:rsidR="00576A3E" w:rsidRPr="006D142E" w:rsidRDefault="00576A3E" w:rsidP="00602D1D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576A3E" w:rsidRPr="00B45D1B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Výsledek zahraničního obchodu byl zhruba stejný jako v 1. čtvrtletí 2014; tradičně negativně působil odliv dividend, pozitivně pak „mzdové saldo“ ve vztahu k zahraničí</w:t>
            </w:r>
            <w:r w:rsidRPr="00602D1D">
              <w:rPr>
                <w:color w:val="000000"/>
                <w:sz w:val="16"/>
                <w:szCs w:val="16"/>
              </w:rPr>
              <w:t xml:space="preserve"> </w:t>
            </w:r>
          </w:p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</w:tcPr>
          <w:p w:rsidR="00576A3E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Default="00576A3E" w:rsidP="00ED00A8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Zahraniční obchod se zbožím a službami - ve výsledku zhruba stejném jako byl přebytek v 1. čtvrtl</w:t>
            </w:r>
            <w:r w:rsidR="0076359D">
              <w:rPr>
                <w:color w:val="000000"/>
                <w:spacing w:val="-2"/>
              </w:rPr>
              <w:t>etí 2014, tj. +96,7 mld. oproti</w:t>
            </w:r>
            <w:r w:rsidR="004F4353">
              <w:rPr>
                <w:color w:val="000000"/>
                <w:spacing w:val="-2"/>
              </w:rPr>
              <w:t xml:space="preserve"> +97,8 mld. korun</w:t>
            </w:r>
            <w:r>
              <w:rPr>
                <w:color w:val="000000"/>
                <w:spacing w:val="-2"/>
              </w:rPr>
              <w:t xml:space="preserve"> - měl spolu s převahou příjmů nad výdaji také u druhotných důchodů zásluhu na dosaženém vysokém přebytku běžného účtu platební bilance ČR. Příjmy převážily nad výdaji významně v případě telekomunikačních služeb, o 7 mld., stavebních prací o 2,6 mld., v dopravě o 2,4 mld. a cestovním ruchu o 4,6 mld. korun. Naopak v pojišťovacích službách ČR více peněž do zahraničí </w:t>
            </w:r>
            <w:proofErr w:type="gramStart"/>
            <w:r>
              <w:rPr>
                <w:color w:val="000000"/>
                <w:spacing w:val="-2"/>
              </w:rPr>
              <w:t>vydala než</w:t>
            </w:r>
            <w:proofErr w:type="gramEnd"/>
            <w:r>
              <w:rPr>
                <w:color w:val="000000"/>
                <w:spacing w:val="-2"/>
              </w:rPr>
              <w:t xml:space="preserve"> přijala (o 3,1 mld. korun). </w:t>
            </w:r>
          </w:p>
          <w:p w:rsidR="00576A3E" w:rsidRPr="0054516B" w:rsidRDefault="00576A3E" w:rsidP="00ED00A8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  <w:p w:rsidR="00576A3E" w:rsidRDefault="00576A3E" w:rsidP="005C16CB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Co naopak přebytkový běžný účet snižovalo, byl </w:t>
            </w:r>
            <w:r w:rsidR="004F4353">
              <w:rPr>
                <w:color w:val="000000"/>
                <w:spacing w:val="-2"/>
              </w:rPr>
              <w:t xml:space="preserve">čistý </w:t>
            </w:r>
            <w:r>
              <w:rPr>
                <w:color w:val="000000"/>
                <w:spacing w:val="-2"/>
              </w:rPr>
              <w:t xml:space="preserve">odliv dividend (-51,1 mld. korun). „Mzdové saldo“ ukázalo opětovné převýšení příjmů z práce rezidentů v zahraničí (10,4 mld.) nad výdaji za práci cizinců v ČR (4,3 mld. korun). Spolu s výsledky ostatních položek prvotních důchodů byly prvotní důchody na běžném účtu deficitní ve výši 19,1 mld. korun. </w:t>
            </w:r>
          </w:p>
          <w:p w:rsidR="00576A3E" w:rsidRPr="006B2EFD" w:rsidRDefault="00576A3E" w:rsidP="00ED00A8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576A3E" w:rsidRPr="006F1326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Přímé zahra</w:t>
            </w:r>
            <w:r w:rsidR="004F4353">
              <w:rPr>
                <w:color w:val="000000"/>
                <w:sz w:val="16"/>
                <w:szCs w:val="16"/>
              </w:rPr>
              <w:t>niční investice do ČR zklamaly,…</w:t>
            </w:r>
          </w:p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2D1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  <w:gridSpan w:val="2"/>
          </w:tcPr>
          <w:p w:rsidR="00576A3E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Default="00576A3E" w:rsidP="005C16CB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Nepříznivý čtvrtletní výsledek na finanční</w:t>
            </w:r>
            <w:r w:rsidR="004F4353">
              <w:rPr>
                <w:color w:val="000000"/>
                <w:spacing w:val="-2"/>
              </w:rPr>
              <w:t>m</w:t>
            </w:r>
            <w:r>
              <w:rPr>
                <w:color w:val="000000"/>
                <w:spacing w:val="-2"/>
              </w:rPr>
              <w:t xml:space="preserve"> účtu platebním bilance ovlivnily pohyby v přímých investicích. Tentokrát sice nebyl vztah mezi objemem přímých investic ČR v zahraničí na jedné straně (10,4 mld.) a zahraničních investic </w:t>
            </w:r>
            <w:r w:rsidR="004F4353">
              <w:rPr>
                <w:color w:val="000000"/>
                <w:spacing w:val="-2"/>
              </w:rPr>
              <w:t>v tuzemsku na straně druhé (25,6</w:t>
            </w:r>
            <w:r>
              <w:rPr>
                <w:color w:val="000000"/>
                <w:spacing w:val="-2"/>
              </w:rPr>
              <w:t xml:space="preserve"> mld. korun) vychýlen výrazně v neprospěch českých investic v cizině. Netypických změn ale doznaly přímé investice do ČR - zahraniční vlastníci sice svůj kapitál stahovali do domovských zemí (-12,7 mld.), ale posílili výrazně i zisky ponechané v ČR k dalším investicím (+27 mld. korun). Také podstatně více než dřív úvěrovali své tuzemské dceřiné společnosti (+11,3 mld. korun). V porovnání s prvními čtvrtletími předchozích tří let tak byl efekt přímých zahraničních investic do ČR co do výsledku nejslabší. </w:t>
            </w:r>
          </w:p>
          <w:p w:rsidR="00576A3E" w:rsidRPr="005C16CB" w:rsidRDefault="00576A3E" w:rsidP="005C16CB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  <w:p w:rsidR="00576A3E" w:rsidRDefault="00576A3E" w:rsidP="00602D1D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Naopak české přímé investice v zahraničí byly co do kapitálových vstupů i reinvestovaných zisků zhruba vyvážené, v úvěrech jejich zahraničním dceřiným společnostem převážily splátky. </w:t>
            </w:r>
          </w:p>
          <w:p w:rsidR="00576A3E" w:rsidRPr="006D142E" w:rsidRDefault="00576A3E" w:rsidP="005C16CB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576A3E" w:rsidRPr="00444268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 větší odliv </w:t>
            </w:r>
            <w:r w:rsidR="004F4353">
              <w:rPr>
                <w:color w:val="000000"/>
                <w:sz w:val="16"/>
                <w:szCs w:val="16"/>
              </w:rPr>
              <w:t>peněz než jejich příliv byl</w:t>
            </w:r>
            <w:r>
              <w:rPr>
                <w:color w:val="000000"/>
                <w:sz w:val="16"/>
                <w:szCs w:val="16"/>
              </w:rPr>
              <w:t xml:space="preserve"> patrný u portfoliových investic a zejména u ostatních investic </w:t>
            </w:r>
          </w:p>
        </w:tc>
        <w:tc>
          <w:tcPr>
            <w:tcW w:w="138" w:type="pct"/>
            <w:gridSpan w:val="2"/>
          </w:tcPr>
          <w:p w:rsidR="00576A3E" w:rsidRPr="00B45D1B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Default="00576A3E" w:rsidP="00ED00A8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Finanční účet zhoršily i portfoliové invest</w:t>
            </w:r>
            <w:r w:rsidR="004F4353">
              <w:rPr>
                <w:color w:val="000000"/>
                <w:spacing w:val="-4"/>
              </w:rPr>
              <w:t>ice, neboť čistý odliv peněz ze země</w:t>
            </w:r>
            <w:r>
              <w:rPr>
                <w:color w:val="000000"/>
                <w:spacing w:val="-4"/>
              </w:rPr>
              <w:t xml:space="preserve"> (43 mld.) byl větší než jejich čistý příliv (29,2 mld. korun). Neplatilo to však pro</w:t>
            </w:r>
            <w:r w:rsidR="004F4353">
              <w:rPr>
                <w:color w:val="000000"/>
                <w:spacing w:val="-4"/>
              </w:rPr>
              <w:t xml:space="preserve"> samotné</w:t>
            </w:r>
            <w:r>
              <w:rPr>
                <w:color w:val="000000"/>
                <w:spacing w:val="-4"/>
              </w:rPr>
              <w:t xml:space="preserve"> dluhopisy - </w:t>
            </w:r>
            <w:proofErr w:type="spellStart"/>
            <w:r>
              <w:rPr>
                <w:color w:val="000000"/>
                <w:spacing w:val="-4"/>
              </w:rPr>
              <w:t>nerezidenti</w:t>
            </w:r>
            <w:proofErr w:type="spellEnd"/>
            <w:r>
              <w:rPr>
                <w:color w:val="000000"/>
                <w:spacing w:val="-4"/>
              </w:rPr>
              <w:t xml:space="preserve"> jich nakoupili v tuzemsku v čistém za 29 mld., rezidenti pak v zahraničí v úhrnu za 20,3 mld. korun.  </w:t>
            </w:r>
          </w:p>
          <w:p w:rsidR="00576A3E" w:rsidRPr="00C85614" w:rsidRDefault="00576A3E" w:rsidP="00ED00A8">
            <w:pPr>
              <w:pStyle w:val="Textpoznpodarou"/>
              <w:jc w:val="both"/>
              <w:rPr>
                <w:color w:val="000000"/>
                <w:spacing w:val="-4"/>
                <w:sz w:val="12"/>
                <w:szCs w:val="12"/>
              </w:rPr>
            </w:pPr>
          </w:p>
          <w:p w:rsidR="00576A3E" w:rsidRDefault="00576A3E" w:rsidP="00602D1D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Největší dopad na hluboký deficit finančního účtu měly toky ostatních investic.  Jejich prostřednictvím odešlo</w:t>
            </w:r>
            <w:r w:rsidR="004F4353">
              <w:rPr>
                <w:color w:val="000000"/>
                <w:spacing w:val="-4"/>
              </w:rPr>
              <w:t xml:space="preserve"> ze země 60,8</w:t>
            </w:r>
            <w:r>
              <w:rPr>
                <w:color w:val="000000"/>
                <w:spacing w:val="-4"/>
              </w:rPr>
              <w:t xml:space="preserve"> mld. korun, a to jak v aktivech tuzemských subjektů (32,3 mld. v čistém), tak i v operacích nerezidentů, kteří v čisté</w:t>
            </w:r>
            <w:r w:rsidR="004F4353">
              <w:rPr>
                <w:color w:val="000000"/>
                <w:spacing w:val="-4"/>
              </w:rPr>
              <w:t xml:space="preserve">m </w:t>
            </w:r>
            <w:proofErr w:type="gramStart"/>
            <w:r w:rsidR="004F4353">
              <w:rPr>
                <w:color w:val="000000"/>
                <w:spacing w:val="-4"/>
              </w:rPr>
              <w:t>své</w:t>
            </w:r>
            <w:proofErr w:type="gramEnd"/>
            <w:r w:rsidR="004F4353">
              <w:rPr>
                <w:color w:val="000000"/>
                <w:spacing w:val="-4"/>
              </w:rPr>
              <w:t xml:space="preserve"> peníze z ČR stahovali (-28</w:t>
            </w:r>
            <w:r>
              <w:rPr>
                <w:color w:val="000000"/>
                <w:spacing w:val="-4"/>
              </w:rPr>
              <w:t>,5 mld. korun).</w:t>
            </w:r>
          </w:p>
          <w:p w:rsidR="00576A3E" w:rsidRPr="000F401E" w:rsidRDefault="00576A3E" w:rsidP="00C85614">
            <w:pPr>
              <w:pStyle w:val="Textpoznpodarou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576A3E" w:rsidRPr="00E06A2A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Pr="00602D1D" w:rsidRDefault="00576A3E" w:rsidP="00AC1E3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Export zboží podle dat v národním pojetí stoupl meziročně o 7,9 %, tj. méně než před rokem </w:t>
            </w:r>
            <w:r>
              <w:rPr>
                <w:color w:val="000000"/>
                <w:sz w:val="16"/>
                <w:szCs w:val="16"/>
              </w:rPr>
              <w:br/>
              <w:t>(+17,9 %);  nadprůměrně rostly tradiční vývozní produkty (auta, kovodělné výrobky a počítače); kles</w:t>
            </w:r>
            <w:r w:rsidR="004F4353">
              <w:rPr>
                <w:color w:val="000000"/>
                <w:sz w:val="16"/>
                <w:szCs w:val="16"/>
              </w:rPr>
              <w:t>l export léků a chemických látek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2D1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  <w:gridSpan w:val="2"/>
          </w:tcPr>
          <w:p w:rsidR="00576A3E" w:rsidRPr="00CA6508" w:rsidRDefault="00576A3E" w:rsidP="00281416">
            <w:pPr>
              <w:pStyle w:val="Textpoznpodarou"/>
              <w:jc w:val="both"/>
              <w:rPr>
                <w:i/>
              </w:rPr>
            </w:pPr>
          </w:p>
        </w:tc>
        <w:tc>
          <w:tcPr>
            <w:tcW w:w="3786" w:type="pct"/>
            <w:gridSpan w:val="4"/>
          </w:tcPr>
          <w:p w:rsidR="00576A3E" w:rsidRDefault="00576A3E" w:rsidP="00C8561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Zahraniční obchod se zbožím nebyl tentokrát hlavní příčinou zlepšení vnější </w:t>
            </w:r>
            <w:r w:rsidR="0076359D">
              <w:rPr>
                <w:color w:val="000000"/>
                <w:spacing w:val="-2"/>
              </w:rPr>
              <w:t>ne</w:t>
            </w:r>
            <w:r>
              <w:rPr>
                <w:color w:val="000000"/>
                <w:spacing w:val="-2"/>
              </w:rPr>
              <w:t xml:space="preserve">rovnováhy. </w:t>
            </w:r>
            <w:r w:rsidRPr="00CA6508">
              <w:rPr>
                <w:color w:val="000000"/>
                <w:spacing w:val="-2"/>
              </w:rPr>
              <w:t>Z</w:t>
            </w:r>
            <w:r>
              <w:rPr>
                <w:color w:val="000000"/>
                <w:spacing w:val="-2"/>
              </w:rPr>
              <w:t xml:space="preserve">atímco </w:t>
            </w:r>
            <w:r w:rsidRPr="00CA6508">
              <w:rPr>
                <w:color w:val="000000"/>
                <w:spacing w:val="-2"/>
              </w:rPr>
              <w:t>v 1.</w:t>
            </w:r>
            <w:r>
              <w:rPr>
                <w:color w:val="000000"/>
                <w:spacing w:val="-2"/>
              </w:rPr>
              <w:t xml:space="preserve"> </w:t>
            </w:r>
            <w:r w:rsidRPr="00CA6508">
              <w:rPr>
                <w:color w:val="000000"/>
                <w:spacing w:val="-2"/>
              </w:rPr>
              <w:t>čtv</w:t>
            </w:r>
            <w:r>
              <w:rPr>
                <w:color w:val="000000"/>
                <w:spacing w:val="-2"/>
              </w:rPr>
              <w:t>r</w:t>
            </w:r>
            <w:r w:rsidRPr="00CA6508">
              <w:rPr>
                <w:color w:val="000000"/>
                <w:spacing w:val="-2"/>
              </w:rPr>
              <w:t xml:space="preserve">tletí </w:t>
            </w:r>
            <w:r>
              <w:rPr>
                <w:color w:val="000000"/>
                <w:spacing w:val="-2"/>
              </w:rPr>
              <w:t xml:space="preserve">2014 </w:t>
            </w:r>
            <w:r w:rsidRPr="00CA6508">
              <w:rPr>
                <w:color w:val="000000"/>
                <w:spacing w:val="-2"/>
              </w:rPr>
              <w:t xml:space="preserve">při výrazném růstu </w:t>
            </w:r>
            <w:r>
              <w:rPr>
                <w:color w:val="000000"/>
                <w:spacing w:val="-2"/>
              </w:rPr>
              <w:t xml:space="preserve">celkového </w:t>
            </w:r>
            <w:r w:rsidRPr="00CA6508">
              <w:rPr>
                <w:color w:val="000000"/>
                <w:spacing w:val="-2"/>
              </w:rPr>
              <w:t xml:space="preserve">exportu </w:t>
            </w:r>
            <w:r>
              <w:rPr>
                <w:color w:val="000000"/>
                <w:spacing w:val="-2"/>
              </w:rPr>
              <w:t>zboží z ČR (+17,9 % nominálně, v národním pojetí) bylo 16 ze 40 skupin produktové klasifikace nad tímto průměrem a export automobilů byl meziročně výš</w:t>
            </w:r>
            <w:r w:rsidR="004F4353">
              <w:rPr>
                <w:color w:val="000000"/>
                <w:spacing w:val="-2"/>
              </w:rPr>
              <w:t xml:space="preserve"> o téměř třetinu, tj. +31,5 %</w:t>
            </w:r>
            <w:r>
              <w:rPr>
                <w:color w:val="000000"/>
                <w:spacing w:val="-2"/>
              </w:rPr>
              <w:t xml:space="preserve">, za letošní první tři měsíce tempo vývozu zesláblo. </w:t>
            </w:r>
          </w:p>
          <w:p w:rsidR="00000FA7" w:rsidRPr="000D2B8D" w:rsidRDefault="00000FA7" w:rsidP="00C85614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  <w:p w:rsidR="00576A3E" w:rsidRPr="006D142E" w:rsidRDefault="00576A3E" w:rsidP="00C85614">
            <w:pPr>
              <w:pStyle w:val="Textpoznpodarou"/>
              <w:jc w:val="both"/>
              <w:rPr>
                <w:color w:val="000000"/>
                <w:spacing w:val="-4"/>
              </w:rPr>
            </w:pPr>
            <w:r w:rsidRPr="006D142E">
              <w:rPr>
                <w:color w:val="000000"/>
                <w:spacing w:val="-4"/>
              </w:rPr>
              <w:t xml:space="preserve">Nad </w:t>
            </w:r>
            <w:r w:rsidR="0076359D" w:rsidRPr="006D142E">
              <w:rPr>
                <w:color w:val="000000"/>
                <w:spacing w:val="-4"/>
              </w:rPr>
              <w:t>letošním</w:t>
            </w:r>
            <w:r w:rsidRPr="006D142E">
              <w:rPr>
                <w:color w:val="000000"/>
                <w:spacing w:val="-4"/>
              </w:rPr>
              <w:t xml:space="preserve"> p</w:t>
            </w:r>
            <w:r w:rsidR="004F4353" w:rsidRPr="006D142E">
              <w:rPr>
                <w:color w:val="000000"/>
                <w:spacing w:val="-4"/>
              </w:rPr>
              <w:t>růměrným tempem vývozu celkem (</w:t>
            </w:r>
            <w:r w:rsidRPr="006D142E">
              <w:rPr>
                <w:color w:val="000000"/>
                <w:spacing w:val="-4"/>
              </w:rPr>
              <w:t xml:space="preserve">+7,9 % meziročně ovlivněných i vysokou předchozí základnou) byl export jen 11 produktových skupin. Zesílil opět hlavně vývoz co do hodnoty největších položek, jako automobily (+12 % na 203 mld.), PC a elektronika (+14,2 % na 79 mld.) a kovodělné výrobky (+8,6 % na 54 mld. korun). Z dalších významných položek, s hodnotou exportu nad 10 mld. korun v 1. čtvrtletí 2015, stoupl tempem vyšším než celkový export z ČR také vývoz výrobků z papíru, ostatních dopravních prostředků a výrobků ostatního zpracovatelského průmyslu. </w:t>
            </w:r>
          </w:p>
          <w:p w:rsidR="00576A3E" w:rsidRPr="006B2EFD" w:rsidRDefault="00576A3E" w:rsidP="00C85614">
            <w:pPr>
              <w:pStyle w:val="Textpoznpodarou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  <w:p w:rsidR="00576A3E" w:rsidRDefault="00576A3E" w:rsidP="00C85614">
            <w:pPr>
              <w:pStyle w:val="Textpoznpodarou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Meziročně klesl export dřeva, uhlí a rud, což lze pokládat za jev spíše pozitivní, protože jde o k</w:t>
            </w:r>
            <w:r w:rsidR="0076359D">
              <w:rPr>
                <w:color w:val="000000"/>
                <w:spacing w:val="-2"/>
              </w:rPr>
              <w:t xml:space="preserve">omodity minimálně </w:t>
            </w:r>
            <w:proofErr w:type="spellStart"/>
            <w:r w:rsidR="0076359D">
              <w:rPr>
                <w:color w:val="000000"/>
                <w:spacing w:val="-2"/>
              </w:rPr>
              <w:t>finalizované</w:t>
            </w:r>
            <w:proofErr w:type="spellEnd"/>
            <w:r w:rsidR="0076359D"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  <w:spacing w:val="-2"/>
              </w:rPr>
              <w:t>Vyvezlo se však i méně farmaceutických výrobků, chemických látek anebo kovového šrotu.</w:t>
            </w:r>
          </w:p>
          <w:p w:rsidR="00576A3E" w:rsidRPr="006B2EFD" w:rsidRDefault="00576A3E" w:rsidP="00C85614">
            <w:pPr>
              <w:pStyle w:val="Textpoznpodarou"/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576A3E" w:rsidRPr="00367038" w:rsidTr="006B2EFD">
        <w:trPr>
          <w:gridBefore w:val="1"/>
          <w:gridAfter w:val="1"/>
          <w:wBefore w:w="21" w:type="pct"/>
          <w:wAfter w:w="22" w:type="pct"/>
        </w:trPr>
        <w:tc>
          <w:tcPr>
            <w:tcW w:w="1033" w:type="pct"/>
            <w:gridSpan w:val="4"/>
          </w:tcPr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Dovoz rostl rychleji než vývoz; jen nepatrné meziroční zl</w:t>
            </w:r>
            <w:r w:rsidR="004F4353">
              <w:rPr>
                <w:color w:val="000000"/>
                <w:sz w:val="16"/>
                <w:szCs w:val="16"/>
              </w:rPr>
              <w:t>epšení obchodní bilance lze přičís</w:t>
            </w:r>
            <w:r>
              <w:rPr>
                <w:color w:val="000000"/>
                <w:sz w:val="16"/>
                <w:szCs w:val="16"/>
              </w:rPr>
              <w:t xml:space="preserve">t vysokým dovozům vyvolaným výraznou tuzemskou poptávkou  </w:t>
            </w: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2"/>
          </w:tcPr>
          <w:p w:rsidR="00576A3E" w:rsidRDefault="00576A3E" w:rsidP="00281416">
            <w:pPr>
              <w:pStyle w:val="Textpoznpodarou"/>
              <w:jc w:val="both"/>
            </w:pPr>
          </w:p>
        </w:tc>
        <w:tc>
          <w:tcPr>
            <w:tcW w:w="3786" w:type="pct"/>
            <w:gridSpan w:val="4"/>
          </w:tcPr>
          <w:p w:rsidR="00576A3E" w:rsidRDefault="00576A3E" w:rsidP="00602D1D">
            <w:pPr>
              <w:pStyle w:val="Textpoznpodarou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Sílu tuzemského oživení dokládá pokračující silnější tempo dovozů do ČR (+8,2 %) ve srovnání s tempem exportů (+7,9 %). Nadprůměrným tempem rostl meziročně v 1. čtvrtletí 2015 import ryb, nápojů a tabáku, oděvů, kůží, proutěných a korkových výrobků, z velkých položek pak základních kovů, kovodělných výrobků, PC a elektroniky, elektrických zařízení. Dovoz aut a dílů se dostal přesně na stomiliardovou hranici (ve stejném období 2014 dosahoval 88 mld. korun).</w:t>
            </w:r>
          </w:p>
          <w:p w:rsidR="00576A3E" w:rsidRPr="006B2EFD" w:rsidRDefault="00576A3E" w:rsidP="00602D1D">
            <w:pPr>
              <w:pStyle w:val="Textpoznpodarou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  <w:p w:rsidR="00576A3E" w:rsidRDefault="00576A3E" w:rsidP="00000FA7">
            <w:pPr>
              <w:pStyle w:val="Textpoznpodarou"/>
              <w:jc w:val="both"/>
              <w:rPr>
                <w:color w:val="000000"/>
                <w:spacing w:val="-6"/>
              </w:rPr>
            </w:pPr>
            <w:r w:rsidRPr="00FA2C2A">
              <w:rPr>
                <w:color w:val="000000"/>
                <w:spacing w:val="-6"/>
              </w:rPr>
              <w:t>Obchodní bilance</w:t>
            </w:r>
            <w:r w:rsidRPr="00FA2C2A">
              <w:rPr>
                <w:color w:val="000000"/>
                <w:spacing w:val="-6"/>
                <w:vertAlign w:val="superscript"/>
              </w:rPr>
              <w:footnoteReference w:id="1"/>
            </w:r>
            <w:r w:rsidR="0076359D" w:rsidRPr="00FA2C2A">
              <w:rPr>
                <w:color w:val="000000"/>
                <w:spacing w:val="-6"/>
              </w:rPr>
              <w:t xml:space="preserve"> v národním pojetí </w:t>
            </w:r>
            <w:r w:rsidRPr="00FA2C2A">
              <w:rPr>
                <w:color w:val="000000"/>
                <w:spacing w:val="-6"/>
              </w:rPr>
              <w:t>ve výši 58,3 mld. korun se meziročně zlepšila jen velmi mírně (o 2,7 mld. korun). O rok</w:t>
            </w:r>
            <w:r w:rsidR="0076359D" w:rsidRPr="00FA2C2A">
              <w:rPr>
                <w:color w:val="000000"/>
                <w:spacing w:val="-6"/>
              </w:rPr>
              <w:t xml:space="preserve"> předtím, v 1. čtvrtletí 2014, </w:t>
            </w:r>
            <w:r w:rsidRPr="00FA2C2A">
              <w:rPr>
                <w:color w:val="000000"/>
                <w:spacing w:val="-6"/>
              </w:rPr>
              <w:t xml:space="preserve">činilo meziroční zlepšení bilance komodit 19,9 mld. korun. Nynější </w:t>
            </w:r>
            <w:r w:rsidR="00FA2C2A">
              <w:rPr>
                <w:color w:val="000000"/>
                <w:spacing w:val="-6"/>
              </w:rPr>
              <w:t>slabší nárůst</w:t>
            </w:r>
            <w:r w:rsidR="00FA2C2A" w:rsidRPr="00FA2C2A">
              <w:rPr>
                <w:color w:val="000000"/>
                <w:spacing w:val="-6"/>
              </w:rPr>
              <w:t xml:space="preserve"> </w:t>
            </w:r>
            <w:r w:rsidRPr="00FA2C2A">
              <w:rPr>
                <w:color w:val="000000"/>
                <w:spacing w:val="-6"/>
              </w:rPr>
              <w:t>přebytku v obchodech se zbožím lze přičíst silnému oživení české ekonomiky a jeho nárokům na dovozy.</w:t>
            </w:r>
          </w:p>
          <w:p w:rsidR="00000FA7" w:rsidRPr="006B2EFD" w:rsidRDefault="00000FA7" w:rsidP="00000FA7">
            <w:pPr>
              <w:pStyle w:val="Textpoznpodarou"/>
              <w:jc w:val="both"/>
              <w:rPr>
                <w:color w:val="000000"/>
                <w:spacing w:val="-6"/>
                <w:sz w:val="10"/>
                <w:szCs w:val="10"/>
              </w:rPr>
            </w:pPr>
          </w:p>
        </w:tc>
      </w:tr>
      <w:tr w:rsidR="00576A3E" w:rsidRPr="00602D1D" w:rsidTr="006B2EFD">
        <w:trPr>
          <w:gridBefore w:val="2"/>
          <w:gridAfter w:val="2"/>
          <w:wBefore w:w="36" w:type="pct"/>
          <w:wAfter w:w="50" w:type="pct"/>
        </w:trPr>
        <w:tc>
          <w:tcPr>
            <w:tcW w:w="1002" w:type="pct"/>
            <w:gridSpan w:val="2"/>
          </w:tcPr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Výrazný pokles podílu </w:t>
            </w:r>
            <w:r w:rsidRPr="00602D1D">
              <w:rPr>
                <w:color w:val="000000"/>
                <w:sz w:val="16"/>
                <w:szCs w:val="16"/>
              </w:rPr>
              <w:t>Ruské federace na export</w:t>
            </w:r>
            <w:r>
              <w:rPr>
                <w:color w:val="000000"/>
                <w:sz w:val="16"/>
                <w:szCs w:val="16"/>
              </w:rPr>
              <w:t>ech</w:t>
            </w:r>
            <w:r w:rsidRPr="00602D1D">
              <w:rPr>
                <w:color w:val="000000"/>
                <w:sz w:val="16"/>
                <w:szCs w:val="16"/>
              </w:rPr>
              <w:t xml:space="preserve"> z Č</w:t>
            </w:r>
            <w:r>
              <w:rPr>
                <w:color w:val="000000"/>
                <w:sz w:val="16"/>
                <w:szCs w:val="16"/>
              </w:rPr>
              <w:t>R v 1. čtvrtletí 2015 při meziročním propadu vývozu do tohoto teritoria o 37 %</w:t>
            </w: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76A3E" w:rsidRPr="00644DFC" w:rsidRDefault="00576A3E" w:rsidP="00602D1D">
            <w:pPr>
              <w:spacing w:line="240" w:lineRule="auto"/>
              <w:rPr>
                <w:color w:val="000000"/>
                <w:sz w:val="12"/>
                <w:szCs w:val="12"/>
              </w:rPr>
            </w:pPr>
          </w:p>
          <w:p w:rsidR="00576A3E" w:rsidRPr="00602D1D" w:rsidRDefault="00576A3E" w:rsidP="00602D1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Diverzifikace exportu na neevropské trhy se zastavila, jejich podíl meziročně klesl o 1,2 </w:t>
            </w:r>
            <w:proofErr w:type="spellStart"/>
            <w:r>
              <w:rPr>
                <w:color w:val="000000"/>
                <w:sz w:val="16"/>
                <w:szCs w:val="16"/>
              </w:rPr>
              <w:t>pb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na 15,4 % </w:t>
            </w:r>
          </w:p>
        </w:tc>
        <w:tc>
          <w:tcPr>
            <w:tcW w:w="127" w:type="pct"/>
            <w:gridSpan w:val="2"/>
          </w:tcPr>
          <w:p w:rsidR="00576A3E" w:rsidRPr="005765D5" w:rsidRDefault="00576A3E" w:rsidP="00281416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576A3E" w:rsidRDefault="00576A3E" w:rsidP="00602D1D">
            <w:pPr>
              <w:pStyle w:val="Textpoznpodarou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Sankce v obchodech s Ruskou federací zřejmě přispěly v 1. čtvrtletí 2015 k meziročnímu snížení exportu z ČR o více než třetinu (-37,2 %), v hodnotě pak o 9,2 mld. korun - klesl tím i podíl Ruské federace na exportech z ČR </w:t>
            </w:r>
            <w:proofErr w:type="gramStart"/>
            <w:r>
              <w:rPr>
                <w:color w:val="000000"/>
              </w:rPr>
              <w:t>ze</w:t>
            </w:r>
            <w:proofErr w:type="gramEnd"/>
            <w:r>
              <w:rPr>
                <w:color w:val="000000"/>
              </w:rPr>
              <w:t xml:space="preserve"> 3,2 % na pouhých 1,9 % (za celý rok 2013 ještě činil 3,7 %).</w:t>
            </w:r>
          </w:p>
          <w:p w:rsidR="00576A3E" w:rsidRPr="006B2EFD" w:rsidRDefault="00576A3E" w:rsidP="00602D1D">
            <w:pPr>
              <w:pStyle w:val="Textpoznpodarou"/>
              <w:jc w:val="both"/>
              <w:rPr>
                <w:color w:val="000000"/>
                <w:sz w:val="12"/>
                <w:szCs w:val="12"/>
              </w:rPr>
            </w:pPr>
          </w:p>
          <w:p w:rsidR="00576A3E" w:rsidRDefault="00576A3E" w:rsidP="00602D1D">
            <w:pPr>
              <w:pStyle w:val="Textpoznpodarou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 výjimkou Rakouska, kam vývoz z ČR rovněž poklesl (-1,8 %), rostly vývozy do zemí největších obchodních partnerů nadprůměrně. Podíl Německa stoupl v 1. čtvrtletí meziročně o 0,2 </w:t>
            </w:r>
            <w:proofErr w:type="spellStart"/>
            <w:r>
              <w:rPr>
                <w:color w:val="000000"/>
              </w:rPr>
              <w:t>pb</w:t>
            </w:r>
            <w:proofErr w:type="spellEnd"/>
            <w:r>
              <w:rPr>
                <w:color w:val="000000"/>
              </w:rPr>
              <w:t xml:space="preserve">. na 32,9 % úhrnu exportů z ČR a dosáhl 276 mld. korun. Své místo za zeměmi sousedícími s ČR si jako další nejdůležitější exportní destinace upevnilo Spojené království - silný meziroční přírůstek (+14 %) zvýšil český export do této ostrovní země na 45 mld. korun. To posílilo její podíl na celkových exportech z ČR z 5 % na 5,3 %. </w:t>
            </w:r>
          </w:p>
          <w:p w:rsidR="00576A3E" w:rsidRPr="006B2EFD" w:rsidRDefault="00576A3E" w:rsidP="00602D1D">
            <w:pPr>
              <w:pStyle w:val="Textpoznpodarou"/>
              <w:jc w:val="both"/>
              <w:rPr>
                <w:color w:val="000000"/>
                <w:sz w:val="10"/>
                <w:szCs w:val="10"/>
              </w:rPr>
            </w:pPr>
          </w:p>
          <w:p w:rsidR="00576A3E" w:rsidRPr="00C20C4D" w:rsidRDefault="00576A3E" w:rsidP="00602D1D">
            <w:pPr>
              <w:pStyle w:val="Textpoznpodarou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Proporce exportů do EU 28 a vývozů mimo unii se zvětšila ve prospěch podílu exportu do EU - ten v 1. čtvrtletí výrazně stoupl (o 1,2 </w:t>
            </w:r>
            <w:proofErr w:type="spellStart"/>
            <w:r>
              <w:rPr>
                <w:color w:val="000000"/>
              </w:rPr>
              <w:t>pb</w:t>
            </w:r>
            <w:proofErr w:type="spellEnd"/>
            <w:r>
              <w:rPr>
                <w:color w:val="000000"/>
              </w:rPr>
              <w:t>. na 84,5 % při meziročním přírůstku o 61,3 mld. korun). Deklarovaná větší diverzifikace českých vývozů na neevropské trhy se tak přestala naplňovat. Při mírném oživování evropské ekonomiky je však tato skutečnost pro české firmy volbou pragmatickou.</w:t>
            </w:r>
          </w:p>
          <w:p w:rsidR="00576A3E" w:rsidRPr="006B2EFD" w:rsidRDefault="00576A3E" w:rsidP="00602D1D">
            <w:pPr>
              <w:pStyle w:val="Textpoznpodarou"/>
              <w:jc w:val="both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6B2EFD" w:rsidRPr="00EB30B6" w:rsidTr="006B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EFD" w:rsidRPr="00666F4B" w:rsidRDefault="006B2EFD" w:rsidP="004447B9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666F4B">
              <w:rPr>
                <w:color w:val="000000"/>
                <w:sz w:val="19"/>
                <w:szCs w:val="19"/>
              </w:rPr>
              <w:t>Graf č. 9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EFD" w:rsidRPr="00444268" w:rsidRDefault="006B2EFD" w:rsidP="004447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Celkový vývoz a dovoz zboží</w:t>
            </w:r>
            <w:r w:rsidRPr="002A35EA">
              <w:rPr>
                <w:bCs/>
              </w:rPr>
              <w:t xml:space="preserve"> (</w:t>
            </w:r>
            <w:r>
              <w:rPr>
                <w:bCs/>
              </w:rPr>
              <w:t xml:space="preserve">y/y v %, </w:t>
            </w:r>
            <w:r w:rsidRPr="00666F4B">
              <w:rPr>
                <w:bCs/>
                <w:sz w:val="19"/>
                <w:szCs w:val="19"/>
              </w:rPr>
              <w:t>národní. </w:t>
            </w:r>
            <w:proofErr w:type="gramStart"/>
            <w:r w:rsidRPr="00666F4B">
              <w:rPr>
                <w:bCs/>
                <w:sz w:val="19"/>
                <w:szCs w:val="19"/>
              </w:rPr>
              <w:t>pojetí</w:t>
            </w:r>
            <w:proofErr w:type="gramEnd"/>
            <w:r w:rsidRPr="00666F4B">
              <w:rPr>
                <w:bCs/>
                <w:sz w:val="19"/>
                <w:szCs w:val="19"/>
              </w:rPr>
              <w:t>; z běžných cen FOB/ CIF</w:t>
            </w:r>
            <w:r w:rsidRPr="009B4B4B">
              <w:rPr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:rsidR="006B2EFD" w:rsidRPr="00C3271C" w:rsidRDefault="006B2EFD" w:rsidP="004447B9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RPr="00C3271C">
              <w:rPr>
                <w:color w:val="000000"/>
                <w:sz w:val="19"/>
                <w:szCs w:val="19"/>
              </w:rPr>
              <w:t>Graf č. 10</w:t>
            </w:r>
          </w:p>
        </w:tc>
        <w:tc>
          <w:tcPr>
            <w:tcW w:w="20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EFD" w:rsidRPr="00EB30B6" w:rsidRDefault="006B2EFD" w:rsidP="004447B9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Meziroční změna hodnoty vývozů do vybraných zemí </w:t>
            </w:r>
            <w:r w:rsidRPr="00974D5F">
              <w:rPr>
                <w:b/>
                <w:bCs/>
              </w:rPr>
              <w:t xml:space="preserve"> </w:t>
            </w:r>
            <w:r w:rsidRPr="005A2194">
              <w:rPr>
                <w:bCs/>
                <w:sz w:val="19"/>
                <w:szCs w:val="19"/>
              </w:rPr>
              <w:t>(1q2015, v %,  </w:t>
            </w:r>
            <w:proofErr w:type="spellStart"/>
            <w:r w:rsidRPr="005A2194">
              <w:rPr>
                <w:bCs/>
                <w:sz w:val="19"/>
                <w:szCs w:val="19"/>
              </w:rPr>
              <w:t>nár</w:t>
            </w:r>
            <w:proofErr w:type="spellEnd"/>
            <w:r w:rsidRPr="005A2194">
              <w:rPr>
                <w:bCs/>
                <w:sz w:val="19"/>
                <w:szCs w:val="19"/>
              </w:rPr>
              <w:t xml:space="preserve">. </w:t>
            </w:r>
            <w:proofErr w:type="gramStart"/>
            <w:r w:rsidRPr="005A2194">
              <w:rPr>
                <w:bCs/>
                <w:sz w:val="19"/>
                <w:szCs w:val="19"/>
              </w:rPr>
              <w:t>pojetí</w:t>
            </w:r>
            <w:proofErr w:type="gramEnd"/>
            <w:r w:rsidRPr="005A2194">
              <w:rPr>
                <w:bCs/>
                <w:sz w:val="19"/>
                <w:szCs w:val="19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6B2EFD" w:rsidRPr="00862A7A" w:rsidTr="006B2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56"/>
        </w:trPr>
        <w:tc>
          <w:tcPr>
            <w:tcW w:w="243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EFD" w:rsidRPr="00666F4B" w:rsidRDefault="006B2EFD" w:rsidP="004447B9">
            <w:pPr>
              <w:pStyle w:val="Zhlav"/>
              <w:tabs>
                <w:tab w:val="clear" w:pos="4536"/>
                <w:tab w:val="clear" w:pos="9072"/>
              </w:tabs>
              <w:ind w:right="-275"/>
              <w:rPr>
                <w:rFonts w:ascii="Arial" w:hAnsi="Arial" w:cs="Arial"/>
                <w:sz w:val="20"/>
              </w:rPr>
            </w:pPr>
            <w:r w:rsidRPr="00666F4B">
              <w:rPr>
                <w:rFonts w:ascii="Arial" w:hAnsi="Arial" w:cs="Arial"/>
                <w:sz w:val="20"/>
              </w:rPr>
              <w:object w:dxaOrig="4695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34.75pt;height:187.5pt" o:ole="">
                  <v:imagedata r:id="rId8" o:title=""/>
                </v:shape>
                <o:OLEObject Type="Embed" ProgID="Excel.Sheet.8" ShapeID="_x0000_i1098" DrawAspect="Content" ObjectID="_1496215825" r:id="rId9">
                  <o:FieldCodes>\s</o:FieldCodes>
                </o:OLEObject>
              </w:object>
            </w:r>
          </w:p>
        </w:tc>
        <w:tc>
          <w:tcPr>
            <w:tcW w:w="2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EFD" w:rsidRPr="00D86DAE" w:rsidRDefault="006B2EFD" w:rsidP="004447B9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5B7417">
              <w:rPr>
                <w:rFonts w:ascii="Arial" w:hAnsi="Arial" w:cs="Arial"/>
                <w:noProof/>
                <w:sz w:val="20"/>
                <w:lang w:eastAsia="cs-CZ"/>
              </w:rPr>
              <w:pict>
                <v:shape id="_x0000_i1084" type="#_x0000_t75" style="width:241.5pt;height:187.5pt">
                  <v:imagedata r:id="rId10" o:title=""/>
                </v:shape>
              </w:pict>
            </w:r>
          </w:p>
          <w:p w:rsidR="006B2EFD" w:rsidRPr="00862A7A" w:rsidRDefault="006B2EFD" w:rsidP="004447B9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Zdroj</w:t>
            </w:r>
            <w:r w:rsidRPr="00862A7A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>: ČSÚ,</w:t>
            </w: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w:t xml:space="preserve"> vlastní propočty</w:t>
            </w:r>
          </w:p>
        </w:tc>
      </w:tr>
    </w:tbl>
    <w:p w:rsidR="007D4281" w:rsidRPr="006B2EFD" w:rsidRDefault="007D4281" w:rsidP="006B2EFD">
      <w:pPr>
        <w:rPr>
          <w:lang w:eastAsia="ar-SA"/>
        </w:rPr>
      </w:pPr>
    </w:p>
    <w:sectPr w:rsidR="007D4281" w:rsidRPr="006B2EFD" w:rsidSect="006B2EF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5B74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B2EFD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5B74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5B741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5B7417" w:rsidRPr="00223E00">
      <w:rPr>
        <w:rFonts w:ascii="Arial" w:hAnsi="Arial" w:cs="Arial"/>
        <w:sz w:val="16"/>
        <w:szCs w:val="16"/>
      </w:rPr>
      <w:fldChar w:fldCharType="separate"/>
    </w:r>
    <w:r w:rsidR="006B2EFD">
      <w:rPr>
        <w:rFonts w:ascii="Arial" w:hAnsi="Arial" w:cs="Arial"/>
        <w:noProof/>
        <w:sz w:val="16"/>
        <w:szCs w:val="16"/>
      </w:rPr>
      <w:t>13</w:t>
    </w:r>
    <w:r w:rsidR="005B741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Default="00AB104D" w:rsidP="003E7B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CFC">
        <w:rPr>
          <w:sz w:val="16"/>
          <w:szCs w:val="16"/>
        </w:rPr>
        <w:t>Bilance zboží podle CZ-CPA v národním pojetí.</w:t>
      </w:r>
      <w:r>
        <w:rPr>
          <w:sz w:val="16"/>
          <w:szCs w:val="16"/>
        </w:rPr>
        <w:t xml:space="preserve"> Vývoz v cenách FOB, dovoz v cenách CIF.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466D"/>
    <w:multiLevelType w:val="hybridMultilevel"/>
    <w:tmpl w:val="0590B6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417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2EFD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1082-E846-482A-881E-01E74CD7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22</TotalTime>
  <Pages>2</Pages>
  <Words>1286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2015-06-19T08:44:00Z</dcterms:modified>
</cp:coreProperties>
</file>