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Pr="00F4591F" w:rsidRDefault="00576A3E" w:rsidP="00B3391D">
      <w:pPr>
        <w:pStyle w:val="Nadpis1"/>
        <w:numPr>
          <w:ilvl w:val="0"/>
          <w:numId w:val="6"/>
        </w:numPr>
        <w:jc w:val="both"/>
      </w:pPr>
      <w:bookmarkStart w:id="0" w:name="_Toc422471567"/>
      <w:r>
        <w:t>Výkonnost odvětví</w:t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15"/>
        <w:gridCol w:w="283"/>
        <w:gridCol w:w="7296"/>
      </w:tblGrid>
      <w:tr w:rsidR="006D142E" w:rsidTr="006D142E">
        <w:tc>
          <w:tcPr>
            <w:tcW w:w="1091" w:type="pct"/>
          </w:tcPr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Dynamika HPH zrychlila na nejvyšší úroveň od vrcholu konjunktury</w:t>
            </w:r>
          </w:p>
        </w:tc>
        <w:tc>
          <w:tcPr>
            <w:tcW w:w="146" w:type="pct"/>
          </w:tcPr>
          <w:p w:rsidR="006D142E" w:rsidRDefault="006D142E" w:rsidP="006D142E">
            <w:pPr>
              <w:pStyle w:val="Textpoznpodarou"/>
              <w:jc w:val="both"/>
            </w:pPr>
          </w:p>
        </w:tc>
        <w:tc>
          <w:tcPr>
            <w:tcW w:w="3763" w:type="pct"/>
          </w:tcPr>
          <w:p w:rsidR="006D142E" w:rsidRDefault="006D142E" w:rsidP="006D142E">
            <w:pPr>
              <w:pStyle w:val="Textpoznpodarou"/>
              <w:jc w:val="both"/>
              <w:rPr>
                <w:spacing w:val="-4"/>
              </w:rPr>
            </w:pPr>
            <w:r w:rsidRPr="00042D19">
              <w:rPr>
                <w:spacing w:val="-4"/>
              </w:rPr>
              <w:t xml:space="preserve">V 1. </w:t>
            </w:r>
            <w:r>
              <w:rPr>
                <w:spacing w:val="-4"/>
              </w:rPr>
              <w:t>č</w:t>
            </w:r>
            <w:r w:rsidRPr="00042D19">
              <w:rPr>
                <w:spacing w:val="-4"/>
              </w:rPr>
              <w:t xml:space="preserve">tvrtletí </w:t>
            </w:r>
            <w:r>
              <w:rPr>
                <w:spacing w:val="-4"/>
              </w:rPr>
              <w:t xml:space="preserve">výkony odvětví plně navázaly na růstové tendence z roku 2014. </w:t>
            </w:r>
            <w:r w:rsidRPr="000F401E">
              <w:rPr>
                <w:spacing w:val="-4"/>
              </w:rPr>
              <w:t>Souhrnná sezónně očištěná výše hrubé přidané</w:t>
            </w:r>
            <w:r>
              <w:rPr>
                <w:spacing w:val="-4"/>
              </w:rPr>
              <w:t xml:space="preserve"> hodnoty (HPH) pokračovala </w:t>
            </w:r>
            <w:r w:rsidRPr="000F401E">
              <w:rPr>
                <w:spacing w:val="-4"/>
              </w:rPr>
              <w:t xml:space="preserve">v nepřetržitém růstu započatém ve 4. čtvrtletí 2013 (v meziročním vyjádření), resp. již ve 2. čtvrtletí 2013 (v </w:t>
            </w:r>
            <w:proofErr w:type="spellStart"/>
            <w:r w:rsidRPr="000F401E">
              <w:rPr>
                <w:spacing w:val="-4"/>
              </w:rPr>
              <w:t>mezičtvrtletním</w:t>
            </w:r>
            <w:proofErr w:type="spellEnd"/>
            <w:r w:rsidRPr="000F401E">
              <w:rPr>
                <w:spacing w:val="-4"/>
              </w:rPr>
              <w:t xml:space="preserve"> pojetí).</w:t>
            </w:r>
            <w:r>
              <w:rPr>
                <w:spacing w:val="-4"/>
              </w:rPr>
              <w:t xml:space="preserve"> Dynamika HPH zřetelně zrychlovala, na počátku roku byla </w:t>
            </w:r>
            <w:proofErr w:type="spellStart"/>
            <w:r>
              <w:rPr>
                <w:spacing w:val="-4"/>
              </w:rPr>
              <w:t>mezičtvrtletně</w:t>
            </w:r>
            <w:proofErr w:type="spellEnd"/>
            <w:r>
              <w:rPr>
                <w:spacing w:val="-4"/>
              </w:rPr>
              <w:t xml:space="preserve"> vyšší o 1,6 %, meziročně dokonce 3,8 %. V obou případech šlo o nejvyšší tempa od vrcholu konjunktury (první polovina roku 2008).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6D142E" w:rsidTr="006D142E">
        <w:tc>
          <w:tcPr>
            <w:tcW w:w="1091" w:type="pct"/>
          </w:tcPr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Růst HPH se postupně přelil prakticky do všech odvětví, na růstu se obdobnou měrou podílely zpracovatelský průmysl i veškeré služby  </w:t>
            </w: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plíživém růstu po většinu loňského roku se v 1. čtvrtletí významně zvýšil počet obsazených i volných pracovních míst</w:t>
            </w:r>
          </w:p>
        </w:tc>
        <w:tc>
          <w:tcPr>
            <w:tcW w:w="146" w:type="pct"/>
          </w:tcPr>
          <w:p w:rsidR="006D142E" w:rsidRDefault="006D142E" w:rsidP="006D142E">
            <w:pPr>
              <w:pStyle w:val="Textpoznpodarou"/>
              <w:jc w:val="both"/>
            </w:pPr>
          </w:p>
        </w:tc>
        <w:tc>
          <w:tcPr>
            <w:tcW w:w="3763" w:type="pct"/>
          </w:tcPr>
          <w:p w:rsidR="006D142E" w:rsidRDefault="006D142E" w:rsidP="006D142E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O meziroční růst přidané hodnoty se téměř z poloviny zasloužil silně exportně orientovaný zpracovatelský</w:t>
            </w:r>
            <w:r w:rsidRPr="000F401E">
              <w:rPr>
                <w:spacing w:val="-4"/>
              </w:rPr>
              <w:t xml:space="preserve"> průmysl</w:t>
            </w:r>
            <w:r>
              <w:rPr>
                <w:spacing w:val="-4"/>
              </w:rPr>
              <w:t>, jehož HPH ve srovnání s celou ekonomikou meziročně posílala téměř dvojnásobným tempem. Na rozdíl od krátkého období ekonomického oživení (v letech 2010-2011) však letos kladně přispěla také všechna další významná odvětví (vč. např. i energetiky). Zatímco růst přidané hodnoty podpořený i stabilním oživením nových zakázek (v průmyslu i stavebnictví) byl loni po většinu roku doprovázen jen velmi mírným růstem zaměstnanosti (v pojetí národních účtů: ve zpracovatelském průmyslu +0,5 %, v celé ekonomice +0,4 %), na počátku roku 2015 se tvorba nových pracovních míst značně zrychlila, když zejména počet zaměstnanců v celé ekonomice meziročně vzrostl o silných 1,8 % (nejvíce od konce roku 2008). Na rozdíl od roku 2014 růst počtu zaměstnanců převýšil dynamiku růstu nezaměstnaneckých pracovních míst (což bývá pro ekonomiku ČR typické spíše v obdobích konjunktury), jakož i celkovou odpracovanou dobu.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6D142E" w:rsidTr="006D142E">
        <w:tc>
          <w:tcPr>
            <w:tcW w:w="1091" w:type="pct"/>
          </w:tcPr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Přidaná hodnota v odvětví </w:t>
            </w:r>
            <w:r w:rsidRPr="00B83714">
              <w:rPr>
                <w:sz w:val="16"/>
                <w:szCs w:val="16"/>
              </w:rPr>
              <w:t>zemědělství, lesnictví a rybářství meziroční vyšší již páté čtvrtletí v</w:t>
            </w:r>
            <w:r>
              <w:rPr>
                <w:sz w:val="16"/>
                <w:szCs w:val="16"/>
              </w:rPr>
              <w:t> </w:t>
            </w:r>
            <w:r w:rsidRPr="00B83714">
              <w:rPr>
                <w:sz w:val="16"/>
                <w:szCs w:val="16"/>
              </w:rPr>
              <w:t>řadě</w:t>
            </w:r>
            <w:r>
              <w:rPr>
                <w:sz w:val="16"/>
                <w:szCs w:val="16"/>
              </w:rPr>
              <w:t>, stavebnictví pomáhají veřejné zakázky na dopravní stavby, obchodu pak vysoká důvěra spotřebitelů</w:t>
            </w: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Pr="00DA1318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6D142E" w:rsidRDefault="006D142E" w:rsidP="006D142E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3" w:type="pct"/>
          </w:tcPr>
          <w:p w:rsidR="006D142E" w:rsidRDefault="006D142E" w:rsidP="006D142E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Vedle zpracovatelského průmyslu </w:t>
            </w:r>
            <w:proofErr w:type="gramStart"/>
            <w:r>
              <w:rPr>
                <w:spacing w:val="-4"/>
              </w:rPr>
              <w:t>navázalo v 1.čtvrtletí</w:t>
            </w:r>
            <w:proofErr w:type="gramEnd"/>
            <w:r>
              <w:rPr>
                <w:spacing w:val="-4"/>
              </w:rPr>
              <w:t xml:space="preserve"> na úspěšný loňský rok i odvětví zemědělství, lesnictví a rybářství, což se odrazilo i mírném růstu počtu pracovníků (zejména mimo zaměstnanecký segment). Skromnějšími tempy, avšak již sedm čtvrtletí v řadě, meziročně posiluje HPH ve stavebnictví, kterému pomáhá růst veřejných zakázek i v souvislosti s dočerpáváním prostředků z fondů EU. </w:t>
            </w:r>
            <w:r w:rsidRPr="000F401E">
              <w:rPr>
                <w:spacing w:val="-4"/>
              </w:rPr>
              <w:t xml:space="preserve">Díky své váze i </w:t>
            </w:r>
            <w:r>
              <w:rPr>
                <w:spacing w:val="-4"/>
              </w:rPr>
              <w:t>postupně sílící dynamice (+3,2 %) přispělo</w:t>
            </w:r>
            <w:r w:rsidRPr="000F401E">
              <w:rPr>
                <w:spacing w:val="-4"/>
              </w:rPr>
              <w:t xml:space="preserve"> k růstu přidané hodnoty v celé ekon</w:t>
            </w:r>
            <w:r>
              <w:rPr>
                <w:spacing w:val="-4"/>
              </w:rPr>
              <w:t>omice z terciární sféry nejvíce odvětví o</w:t>
            </w:r>
            <w:r w:rsidRPr="003A2604">
              <w:rPr>
                <w:spacing w:val="-4"/>
              </w:rPr>
              <w:t>bchod, doprava, ubytování a pohostinství</w:t>
            </w:r>
            <w:r>
              <w:rPr>
                <w:spacing w:val="-4"/>
              </w:rPr>
              <w:t>, které těžilo z pozitivních nálad spotřebitelů i růstu příjezdů domácích i zahraničních hostů. K udržení loňských růstových temp HPH ve veřejných službách (2-3 %) přispělo i zvýšení platů na konci předchozího roku. Na silný rok 2014 letos navázaly i profesní, vědecké, technické a administrativní činnosti (s více než 3% růstem HPH i zaměstnanosti) vlivem sílící poptávky po agenturních pracovnících, ale i oživením některých specializovaných činností (a</w:t>
            </w:r>
            <w:r w:rsidRPr="00222FA6">
              <w:rPr>
                <w:spacing w:val="-4"/>
              </w:rPr>
              <w:t>rchitektonické a inženýrské činnosti</w:t>
            </w:r>
            <w:r>
              <w:rPr>
                <w:spacing w:val="-4"/>
              </w:rPr>
              <w:t xml:space="preserve">). Přidaná hodnota v dlouhodobě úspěšném finančním sektoru po loňském ojedinělém poklesu (-3 %) v 1. čtvrtletí opět posílila a proti počátku roku 2008 byla (při obdobné zaměstnanosti) reálně bezmála o polovinu vyšší. Sílící nákladové tlaky si zde však vybraly svou daň na počtu pracovníků, který klesá již osm čtvrtletí v řadě. 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6D142E" w:rsidTr="006D142E">
        <w:tc>
          <w:tcPr>
            <w:tcW w:w="1091" w:type="pct"/>
          </w:tcPr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Průmysl, jehož produkce již na sklonku loňského roku překonala předkrizovou úroveň, si i v 1. čtvrtletí udržel vysoká loňská růstová tempa</w:t>
            </w:r>
          </w:p>
          <w:p w:rsidR="006D142E" w:rsidRPr="000F401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6D142E" w:rsidRDefault="006D142E" w:rsidP="006D142E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3" w:type="pct"/>
          </w:tcPr>
          <w:p w:rsidR="006D142E" w:rsidRDefault="006D142E" w:rsidP="006D142E">
            <w:pPr>
              <w:pStyle w:val="Textpoznpodarou"/>
              <w:jc w:val="both"/>
              <w:rPr>
                <w:spacing w:val="-4"/>
              </w:rPr>
            </w:pPr>
            <w:r w:rsidRPr="00573C97">
              <w:rPr>
                <w:spacing w:val="-4"/>
              </w:rPr>
              <w:t>Výkon průmyslu</w:t>
            </w:r>
            <w:r w:rsidRPr="00170B04">
              <w:rPr>
                <w:vertAlign w:val="superscript"/>
              </w:rPr>
              <w:footnoteReference w:id="1"/>
            </w:r>
            <w:r w:rsidRPr="00573C97">
              <w:rPr>
                <w:spacing w:val="-4"/>
              </w:rPr>
              <w:t xml:space="preserve"> </w:t>
            </w:r>
            <w:r>
              <w:rPr>
                <w:spacing w:val="-4"/>
              </w:rPr>
              <w:t>(měřený indexem</w:t>
            </w:r>
            <w:r w:rsidRPr="00573C97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průmyslové </w:t>
            </w:r>
            <w:r w:rsidRPr="00573C97">
              <w:rPr>
                <w:spacing w:val="-4"/>
              </w:rPr>
              <w:t>produ</w:t>
            </w:r>
            <w:r>
              <w:rPr>
                <w:spacing w:val="-4"/>
              </w:rPr>
              <w:t>kce v reálném vyjádření) pokračoval v intencích celého předchozího roku, v 1. čtvrtletí meziročně přidal 4,5 %. Za růstem stálo o</w:t>
            </w:r>
            <w:r w:rsidRPr="00573C97">
              <w:rPr>
                <w:spacing w:val="-4"/>
              </w:rPr>
              <w:t xml:space="preserve">živení zahraniční poptávky, zpočátku zejména po dopravních prostředcích, </w:t>
            </w:r>
            <w:r>
              <w:rPr>
                <w:spacing w:val="-4"/>
              </w:rPr>
              <w:t xml:space="preserve">které </w:t>
            </w:r>
            <w:r w:rsidRPr="00573C97">
              <w:rPr>
                <w:spacing w:val="-4"/>
              </w:rPr>
              <w:t xml:space="preserve">se postupně přeneslo nejen </w:t>
            </w:r>
            <w:r>
              <w:rPr>
                <w:spacing w:val="-4"/>
              </w:rPr>
              <w:t xml:space="preserve">přímými </w:t>
            </w:r>
            <w:r w:rsidRPr="00573C97">
              <w:rPr>
                <w:spacing w:val="-4"/>
              </w:rPr>
              <w:t>subdodavatelskými vztahy i na většinu ostatních</w:t>
            </w:r>
            <w:r w:rsidR="00713495">
              <w:rPr>
                <w:spacing w:val="-4"/>
              </w:rPr>
              <w:t xml:space="preserve"> zpracovatelských oborů.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6D142E" w:rsidTr="006D142E">
        <w:trPr>
          <w:cantSplit/>
          <w:trHeight w:val="203"/>
        </w:trPr>
        <w:tc>
          <w:tcPr>
            <w:tcW w:w="1091" w:type="pct"/>
          </w:tcPr>
          <w:p w:rsidR="006D142E" w:rsidRPr="000F401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 několika letech oživení i ve většině menších průmyslových </w:t>
            </w:r>
            <w:proofErr w:type="gramStart"/>
            <w:r>
              <w:rPr>
                <w:sz w:val="16"/>
                <w:szCs w:val="16"/>
              </w:rPr>
              <w:t>oborech</w:t>
            </w:r>
            <w:proofErr w:type="gramEnd"/>
            <w:r>
              <w:rPr>
                <w:sz w:val="16"/>
                <w:szCs w:val="16"/>
              </w:rPr>
              <w:t>, naopak pokračující dlouhodobý útlum těžebních aktivit</w:t>
            </w:r>
          </w:p>
        </w:tc>
        <w:tc>
          <w:tcPr>
            <w:tcW w:w="146" w:type="pct"/>
          </w:tcPr>
          <w:p w:rsidR="006D142E" w:rsidRDefault="006D142E" w:rsidP="006D142E">
            <w:pPr>
              <w:rPr>
                <w:szCs w:val="16"/>
              </w:rPr>
            </w:pPr>
          </w:p>
        </w:tc>
        <w:tc>
          <w:tcPr>
            <w:tcW w:w="3763" w:type="pct"/>
          </w:tcPr>
          <w:p w:rsidR="006D142E" w:rsidRDefault="006D142E" w:rsidP="006D142E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Meziročně vyšší produkce tak letos dosáhly i některé menší (a často i dlouhodobě útlumové) obory. Šlo např. oděvnictví (+5 %, nejlepší výsledek od konce roku 2008), kožedělný průmysl (který dlouhodobého růstového rekordu dosáhl již v posledním čtvrtletí 2014), ale i papírenský průmysl (+11,2 %), jenž při dvouciferném růstu domácích i zahraničních zakázek v 1. čtvrtletí 2015 docílil nejvyšší dynamiky produkce v nepřerušené desetileté řadě. Naopak v mírných poklesech z loňského roku i letos setrvává dřevařský průmysl, podobně jako tiskárenství, ve stagnaci pokračoval jinak dlouhodobě úspěšný farmaceutický průmysl a na úrovni loňské produkce zůstali také výrobci </w:t>
            </w:r>
            <w:r w:rsidRPr="000F1BB7">
              <w:rPr>
                <w:spacing w:val="-4"/>
              </w:rPr>
              <w:t>textilií</w:t>
            </w:r>
            <w:r>
              <w:rPr>
                <w:spacing w:val="-4"/>
              </w:rPr>
              <w:t>. Mimo zpracovatelský segment pokračoval v  dlouhodobých poklesech těžební průmysl (meziročně -9 %, proti počátku roku 2008 o celou více než čtvrtinu), především vlivem vleklé redukce těžby černého uhlí.</w:t>
            </w:r>
          </w:p>
          <w:p w:rsidR="006D142E" w:rsidRPr="00042D19" w:rsidRDefault="006D142E" w:rsidP="006D142E">
            <w:pPr>
              <w:pStyle w:val="Textpoznpodarou"/>
              <w:jc w:val="both"/>
              <w:rPr>
                <w:spacing w:val="-4"/>
              </w:rPr>
            </w:pPr>
          </w:p>
        </w:tc>
      </w:tr>
      <w:tr w:rsidR="006D142E" w:rsidTr="006D142E">
        <w:trPr>
          <w:cantSplit/>
          <w:trHeight w:val="250"/>
        </w:trPr>
        <w:tc>
          <w:tcPr>
            <w:tcW w:w="1091" w:type="pct"/>
          </w:tcPr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Výroba dopravních prostředků přispěla k meziročnímu růstu celého průmyslu téměř třetinou, společně s nejbližšími návaznými obory více </w:t>
            </w:r>
            <w:proofErr w:type="gramStart"/>
            <w:r>
              <w:rPr>
                <w:sz w:val="16"/>
                <w:szCs w:val="16"/>
              </w:rPr>
              <w:t>něž</w:t>
            </w:r>
            <w:proofErr w:type="gramEnd"/>
            <w:r>
              <w:rPr>
                <w:sz w:val="16"/>
                <w:szCs w:val="16"/>
              </w:rPr>
              <w:t xml:space="preserve"> polovinou</w:t>
            </w: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Dvě třetiny zpracovatelských oborů předkrizovou úroveň produkce zatím nepřekonaly</w:t>
            </w:r>
          </w:p>
          <w:p w:rsidR="006D142E" w:rsidRPr="000F401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6D142E" w:rsidRDefault="006D142E" w:rsidP="006D142E">
            <w:pPr>
              <w:rPr>
                <w:szCs w:val="16"/>
              </w:rPr>
            </w:pPr>
          </w:p>
        </w:tc>
        <w:tc>
          <w:tcPr>
            <w:tcW w:w="3763" w:type="pct"/>
          </w:tcPr>
          <w:p w:rsidR="006D142E" w:rsidRDefault="006D142E" w:rsidP="006D142E">
            <w:pPr>
              <w:pStyle w:val="Textpoznpodarou"/>
              <w:jc w:val="both"/>
              <w:rPr>
                <w:spacing w:val="-4"/>
              </w:rPr>
            </w:pPr>
            <w:r w:rsidRPr="000F401E">
              <w:rPr>
                <w:spacing w:val="-4"/>
              </w:rPr>
              <w:t>K meziročně vyš</w:t>
            </w:r>
            <w:r>
              <w:rPr>
                <w:spacing w:val="-4"/>
              </w:rPr>
              <w:t>ší produkci v celém průmyslu v 1. čtvrtletí zhruba z třetiny přispěly</w:t>
            </w:r>
            <w:r w:rsidRPr="000F401E">
              <w:rPr>
                <w:spacing w:val="-4"/>
              </w:rPr>
              <w:t xml:space="preserve"> </w:t>
            </w:r>
            <w:r w:rsidRPr="00573C97">
              <w:rPr>
                <w:spacing w:val="-4"/>
              </w:rPr>
              <w:t>výroba motorových vozidel</w:t>
            </w:r>
            <w:r>
              <w:rPr>
                <w:spacing w:val="-4"/>
              </w:rPr>
              <w:t xml:space="preserve"> spolu s ostatními dopravními prostředky,</w:t>
            </w:r>
            <w:r w:rsidRPr="00573C97">
              <w:rPr>
                <w:spacing w:val="-4"/>
              </w:rPr>
              <w:t xml:space="preserve"> </w:t>
            </w:r>
            <w:r>
              <w:rPr>
                <w:spacing w:val="-4"/>
              </w:rPr>
              <w:t>desetinu</w:t>
            </w:r>
            <w:r w:rsidRPr="00573C97">
              <w:rPr>
                <w:spacing w:val="-4"/>
              </w:rPr>
              <w:t xml:space="preserve"> </w:t>
            </w:r>
            <w:r>
              <w:rPr>
                <w:spacing w:val="-4"/>
              </w:rPr>
              <w:t>shodně přidaly</w:t>
            </w:r>
            <w:r w:rsidRPr="00573C97">
              <w:rPr>
                <w:spacing w:val="-4"/>
              </w:rPr>
              <w:t xml:space="preserve"> </w:t>
            </w:r>
            <w:r>
              <w:rPr>
                <w:spacing w:val="-4"/>
              </w:rPr>
              <w:t>i jednotlivé subdodavatelské obory – gumárenství (vč.  </w:t>
            </w:r>
            <w:proofErr w:type="spellStart"/>
            <w:r w:rsidRPr="00573C97">
              <w:rPr>
                <w:spacing w:val="-4"/>
              </w:rPr>
              <w:t>plastikářství</w:t>
            </w:r>
            <w:proofErr w:type="spellEnd"/>
            <w:r>
              <w:rPr>
                <w:spacing w:val="-4"/>
              </w:rPr>
              <w:t>) i výroba elektrických zařízení. Podstatný byl (navzdory relativně skromnému růstu) i příspěvek váhavě významných odvětví energetiky a strojírenství. Stabilními, ale nižšími tempy se zvyšovala produkce i hutnictví a slévárenství, lepším výsledkům ale bránil nižší objem zakázek, především z tuzemska (v meziročním vyjádření již druhé čtvrtletí v řadě). Naopak v potravinářství dynamika růstu produkce zrychlovala (na 5,4 % v 1. čtvrtletí 2015) a reálně téměř dosáhla úrovně z počátku roku 2008. Tuto úroveň však dosud překonala jen třetina průmyslových oborů. Šlo zejména o výrobu dopravních prostředků (o 45 %) i navazující odvětví, dále o farmacii, ale také převážně investičně zaměřené obory</w:t>
            </w:r>
            <w:r w:rsidRPr="000F401E">
              <w:rPr>
                <w:spacing w:val="-4"/>
              </w:rPr>
              <w:t xml:space="preserve"> - výroba počítačů, elektronických a optických přístrojů, resp. opravy a instalace</w:t>
            </w:r>
            <w:r w:rsidRPr="00306E3B">
              <w:rPr>
                <w:spacing w:val="-4"/>
              </w:rPr>
              <w:t xml:space="preserve"> strojů</w:t>
            </w:r>
            <w:r>
              <w:rPr>
                <w:spacing w:val="-4"/>
              </w:rPr>
              <w:t xml:space="preserve">. Předkrizovou úroveň produkce nepřesáhly (vedle těžby) především některá menší zpracovatelská odvětví (výroba </w:t>
            </w:r>
            <w:r w:rsidRPr="000F401E">
              <w:rPr>
                <w:spacing w:val="-4"/>
              </w:rPr>
              <w:t xml:space="preserve">nápojů, textilní, oděvní, kožedělný průmysl, tiskárenství, </w:t>
            </w:r>
            <w:r>
              <w:rPr>
                <w:spacing w:val="-4"/>
              </w:rPr>
              <w:t xml:space="preserve">dřevařství, </w:t>
            </w:r>
            <w:r w:rsidRPr="000F401E">
              <w:rPr>
                <w:spacing w:val="-4"/>
              </w:rPr>
              <w:t>nábytkářství), z významnějších oborů pak průmysl skla, keramiky, porcelánu a stavebních hmot</w:t>
            </w:r>
            <w:r>
              <w:rPr>
                <w:spacing w:val="-4"/>
              </w:rPr>
              <w:t xml:space="preserve"> (o čtvrtinu), hutnictví a slévárenství (o šestinu), energetika (desetinu) či chemický průmysl.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0"/>
                <w:szCs w:val="10"/>
              </w:rPr>
            </w:pPr>
          </w:p>
        </w:tc>
      </w:tr>
      <w:tr w:rsidR="006D142E" w:rsidTr="006D142E">
        <w:trPr>
          <w:cantSplit/>
          <w:trHeight w:val="295"/>
        </w:trPr>
        <w:tc>
          <w:tcPr>
            <w:tcW w:w="1091" w:type="pct"/>
          </w:tcPr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Dynamika váhově významnějších zahraničních zakázek s přechodem na vyšší loňskou základnu postupně slábla,</w:t>
            </w:r>
          </w:p>
          <w:p w:rsidR="006D142E" w:rsidRPr="000F401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přesto byla hodnota zakázek v 1. čtvrtletí téměř o desetinu vyšší, v automobilovém průmyslu o 15 %</w:t>
            </w:r>
          </w:p>
        </w:tc>
        <w:tc>
          <w:tcPr>
            <w:tcW w:w="146" w:type="pct"/>
          </w:tcPr>
          <w:p w:rsidR="006D142E" w:rsidRDefault="006D142E" w:rsidP="006D142E">
            <w:pPr>
              <w:rPr>
                <w:szCs w:val="16"/>
              </w:rPr>
            </w:pPr>
          </w:p>
        </w:tc>
        <w:tc>
          <w:tcPr>
            <w:tcW w:w="3763" w:type="pct"/>
          </w:tcPr>
          <w:p w:rsidR="006D142E" w:rsidRPr="006D142E" w:rsidRDefault="006D142E" w:rsidP="006D142E">
            <w:pPr>
              <w:pStyle w:val="Textpoznpodarou"/>
              <w:jc w:val="both"/>
              <w:rPr>
                <w:spacing w:val="-6"/>
              </w:rPr>
            </w:pPr>
            <w:r w:rsidRPr="006D142E">
              <w:rPr>
                <w:spacing w:val="-6"/>
              </w:rPr>
              <w:t xml:space="preserve">Dobré vyhlídky průmyslu dokládá přetrvávající silná meziroční dynamika zahraničních zakázek i stabilní mírně pozitivní důvěra podnikatelů v odvětví (salda indikátorů důvěry v květnu 2015 se sice nacházela pod úrovní přelomu let 2010 a 2011, byla však setrvalá již 16 měsíců v řadě). Více než 40 % podniků v 1. čtvrtletí neočekávalo žádné bariéry omezující produkci (před rokem 29 %). Hodnota nových zakázek byla i přes silnější loňskou základnu stále znatelně meziročně vyšší (+8 %), u tuzemských,  ale i v zahraničních </w:t>
            </w:r>
            <w:proofErr w:type="gramStart"/>
            <w:r w:rsidRPr="006D142E">
              <w:rPr>
                <w:spacing w:val="-6"/>
              </w:rPr>
              <w:t>zakázek</w:t>
            </w:r>
            <w:proofErr w:type="gramEnd"/>
            <w:r w:rsidRPr="006D142E">
              <w:rPr>
                <w:spacing w:val="-6"/>
              </w:rPr>
              <w:t xml:space="preserve"> se zásoba práce navyšovala nejvíce u výroby dopravních prostředků (automobily, kolejová vozidla). Z významnějších odvětví klesla poptávka jen v hutnictví a slévárenství a též v chemickém průmyslu. Rostoucí zahraniční i domácí poptávka se promítají i do sílících temp růstu počtu zaměstnanců, které v 1. čtvrtletí na rozdíl od předchozích let již převýšily dynamiku růstu jejich průměrných mezd. 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0"/>
                <w:szCs w:val="10"/>
              </w:rPr>
            </w:pPr>
            <w:r>
              <w:rPr>
                <w:spacing w:val="-4"/>
              </w:rPr>
              <w:t xml:space="preserve"> </w:t>
            </w:r>
          </w:p>
        </w:tc>
      </w:tr>
      <w:tr w:rsidR="006D142E" w:rsidTr="006D142E">
        <w:trPr>
          <w:cantSplit/>
          <w:trHeight w:val="272"/>
        </w:trPr>
        <w:tc>
          <w:tcPr>
            <w:tcW w:w="1091" w:type="pct"/>
          </w:tcPr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ČR patří dlouhodobě k zemím s nejvyšší dynamikou růstu průmyslové produkce v EU, především zásluhou odvětví vyrábějící investiční produkty, opačně působí obory zaměřené na výrobky dlouhodobé spotřeby (jejich produkce byla v ČR za posledních sedm let o více než čtvrtinu nižší) </w:t>
            </w: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Pr="000F401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6D142E" w:rsidRDefault="006D142E" w:rsidP="006D142E">
            <w:pPr>
              <w:rPr>
                <w:szCs w:val="16"/>
              </w:rPr>
            </w:pPr>
          </w:p>
        </w:tc>
        <w:tc>
          <w:tcPr>
            <w:tcW w:w="3763" w:type="pct"/>
          </w:tcPr>
          <w:p w:rsidR="006D142E" w:rsidRDefault="006D142E" w:rsidP="006D142E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Průmysl v ČR svými růstovými tempy dlouhodobě převyšuje země </w:t>
            </w:r>
            <w:proofErr w:type="spellStart"/>
            <w:r>
              <w:rPr>
                <w:spacing w:val="-4"/>
              </w:rPr>
              <w:t>eurozóny</w:t>
            </w:r>
            <w:proofErr w:type="spellEnd"/>
            <w:r>
              <w:rPr>
                <w:spacing w:val="-4"/>
              </w:rPr>
              <w:t xml:space="preserve"> i celou EU. Dynamiku průmyslové produkce ČR v 1. čtvrtletí (+4,4 % meziročně) předčily ze zemí EU28 jen ostatní konvergující středoevropské ekonomiky (např. Slovensko i Polsko: 5,5 %) a rychle se zotavující Irsko (+23,8</w:t>
            </w:r>
            <w:r w:rsidRPr="000F401E">
              <w:rPr>
                <w:spacing w:val="-4"/>
              </w:rPr>
              <w:t> </w:t>
            </w:r>
            <w:r>
              <w:rPr>
                <w:spacing w:val="-4"/>
              </w:rPr>
              <w:t xml:space="preserve">%). Úroveň produkce z počátku roku 2008 průmysl dosud překonal ve třetině zemí EU, nejvíce v Irsku (o třetinu), Rumunsku (+28 %) a Polsku (+22 %). V ČR, Rakousku a Německu se nacházel prakticky na této úrovni. V celé EU byl nižší o téměř 8 %, především vinou jihoevropských zemí (v Itálii, Řecku i Španělsku se nacházel zhruba o čtvrtinu pod touto úrovní), ale i Francie (-13 %) či skandinávských států. Zatímco v ČR táhly průmysl v posledních sedmi letech především investičně zaměřená odvětví (+22 %), popř. obory zacílené na výrobu meziproduktů (+3 %), celé EU (resp. i </w:t>
            </w:r>
            <w:proofErr w:type="spellStart"/>
            <w:r>
              <w:rPr>
                <w:spacing w:val="-4"/>
              </w:rPr>
              <w:t>eurozóně</w:t>
            </w:r>
            <w:proofErr w:type="spellEnd"/>
            <w:r>
              <w:rPr>
                <w:spacing w:val="-4"/>
              </w:rPr>
              <w:t xml:space="preserve">) naopak obory produkující převážně zboží krátkodobé spotřeby (+2 %). 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0"/>
                <w:szCs w:val="10"/>
              </w:rPr>
            </w:pPr>
          </w:p>
        </w:tc>
      </w:tr>
      <w:tr w:rsidR="006D142E" w:rsidTr="006D142E">
        <w:tc>
          <w:tcPr>
            <w:tcW w:w="1091" w:type="pct"/>
          </w:tcPr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 w:rsidRPr="000711D7">
              <w:rPr>
                <w:sz w:val="16"/>
                <w:szCs w:val="16"/>
              </w:rPr>
              <w:t>Stavební produkce se meziročně reálně zvyšovala již páté čtvrtletí v řadě, odvětví těžilo z vysoké zásoby zakázek z loňského roku</w:t>
            </w:r>
          </w:p>
        </w:tc>
        <w:tc>
          <w:tcPr>
            <w:tcW w:w="146" w:type="pct"/>
          </w:tcPr>
          <w:p w:rsidR="006D142E" w:rsidRDefault="006D142E" w:rsidP="006D142E">
            <w:pPr>
              <w:rPr>
                <w:sz w:val="16"/>
                <w:szCs w:val="16"/>
              </w:rPr>
            </w:pPr>
          </w:p>
        </w:tc>
        <w:tc>
          <w:tcPr>
            <w:tcW w:w="3763" w:type="pct"/>
          </w:tcPr>
          <w:p w:rsidR="006D142E" w:rsidRDefault="006D142E" w:rsidP="006D142E">
            <w:pPr>
              <w:pStyle w:val="Textpoznpodarou"/>
              <w:jc w:val="both"/>
              <w:rPr>
                <w:spacing w:val="-4"/>
              </w:rPr>
            </w:pPr>
            <w:r w:rsidRPr="00984D30">
              <w:rPr>
                <w:spacing w:val="-4"/>
              </w:rPr>
              <w:t>V převážně pozitivních</w:t>
            </w:r>
            <w:r>
              <w:rPr>
                <w:spacing w:val="-4"/>
              </w:rPr>
              <w:t xml:space="preserve"> tendencích pokračovalo</w:t>
            </w:r>
            <w:r w:rsidRPr="00984D30">
              <w:rPr>
                <w:spacing w:val="-4"/>
              </w:rPr>
              <w:t xml:space="preserve"> i stavebnictví.</w:t>
            </w:r>
            <w:r>
              <w:rPr>
                <w:spacing w:val="-4"/>
              </w:rPr>
              <w:t xml:space="preserve"> Stavební produkce se meziročně reálně zvyšovala již páté čtvrtletí v řadě (v 1. čtvrtletí o 7,7 %). Podobně jako v předchozím roce se i letos dařilo oběma hlavním oborům, jak pozemnímu (+5,6 %), tak i váhově slabšímu inženýrskému stavitelství (+15</w:t>
            </w:r>
            <w:r w:rsidR="003A2DD4">
              <w:rPr>
                <w:spacing w:val="-4"/>
              </w:rPr>
              <w:t>,4</w:t>
            </w:r>
            <w:r>
              <w:rPr>
                <w:spacing w:val="-4"/>
              </w:rPr>
              <w:t> %), které těžilo především z vysoké zásoby loňských zakázek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>. Stavebnictví pomohla i mírnější zima (produkce v celém odvětví proti 4. čtvrtletí 2014 vzrostla o 6,4 %), byť v posledních letech se podobné výkyvy počasí vyskytují častěji. Navzdory nedávnému oživení však zůstávají výkony odvětví hluboko pod úrovní vrcholu konjunktury (1. čtvrtletí 2</w:t>
            </w:r>
            <w:r w:rsidR="00713495">
              <w:rPr>
                <w:spacing w:val="-4"/>
              </w:rPr>
              <w:t>0</w:t>
            </w:r>
            <w:r>
              <w:rPr>
                <w:spacing w:val="-4"/>
              </w:rPr>
              <w:t>08), inženýrském stavitelství o šestinu, pozemním stavitelství o více než čtvrtinu.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6D142E" w:rsidTr="006D142E">
        <w:tc>
          <w:tcPr>
            <w:tcW w:w="1091" w:type="pct"/>
          </w:tcPr>
          <w:p w:rsidR="006D142E" w:rsidRPr="000711D7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zásoba zakázek v 1. čtvrtletí rostla jen díky objednávkám od veřejného sektoru</w:t>
            </w:r>
          </w:p>
        </w:tc>
        <w:tc>
          <w:tcPr>
            <w:tcW w:w="146" w:type="pct"/>
          </w:tcPr>
          <w:p w:rsidR="006D142E" w:rsidRDefault="006D142E" w:rsidP="006D142E">
            <w:pPr>
              <w:rPr>
                <w:sz w:val="16"/>
                <w:szCs w:val="16"/>
              </w:rPr>
            </w:pPr>
          </w:p>
        </w:tc>
        <w:tc>
          <w:tcPr>
            <w:tcW w:w="3763" w:type="pct"/>
          </w:tcPr>
          <w:p w:rsidR="006D142E" w:rsidRPr="00DA5DE8" w:rsidRDefault="006D142E" w:rsidP="006D142E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Ačkoliv hodnota nových zakázek v pozemním stavitelství (u podniků s 50 a více zaměstnanci) proti velmi nízkému základu z počátku loňského roku meziročně o čtvrtinu vzrostla, v celém stavebnictví nové zakázky mírně poklesly (na 35,7 mld. korun - třetí nejnižší hodnotu za poslední </w:t>
            </w:r>
            <w:proofErr w:type="spellStart"/>
            <w:r>
              <w:rPr>
                <w:spacing w:val="-4"/>
              </w:rPr>
              <w:t>decenium</w:t>
            </w:r>
            <w:proofErr w:type="spellEnd"/>
            <w:r>
              <w:rPr>
                <w:spacing w:val="-4"/>
              </w:rPr>
              <w:t>). Hodnota všech dosud nerealizovaných zakázek v 1. čtvrtletí byla stále o 2 % vyšší, avšak pouze zásluhou objednávek od veřejného sektoru (+7%), soukromá poptávka, jakož i zásoba práce ze zahraničí meziročně oslabily. Souhrnné saldo důvěry podnikatelů ve stavebnictví bylo v květnu 2015 nejvýše od počátku roku 2009, proti květnu 2014 se výrazně snížila negativní krátkodobá očekávání u poptávky i stavební činnosti, podíl podniků očekávajících růst počtu zaměstnanců se zvýšil z 13 % na 23 % (s lepším očekáváním u větších stavebních podniků). Nedostatečnou poptávku přesto považovalo za bariéru vyšší produkce 60 % podniků (v celé EU 38 %), před rokem dokonce 80 %. Více než šest let trvající pokles počtu zaměstnanců i všech pracovníků ve stavebnictví nebyl dosud přerušen ani na počátku roku 2015. Zohledníme-li však i pravděpodobný nárůst počtu agenturních pracovníků, lze předpokládat, že celkový počet pracovních míst ve stavebnictví již nalezl své dno.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0"/>
                <w:szCs w:val="10"/>
              </w:rPr>
            </w:pPr>
          </w:p>
        </w:tc>
      </w:tr>
      <w:tr w:rsidR="006D142E" w:rsidTr="006D142E">
        <w:trPr>
          <w:trHeight w:val="269"/>
        </w:trPr>
        <w:tc>
          <w:tcPr>
            <w:tcW w:w="1091" w:type="pct"/>
          </w:tcPr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Oživení trhu y byty probíhá zatím jen pozvolně</w:t>
            </w:r>
          </w:p>
        </w:tc>
        <w:tc>
          <w:tcPr>
            <w:tcW w:w="146" w:type="pct"/>
          </w:tcPr>
          <w:p w:rsidR="006D142E" w:rsidRPr="00636F97" w:rsidRDefault="006D142E" w:rsidP="006D142E">
            <w:pPr>
              <w:rPr>
                <w:spacing w:val="-4"/>
                <w:szCs w:val="20"/>
              </w:rPr>
            </w:pPr>
          </w:p>
        </w:tc>
        <w:tc>
          <w:tcPr>
            <w:tcW w:w="3763" w:type="pct"/>
          </w:tcPr>
          <w:p w:rsidR="006D142E" w:rsidRDefault="006D142E" w:rsidP="006D142E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T</w:t>
            </w:r>
            <w:r w:rsidRPr="00636F97">
              <w:rPr>
                <w:spacing w:val="-4"/>
              </w:rPr>
              <w:t>r</w:t>
            </w:r>
            <w:r>
              <w:rPr>
                <w:spacing w:val="-4"/>
              </w:rPr>
              <w:t>h</w:t>
            </w:r>
            <w:r w:rsidRPr="00636F97">
              <w:rPr>
                <w:spacing w:val="-4"/>
              </w:rPr>
              <w:t xml:space="preserve"> s</w:t>
            </w:r>
            <w:r>
              <w:rPr>
                <w:spacing w:val="-4"/>
              </w:rPr>
              <w:t> </w:t>
            </w:r>
            <w:r w:rsidRPr="00636F97">
              <w:rPr>
                <w:spacing w:val="-4"/>
              </w:rPr>
              <w:t>byty</w:t>
            </w:r>
            <w:r>
              <w:rPr>
                <w:spacing w:val="-4"/>
              </w:rPr>
              <w:t xml:space="preserve"> byl v 1. čtvrtletí ovlivněn rostoucí kupní sílou i převažujícím pozitivním naladěním domácností, zlepšujícím se trhem práce, historickými nízkými </w:t>
            </w:r>
            <w:proofErr w:type="gramStart"/>
            <w:r>
              <w:rPr>
                <w:spacing w:val="-4"/>
              </w:rPr>
              <w:t>úrokovým</w:t>
            </w:r>
            <w:proofErr w:type="gramEnd"/>
            <w:r>
              <w:rPr>
                <w:spacing w:val="-4"/>
              </w:rPr>
              <w:t xml:space="preserve"> sazbami hypoték, ale i přetrvávajícím vysokým počtem volných bytů postavených v době konjunktury. Počet zahájen</w:t>
            </w:r>
            <w:r w:rsidR="003A2DD4">
              <w:rPr>
                <w:spacing w:val="-4"/>
              </w:rPr>
              <w:t>ých</w:t>
            </w:r>
            <w:r>
              <w:rPr>
                <w:spacing w:val="-4"/>
              </w:rPr>
              <w:t xml:space="preserve"> bytů (5,1 tis.) poklesl na nejnižší hodnotu od poloviny 90. let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>, nejvíce bytů se tradičně stavělo v Praze a jejím bezprostředním okolí. Počet dokončených bytů vlivem oživení u bytových domů (+25 %), meziročně vzrostl o 4,5 %, přesto šlo o třetí nejnižší hodnotu za poslední dekádu.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0"/>
                <w:szCs w:val="10"/>
              </w:rPr>
            </w:pPr>
            <w:r w:rsidRPr="00636F97">
              <w:rPr>
                <w:spacing w:val="-4"/>
              </w:rPr>
              <w:t xml:space="preserve"> </w:t>
            </w:r>
          </w:p>
        </w:tc>
      </w:tr>
      <w:tr w:rsidR="006D142E" w:rsidTr="006D142E">
        <w:tc>
          <w:tcPr>
            <w:tcW w:w="1091" w:type="pct"/>
          </w:tcPr>
          <w:p w:rsidR="006D142E" w:rsidRPr="000F401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Tržby ve službách zrychlily dynamiku (při současném pok</w:t>
            </w:r>
            <w:r w:rsidR="003A2DD4">
              <w:rPr>
                <w:sz w:val="16"/>
                <w:szCs w:val="16"/>
              </w:rPr>
              <w:t>lesu cen), meziročně rostly</w:t>
            </w:r>
            <w:r>
              <w:rPr>
                <w:sz w:val="16"/>
                <w:szCs w:val="16"/>
              </w:rPr>
              <w:t xml:space="preserve"> nejvíce za posledních sedm let</w:t>
            </w:r>
          </w:p>
        </w:tc>
        <w:tc>
          <w:tcPr>
            <w:tcW w:w="146" w:type="pct"/>
          </w:tcPr>
          <w:p w:rsidR="006D142E" w:rsidRDefault="006D142E" w:rsidP="006D142E">
            <w:pPr>
              <w:rPr>
                <w:szCs w:val="16"/>
              </w:rPr>
            </w:pPr>
          </w:p>
        </w:tc>
        <w:tc>
          <w:tcPr>
            <w:tcW w:w="3763" w:type="pct"/>
          </w:tcPr>
          <w:p w:rsidR="006D142E" w:rsidRPr="00127F6C" w:rsidRDefault="006D142E" w:rsidP="006D142E">
            <w:pPr>
              <w:pStyle w:val="Textpoznpodarou"/>
              <w:jc w:val="both"/>
              <w:rPr>
                <w:spacing w:val="-4"/>
              </w:rPr>
            </w:pPr>
            <w:r w:rsidRPr="00127F6C">
              <w:rPr>
                <w:spacing w:val="-4"/>
              </w:rPr>
              <w:t>Služby představovaly jednu z oblastí ekonomiky, kde se současné ekonomické oživení projevovalo s</w:t>
            </w:r>
            <w:r>
              <w:rPr>
                <w:spacing w:val="-4"/>
              </w:rPr>
              <w:t>e</w:t>
            </w:r>
            <w:r w:rsidRPr="00127F6C">
              <w:rPr>
                <w:spacing w:val="-4"/>
              </w:rPr>
              <w:t xml:space="preserve"> zpožděním</w:t>
            </w:r>
            <w:r w:rsidR="000A2484">
              <w:rPr>
                <w:spacing w:val="-6"/>
              </w:rPr>
              <w:t>.</w:t>
            </w:r>
            <w:r w:rsidR="000A2484">
              <w:rPr>
                <w:spacing w:val="-4"/>
              </w:rPr>
              <w:t xml:space="preserve"> Jedním z důvodů byla</w:t>
            </w:r>
            <w:r w:rsidR="003A2DD4">
              <w:rPr>
                <w:spacing w:val="-4"/>
              </w:rPr>
              <w:t xml:space="preserve"> </w:t>
            </w:r>
            <w:r w:rsidR="003A2DD4" w:rsidRPr="00127F6C">
              <w:rPr>
                <w:spacing w:val="-4"/>
              </w:rPr>
              <w:t xml:space="preserve">vnitřní diferencovanost </w:t>
            </w:r>
            <w:r w:rsidR="003A2DD4" w:rsidRPr="003F1A48">
              <w:rPr>
                <w:spacing w:val="-6"/>
              </w:rPr>
              <w:t xml:space="preserve">tohoto sektoru. </w:t>
            </w:r>
            <w:r w:rsidRPr="003F1A48">
              <w:rPr>
                <w:spacing w:val="-6"/>
              </w:rPr>
              <w:t xml:space="preserve"> Tržby ve vybraných službách</w:t>
            </w:r>
            <w:r w:rsidRPr="003F1A48">
              <w:rPr>
                <w:spacing w:val="-6"/>
                <w:vertAlign w:val="superscript"/>
              </w:rPr>
              <w:footnoteReference w:id="4"/>
            </w:r>
            <w:r w:rsidRPr="003F1A48">
              <w:rPr>
                <w:spacing w:val="-6"/>
              </w:rPr>
              <w:t xml:space="preserve"> zaznamenaly ještě v posledním loňském</w:t>
            </w:r>
            <w:r w:rsidRPr="00127F6C">
              <w:rPr>
                <w:spacing w:val="-6"/>
              </w:rPr>
              <w:t xml:space="preserve"> čtvrtletí mírný reálný meziroční pokles (-0,7</w:t>
            </w:r>
            <w:r w:rsidR="003A2DD4">
              <w:rPr>
                <w:spacing w:val="-6"/>
              </w:rPr>
              <w:t xml:space="preserve"> %). </w:t>
            </w:r>
            <w:r w:rsidRPr="00127F6C">
              <w:rPr>
                <w:spacing w:val="-4"/>
              </w:rPr>
              <w:t>V 1. čtvrtletí 2015 však meziroční tempo tržeb prudce zrychlilo (na 3 %), nejrychlejším tempem od konce roku 2007. Do dynamiky tržeb v 1. čtvrtletí promluvily i cenové vlivy, když podniky meziročně stržily v reálném vyjádření více než v běžných cenách (+2,4 %) a to zásluhou recentního vývoje v letecké dopravě či skladování, ale i v telekomunikacích (kde je pokles cen dlouhodobějším jevem). Pokles cen při současném růstu je ve službách poměrně neobvyklý jev, na přelomu roku 2014 a 2015 byl způsoben především dopady prudkého poklesu cen ropy na světových trzích na českou ekonomiku.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0"/>
                <w:szCs w:val="10"/>
              </w:rPr>
            </w:pPr>
          </w:p>
        </w:tc>
      </w:tr>
      <w:tr w:rsidR="006D142E" w:rsidTr="006D142E">
        <w:tc>
          <w:tcPr>
            <w:tcW w:w="1091" w:type="pct"/>
          </w:tcPr>
          <w:p w:rsidR="006D142E" w:rsidRDefault="000A2484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administrativních a podpůrných činnostech</w:t>
            </w:r>
            <w:r w:rsidR="006D142E">
              <w:rPr>
                <w:sz w:val="16"/>
                <w:szCs w:val="16"/>
              </w:rPr>
              <w:t xml:space="preserve"> se dařilo všem dílčím oborů</w:t>
            </w:r>
            <w:r>
              <w:rPr>
                <w:sz w:val="16"/>
                <w:szCs w:val="16"/>
              </w:rPr>
              <w:t>m</w:t>
            </w:r>
            <w:r w:rsidR="006D142E">
              <w:rPr>
                <w:sz w:val="16"/>
                <w:szCs w:val="16"/>
              </w:rPr>
              <w:t xml:space="preserve"> vyjma činnosti cestovních kanceláří, jejichž tržby byly meziročně slabší již deset čtvrtletí v řadě</w:t>
            </w: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Pozitivní obrat u </w:t>
            </w:r>
            <w:r w:rsidRPr="00462B36">
              <w:rPr>
                <w:sz w:val="16"/>
                <w:szCs w:val="16"/>
              </w:rPr>
              <w:t>architektonických a inženýrských činností</w:t>
            </w:r>
            <w:r>
              <w:rPr>
                <w:sz w:val="16"/>
                <w:szCs w:val="16"/>
              </w:rPr>
              <w:t xml:space="preserve"> vlivem oživení stavebnictví</w:t>
            </w: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Mírnější</w:t>
            </w:r>
            <w:r w:rsidR="00AB104D">
              <w:rPr>
                <w:sz w:val="16"/>
                <w:szCs w:val="16"/>
              </w:rPr>
              <w:t>mi</w:t>
            </w:r>
            <w:r>
              <w:rPr>
                <w:sz w:val="16"/>
                <w:szCs w:val="16"/>
              </w:rPr>
              <w:t xml:space="preserve"> tempy pokračoval i růst v odvětví dopravy a skladování, za poslední dva roky zde nejvíce posílily tržby v pozemní a p</w:t>
            </w:r>
            <w:r w:rsidR="000A2484">
              <w:rPr>
                <w:sz w:val="16"/>
                <w:szCs w:val="16"/>
              </w:rPr>
              <w:t>otrubní dopravě</w:t>
            </w:r>
          </w:p>
          <w:p w:rsidR="006D142E" w:rsidRPr="000F401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6D142E" w:rsidRDefault="006D142E" w:rsidP="006D142E">
            <w:pPr>
              <w:pStyle w:val="Textpoznpodarou"/>
              <w:jc w:val="both"/>
            </w:pPr>
          </w:p>
        </w:tc>
        <w:tc>
          <w:tcPr>
            <w:tcW w:w="3763" w:type="pct"/>
          </w:tcPr>
          <w:p w:rsidR="006D142E" w:rsidRDefault="006D142E" w:rsidP="006D142E">
            <w:pPr>
              <w:pStyle w:val="Textpoznpodarou"/>
              <w:jc w:val="both"/>
              <w:rPr>
                <w:spacing w:val="-4"/>
              </w:rPr>
            </w:pPr>
            <w:r w:rsidRPr="000F401E">
              <w:rPr>
                <w:spacing w:val="-4"/>
              </w:rPr>
              <w:t>Dařilo se zejména oborům, jejichž tržby rostou dlouhodobě, a většinou již přesáhly „předkrizovou úroveň“.</w:t>
            </w:r>
            <w:r>
              <w:rPr>
                <w:spacing w:val="-4"/>
              </w:rPr>
              <w:t xml:space="preserve"> Nejvyšší růst byl v 1. čtvrtletí patrný v administrativních a podpůrných činnostech (6 %), jejichž tržby táhly tradičně pracovní agentury (+17 %, nepřetržitý růst po dvacet čtvrtletí v řadě). O téměř 6 % stržily meziročně více i informační a komunikační činnosti, i zde se dařilo prakticky všem dílčím akti</w:t>
            </w:r>
            <w:r w:rsidR="000A2484">
              <w:rPr>
                <w:spacing w:val="-4"/>
              </w:rPr>
              <w:t>vitám</w:t>
            </w:r>
            <w:r>
              <w:rPr>
                <w:spacing w:val="-4"/>
              </w:rPr>
              <w:t>. Významný obrat letos zaznamenaly profes</w:t>
            </w:r>
            <w:r w:rsidR="00AB104D">
              <w:rPr>
                <w:spacing w:val="-4"/>
              </w:rPr>
              <w:t>ní, vědecké a technické činnosti</w:t>
            </w:r>
            <w:r>
              <w:rPr>
                <w:spacing w:val="-4"/>
              </w:rPr>
              <w:t>, kde tržby vzrostly (+4,1 %) poprvé po jedenácti čtvrtletích (s nejvyšší růstovou dynamikou od konce roku 2007). Zasloužil se o tom především prudký růst u architektonických a inženýrskýc</w:t>
            </w:r>
            <w:r w:rsidR="000A2484">
              <w:rPr>
                <w:spacing w:val="-4"/>
              </w:rPr>
              <w:t>h činností (+9,4</w:t>
            </w:r>
            <w:r>
              <w:rPr>
                <w:spacing w:val="-4"/>
              </w:rPr>
              <w:t xml:space="preserve"> %), související s oživení ve stavebnictví. Mírnějšími tempy již č</w:t>
            </w:r>
            <w:r w:rsidR="00AB104D">
              <w:rPr>
                <w:spacing w:val="-4"/>
              </w:rPr>
              <w:t>tyři čtvrtletí pokračoval růst</w:t>
            </w:r>
            <w:r>
              <w:rPr>
                <w:spacing w:val="-4"/>
              </w:rPr>
              <w:t xml:space="preserve"> </w:t>
            </w:r>
            <w:r w:rsidR="00AB104D">
              <w:rPr>
                <w:spacing w:val="-4"/>
              </w:rPr>
              <w:t>v reklamních činnostech</w:t>
            </w:r>
            <w:r>
              <w:rPr>
                <w:spacing w:val="-4"/>
              </w:rPr>
              <w:t>, proti předkrizové úrovni však jejich tržby o více než čtvrtinu oslabily (u průzkumu trhu a veřejného mínění naopak s ob</w:t>
            </w:r>
            <w:r w:rsidR="00AB104D">
              <w:rPr>
                <w:spacing w:val="-4"/>
              </w:rPr>
              <w:t>dobnou</w:t>
            </w:r>
            <w:r>
              <w:rPr>
                <w:spacing w:val="-4"/>
              </w:rPr>
              <w:t xml:space="preserve"> dynamikou vzrostly). Již téměř pět let rostou tržby u poskytovatelů ubytování (v 1</w:t>
            </w:r>
            <w:r w:rsidR="000A2484">
              <w:rPr>
                <w:spacing w:val="-4"/>
              </w:rPr>
              <w:t>. čtvrtletí o 4,6 %), skromnějším tempem</w:t>
            </w:r>
            <w:r>
              <w:rPr>
                <w:spacing w:val="-4"/>
              </w:rPr>
              <w:t xml:space="preserve"> i ve stravování a pohostinství (1,7 %). Zatímco tržby v ubytování již dosáhly reálně úrovně vrcholu konjunktury, ve stravování a pohostinství za touto úrovní stále o šestinu zaostávaly. V dopravě a skladování dynamika tržeb zpomalila na 0,9 % vlivem velmi vysoké loňské základny, která se projevila především ve skladování (proti 1. čtvrtletí 2013 zde však tržby posílily o téměř 7 %). Tržby v letecké dopravě, po příznivějších výsledcích z druhé poloviny loňského roku, letos opět meziročně ubraly (-3 %), za posledních sedm let oslabily o třetinu. V dlouhodobých, byť mírnějších </w:t>
            </w:r>
            <w:proofErr w:type="gramStart"/>
            <w:r>
              <w:rPr>
                <w:spacing w:val="-4"/>
              </w:rPr>
              <w:t>poklesech</w:t>
            </w:r>
            <w:proofErr w:type="gramEnd"/>
            <w:r>
              <w:rPr>
                <w:spacing w:val="-4"/>
              </w:rPr>
              <w:t>, pokračovaly i tržby v činnostech v oblasti nemovitostí.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0"/>
                <w:szCs w:val="10"/>
              </w:rPr>
            </w:pPr>
          </w:p>
        </w:tc>
      </w:tr>
      <w:tr w:rsidR="006D142E" w:rsidTr="006D142E">
        <w:tc>
          <w:tcPr>
            <w:tcW w:w="1091" w:type="pct"/>
          </w:tcPr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Maloobchodní tržby (bez motoristického segmentu) vzrostly meziročně nejvíce za posledních sedm let, proti úrovni z vrcholu konjunktury (1q. 2008) byly již o 6 % vyšší, naplno se tak projevilo výrazné zlepšení nálad spotřebitelů, signalizované již n</w:t>
            </w:r>
            <w:r w:rsidR="000A2484">
              <w:rPr>
                <w:sz w:val="16"/>
                <w:szCs w:val="16"/>
              </w:rPr>
              <w:t>a sklonku roku 2013</w:t>
            </w:r>
            <w:r>
              <w:rPr>
                <w:sz w:val="16"/>
                <w:szCs w:val="16"/>
              </w:rPr>
              <w:t xml:space="preserve">  </w:t>
            </w:r>
          </w:p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6D142E" w:rsidRDefault="006D142E" w:rsidP="006D142E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3" w:type="pct"/>
          </w:tcPr>
          <w:p w:rsidR="006D142E" w:rsidRPr="006B6412" w:rsidRDefault="006D142E" w:rsidP="006D142E">
            <w:pPr>
              <w:pStyle w:val="Textpoznpodarou"/>
              <w:jc w:val="both"/>
              <w:rPr>
                <w:spacing w:val="-4"/>
              </w:rPr>
            </w:pPr>
            <w:r w:rsidRPr="000F401E">
              <w:rPr>
                <w:spacing w:val="-4"/>
              </w:rPr>
              <w:t xml:space="preserve">Obnovení růstu ekonomiky pozvolna následované </w:t>
            </w:r>
            <w:r>
              <w:rPr>
                <w:spacing w:val="-4"/>
              </w:rPr>
              <w:t xml:space="preserve">postupným </w:t>
            </w:r>
            <w:r w:rsidRPr="000F401E">
              <w:rPr>
                <w:spacing w:val="-4"/>
              </w:rPr>
              <w:t>zlepšením s</w:t>
            </w:r>
            <w:r>
              <w:rPr>
                <w:spacing w:val="-4"/>
              </w:rPr>
              <w:t>ituace na trhu práce (s dopadem do vyšších disponibilních příjmů domácností) se promítlo</w:t>
            </w:r>
            <w:r w:rsidRPr="000F401E">
              <w:rPr>
                <w:spacing w:val="-4"/>
              </w:rPr>
              <w:t xml:space="preserve"> do indikátoru spotřebitelské důvěry, který </w:t>
            </w:r>
            <w:r>
              <w:rPr>
                <w:spacing w:val="-4"/>
              </w:rPr>
              <w:t>se na počátku roku</w:t>
            </w:r>
            <w:r w:rsidRPr="000F401E">
              <w:rPr>
                <w:spacing w:val="-4"/>
              </w:rPr>
              <w:t xml:space="preserve"> nacházel nejvýše od března 2007. </w:t>
            </w:r>
            <w:r>
              <w:rPr>
                <w:spacing w:val="-4"/>
              </w:rPr>
              <w:t xml:space="preserve">Podobně na tom byly i </w:t>
            </w:r>
            <w:r w:rsidRPr="000F401E">
              <w:rPr>
                <w:spacing w:val="-4"/>
              </w:rPr>
              <w:t>maloobchodní tržby</w:t>
            </w:r>
            <w:r>
              <w:rPr>
                <w:spacing w:val="-4"/>
              </w:rPr>
              <w:t xml:space="preserve"> (CZ-NACE 47)</w:t>
            </w:r>
            <w:r w:rsidRPr="000F401E">
              <w:rPr>
                <w:spacing w:val="-4"/>
              </w:rPr>
              <w:t>,</w:t>
            </w:r>
            <w:r>
              <w:rPr>
                <w:spacing w:val="-4"/>
              </w:rPr>
              <w:t xml:space="preserve"> jejichž meziroční růst na počátku roku akceleroval na 6,4 % (v posledním čtvrtletí 2014 činil 3,5 %). </w:t>
            </w:r>
            <w:r w:rsidRPr="0026518E">
              <w:rPr>
                <w:spacing w:val="-4"/>
              </w:rPr>
              <w:t>Šl</w:t>
            </w:r>
            <w:r w:rsidR="00AB104D">
              <w:rPr>
                <w:spacing w:val="-4"/>
              </w:rPr>
              <w:t>o o nejvyšší hodnotu od 3. čtvrtletí</w:t>
            </w:r>
            <w:r w:rsidRPr="0026518E">
              <w:rPr>
                <w:spacing w:val="-4"/>
              </w:rPr>
              <w:t xml:space="preserve"> roku 2007 a zároveň o pát</w:t>
            </w:r>
            <w:r>
              <w:rPr>
                <w:spacing w:val="-4"/>
              </w:rPr>
              <w:t>ou nejvyšší hodnotu z EU (vyšší dynamiky však dosáhlo</w:t>
            </w:r>
            <w:r w:rsidRPr="0026518E">
              <w:rPr>
                <w:spacing w:val="-4"/>
              </w:rPr>
              <w:t xml:space="preserve"> např. Polsko či Maďarsko)</w:t>
            </w:r>
            <w:r>
              <w:rPr>
                <w:spacing w:val="-4"/>
              </w:rPr>
              <w:t xml:space="preserve">. Ještě významnější oživení proběhlo v samotném motoristickém segmentu (CZ-NACE 45), kde obchodníci stržili za dva roky reálně o téměř třetinu více. </w:t>
            </w:r>
          </w:p>
        </w:tc>
      </w:tr>
      <w:tr w:rsidR="006D142E" w:rsidTr="006D142E">
        <w:tc>
          <w:tcPr>
            <w:tcW w:w="1091" w:type="pct"/>
          </w:tcPr>
          <w:p w:rsidR="006D142E" w:rsidRDefault="006D142E" w:rsidP="003F1A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Vyšší tržby za </w:t>
            </w:r>
            <w:proofErr w:type="spellStart"/>
            <w:r>
              <w:rPr>
                <w:sz w:val="16"/>
                <w:szCs w:val="16"/>
              </w:rPr>
              <w:t>nepotravinářské</w:t>
            </w:r>
            <w:proofErr w:type="spellEnd"/>
            <w:r>
              <w:rPr>
                <w:sz w:val="16"/>
                <w:szCs w:val="16"/>
              </w:rPr>
              <w:t xml:space="preserve"> zboží v</w:t>
            </w:r>
            <w:r w:rsidR="00AB104D">
              <w:rPr>
                <w:sz w:val="16"/>
                <w:szCs w:val="16"/>
              </w:rPr>
              <w:t xml:space="preserve">e specializovaných prodejnách ve </w:t>
            </w:r>
            <w:r>
              <w:rPr>
                <w:sz w:val="16"/>
                <w:szCs w:val="16"/>
              </w:rPr>
              <w:t xml:space="preserve">všech hlavních sortimentních skupin - vyjma </w:t>
            </w:r>
            <w:r w:rsidR="003F1A48">
              <w:rPr>
                <w:sz w:val="16"/>
                <w:szCs w:val="16"/>
              </w:rPr>
              <w:t>oděvů a obuvi</w:t>
            </w:r>
          </w:p>
        </w:tc>
        <w:tc>
          <w:tcPr>
            <w:tcW w:w="146" w:type="pct"/>
          </w:tcPr>
          <w:p w:rsidR="006D142E" w:rsidRDefault="006D142E" w:rsidP="006D142E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3" w:type="pct"/>
          </w:tcPr>
          <w:p w:rsidR="006D142E" w:rsidRDefault="006D142E" w:rsidP="006D142E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„Nemotoristický“ segment maloobchodu již tradičně táhl váhově nejvýznamnější prodej </w:t>
            </w:r>
            <w:proofErr w:type="spellStart"/>
            <w:r>
              <w:rPr>
                <w:spacing w:val="-4"/>
              </w:rPr>
              <w:t>nepotravinářského</w:t>
            </w:r>
            <w:proofErr w:type="spellEnd"/>
            <w:r>
              <w:rPr>
                <w:spacing w:val="-4"/>
              </w:rPr>
              <w:t xml:space="preserve"> zboží (+7,1 %), kde pokles cen dlouhodobě pomáhal hlavně prodejům počítačových a komunikačních zařízení (+21,4 %), v menší míře nábytku, elektrospotřebičů</w:t>
            </w:r>
            <w:r w:rsidRPr="00B03F31">
              <w:rPr>
                <w:spacing w:val="-4"/>
              </w:rPr>
              <w:t xml:space="preserve"> a elektronik</w:t>
            </w:r>
            <w:r>
              <w:rPr>
                <w:spacing w:val="-4"/>
              </w:rPr>
              <w:t xml:space="preserve">y (kde obchodníci stržili reálně o desetinu více). Tržby se ale zvyšovaly v drtivé většině ostatních specializovaných prodejen, vyjma obchodů s </w:t>
            </w:r>
            <w:r w:rsidRPr="00B03F31">
              <w:rPr>
                <w:spacing w:val="-4"/>
              </w:rPr>
              <w:t>oděvy, obuví a koženým zbožím</w:t>
            </w:r>
            <w:r>
              <w:rPr>
                <w:spacing w:val="-4"/>
              </w:rPr>
              <w:t xml:space="preserve">. </w:t>
            </w:r>
          </w:p>
          <w:p w:rsidR="006D142E" w:rsidRPr="006D142E" w:rsidRDefault="006D142E" w:rsidP="006D142E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6D142E" w:rsidTr="006D142E">
        <w:trPr>
          <w:cantSplit/>
          <w:trHeight w:val="230"/>
        </w:trPr>
        <w:tc>
          <w:tcPr>
            <w:tcW w:w="1091" w:type="pct"/>
          </w:tcPr>
          <w:p w:rsidR="006D142E" w:rsidRDefault="006D142E" w:rsidP="006D142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Růst tržeb za potravinářské zboží v ČR</w:t>
            </w:r>
            <w:r w:rsidR="003F1A48">
              <w:rPr>
                <w:rStyle w:val="Znakapoznpodarou"/>
                <w:sz w:val="16"/>
                <w:szCs w:val="16"/>
              </w:rPr>
              <w:footnoteReference w:id="5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byl v 1.čtvrtletí</w:t>
            </w:r>
            <w:proofErr w:type="gramEnd"/>
            <w:r>
              <w:rPr>
                <w:sz w:val="16"/>
                <w:szCs w:val="16"/>
              </w:rPr>
              <w:t xml:space="preserve"> třetí nejvyšší z celé EU (po Polsku a Rumunsku), v případě prodeje PHM čtvrtý nejvyšší, ze sousedních států rostly srovnatelným tempem pouze v Rakousku</w:t>
            </w:r>
          </w:p>
        </w:tc>
        <w:tc>
          <w:tcPr>
            <w:tcW w:w="146" w:type="pct"/>
          </w:tcPr>
          <w:p w:rsidR="006D142E" w:rsidRDefault="006D142E" w:rsidP="006D142E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3" w:type="pct"/>
          </w:tcPr>
          <w:p w:rsidR="006D142E" w:rsidRPr="000F401E" w:rsidRDefault="006D142E" w:rsidP="00AB104D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Růst tržeb za potravinářské zboží byl i přes „skromnější“ dynamiku (4,2 %) také nejvyšší v „</w:t>
            </w:r>
            <w:proofErr w:type="spellStart"/>
            <w:r>
              <w:rPr>
                <w:spacing w:val="-4"/>
              </w:rPr>
              <w:t>pokrizovém</w:t>
            </w:r>
            <w:proofErr w:type="spellEnd"/>
            <w:r>
              <w:rPr>
                <w:spacing w:val="-4"/>
              </w:rPr>
              <w:t>“ období</w:t>
            </w:r>
            <w:r w:rsidR="000D208B">
              <w:rPr>
                <w:spacing w:val="-4"/>
              </w:rPr>
              <w:t xml:space="preserve"> (</w:t>
            </w:r>
            <w:r>
              <w:rPr>
                <w:spacing w:val="-4"/>
              </w:rPr>
              <w:t>a podobně jako za celý rok 2014 zár</w:t>
            </w:r>
            <w:r w:rsidR="000D208B">
              <w:rPr>
                <w:spacing w:val="-4"/>
              </w:rPr>
              <w:t>oveň také vyšší než v EU</w:t>
            </w:r>
            <w:r>
              <w:rPr>
                <w:spacing w:val="-4"/>
              </w:rPr>
              <w:t>). Na rozdíl od předchozích let s touto dynamikou tržeb stačili držet krok i prodejci potravin ve specializovan</w:t>
            </w:r>
            <w:r w:rsidR="00AB104D">
              <w:rPr>
                <w:spacing w:val="-4"/>
              </w:rPr>
              <w:t xml:space="preserve">ých prodejnách (+3,2 %). Tržby </w:t>
            </w:r>
            <w:r>
              <w:rPr>
                <w:spacing w:val="-4"/>
              </w:rPr>
              <w:t>čerpacích stanic od loňského prosince akcelerovaly, meziročně byly v 1. čtvrtletí o desetinu vyšší, když vyšší poptávku (vč. tranzitní dopravy) kromě mírnější zimy stimuloval zejména velmi příznivý cenový vývoj PHM.</w:t>
            </w:r>
          </w:p>
        </w:tc>
      </w:tr>
    </w:tbl>
    <w:p w:rsidR="006D142E" w:rsidRPr="006D142E" w:rsidRDefault="006D142E" w:rsidP="006D142E">
      <w:pPr>
        <w:pStyle w:val="Textpoznpodarou"/>
        <w:jc w:val="both"/>
        <w:rPr>
          <w:sz w:val="16"/>
          <w:szCs w:val="16"/>
        </w:rPr>
      </w:pPr>
    </w:p>
    <w:tbl>
      <w:tblPr>
        <w:tblW w:w="5111" w:type="pct"/>
        <w:tblCellMar>
          <w:left w:w="28" w:type="dxa"/>
          <w:right w:w="28" w:type="dxa"/>
        </w:tblCellMar>
        <w:tblLook w:val="04A0"/>
      </w:tblPr>
      <w:tblGrid>
        <w:gridCol w:w="1027"/>
        <w:gridCol w:w="3910"/>
        <w:gridCol w:w="963"/>
        <w:gridCol w:w="4009"/>
      </w:tblGrid>
      <w:tr w:rsidR="006D142E" w:rsidTr="006D142E">
        <w:tc>
          <w:tcPr>
            <w:tcW w:w="518" w:type="pct"/>
          </w:tcPr>
          <w:p w:rsidR="006D142E" w:rsidRDefault="006D142E" w:rsidP="006D142E">
            <w:pPr>
              <w:spacing w:line="240" w:lineRule="auto"/>
            </w:pPr>
            <w:r>
              <w:t>Graf č. 5</w:t>
            </w:r>
          </w:p>
        </w:tc>
        <w:tc>
          <w:tcPr>
            <w:tcW w:w="1973" w:type="pct"/>
          </w:tcPr>
          <w:p w:rsidR="006D142E" w:rsidRPr="00055059" w:rsidRDefault="006D142E" w:rsidP="006D142E">
            <w:pPr>
              <w:pStyle w:val="Textpoznpodarou"/>
              <w:rPr>
                <w:b/>
                <w:spacing w:val="-6"/>
              </w:rPr>
            </w:pPr>
            <w:r w:rsidRPr="00055059">
              <w:rPr>
                <w:b/>
                <w:spacing w:val="-6"/>
              </w:rPr>
              <w:t xml:space="preserve">Produkce v průmyslu a vybraných zpracovatelských odvětví </w:t>
            </w:r>
          </w:p>
          <w:p w:rsidR="006D142E" w:rsidRDefault="006D142E" w:rsidP="006D142E">
            <w:pPr>
              <w:pStyle w:val="Textpoznpodarou"/>
              <w:rPr>
                <w:b/>
              </w:rPr>
            </w:pPr>
            <w:r w:rsidRPr="00055059">
              <w:rPr>
                <w:spacing w:val="-6"/>
              </w:rPr>
              <w:t>(reálně, y/y, v %)</w:t>
            </w:r>
          </w:p>
        </w:tc>
        <w:tc>
          <w:tcPr>
            <w:tcW w:w="486" w:type="pct"/>
          </w:tcPr>
          <w:p w:rsidR="006D142E" w:rsidRDefault="006D142E" w:rsidP="006D142E">
            <w:pPr>
              <w:spacing w:line="240" w:lineRule="auto"/>
            </w:pPr>
            <w:r>
              <w:t>Graf č. 6</w:t>
            </w:r>
          </w:p>
        </w:tc>
        <w:tc>
          <w:tcPr>
            <w:tcW w:w="2024" w:type="pct"/>
          </w:tcPr>
          <w:p w:rsidR="006D142E" w:rsidRDefault="006D142E" w:rsidP="006D142E">
            <w:pPr>
              <w:spacing w:line="240" w:lineRule="auto"/>
              <w:rPr>
                <w:b/>
              </w:rPr>
            </w:pPr>
            <w:r w:rsidRPr="004B22DA">
              <w:rPr>
                <w:b/>
                <w:spacing w:val="-2"/>
              </w:rPr>
              <w:t>Nové zakázky v automobilovém průmyslu</w:t>
            </w:r>
            <w:r>
              <w:rPr>
                <w:b/>
              </w:rPr>
              <w:t xml:space="preserve">, v průmyslu </w:t>
            </w:r>
            <w:proofErr w:type="gramStart"/>
            <w:r>
              <w:rPr>
                <w:b/>
              </w:rPr>
              <w:t xml:space="preserve">celkem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b.c</w:t>
            </w:r>
            <w:proofErr w:type="spellEnd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, y/y, v %) </w:t>
            </w:r>
            <w:r w:rsidRPr="004B22DA">
              <w:t>a</w:t>
            </w:r>
            <w:r>
              <w:rPr>
                <w:b/>
              </w:rPr>
              <w:t xml:space="preserve"> saldo indikátoru důvěry v průmyslu </w:t>
            </w:r>
            <w:r w:rsidRPr="00C1711F">
              <w:t>(pravá osa)</w:t>
            </w:r>
          </w:p>
        </w:tc>
      </w:tr>
      <w:tr w:rsidR="006D142E" w:rsidTr="006D142E">
        <w:tc>
          <w:tcPr>
            <w:tcW w:w="2490" w:type="pct"/>
            <w:gridSpan w:val="2"/>
          </w:tcPr>
          <w:p w:rsidR="006D142E" w:rsidRDefault="00B3391D" w:rsidP="006D142E">
            <w:pPr>
              <w:pStyle w:val="Textpoznpodarou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43.75pt;height:206.25pt">
                  <v:imagedata r:id="rId8" o:title=""/>
                </v:shape>
              </w:pict>
            </w:r>
          </w:p>
        </w:tc>
        <w:tc>
          <w:tcPr>
            <w:tcW w:w="2510" w:type="pct"/>
            <w:gridSpan w:val="2"/>
          </w:tcPr>
          <w:p w:rsidR="006D142E" w:rsidRDefault="00B3391D" w:rsidP="006D142E">
            <w:pPr>
              <w:pStyle w:val="Textpoznpodarou"/>
              <w:jc w:val="both"/>
            </w:pPr>
            <w:r>
              <w:pict>
                <v:shape id="_x0000_i1030" type="#_x0000_t75" style="width:245.25pt;height:206.25pt">
                  <v:imagedata r:id="rId9" o:title=""/>
                </v:shape>
              </w:pict>
            </w:r>
          </w:p>
        </w:tc>
      </w:tr>
      <w:tr w:rsidR="006D142E" w:rsidTr="006D142E">
        <w:tc>
          <w:tcPr>
            <w:tcW w:w="5000" w:type="pct"/>
            <w:gridSpan w:val="4"/>
          </w:tcPr>
          <w:p w:rsidR="006D142E" w:rsidRDefault="006D142E" w:rsidP="006D142E">
            <w:pPr>
              <w:pStyle w:val="Textpoznpodarou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očištěný údaj o počet pracovních a kalendářních </w:t>
            </w:r>
            <w:proofErr w:type="gramStart"/>
            <w:r>
              <w:rPr>
                <w:rFonts w:cs="Arial"/>
                <w:sz w:val="18"/>
                <w:szCs w:val="18"/>
              </w:rPr>
              <w:t>dní                                                                                         Zdroj</w:t>
            </w:r>
            <w:proofErr w:type="gramEnd"/>
            <w:r>
              <w:rPr>
                <w:rFonts w:cs="Arial"/>
                <w:sz w:val="18"/>
                <w:szCs w:val="18"/>
              </w:rPr>
              <w:t>: ČSÚ</w:t>
            </w:r>
          </w:p>
        </w:tc>
      </w:tr>
    </w:tbl>
    <w:p w:rsidR="006D142E" w:rsidRPr="000F401E" w:rsidRDefault="006D142E" w:rsidP="006D142E">
      <w:pPr>
        <w:pStyle w:val="Odstavecseseznamem"/>
        <w:ind w:left="720"/>
        <w:rPr>
          <w:sz w:val="10"/>
          <w:szCs w:val="10"/>
        </w:rPr>
      </w:pPr>
    </w:p>
    <w:tbl>
      <w:tblPr>
        <w:tblW w:w="5117" w:type="pct"/>
        <w:tblCellMar>
          <w:left w:w="28" w:type="dxa"/>
          <w:right w:w="28" w:type="dxa"/>
        </w:tblCellMar>
        <w:tblLook w:val="04A0"/>
      </w:tblPr>
      <w:tblGrid>
        <w:gridCol w:w="1022"/>
        <w:gridCol w:w="3895"/>
        <w:gridCol w:w="968"/>
        <w:gridCol w:w="4036"/>
      </w:tblGrid>
      <w:tr w:rsidR="006D142E" w:rsidTr="006D142E">
        <w:tc>
          <w:tcPr>
            <w:tcW w:w="515" w:type="pct"/>
          </w:tcPr>
          <w:p w:rsidR="006D142E" w:rsidRDefault="006D142E" w:rsidP="006D142E">
            <w:pPr>
              <w:spacing w:line="240" w:lineRule="auto"/>
            </w:pPr>
            <w:r>
              <w:t>Graf č. 7</w:t>
            </w:r>
          </w:p>
        </w:tc>
        <w:tc>
          <w:tcPr>
            <w:tcW w:w="1963" w:type="pct"/>
          </w:tcPr>
          <w:p w:rsidR="006D142E" w:rsidRDefault="006D142E" w:rsidP="006D142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Stavební produkce, hodnota nových zakázek </w:t>
            </w:r>
            <w:r>
              <w:rPr>
                <w:bCs/>
              </w:rPr>
              <w:t xml:space="preserve">(y/y, v %) </w:t>
            </w:r>
            <w:r w:rsidRPr="004B22DA">
              <w:t>a</w:t>
            </w:r>
            <w:r>
              <w:rPr>
                <w:b/>
              </w:rPr>
              <w:t xml:space="preserve"> saldo indikátoru důvěry ve stavebnictví </w:t>
            </w:r>
            <w:r w:rsidRPr="00C1711F">
              <w:t>(pravá osa)</w:t>
            </w:r>
          </w:p>
        </w:tc>
        <w:tc>
          <w:tcPr>
            <w:tcW w:w="488" w:type="pct"/>
          </w:tcPr>
          <w:p w:rsidR="006D142E" w:rsidRDefault="006D142E" w:rsidP="006D142E">
            <w:pPr>
              <w:spacing w:line="240" w:lineRule="auto"/>
            </w:pPr>
            <w:r>
              <w:t>Graf č. 8</w:t>
            </w:r>
          </w:p>
        </w:tc>
        <w:tc>
          <w:tcPr>
            <w:tcW w:w="2035" w:type="pct"/>
          </w:tcPr>
          <w:p w:rsidR="006D142E" w:rsidRDefault="006D142E" w:rsidP="006D142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Tržby v maloobchodě vč. motoristického segmentu </w:t>
            </w:r>
            <w:r>
              <w:rPr>
                <w:bCs/>
              </w:rPr>
              <w:t xml:space="preserve">(reálně, y/y v %) </w:t>
            </w:r>
            <w:r>
              <w:rPr>
                <w:b/>
              </w:rPr>
              <w:t xml:space="preserve">saldo indikátoru důvěry spotřebitelů </w:t>
            </w:r>
            <w:r w:rsidRPr="00C1711F">
              <w:t>(pravá osa)</w:t>
            </w:r>
          </w:p>
        </w:tc>
      </w:tr>
      <w:tr w:rsidR="006D142E" w:rsidTr="006D142E">
        <w:tc>
          <w:tcPr>
            <w:tcW w:w="2477" w:type="pct"/>
            <w:gridSpan w:val="2"/>
          </w:tcPr>
          <w:p w:rsidR="006D142E" w:rsidRDefault="00B3391D" w:rsidP="006D142E">
            <w:pPr>
              <w:pStyle w:val="Textpoznpodarou"/>
              <w:jc w:val="both"/>
            </w:pPr>
            <w:r>
              <w:pict>
                <v:shape id="_x0000_i1031" type="#_x0000_t75" style="width:243pt;height:204.75pt">
                  <v:imagedata r:id="rId10" o:title=""/>
                </v:shape>
              </w:pict>
            </w:r>
          </w:p>
        </w:tc>
        <w:tc>
          <w:tcPr>
            <w:tcW w:w="2523" w:type="pct"/>
            <w:gridSpan w:val="2"/>
          </w:tcPr>
          <w:p w:rsidR="006D142E" w:rsidRDefault="00B3391D" w:rsidP="006D142E">
            <w:pPr>
              <w:pStyle w:val="Textpoznpodarou"/>
              <w:jc w:val="both"/>
            </w:pPr>
            <w:r>
              <w:pict>
                <v:shape id="_x0000_i1032" type="#_x0000_t75" style="width:240pt;height:204.75pt">
                  <v:imagedata r:id="rId11" o:title=""/>
                </v:shape>
              </w:pict>
            </w:r>
          </w:p>
        </w:tc>
      </w:tr>
      <w:tr w:rsidR="006D142E" w:rsidTr="006D142E">
        <w:tc>
          <w:tcPr>
            <w:tcW w:w="5000" w:type="pct"/>
            <w:gridSpan w:val="4"/>
          </w:tcPr>
          <w:p w:rsidR="006D142E" w:rsidRDefault="006D142E" w:rsidP="006D142E">
            <w:pPr>
              <w:pStyle w:val="Zhlav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* očištěný údaj o počet pracovních a kalendářních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dní                                                                                        </w:t>
            </w:r>
            <w:r w:rsidRPr="000F401E">
              <w:rPr>
                <w:rFonts w:ascii="Arial" w:hAnsi="Arial" w:cs="Arial"/>
                <w:sz w:val="18"/>
                <w:szCs w:val="18"/>
                <w:lang w:eastAsia="cs-CZ"/>
              </w:rPr>
              <w:t>Zdroj</w:t>
            </w:r>
            <w:proofErr w:type="gramEnd"/>
            <w:r w:rsidRPr="000F401E">
              <w:rPr>
                <w:rFonts w:ascii="Arial" w:hAnsi="Arial" w:cs="Arial"/>
                <w:sz w:val="18"/>
                <w:szCs w:val="18"/>
                <w:lang w:eastAsia="cs-CZ"/>
              </w:rPr>
              <w:t>: ČSÚ</w:t>
            </w:r>
          </w:p>
        </w:tc>
      </w:tr>
    </w:tbl>
    <w:p w:rsidR="006D142E" w:rsidRDefault="006D142E" w:rsidP="00F72F44"/>
    <w:sectPr w:rsidR="006D142E" w:rsidSect="00B3391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4D" w:rsidRDefault="00AB104D" w:rsidP="00E71A58">
      <w:r>
        <w:separator/>
      </w:r>
    </w:p>
  </w:endnote>
  <w:endnote w:type="continuationSeparator" w:id="0">
    <w:p w:rsidR="00AB104D" w:rsidRDefault="00AB104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3D5C79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AB104D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3391D">
      <w:rPr>
        <w:rFonts w:ascii="Arial" w:hAnsi="Arial" w:cs="Arial"/>
        <w:noProof/>
        <w:sz w:val="16"/>
        <w:szCs w:val="16"/>
      </w:rPr>
      <w:t>10</w:t>
    </w:r>
    <w:r w:rsidRPr="005A21E0">
      <w:rPr>
        <w:rFonts w:ascii="Arial" w:hAnsi="Arial" w:cs="Arial"/>
        <w:sz w:val="16"/>
        <w:szCs w:val="16"/>
      </w:rPr>
      <w:fldChar w:fldCharType="end"/>
    </w:r>
    <w:r w:rsidR="00AB104D">
      <w:rPr>
        <w:rFonts w:ascii="Arial" w:hAnsi="Arial" w:cs="Arial"/>
        <w:sz w:val="16"/>
        <w:szCs w:val="16"/>
      </w:rPr>
      <w:tab/>
      <w:t>2015</w:t>
    </w:r>
    <w:r w:rsidR="00AB104D">
      <w:tab/>
    </w:r>
    <w:r w:rsidR="00AB104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3D5C7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AB104D">
      <w:tab/>
    </w:r>
    <w:r w:rsidR="00AB104D">
      <w:tab/>
    </w:r>
    <w:r w:rsidR="00AB104D" w:rsidRPr="00DC5B3B">
      <w:t xml:space="preserve">                              </w:t>
    </w:r>
  </w:p>
  <w:p w:rsidR="00AB104D" w:rsidRPr="00223E00" w:rsidRDefault="00AB104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3D5C79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3D5C79" w:rsidRPr="00223E00">
      <w:rPr>
        <w:rFonts w:ascii="Arial" w:hAnsi="Arial" w:cs="Arial"/>
        <w:sz w:val="16"/>
        <w:szCs w:val="16"/>
      </w:rPr>
      <w:fldChar w:fldCharType="separate"/>
    </w:r>
    <w:r w:rsidR="00B3391D">
      <w:rPr>
        <w:rFonts w:ascii="Arial" w:hAnsi="Arial" w:cs="Arial"/>
        <w:noProof/>
        <w:sz w:val="16"/>
        <w:szCs w:val="16"/>
      </w:rPr>
      <w:t>11</w:t>
    </w:r>
    <w:r w:rsidR="003D5C79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4D" w:rsidRDefault="00AB104D" w:rsidP="00E71A58">
      <w:r>
        <w:separator/>
      </w:r>
    </w:p>
  </w:footnote>
  <w:footnote w:type="continuationSeparator" w:id="0">
    <w:p w:rsidR="00AB104D" w:rsidRDefault="00AB104D" w:rsidP="00E71A58">
      <w:r>
        <w:continuationSeparator/>
      </w:r>
    </w:p>
  </w:footnote>
  <w:footnote w:id="1">
    <w:p w:rsidR="00AB104D" w:rsidRPr="00EF6BE3" w:rsidRDefault="00AB104D" w:rsidP="006D142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F6BE3">
        <w:rPr>
          <w:sz w:val="16"/>
          <w:szCs w:val="16"/>
        </w:rPr>
        <w:t>Zahrnující odvětví dle CZ-NACE: B (Těžba a dobývání), C (Zpracovatelský průmysl), D (Energetika)</w:t>
      </w:r>
    </w:p>
  </w:footnote>
  <w:footnote w:id="2">
    <w:p w:rsidR="00AB104D" w:rsidRDefault="00AB104D" w:rsidP="006D14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2FFE">
        <w:rPr>
          <w:sz w:val="16"/>
          <w:szCs w:val="16"/>
        </w:rPr>
        <w:t>Hodnota uzavřených zakázek v inženýrském stavitelství v roce 2014 (117 mld. korun) byla nejvyšší po roce 2008</w:t>
      </w:r>
    </w:p>
  </w:footnote>
  <w:footnote w:id="3">
    <w:p w:rsidR="00AB104D" w:rsidRPr="006D142E" w:rsidRDefault="00AB104D" w:rsidP="006D142E">
      <w:pPr>
        <w:pStyle w:val="Textpoznpodarou"/>
        <w:rPr>
          <w:sz w:val="16"/>
          <w:szCs w:val="16"/>
        </w:rPr>
      </w:pPr>
      <w:r w:rsidRPr="006D142E">
        <w:rPr>
          <w:rStyle w:val="Znakapoznpodarou"/>
          <w:sz w:val="16"/>
          <w:szCs w:val="16"/>
        </w:rPr>
        <w:footnoteRef/>
      </w:r>
      <w:r w:rsidRPr="006D142E">
        <w:rPr>
          <w:sz w:val="16"/>
          <w:szCs w:val="16"/>
        </w:rPr>
        <w:t xml:space="preserve"> Za první čtyři měsíce roku 2014 se však počet zahájených bytů v ČR meziročně již zvýšil o 7 % (bez významných rozdílů mezi rodinnými a bytovými domy)</w:t>
      </w:r>
    </w:p>
  </w:footnote>
  <w:footnote w:id="4">
    <w:p w:rsidR="00AB104D" w:rsidRDefault="00AB104D" w:rsidP="006D142E">
      <w:pPr>
        <w:pStyle w:val="Textpoznpodarou"/>
        <w:rPr>
          <w:sz w:val="18"/>
        </w:rPr>
      </w:pPr>
      <w:r w:rsidRPr="006D142E">
        <w:rPr>
          <w:rStyle w:val="Znakapoznpodarou"/>
          <w:sz w:val="16"/>
          <w:szCs w:val="16"/>
        </w:rPr>
        <w:footnoteRef/>
      </w:r>
      <w:r w:rsidRPr="006D142E">
        <w:rPr>
          <w:sz w:val="16"/>
          <w:szCs w:val="16"/>
        </w:rPr>
        <w:t xml:space="preserve"> Nezahrnují odvětví obchodu, peněžnictví a pojišťovnictví, vědy a výzkumu a také veřejných služeb</w:t>
      </w:r>
    </w:p>
  </w:footnote>
  <w:footnote w:id="5">
    <w:p w:rsidR="00AB104D" w:rsidRPr="003F1A48" w:rsidRDefault="00AB104D">
      <w:pPr>
        <w:pStyle w:val="Textpoznpodarou"/>
        <w:rPr>
          <w:sz w:val="16"/>
          <w:szCs w:val="16"/>
        </w:rPr>
      </w:pPr>
      <w:r w:rsidRPr="003F1A48">
        <w:rPr>
          <w:rStyle w:val="Znakapoznpodarou"/>
          <w:sz w:val="16"/>
          <w:szCs w:val="16"/>
        </w:rPr>
        <w:footnoteRef/>
      </w:r>
      <w:r w:rsidRPr="003F1A48">
        <w:rPr>
          <w:sz w:val="16"/>
          <w:szCs w:val="16"/>
        </w:rPr>
        <w:t xml:space="preserve"> Očištěný o počet pracovních dní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173642" w:rsidRDefault="00AB104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DC5B3B" w:rsidRDefault="00AB104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C81"/>
    <w:multiLevelType w:val="hybridMultilevel"/>
    <w:tmpl w:val="6FD0EE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78D2"/>
    <w:rsid w:val="000F3332"/>
    <w:rsid w:val="000F33EE"/>
    <w:rsid w:val="000F401E"/>
    <w:rsid w:val="000F5445"/>
    <w:rsid w:val="000F67B2"/>
    <w:rsid w:val="000F7E1B"/>
    <w:rsid w:val="00100014"/>
    <w:rsid w:val="0010039A"/>
    <w:rsid w:val="00102F02"/>
    <w:rsid w:val="001041B6"/>
    <w:rsid w:val="001070EA"/>
    <w:rsid w:val="0011002A"/>
    <w:rsid w:val="0011110A"/>
    <w:rsid w:val="001118AF"/>
    <w:rsid w:val="0011256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74CF"/>
    <w:rsid w:val="00190D9B"/>
    <w:rsid w:val="00191BAE"/>
    <w:rsid w:val="00195444"/>
    <w:rsid w:val="001A2BDB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602"/>
    <w:rsid w:val="00252FDC"/>
    <w:rsid w:val="00261E5B"/>
    <w:rsid w:val="00263470"/>
    <w:rsid w:val="00263733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4760"/>
    <w:rsid w:val="003D49DC"/>
    <w:rsid w:val="003D5C79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D29"/>
    <w:rsid w:val="00477241"/>
    <w:rsid w:val="00477EAF"/>
    <w:rsid w:val="00477EE0"/>
    <w:rsid w:val="0048139F"/>
    <w:rsid w:val="00483053"/>
    <w:rsid w:val="004879E9"/>
    <w:rsid w:val="00491218"/>
    <w:rsid w:val="00493362"/>
    <w:rsid w:val="00496C2F"/>
    <w:rsid w:val="0049740D"/>
    <w:rsid w:val="004A11F8"/>
    <w:rsid w:val="004A22FA"/>
    <w:rsid w:val="004A269A"/>
    <w:rsid w:val="004A30FB"/>
    <w:rsid w:val="004A35DD"/>
    <w:rsid w:val="004A37D3"/>
    <w:rsid w:val="004A5865"/>
    <w:rsid w:val="004A77DF"/>
    <w:rsid w:val="004B0295"/>
    <w:rsid w:val="004B22DA"/>
    <w:rsid w:val="004B3CB7"/>
    <w:rsid w:val="004B3D55"/>
    <w:rsid w:val="004B55B7"/>
    <w:rsid w:val="004C00A6"/>
    <w:rsid w:val="004C0BBB"/>
    <w:rsid w:val="004C3382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260E"/>
    <w:rsid w:val="0068373D"/>
    <w:rsid w:val="00683BFE"/>
    <w:rsid w:val="006857DF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47D5"/>
    <w:rsid w:val="00705D98"/>
    <w:rsid w:val="00707891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4253"/>
    <w:rsid w:val="007558D3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3387"/>
    <w:rsid w:val="00793BAE"/>
    <w:rsid w:val="00794E0A"/>
    <w:rsid w:val="00796642"/>
    <w:rsid w:val="007A11D9"/>
    <w:rsid w:val="007A327B"/>
    <w:rsid w:val="007A4606"/>
    <w:rsid w:val="007B3DCC"/>
    <w:rsid w:val="007B4518"/>
    <w:rsid w:val="007B5031"/>
    <w:rsid w:val="007B573F"/>
    <w:rsid w:val="007D2A5A"/>
    <w:rsid w:val="007D2AD8"/>
    <w:rsid w:val="007D2C47"/>
    <w:rsid w:val="007D3167"/>
    <w:rsid w:val="007D4281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7E29"/>
    <w:rsid w:val="00870F2B"/>
    <w:rsid w:val="008746E6"/>
    <w:rsid w:val="00876086"/>
    <w:rsid w:val="008768D6"/>
    <w:rsid w:val="008775D1"/>
    <w:rsid w:val="008777BB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5E5F"/>
    <w:rsid w:val="009560B0"/>
    <w:rsid w:val="00957871"/>
    <w:rsid w:val="00964498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9DF"/>
    <w:rsid w:val="00980621"/>
    <w:rsid w:val="00982072"/>
    <w:rsid w:val="00983ECF"/>
    <w:rsid w:val="00986745"/>
    <w:rsid w:val="009871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B4B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391D"/>
    <w:rsid w:val="00B35BEA"/>
    <w:rsid w:val="00B3793D"/>
    <w:rsid w:val="00B41BE6"/>
    <w:rsid w:val="00B457E7"/>
    <w:rsid w:val="00B45D1B"/>
    <w:rsid w:val="00B47430"/>
    <w:rsid w:val="00B52D2D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5689"/>
    <w:rsid w:val="00B86748"/>
    <w:rsid w:val="00B91EC9"/>
    <w:rsid w:val="00B924CA"/>
    <w:rsid w:val="00B93384"/>
    <w:rsid w:val="00B94417"/>
    <w:rsid w:val="00B95940"/>
    <w:rsid w:val="00B95EF8"/>
    <w:rsid w:val="00B95F50"/>
    <w:rsid w:val="00B96BD9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271C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ECF"/>
    <w:rsid w:val="00D142E5"/>
    <w:rsid w:val="00D148CD"/>
    <w:rsid w:val="00D1611E"/>
    <w:rsid w:val="00D16E69"/>
    <w:rsid w:val="00D205A9"/>
    <w:rsid w:val="00D217EE"/>
    <w:rsid w:val="00D26923"/>
    <w:rsid w:val="00D27856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6312-4EC3-4336-ADCE-71AFB59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19</TotalTime>
  <Pages>4</Pages>
  <Words>2602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dubska1552</cp:lastModifiedBy>
  <cp:revision>6</cp:revision>
  <cp:lastPrinted>2015-06-19T06:21:00Z</cp:lastPrinted>
  <dcterms:created xsi:type="dcterms:W3CDTF">2015-06-19T08:08:00Z</dcterms:created>
  <dcterms:modified xsi:type="dcterms:W3CDTF">2015-06-19T08:39:00Z</dcterms:modified>
</cp:coreProperties>
</file>