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3E" w:rsidRDefault="00576A3E" w:rsidP="004D7506">
      <w:pPr>
        <w:pStyle w:val="Nadpis1"/>
        <w:numPr>
          <w:ilvl w:val="0"/>
          <w:numId w:val="6"/>
        </w:numPr>
        <w:jc w:val="both"/>
      </w:pPr>
      <w:bookmarkStart w:id="0" w:name="_Toc446341886"/>
      <w:r>
        <w:t>Měnové podmínky</w:t>
      </w:r>
      <w:bookmarkEnd w:id="0"/>
    </w:p>
    <w:tbl>
      <w:tblPr>
        <w:tblW w:w="5000" w:type="pct"/>
        <w:tblLayout w:type="fixed"/>
        <w:tblLook w:val="00A0"/>
      </w:tblPr>
      <w:tblGrid>
        <w:gridCol w:w="2077"/>
        <w:gridCol w:w="282"/>
        <w:gridCol w:w="7495"/>
      </w:tblGrid>
      <w:tr w:rsidR="00960769" w:rsidRPr="00831EC2" w:rsidTr="00960769">
        <w:tc>
          <w:tcPr>
            <w:tcW w:w="1054" w:type="pct"/>
          </w:tcPr>
          <w:p w:rsidR="00960769" w:rsidRPr="00831EC2" w:rsidRDefault="00960769" w:rsidP="00960769">
            <w:pPr>
              <w:spacing w:line="240" w:lineRule="auto"/>
              <w:rPr>
                <w:sz w:val="16"/>
                <w:szCs w:val="16"/>
              </w:rPr>
            </w:pPr>
            <w:r w:rsidRPr="00831EC2">
              <w:rPr>
                <w:sz w:val="16"/>
                <w:szCs w:val="16"/>
              </w:rPr>
              <w:t>Základní úrokové sazby stále blízké nule, měnový kurz nadále udržován nad hladinou 27 korun za euro</w:t>
            </w:r>
          </w:p>
        </w:tc>
        <w:tc>
          <w:tcPr>
            <w:tcW w:w="143" w:type="pct"/>
          </w:tcPr>
          <w:p w:rsidR="00960769" w:rsidRPr="00831EC2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60769" w:rsidRPr="00831EC2" w:rsidRDefault="00960769" w:rsidP="00960769">
            <w:pPr>
              <w:pStyle w:val="Textpoznpodarou"/>
              <w:jc w:val="both"/>
            </w:pPr>
            <w:r w:rsidRPr="00831EC2">
              <w:t xml:space="preserve">Měnové podmínky zůstaly po celý rok 2015 uvolněné a působily tak ve směru růstu výkonnosti českého hospodářství i cenové úrovně. Základní úrokové sazby jsou prakticky nulové od konce roku 2012, měnový kurz je udržován nad hladinou 27 korun za euro od listopadu 2013. Slabší ekonomický růst </w:t>
            </w:r>
            <w:proofErr w:type="spellStart"/>
            <w:r w:rsidRPr="00831EC2">
              <w:t>eurozóny</w:t>
            </w:r>
            <w:proofErr w:type="spellEnd"/>
            <w:r w:rsidRPr="00831EC2">
              <w:t xml:space="preserve"> oproti USA ve spojení s kvantitativním uvolňováním ECB vytvářel tlak na depreciaci eura k americkému dolaru. Oslabilo významně, spolu s ním však ztratila i česká koruna. Zatímco k euru posílila o 0,9 %, vůči dolaru ztratila 18,5 % své hodnoty. Peněžní zásoba vyjádřená měnovým agregátem M2 stoupla v prosinci 2015 o 6,9 % meziročně. Přestože mírně zpomalila, narostla rychleji, než odpovídalo průměru za celý rok a rovněž rychleji než v každém měsíci let 2010–2014.</w:t>
            </w:r>
          </w:p>
          <w:p w:rsidR="00960769" w:rsidRPr="00831EC2" w:rsidRDefault="00960769" w:rsidP="00960769">
            <w:pPr>
              <w:pStyle w:val="Textpoznpodarou"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960769" w:rsidRPr="00831EC2" w:rsidTr="00960769">
        <w:tc>
          <w:tcPr>
            <w:tcW w:w="1054" w:type="pct"/>
          </w:tcPr>
          <w:p w:rsidR="00960769" w:rsidRPr="00831EC2" w:rsidRDefault="00960769" w:rsidP="00960769">
            <w:pPr>
              <w:spacing w:line="240" w:lineRule="auto"/>
              <w:rPr>
                <w:sz w:val="16"/>
                <w:szCs w:val="16"/>
              </w:rPr>
            </w:pPr>
            <w:r w:rsidRPr="00831EC2">
              <w:rPr>
                <w:sz w:val="16"/>
                <w:szCs w:val="16"/>
              </w:rPr>
              <w:t>Rychlost obratu peněz se začala ve druhé polovině roku 2015 snižovat</w:t>
            </w:r>
          </w:p>
        </w:tc>
        <w:tc>
          <w:tcPr>
            <w:tcW w:w="143" w:type="pct"/>
          </w:tcPr>
          <w:p w:rsidR="00960769" w:rsidRPr="00831EC2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60769" w:rsidRPr="006007A7" w:rsidRDefault="00960769" w:rsidP="00960769">
            <w:pPr>
              <w:pStyle w:val="Textpoznpodarou"/>
              <w:jc w:val="both"/>
              <w:rPr>
                <w:color w:val="000000" w:themeColor="text1"/>
              </w:rPr>
            </w:pPr>
            <w:r w:rsidRPr="006007A7">
              <w:rPr>
                <w:color w:val="000000" w:themeColor="text1"/>
                <w:spacing w:val="-2"/>
              </w:rPr>
              <w:t>Meziroční dynamika měnového agregátu M2 je vyšší než dynamika</w:t>
            </w:r>
            <w:r w:rsidRPr="006007A7">
              <w:rPr>
                <w:color w:val="000000" w:themeColor="text1"/>
              </w:rPr>
              <w:t xml:space="preserve"> nominálního HDP zhruba od poloviny roku 2015. Rychlejší je i růst harmonizovaného agregátu M3. Rychlost obratu peněz se tedy snižuje a účinnost uvolněných měnových podmínek klesá, podobně jako tomu bylo v letech recese 2012 a 2013.</w:t>
            </w:r>
          </w:p>
          <w:p w:rsidR="00960769" w:rsidRPr="00831EC2" w:rsidRDefault="00960769" w:rsidP="00960769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960769" w:rsidRPr="00831EC2" w:rsidTr="00960769">
        <w:tc>
          <w:tcPr>
            <w:tcW w:w="1054" w:type="pct"/>
          </w:tcPr>
          <w:p w:rsidR="00960769" w:rsidRPr="00831EC2" w:rsidRDefault="00960769" w:rsidP="00960769">
            <w:pPr>
              <w:spacing w:line="240" w:lineRule="auto"/>
              <w:rPr>
                <w:sz w:val="16"/>
                <w:szCs w:val="16"/>
              </w:rPr>
            </w:pPr>
            <w:r w:rsidRPr="00831EC2">
              <w:rPr>
                <w:sz w:val="16"/>
                <w:szCs w:val="16"/>
              </w:rPr>
              <w:t>Úrokové sazby jsou nízké a domácnosti a podniky transformují termínované vklady do nejlikvidnějších peněz, hlavně do jednodenních vkladů</w:t>
            </w:r>
          </w:p>
        </w:tc>
        <w:tc>
          <w:tcPr>
            <w:tcW w:w="143" w:type="pct"/>
          </w:tcPr>
          <w:p w:rsidR="00960769" w:rsidRPr="00831EC2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60769" w:rsidRPr="00831EC2" w:rsidRDefault="00960769" w:rsidP="00960769">
            <w:pPr>
              <w:pStyle w:val="Textpoznpodarou"/>
              <w:jc w:val="both"/>
            </w:pPr>
            <w:r w:rsidRPr="00831EC2">
              <w:t>Zásoba peněz činila koncem loňského roku 3 668 mld. korun v pojetí měnového agregátu M2. Z toho 2 952 mld. připadalo na nejlikvidnější peníze (oběživo a jednodenní vklady) a 716 mld. na quasi-peníze (vklady s </w:t>
            </w:r>
            <w:r w:rsidRPr="00831EC2">
              <w:rPr>
                <w:spacing w:val="-2"/>
              </w:rPr>
              <w:t xml:space="preserve">dohodnutou splatností, vklady s výpovědní lhůtou, </w:t>
            </w:r>
            <w:proofErr w:type="spellStart"/>
            <w:r w:rsidRPr="00831EC2">
              <w:rPr>
                <w:spacing w:val="-2"/>
              </w:rPr>
              <w:t>repo</w:t>
            </w:r>
            <w:proofErr w:type="spellEnd"/>
            <w:r w:rsidRPr="00831EC2">
              <w:rPr>
                <w:spacing w:val="-2"/>
              </w:rPr>
              <w:t xml:space="preserve"> operace). Peněžní zásoba</w:t>
            </w:r>
            <w:r w:rsidRPr="00831EC2">
              <w:t xml:space="preserve"> stoupla proti prosinci 2014 o 238 mld. korun, avšak jen díky nárůstu objemu jednodenních vkladů (+263 mld. korun) a oběživa (+35 mld.). Objem quasi-peněz se zmenšuje nepřetržitě od září 2012, mezi prosincem 2014 a 2015 poklesl o 60 mld. </w:t>
            </w:r>
            <w:r w:rsidRPr="00DA11DC">
              <w:rPr>
                <w:spacing w:val="-2"/>
              </w:rPr>
              <w:t>Jde o důsledek nízkých úrokových sazeb, kdy domácnosti a podniky nejsou motivovány k držbě těchto typů depozit a transformují je do nejlikvidnějších peněz, hlavně jednodenních vkladů. Domácnosti sjednávaly v prosinci 2015 vklady s dohodnutou splatností při úrokové sazbě 1,6 % a vklady s výpovědní lhůtou při</w:t>
            </w:r>
            <w:r>
              <w:rPr>
                <w:spacing w:val="-2"/>
              </w:rPr>
              <w:t> </w:t>
            </w:r>
            <w:r w:rsidRPr="00DA11DC">
              <w:rPr>
                <w:spacing w:val="-2"/>
              </w:rPr>
              <w:t>sazbě 1,37 %. Úrokové sazby nefinančním podnikům činily 0,21 % a 0,78 %.</w:t>
            </w:r>
          </w:p>
          <w:p w:rsidR="00960769" w:rsidRPr="00831EC2" w:rsidRDefault="00960769" w:rsidP="00960769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960769" w:rsidRPr="00831EC2" w:rsidTr="00960769">
        <w:tc>
          <w:tcPr>
            <w:tcW w:w="1054" w:type="pct"/>
          </w:tcPr>
          <w:p w:rsidR="00960769" w:rsidRPr="00831EC2" w:rsidRDefault="00960769" w:rsidP="00960769">
            <w:pPr>
              <w:spacing w:line="240" w:lineRule="auto"/>
              <w:rPr>
                <w:sz w:val="16"/>
                <w:szCs w:val="16"/>
              </w:rPr>
            </w:pPr>
            <w:r w:rsidRPr="00831EC2">
              <w:rPr>
                <w:sz w:val="16"/>
                <w:szCs w:val="16"/>
              </w:rPr>
              <w:t>Podíl oběživa na měnovém agregátu M2 je v ČR stabilní. Pohybuje se mezi 12 %</w:t>
            </w:r>
            <w:r w:rsidRPr="00831EC2">
              <w:rPr>
                <w:b/>
                <w:sz w:val="16"/>
                <w:szCs w:val="16"/>
              </w:rPr>
              <w:t> </w:t>
            </w:r>
            <w:r w:rsidRPr="00831EC2">
              <w:rPr>
                <w:sz w:val="16"/>
                <w:szCs w:val="16"/>
              </w:rPr>
              <w:t>a 14 %</w:t>
            </w:r>
          </w:p>
        </w:tc>
        <w:tc>
          <w:tcPr>
            <w:tcW w:w="143" w:type="pct"/>
          </w:tcPr>
          <w:p w:rsidR="00960769" w:rsidRPr="00831EC2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60769" w:rsidRPr="00831EC2" w:rsidRDefault="00960769" w:rsidP="00960769">
            <w:pPr>
              <w:pStyle w:val="Textpoznpodarou"/>
              <w:jc w:val="both"/>
            </w:pPr>
            <w:r w:rsidRPr="00831EC2">
              <w:t>Podíl oběživa na měnovém agregátu M2 je v ČR stabilní a v čase kolísá jen málo. Pohybuje se dlouhodobě mezi 12 % a 14 %. Skokově vzrostl pouze ve druhé polovině roku 2008, v návaznosti na problémy bankovního sektoru USA, kdy se i česká společnost začala obávat o své peníze v bankách. V prosinci 2015 dosahoval objem oběživa 467 mld. korun a v relaci k agregátu M2 činil 12,7 %.</w:t>
            </w:r>
          </w:p>
          <w:p w:rsidR="00960769" w:rsidRPr="00831EC2" w:rsidRDefault="00960769" w:rsidP="00960769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960769" w:rsidRPr="00831EC2" w:rsidTr="00960769">
        <w:tc>
          <w:tcPr>
            <w:tcW w:w="1054" w:type="pct"/>
          </w:tcPr>
          <w:p w:rsidR="00960769" w:rsidRPr="00655DF3" w:rsidRDefault="00960769" w:rsidP="00960769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55DF3">
              <w:rPr>
                <w:color w:val="000000" w:themeColor="text1"/>
                <w:sz w:val="16"/>
                <w:szCs w:val="16"/>
              </w:rPr>
              <w:t>Celková depozita podniků rostla v průběhu 2. pololetí 2015 vždy o více než 10 % meziročně. Podniky posilovaly hlavně jednodenní vklady</w:t>
            </w:r>
          </w:p>
        </w:tc>
        <w:tc>
          <w:tcPr>
            <w:tcW w:w="143" w:type="pct"/>
          </w:tcPr>
          <w:p w:rsidR="00960769" w:rsidRPr="00655DF3" w:rsidRDefault="00960769" w:rsidP="00960769">
            <w:pPr>
              <w:pStyle w:val="Textpoznpodarou"/>
              <w:jc w:val="both"/>
              <w:rPr>
                <w:color w:val="000000" w:themeColor="text1"/>
              </w:rPr>
            </w:pPr>
          </w:p>
        </w:tc>
        <w:tc>
          <w:tcPr>
            <w:tcW w:w="3803" w:type="pct"/>
          </w:tcPr>
          <w:p w:rsidR="00960769" w:rsidRPr="00655DF3" w:rsidRDefault="00960769" w:rsidP="00960769">
            <w:pPr>
              <w:pStyle w:val="Textpoznpodarou"/>
              <w:jc w:val="both"/>
              <w:rPr>
                <w:color w:val="000000" w:themeColor="text1"/>
              </w:rPr>
            </w:pPr>
            <w:r w:rsidRPr="00655DF3">
              <w:rPr>
                <w:color w:val="000000" w:themeColor="text1"/>
              </w:rPr>
              <w:t>Celkový objem depozit domácností byl na konci loňského roku meziročně vyšší o 5,</w:t>
            </w:r>
            <w:r w:rsidRPr="00655DF3">
              <w:rPr>
                <w:color w:val="000000" w:themeColor="text1"/>
                <w:spacing w:val="-2"/>
              </w:rPr>
              <w:t>7 %, v případě podniků dokonce o 10,3 %. T</w:t>
            </w:r>
            <w:r w:rsidRPr="00655DF3">
              <w:rPr>
                <w:color w:val="000000" w:themeColor="text1"/>
              </w:rPr>
              <w:t>empo růstu depozit domácností se zvolna zvyšuje, u podniků překračovalo 10% úroveň po celé 2. pololetí. Podniky posilovaly hlavně objemově významné jednod</w:t>
            </w:r>
            <w:r w:rsidR="00D0547B">
              <w:rPr>
                <w:color w:val="000000" w:themeColor="text1"/>
              </w:rPr>
              <w:t xml:space="preserve">enní vklady, v prosinci </w:t>
            </w:r>
            <w:r w:rsidR="0064129B">
              <w:rPr>
                <w:color w:val="000000" w:themeColor="text1"/>
              </w:rPr>
              <w:t>na nich</w:t>
            </w:r>
            <w:r w:rsidR="0064129B" w:rsidRPr="00655DF3">
              <w:rPr>
                <w:color w:val="000000" w:themeColor="text1"/>
              </w:rPr>
              <w:t xml:space="preserve"> </w:t>
            </w:r>
            <w:r w:rsidR="00D0547B">
              <w:rPr>
                <w:color w:val="000000" w:themeColor="text1"/>
              </w:rPr>
              <w:t xml:space="preserve">měly </w:t>
            </w:r>
            <w:r w:rsidRPr="00655DF3">
              <w:rPr>
                <w:color w:val="000000" w:themeColor="text1"/>
              </w:rPr>
              <w:t>uloženo 952 mld. korun, o 111 mld. více než o rok dříve. Mohutný nárůst likvidních prostředků podniků – daný vysokými zisky z vlastní činnost</w:t>
            </w:r>
            <w:r w:rsidR="002E435E">
              <w:rPr>
                <w:color w:val="000000" w:themeColor="text1"/>
              </w:rPr>
              <w:t>i a</w:t>
            </w:r>
            <w:r w:rsidR="002E435E" w:rsidRPr="00655DF3">
              <w:rPr>
                <w:color w:val="000000" w:themeColor="text1"/>
              </w:rPr>
              <w:t> </w:t>
            </w:r>
            <w:r w:rsidRPr="00655DF3">
              <w:rPr>
                <w:color w:val="000000" w:themeColor="text1"/>
              </w:rPr>
              <w:t xml:space="preserve">narůstajícími úvěry podnikům – dává naději, že investice a objem vyplacených mezd porostou i v budoucnu. Skrývá se v nich </w:t>
            </w:r>
            <w:r w:rsidRPr="00655DF3">
              <w:rPr>
                <w:color w:val="000000" w:themeColor="text1"/>
                <w:spacing w:val="-2"/>
              </w:rPr>
              <w:t>potenciál dalšího růstu ekonomiky</w:t>
            </w:r>
            <w:r w:rsidRPr="00655DF3">
              <w:rPr>
                <w:color w:val="000000" w:themeColor="text1"/>
              </w:rPr>
              <w:t xml:space="preserve"> České republiky.</w:t>
            </w:r>
          </w:p>
          <w:p w:rsidR="00960769" w:rsidRPr="00655DF3" w:rsidRDefault="00960769" w:rsidP="00960769">
            <w:pPr>
              <w:pStyle w:val="Textpoznpodarou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960769" w:rsidRPr="00831EC2" w:rsidTr="00960769">
        <w:tc>
          <w:tcPr>
            <w:tcW w:w="1054" w:type="pct"/>
          </w:tcPr>
          <w:p w:rsidR="00960769" w:rsidRPr="00831EC2" w:rsidRDefault="00960769" w:rsidP="00960769">
            <w:pPr>
              <w:spacing w:line="240" w:lineRule="auto"/>
              <w:rPr>
                <w:sz w:val="16"/>
                <w:szCs w:val="16"/>
              </w:rPr>
            </w:pPr>
            <w:r w:rsidRPr="00831EC2">
              <w:rPr>
                <w:sz w:val="16"/>
                <w:szCs w:val="16"/>
              </w:rPr>
              <w:t>Čistý úvěr vládě</w:t>
            </w:r>
            <w:r>
              <w:rPr>
                <w:sz w:val="16"/>
                <w:szCs w:val="16"/>
              </w:rPr>
              <w:t xml:space="preserve"> (vč. cenných papírů)</w:t>
            </w:r>
            <w:r w:rsidRPr="00831EC2">
              <w:rPr>
                <w:sz w:val="16"/>
                <w:szCs w:val="16"/>
              </w:rPr>
              <w:t xml:space="preserve"> poklesl v prosinci 2015 meziročně o pětinu</w:t>
            </w:r>
          </w:p>
        </w:tc>
        <w:tc>
          <w:tcPr>
            <w:tcW w:w="143" w:type="pct"/>
          </w:tcPr>
          <w:p w:rsidR="00960769" w:rsidRPr="00831EC2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60769" w:rsidRPr="00831EC2" w:rsidRDefault="00960769" w:rsidP="00960769">
            <w:pPr>
              <w:pStyle w:val="Textpoznpodarou"/>
              <w:jc w:val="both"/>
            </w:pPr>
            <w:r w:rsidRPr="00831EC2">
              <w:t>Úvěry domácnostem a podnikům narůstají rychleji než celkové domácí úvěry. Dochází k tomu od srpna 2015. V prosinci byl rozdíl v meziročních tempech již značný. Zatímco stav úvěrů domácnostem a podnikům stoupl meziročně o 6,5 %, objem domácích úvěrů byl proti konci roku 2014 vyšší pouze o 1,8 %. Způsobil to</w:t>
            </w:r>
            <w:r>
              <w:t> </w:t>
            </w:r>
            <w:r w:rsidRPr="008B645D">
              <w:rPr>
                <w:spacing w:val="2"/>
              </w:rPr>
              <w:t>výrazný pokles čistého úvěru vládě (vč. cenných papírů), meziročně o pětinu (-</w:t>
            </w:r>
            <w:r w:rsidRPr="00831EC2">
              <w:t>21,1 %). Tento vývoj souvisel zřejmě jednak s</w:t>
            </w:r>
            <w:r w:rsidR="00963724">
              <w:t> tím, že tuzemské banky prodávaly vládní dluhopisy do zahraničí,</w:t>
            </w:r>
            <w:r w:rsidRPr="00831EC2">
              <w:t xml:space="preserve"> jednak se zrychleným čerpáním peněz z fondů Evropské unie na konci roku.</w:t>
            </w:r>
          </w:p>
          <w:p w:rsidR="00960769" w:rsidRPr="00831EC2" w:rsidRDefault="00960769" w:rsidP="00960769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960769" w:rsidRPr="00831EC2" w:rsidTr="00960769">
        <w:tc>
          <w:tcPr>
            <w:tcW w:w="1054" w:type="pct"/>
          </w:tcPr>
          <w:p w:rsidR="00960769" w:rsidRPr="00831EC2" w:rsidRDefault="00960769" w:rsidP="00960769">
            <w:pPr>
              <w:spacing w:line="240" w:lineRule="auto"/>
              <w:rPr>
                <w:sz w:val="16"/>
                <w:szCs w:val="16"/>
              </w:rPr>
            </w:pPr>
            <w:r w:rsidRPr="00831EC2">
              <w:rPr>
                <w:sz w:val="16"/>
                <w:szCs w:val="16"/>
              </w:rPr>
              <w:t xml:space="preserve">Podíl úvěrů v selhání v ČR neklesá vlivem zhoršující se platební morálky nerezidentů. Splácení úvěrů ze strany rezidentů se však zlepšuje, v prosinci 2015 </w:t>
            </w:r>
            <w:r w:rsidRPr="00831EC2">
              <w:rPr>
                <w:sz w:val="16"/>
                <w:szCs w:val="16"/>
              </w:rPr>
              <w:lastRenderedPageBreak/>
              <w:t>bylo dokonce nejlepší od krize</w:t>
            </w:r>
          </w:p>
        </w:tc>
        <w:tc>
          <w:tcPr>
            <w:tcW w:w="143" w:type="pct"/>
          </w:tcPr>
          <w:p w:rsidR="00960769" w:rsidRPr="00831EC2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60769" w:rsidRPr="00831EC2" w:rsidRDefault="00960769" w:rsidP="00960769">
            <w:pPr>
              <w:pStyle w:val="Textpoznpodarou"/>
              <w:jc w:val="both"/>
            </w:pPr>
            <w:r w:rsidRPr="00831EC2">
              <w:t xml:space="preserve">Z pohledu stability bankovního sektoru je klíčové, jak se vyvíjí podíl úvěrů v selhání. Nejnižší byl listopadu 2007, kdy činil 2,61 %. Vlivem zhoršení ekonomické situace v ČR v letech 2008 a 2009 se však vyšplhal na 6% úroveň a na ní setrval v podstatě dodnes. Podíl úvěrů v selhání se nesnížil ani v letech 2014 a 2015, kdy se hospodářství evidentně dařilo. Pokud však nahlédneme podrobněji do struktury, pak je z ní patrné, že vysoký podíl úvěrů v selhání jde </w:t>
            </w:r>
            <w:r w:rsidRPr="00831EC2">
              <w:lastRenderedPageBreak/>
              <w:t>na vrub nerezidentů, jejichž platební morálka se neustále zhoršuje. Naproti tomu splácení úvěrů ze strany rezidentů se zlepšuje už od konce roku 2010. Podíl úvěrů v selhání činil u nerezidentů v prosinci 2015 16,59 %. V  případě rezidentů měly banky v selhání ale jen 4,36 % celkové expozice a šlo o nejlepší výsledek od krize. Není překvapivé, že své závazky splácely lépe domácnosti (4,07 %) než nefinanční podniky</w:t>
            </w:r>
            <w:r>
              <w:t xml:space="preserve"> (5,72</w:t>
            </w:r>
            <w:r w:rsidRPr="00831EC2">
              <w:t xml:space="preserve"> %). S ohledem na zlepšení platební morálky v průběhu roku 2015 však zaznamenal zlepšení hlavně firemní sektor – podíl úvěrů v selhání domácností</w:t>
            </w:r>
            <w:r>
              <w:t xml:space="preserve"> se</w:t>
            </w:r>
            <w:r w:rsidRPr="00831EC2">
              <w:t xml:space="preserve"> snížil o</w:t>
            </w:r>
            <w:r>
              <w:t xml:space="preserve"> 0,66 </w:t>
            </w:r>
            <w:proofErr w:type="spellStart"/>
            <w:r>
              <w:t>p</w:t>
            </w:r>
            <w:r w:rsidR="00494343">
              <w:t>.</w:t>
            </w:r>
            <w:r>
              <w:t>b</w:t>
            </w:r>
            <w:proofErr w:type="spellEnd"/>
            <w:r>
              <w:t>. a</w:t>
            </w:r>
            <w:r w:rsidRPr="00831EC2">
              <w:t xml:space="preserve"> nefinančních podniků o</w:t>
            </w:r>
            <w:r>
              <w:t> 0,99</w:t>
            </w:r>
            <w:r w:rsidRPr="00831EC2">
              <w:t xml:space="preserve"> </w:t>
            </w:r>
            <w:proofErr w:type="spellStart"/>
            <w:r w:rsidRPr="00831EC2">
              <w:t>p</w:t>
            </w:r>
            <w:r w:rsidR="00494343">
              <w:t>.</w:t>
            </w:r>
            <w:r w:rsidRPr="00831EC2">
              <w:t>b</w:t>
            </w:r>
            <w:proofErr w:type="spellEnd"/>
            <w:r w:rsidRPr="00831EC2">
              <w:t>.</w:t>
            </w:r>
          </w:p>
          <w:p w:rsidR="00960769" w:rsidRPr="002E435E" w:rsidRDefault="00960769" w:rsidP="00960769">
            <w:pPr>
              <w:pStyle w:val="Textpoznpodarou"/>
              <w:jc w:val="both"/>
            </w:pPr>
          </w:p>
        </w:tc>
      </w:tr>
      <w:tr w:rsidR="00960769" w:rsidRPr="00831EC2" w:rsidTr="00960769">
        <w:tc>
          <w:tcPr>
            <w:tcW w:w="1054" w:type="pct"/>
          </w:tcPr>
          <w:p w:rsidR="00960769" w:rsidRPr="00831EC2" w:rsidRDefault="00960769" w:rsidP="00960769">
            <w:pPr>
              <w:spacing w:line="240" w:lineRule="auto"/>
              <w:rPr>
                <w:sz w:val="16"/>
                <w:szCs w:val="16"/>
              </w:rPr>
            </w:pPr>
            <w:r w:rsidRPr="00831EC2">
              <w:rPr>
                <w:sz w:val="16"/>
                <w:szCs w:val="16"/>
              </w:rPr>
              <w:lastRenderedPageBreak/>
              <w:t>Úrokové sazby z úvěrů na bydlení jsou velmi nízké a domácnosti se zadlužují, …</w:t>
            </w:r>
          </w:p>
        </w:tc>
        <w:tc>
          <w:tcPr>
            <w:tcW w:w="143" w:type="pct"/>
          </w:tcPr>
          <w:p w:rsidR="00960769" w:rsidRPr="00831EC2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60769" w:rsidRPr="00831EC2" w:rsidRDefault="00960769" w:rsidP="00960769">
            <w:pPr>
              <w:pStyle w:val="Textpoznpodarou"/>
              <w:jc w:val="both"/>
            </w:pPr>
            <w:r w:rsidRPr="00831EC2">
              <w:t>Velmi nízké úrokové sazby z úvěrů na bydlení – v prostředí rostoucích příjmů domácností a při nízké míře nezaměstnanosti – motivovaly domácnosti k tomu, aby si pořizovali vlastní bydlení resp. si koupí nemovitosti a jejím pronájmem zajišťovaly budoucí přísun peněz. Sazby byly nízké po celý rok 2015, bez ohledu na fixaci. Absolutně nejvýhodnějších podmínek, a to historicky, dosáhli nicméně ti, kteří si úvěr sjednali v červnu při fixaci úrokové sazby na</w:t>
            </w:r>
            <w:r>
              <w:t>d 1 rok do</w:t>
            </w:r>
            <w:r w:rsidRPr="00831EC2">
              <w:t xml:space="preserve"> 5 let (2,32 %).</w:t>
            </w:r>
          </w:p>
          <w:p w:rsidR="00960769" w:rsidRPr="002E435E" w:rsidRDefault="00960769" w:rsidP="00960769">
            <w:pPr>
              <w:pStyle w:val="Textpoznpodarou"/>
              <w:jc w:val="both"/>
            </w:pPr>
          </w:p>
        </w:tc>
      </w:tr>
      <w:tr w:rsidR="00960769" w:rsidRPr="00831EC2" w:rsidTr="00960769">
        <w:tc>
          <w:tcPr>
            <w:tcW w:w="1054" w:type="pct"/>
          </w:tcPr>
          <w:p w:rsidR="00960769" w:rsidRPr="00831EC2" w:rsidRDefault="00960769" w:rsidP="00960769">
            <w:pPr>
              <w:spacing w:line="240" w:lineRule="auto"/>
              <w:rPr>
                <w:sz w:val="16"/>
                <w:szCs w:val="16"/>
              </w:rPr>
            </w:pPr>
            <w:r w:rsidRPr="00831EC2">
              <w:rPr>
                <w:sz w:val="16"/>
                <w:szCs w:val="16"/>
              </w:rPr>
              <w:t>… hypotéky vzrostly v prosinci meziročně o 8,8 %. Zvyšuje se i zájem o financování nemovit</w:t>
            </w:r>
            <w:r>
              <w:rPr>
                <w:sz w:val="16"/>
                <w:szCs w:val="16"/>
              </w:rPr>
              <w:t>ostí prostřednictvím spotřebitelských</w:t>
            </w:r>
            <w:r w:rsidRPr="00831EC2">
              <w:rPr>
                <w:sz w:val="16"/>
                <w:szCs w:val="16"/>
              </w:rPr>
              <w:t xml:space="preserve"> úvěrů</w:t>
            </w:r>
          </w:p>
        </w:tc>
        <w:tc>
          <w:tcPr>
            <w:tcW w:w="143" w:type="pct"/>
          </w:tcPr>
          <w:p w:rsidR="00960769" w:rsidRPr="00831EC2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60769" w:rsidRPr="00831EC2" w:rsidRDefault="00960769" w:rsidP="00960769">
            <w:pPr>
              <w:pStyle w:val="Textpoznpodarou"/>
              <w:jc w:val="both"/>
            </w:pPr>
            <w:r w:rsidRPr="00831EC2">
              <w:t xml:space="preserve">Objem úvěrů poskytnutých domácnostem na nákup bytu nebo domu stoupl na konci roku 2015 o 8 % meziročně, nejrychleji od července 2010. Nejčastěji využívané hypoteční úvěry narostly o 8,8 %, odklon od standardních úvěrů ze stavebního spoření ale pokračoval (-9,6 %) a ani překlenovací úvěry nebyly v dynamice přesvědčivé (+3,2 %). </w:t>
            </w:r>
            <w:r>
              <w:t xml:space="preserve">Od 2. čtvrtletí je patrný vyšší zájem </w:t>
            </w:r>
            <w:r w:rsidRPr="00831EC2">
              <w:t>domácností o financování nemovit</w:t>
            </w:r>
            <w:r>
              <w:t>ostí prostřednictvím spotřebitelských</w:t>
            </w:r>
            <w:r w:rsidRPr="00831EC2">
              <w:t xml:space="preserve"> úvěrů.</w:t>
            </w:r>
          </w:p>
          <w:p w:rsidR="00960769" w:rsidRPr="002E435E" w:rsidRDefault="00960769" w:rsidP="00960769">
            <w:pPr>
              <w:pStyle w:val="Textpoznpodarou"/>
              <w:jc w:val="both"/>
            </w:pPr>
          </w:p>
        </w:tc>
      </w:tr>
      <w:tr w:rsidR="00960769" w:rsidRPr="00831EC2" w:rsidTr="00960769">
        <w:tc>
          <w:tcPr>
            <w:tcW w:w="1054" w:type="pct"/>
          </w:tcPr>
          <w:p w:rsidR="00960769" w:rsidRPr="00655DF3" w:rsidRDefault="00960769" w:rsidP="00960769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55DF3">
              <w:rPr>
                <w:color w:val="000000" w:themeColor="text1"/>
                <w:sz w:val="16"/>
                <w:szCs w:val="16"/>
              </w:rPr>
              <w:t>Nefinanční podniky se dále zadlužují, avšak jen na delší horizont</w:t>
            </w:r>
          </w:p>
        </w:tc>
        <w:tc>
          <w:tcPr>
            <w:tcW w:w="143" w:type="pct"/>
          </w:tcPr>
          <w:p w:rsidR="00960769" w:rsidRPr="00655DF3" w:rsidRDefault="00960769" w:rsidP="00960769">
            <w:pPr>
              <w:pStyle w:val="Textpoznpodarou"/>
              <w:jc w:val="both"/>
              <w:rPr>
                <w:color w:val="000000" w:themeColor="text1"/>
              </w:rPr>
            </w:pPr>
          </w:p>
        </w:tc>
        <w:tc>
          <w:tcPr>
            <w:tcW w:w="3803" w:type="pct"/>
          </w:tcPr>
          <w:p w:rsidR="00960769" w:rsidRPr="002E435E" w:rsidRDefault="00960769" w:rsidP="00960769">
            <w:pPr>
              <w:pStyle w:val="Textpoznpodarou"/>
              <w:jc w:val="both"/>
              <w:rPr>
                <w:color w:val="000000" w:themeColor="text1"/>
                <w:spacing w:val="-4"/>
              </w:rPr>
            </w:pPr>
            <w:r w:rsidRPr="002E435E">
              <w:rPr>
                <w:color w:val="000000" w:themeColor="text1"/>
                <w:spacing w:val="-4"/>
              </w:rPr>
              <w:t>Nárůst úvěrů nefinančním podnikům vyplývá z vyšší poptávky po dlouhodobějším financování. Stavy střednědobých úvěrů rostly meziročně alespoň o desetinu v září až prosinci, stavy dlouhodobých úvěrů po celé 2. pololetí</w:t>
            </w:r>
            <w:r w:rsidR="002E435E">
              <w:rPr>
                <w:color w:val="000000" w:themeColor="text1"/>
                <w:spacing w:val="-4"/>
              </w:rPr>
              <w:t>. Jelikož jde běžně o</w:t>
            </w:r>
            <w:r w:rsidR="002E435E" w:rsidRPr="00831EC2">
              <w:t> </w:t>
            </w:r>
            <w:r w:rsidRPr="002E435E">
              <w:rPr>
                <w:color w:val="000000" w:themeColor="text1"/>
                <w:spacing w:val="-4"/>
              </w:rPr>
              <w:t xml:space="preserve">investiční úvěry, lze soudit, že vysoká dynamika těchto úvěrů souvisí s vyšší investiční aktivitou. Při financování provozních záležitostí začínají ale nefinanční podniky </w:t>
            </w:r>
            <w:r w:rsidR="002E435E" w:rsidRPr="002E435E">
              <w:rPr>
                <w:color w:val="000000" w:themeColor="text1"/>
                <w:spacing w:val="-4"/>
              </w:rPr>
              <w:t xml:space="preserve">zřejmě </w:t>
            </w:r>
            <w:r w:rsidRPr="002E435E">
              <w:rPr>
                <w:color w:val="000000" w:themeColor="text1"/>
                <w:spacing w:val="-4"/>
              </w:rPr>
              <w:t>upřednostňovat vlastní zdroje – meziroční přírůstky krátkodobých úvěrů nefinančním podnikům byly po celý rok 2015 slabé, v závěru dokonce záporné.</w:t>
            </w:r>
          </w:p>
          <w:p w:rsidR="00960769" w:rsidRPr="004D7506" w:rsidRDefault="00960769" w:rsidP="00960769">
            <w:pPr>
              <w:pStyle w:val="Textpoznpodarou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960769" w:rsidRPr="00831EC2" w:rsidTr="00960769">
        <w:tc>
          <w:tcPr>
            <w:tcW w:w="1054" w:type="pct"/>
          </w:tcPr>
          <w:p w:rsidR="00960769" w:rsidRPr="009F7D88" w:rsidRDefault="00960769" w:rsidP="00960769">
            <w:pPr>
              <w:spacing w:line="240" w:lineRule="auto"/>
              <w:rPr>
                <w:sz w:val="16"/>
                <w:szCs w:val="16"/>
              </w:rPr>
            </w:pPr>
            <w:r w:rsidRPr="009F7D88">
              <w:rPr>
                <w:sz w:val="16"/>
                <w:szCs w:val="16"/>
              </w:rPr>
              <w:t xml:space="preserve">Celkový dluh domácností stoupl závěrem loňského roku o 76 mld. korun meziročně na 1 391 mld. </w:t>
            </w:r>
          </w:p>
          <w:p w:rsidR="00960769" w:rsidRPr="00EE0568" w:rsidRDefault="00960769" w:rsidP="00960769">
            <w:pPr>
              <w:spacing w:line="240" w:lineRule="auto"/>
              <w:rPr>
                <w:color w:val="FF0000"/>
                <w:sz w:val="16"/>
                <w:szCs w:val="16"/>
              </w:rPr>
            </w:pPr>
            <w:r w:rsidRPr="009F7D88">
              <w:rPr>
                <w:sz w:val="16"/>
                <w:szCs w:val="16"/>
              </w:rPr>
              <w:t>Činil 31,1 % HDP</w:t>
            </w:r>
          </w:p>
        </w:tc>
        <w:tc>
          <w:tcPr>
            <w:tcW w:w="143" w:type="pct"/>
          </w:tcPr>
          <w:p w:rsidR="00960769" w:rsidRPr="00EE0568" w:rsidRDefault="00960769" w:rsidP="00960769">
            <w:pPr>
              <w:pStyle w:val="Textpoznpodarou"/>
              <w:jc w:val="both"/>
              <w:rPr>
                <w:color w:val="FF0000"/>
              </w:rPr>
            </w:pPr>
          </w:p>
        </w:tc>
        <w:tc>
          <w:tcPr>
            <w:tcW w:w="3803" w:type="pct"/>
          </w:tcPr>
          <w:p w:rsidR="00960769" w:rsidRPr="00EE0568" w:rsidRDefault="00960769" w:rsidP="00960769">
            <w:pPr>
              <w:pStyle w:val="Textpoznpodarou"/>
              <w:jc w:val="both"/>
              <w:rPr>
                <w:color w:val="FF0000"/>
              </w:rPr>
            </w:pPr>
            <w:r w:rsidRPr="00BE008C">
              <w:t>Celkové zadlužení českých domácností stouplo na konci roku 2015 o 76 mld. korun meziročně a domácnosti tak dlužily 1 391 mld. Břemenem jsou hlavně dluhy vzniklé v souvislosti s pořízením bydlení (978 mld.). Zhruba čtvrt bilionu (262 mld.) dluží domácnosti v podobě spotřebních úvěrů, na ostatní dluh připadá 151 mld. Největším věřitelem domácností jsou logicky banky a </w:t>
            </w:r>
            <w:r>
              <w:t>družstevní záložny, drží</w:t>
            </w:r>
            <w:r w:rsidRPr="009F7D88">
              <w:t xml:space="preserve"> 95,8 % celkového dluhu domácností. Zbytek připadá na ostatní finanční instituce. Role těchto institucí je nulová v případě poskytování úvěrů na bydlení, naprostou většinu těchto typů závazků drží totiž banky a družstevní záložny. Ze spotřebních úvěrů a ostatních závazků domácností si však ostatní finanční instituce ukrajují již významný díl. Z dluhu na spotřebu dluží domácnosti ostatním finančním institucím 18,6 %, u ostatních závazků 6,1 %.</w:t>
            </w:r>
          </w:p>
        </w:tc>
      </w:tr>
    </w:tbl>
    <w:p w:rsidR="00960769" w:rsidRPr="002E435E" w:rsidRDefault="00960769" w:rsidP="00960769">
      <w:pPr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1110"/>
        <w:gridCol w:w="3815"/>
        <w:gridCol w:w="1140"/>
        <w:gridCol w:w="676"/>
        <w:gridCol w:w="3113"/>
      </w:tblGrid>
      <w:tr w:rsidR="00A9221C" w:rsidRPr="005819C0" w:rsidTr="002E435E">
        <w:tc>
          <w:tcPr>
            <w:tcW w:w="562" w:type="pct"/>
          </w:tcPr>
          <w:p w:rsidR="00A9221C" w:rsidRPr="00A7541D" w:rsidRDefault="00A9221C" w:rsidP="00CB6809">
            <w:pPr>
              <w:pStyle w:val="Textpoznpodarou"/>
            </w:pPr>
            <w:r w:rsidRPr="00A7541D">
              <w:t>Graf č. 17</w:t>
            </w:r>
          </w:p>
        </w:tc>
        <w:tc>
          <w:tcPr>
            <w:tcW w:w="1937" w:type="pct"/>
          </w:tcPr>
          <w:p w:rsidR="00A9221C" w:rsidRPr="00A7541D" w:rsidRDefault="00A9221C" w:rsidP="00CB6809">
            <w:pPr>
              <w:pStyle w:val="Textpoznpodarou"/>
            </w:pPr>
            <w:r w:rsidRPr="00A7541D">
              <w:rPr>
                <w:b/>
              </w:rPr>
              <w:t>Měnové agregáty a hrubý domácí produkt</w:t>
            </w:r>
            <w:r w:rsidRPr="00A7541D">
              <w:t xml:space="preserve"> (y/y v %)</w:t>
            </w:r>
          </w:p>
        </w:tc>
        <w:tc>
          <w:tcPr>
            <w:tcW w:w="578" w:type="pct"/>
          </w:tcPr>
          <w:p w:rsidR="00A9221C" w:rsidRPr="00F067CB" w:rsidRDefault="00A9221C" w:rsidP="00CB6809">
            <w:pPr>
              <w:pStyle w:val="Textpoznpodarou"/>
            </w:pPr>
            <w:r w:rsidRPr="00F067CB">
              <w:t>Graf č. 18</w:t>
            </w:r>
          </w:p>
        </w:tc>
        <w:tc>
          <w:tcPr>
            <w:tcW w:w="1923" w:type="pct"/>
            <w:gridSpan w:val="2"/>
          </w:tcPr>
          <w:p w:rsidR="00A9221C" w:rsidRPr="00F067CB" w:rsidRDefault="00A9221C" w:rsidP="00CB6809">
            <w:pPr>
              <w:pStyle w:val="Textpoznpodarou"/>
            </w:pPr>
            <w:r>
              <w:rPr>
                <w:b/>
              </w:rPr>
              <w:t>Podíl úvěrů</w:t>
            </w:r>
            <w:r w:rsidRPr="00F067CB">
              <w:rPr>
                <w:b/>
              </w:rPr>
              <w:t xml:space="preserve"> v</w:t>
            </w:r>
            <w:r>
              <w:rPr>
                <w:b/>
              </w:rPr>
              <w:t> </w:t>
            </w:r>
            <w:r w:rsidRPr="00F067CB">
              <w:rPr>
                <w:b/>
              </w:rPr>
              <w:t>selhání</w:t>
            </w:r>
            <w:r>
              <w:rPr>
                <w:b/>
              </w:rPr>
              <w:t xml:space="preserve"> </w:t>
            </w:r>
            <w:r w:rsidRPr="00F067CB">
              <w:t>(</w:t>
            </w:r>
            <w:r>
              <w:t>v %, úvěry v selhání/celkový objem úvěrů</w:t>
            </w:r>
            <w:r w:rsidRPr="00F067CB">
              <w:t>)</w:t>
            </w:r>
          </w:p>
        </w:tc>
      </w:tr>
      <w:tr w:rsidR="00A9221C" w:rsidRPr="005819C0" w:rsidTr="002E435E">
        <w:tc>
          <w:tcPr>
            <w:tcW w:w="2499" w:type="pct"/>
            <w:gridSpan w:val="2"/>
          </w:tcPr>
          <w:p w:rsidR="00A9221C" w:rsidRPr="005819C0" w:rsidRDefault="009B5A79" w:rsidP="00CB6809">
            <w:pPr>
              <w:pStyle w:val="Textpoznpodarou"/>
              <w:jc w:val="both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239.8pt;height:186.55pt;visibility:visible;mso-wrap-style:square">
                  <v:imagedata r:id="rId8" o:title=""/>
                </v:shape>
              </w:pict>
            </w:r>
          </w:p>
        </w:tc>
        <w:tc>
          <w:tcPr>
            <w:tcW w:w="2501" w:type="pct"/>
            <w:gridSpan w:val="3"/>
          </w:tcPr>
          <w:p w:rsidR="00A9221C" w:rsidRPr="005819C0" w:rsidRDefault="009B5A79" w:rsidP="00CB6809">
            <w:pPr>
              <w:pStyle w:val="Textpoznpodarou"/>
              <w:jc w:val="both"/>
            </w:pPr>
            <w:r>
              <w:rPr>
                <w:noProof/>
              </w:rPr>
              <w:pict>
                <v:shape id="_x0000_i1042" type="#_x0000_t75" style="width:239.8pt;height:186.55pt;visibility:visible;mso-wrap-style:square">
                  <v:imagedata r:id="rId9" o:title=""/>
                </v:shape>
              </w:pict>
            </w:r>
          </w:p>
        </w:tc>
      </w:tr>
      <w:tr w:rsidR="00A9221C" w:rsidRPr="005819C0" w:rsidTr="002E435E">
        <w:tc>
          <w:tcPr>
            <w:tcW w:w="3419" w:type="pct"/>
            <w:gridSpan w:val="4"/>
          </w:tcPr>
          <w:p w:rsidR="00A9221C" w:rsidRPr="00045F79" w:rsidRDefault="00A9221C" w:rsidP="00CB6809">
            <w:pPr>
              <w:pStyle w:val="Textpoznpodarou"/>
              <w:rPr>
                <w:noProof/>
                <w:sz w:val="18"/>
                <w:szCs w:val="18"/>
              </w:rPr>
            </w:pPr>
          </w:p>
        </w:tc>
        <w:tc>
          <w:tcPr>
            <w:tcW w:w="1581" w:type="pct"/>
          </w:tcPr>
          <w:p w:rsidR="00A9221C" w:rsidRPr="005819C0" w:rsidRDefault="00A9221C" w:rsidP="00CB6809">
            <w:pPr>
              <w:pStyle w:val="Textpoznpodarou"/>
              <w:jc w:val="right"/>
              <w:rPr>
                <w:noProof/>
              </w:rPr>
            </w:pPr>
            <w:r w:rsidRPr="005819C0">
              <w:rPr>
                <w:sz w:val="18"/>
                <w:szCs w:val="18"/>
              </w:rPr>
              <w:t>Zdroj: ČSÚ</w:t>
            </w:r>
            <w:r>
              <w:rPr>
                <w:sz w:val="18"/>
                <w:szCs w:val="18"/>
              </w:rPr>
              <w:t>, ČNB</w:t>
            </w:r>
          </w:p>
        </w:tc>
      </w:tr>
    </w:tbl>
    <w:p w:rsidR="002E435E" w:rsidRPr="002E435E" w:rsidRDefault="002E435E" w:rsidP="002E435E">
      <w:pPr>
        <w:rPr>
          <w:sz w:val="2"/>
          <w:szCs w:val="2"/>
        </w:rPr>
      </w:pPr>
    </w:p>
    <w:sectPr w:rsidR="002E435E" w:rsidRPr="002E435E" w:rsidSect="004D750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1134" w:bottom="1418" w:left="1134" w:header="680" w:footer="680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792" w:rsidRDefault="00DB5792" w:rsidP="00E71A58">
      <w:r>
        <w:separator/>
      </w:r>
    </w:p>
  </w:endnote>
  <w:endnote w:type="continuationSeparator" w:id="0">
    <w:p w:rsidR="00DB5792" w:rsidRDefault="00DB5792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92" w:rsidRDefault="009B5A79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57728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DB5792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4D7506">
      <w:rPr>
        <w:rFonts w:ascii="Arial" w:hAnsi="Arial" w:cs="Arial"/>
        <w:noProof/>
        <w:sz w:val="16"/>
        <w:szCs w:val="16"/>
      </w:rPr>
      <w:t>20</w:t>
    </w:r>
    <w:r w:rsidRPr="005A21E0">
      <w:rPr>
        <w:rFonts w:ascii="Arial" w:hAnsi="Arial" w:cs="Arial"/>
        <w:sz w:val="16"/>
        <w:szCs w:val="16"/>
      </w:rPr>
      <w:fldChar w:fldCharType="end"/>
    </w:r>
    <w:r w:rsidR="00DB5792">
      <w:rPr>
        <w:rFonts w:ascii="Arial" w:hAnsi="Arial" w:cs="Arial"/>
        <w:sz w:val="16"/>
        <w:szCs w:val="16"/>
      </w:rPr>
      <w:tab/>
      <w:t>2016</w:t>
    </w:r>
    <w:r w:rsidR="00DB5792">
      <w:tab/>
    </w:r>
    <w:r w:rsidR="00DB5792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92" w:rsidRDefault="009B5A79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51658752;visibility:visible">
          <v:imagedata r:id="rId1" o:title=""/>
        </v:shape>
      </w:pict>
    </w:r>
    <w:r w:rsidR="00DB5792">
      <w:tab/>
    </w:r>
    <w:r w:rsidR="00DB5792">
      <w:tab/>
    </w:r>
    <w:r w:rsidR="00DB5792" w:rsidRPr="00DC5B3B">
      <w:t xml:space="preserve">                              </w:t>
    </w:r>
  </w:p>
  <w:p w:rsidR="00DB5792" w:rsidRPr="00223E00" w:rsidRDefault="00DB5792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>
      <w:rPr>
        <w:rFonts w:ascii="Arial" w:hAnsi="Arial" w:cs="Arial"/>
        <w:sz w:val="16"/>
        <w:szCs w:val="16"/>
      </w:rPr>
      <w:tab/>
    </w:r>
    <w:r w:rsidR="009B5A79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9B5A79" w:rsidRPr="00223E00">
      <w:rPr>
        <w:rFonts w:ascii="Arial" w:hAnsi="Arial" w:cs="Arial"/>
        <w:sz w:val="16"/>
        <w:szCs w:val="16"/>
      </w:rPr>
      <w:fldChar w:fldCharType="separate"/>
    </w:r>
    <w:r w:rsidR="004D7506">
      <w:rPr>
        <w:rFonts w:ascii="Arial" w:hAnsi="Arial" w:cs="Arial"/>
        <w:noProof/>
        <w:sz w:val="16"/>
        <w:szCs w:val="16"/>
      </w:rPr>
      <w:t>19</w:t>
    </w:r>
    <w:r w:rsidR="009B5A79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792" w:rsidRDefault="00DB5792" w:rsidP="00E71A58">
      <w:r>
        <w:separator/>
      </w:r>
    </w:p>
  </w:footnote>
  <w:footnote w:type="continuationSeparator" w:id="0">
    <w:p w:rsidR="00DB5792" w:rsidRDefault="00DB5792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92" w:rsidRPr="00D766EF" w:rsidRDefault="00DB5792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roce 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92" w:rsidRPr="00D766EF" w:rsidRDefault="00DB5792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roce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52C81"/>
    <w:multiLevelType w:val="hybridMultilevel"/>
    <w:tmpl w:val="95A8F192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FA7"/>
    <w:rsid w:val="00001EFF"/>
    <w:rsid w:val="00003687"/>
    <w:rsid w:val="00003C43"/>
    <w:rsid w:val="00007498"/>
    <w:rsid w:val="0000767A"/>
    <w:rsid w:val="000101F5"/>
    <w:rsid w:val="000104B9"/>
    <w:rsid w:val="00010702"/>
    <w:rsid w:val="00011191"/>
    <w:rsid w:val="0001159B"/>
    <w:rsid w:val="00012986"/>
    <w:rsid w:val="00015195"/>
    <w:rsid w:val="0001519F"/>
    <w:rsid w:val="0001572B"/>
    <w:rsid w:val="0001573E"/>
    <w:rsid w:val="000162DB"/>
    <w:rsid w:val="00017F05"/>
    <w:rsid w:val="000202C6"/>
    <w:rsid w:val="00020946"/>
    <w:rsid w:val="00022B41"/>
    <w:rsid w:val="00024887"/>
    <w:rsid w:val="00024CBA"/>
    <w:rsid w:val="00025501"/>
    <w:rsid w:val="00026998"/>
    <w:rsid w:val="000304C4"/>
    <w:rsid w:val="0003066A"/>
    <w:rsid w:val="00030F14"/>
    <w:rsid w:val="000311C5"/>
    <w:rsid w:val="00032838"/>
    <w:rsid w:val="00032C12"/>
    <w:rsid w:val="00035CCF"/>
    <w:rsid w:val="00035FC6"/>
    <w:rsid w:val="00037667"/>
    <w:rsid w:val="0004075D"/>
    <w:rsid w:val="000411E1"/>
    <w:rsid w:val="00043E05"/>
    <w:rsid w:val="0004694F"/>
    <w:rsid w:val="000500DC"/>
    <w:rsid w:val="00052172"/>
    <w:rsid w:val="00053CBA"/>
    <w:rsid w:val="00054E43"/>
    <w:rsid w:val="00055059"/>
    <w:rsid w:val="000553E4"/>
    <w:rsid w:val="000567FA"/>
    <w:rsid w:val="00057C16"/>
    <w:rsid w:val="00060F26"/>
    <w:rsid w:val="00062D43"/>
    <w:rsid w:val="00062EC5"/>
    <w:rsid w:val="00064256"/>
    <w:rsid w:val="000706A4"/>
    <w:rsid w:val="00071F80"/>
    <w:rsid w:val="00072118"/>
    <w:rsid w:val="00073173"/>
    <w:rsid w:val="000779AC"/>
    <w:rsid w:val="00083803"/>
    <w:rsid w:val="00084393"/>
    <w:rsid w:val="0008716A"/>
    <w:rsid w:val="00087634"/>
    <w:rsid w:val="00091237"/>
    <w:rsid w:val="0009191B"/>
    <w:rsid w:val="000920EC"/>
    <w:rsid w:val="00092208"/>
    <w:rsid w:val="00092505"/>
    <w:rsid w:val="00092C9A"/>
    <w:rsid w:val="00097D02"/>
    <w:rsid w:val="000A1183"/>
    <w:rsid w:val="000A2121"/>
    <w:rsid w:val="000A2484"/>
    <w:rsid w:val="000A36CE"/>
    <w:rsid w:val="000A59BF"/>
    <w:rsid w:val="000A66C2"/>
    <w:rsid w:val="000B1CFE"/>
    <w:rsid w:val="000B210A"/>
    <w:rsid w:val="000B249B"/>
    <w:rsid w:val="000B3DB9"/>
    <w:rsid w:val="000B3F02"/>
    <w:rsid w:val="000B48A2"/>
    <w:rsid w:val="000B48E7"/>
    <w:rsid w:val="000B4F41"/>
    <w:rsid w:val="000B7663"/>
    <w:rsid w:val="000C11D3"/>
    <w:rsid w:val="000C12F5"/>
    <w:rsid w:val="000C3408"/>
    <w:rsid w:val="000C5C0F"/>
    <w:rsid w:val="000C6498"/>
    <w:rsid w:val="000D0D51"/>
    <w:rsid w:val="000D14B3"/>
    <w:rsid w:val="000D208B"/>
    <w:rsid w:val="000D2B8D"/>
    <w:rsid w:val="000D2E41"/>
    <w:rsid w:val="000D342A"/>
    <w:rsid w:val="000D5E7A"/>
    <w:rsid w:val="000D5FAA"/>
    <w:rsid w:val="000D65A4"/>
    <w:rsid w:val="000D6AEF"/>
    <w:rsid w:val="000E025B"/>
    <w:rsid w:val="000E0ECB"/>
    <w:rsid w:val="000E153A"/>
    <w:rsid w:val="000E19A8"/>
    <w:rsid w:val="000E4A42"/>
    <w:rsid w:val="000E6476"/>
    <w:rsid w:val="000E78D2"/>
    <w:rsid w:val="000F3332"/>
    <w:rsid w:val="000F33EE"/>
    <w:rsid w:val="000F401E"/>
    <w:rsid w:val="000F5445"/>
    <w:rsid w:val="000F5673"/>
    <w:rsid w:val="000F67B2"/>
    <w:rsid w:val="000F790F"/>
    <w:rsid w:val="000F7E1B"/>
    <w:rsid w:val="00100014"/>
    <w:rsid w:val="0010039A"/>
    <w:rsid w:val="00101FB2"/>
    <w:rsid w:val="00102CB8"/>
    <w:rsid w:val="00102F02"/>
    <w:rsid w:val="0010385D"/>
    <w:rsid w:val="00103E41"/>
    <w:rsid w:val="001041B6"/>
    <w:rsid w:val="001070EA"/>
    <w:rsid w:val="0011002A"/>
    <w:rsid w:val="001107CE"/>
    <w:rsid w:val="0011110A"/>
    <w:rsid w:val="001118AF"/>
    <w:rsid w:val="00111CA5"/>
    <w:rsid w:val="0011256E"/>
    <w:rsid w:val="0011352E"/>
    <w:rsid w:val="00114FC0"/>
    <w:rsid w:val="00116DB9"/>
    <w:rsid w:val="00116F2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6561"/>
    <w:rsid w:val="001400E1"/>
    <w:rsid w:val="001405FA"/>
    <w:rsid w:val="001413B3"/>
    <w:rsid w:val="001425C3"/>
    <w:rsid w:val="00142F16"/>
    <w:rsid w:val="00143E03"/>
    <w:rsid w:val="00143E93"/>
    <w:rsid w:val="00151AC0"/>
    <w:rsid w:val="00151B27"/>
    <w:rsid w:val="00152046"/>
    <w:rsid w:val="00154147"/>
    <w:rsid w:val="00155746"/>
    <w:rsid w:val="00156318"/>
    <w:rsid w:val="0015639A"/>
    <w:rsid w:val="0016081D"/>
    <w:rsid w:val="00160CF3"/>
    <w:rsid w:val="00160E61"/>
    <w:rsid w:val="001620FA"/>
    <w:rsid w:val="00162853"/>
    <w:rsid w:val="00163793"/>
    <w:rsid w:val="001707DE"/>
    <w:rsid w:val="00170B04"/>
    <w:rsid w:val="00170F47"/>
    <w:rsid w:val="001714F2"/>
    <w:rsid w:val="00173642"/>
    <w:rsid w:val="00173AF4"/>
    <w:rsid w:val="00173CB0"/>
    <w:rsid w:val="00174CE8"/>
    <w:rsid w:val="00175351"/>
    <w:rsid w:val="00175F60"/>
    <w:rsid w:val="00176050"/>
    <w:rsid w:val="001764D8"/>
    <w:rsid w:val="00176A8F"/>
    <w:rsid w:val="00180D58"/>
    <w:rsid w:val="00182981"/>
    <w:rsid w:val="00184CF9"/>
    <w:rsid w:val="00185010"/>
    <w:rsid w:val="001852EC"/>
    <w:rsid w:val="00186447"/>
    <w:rsid w:val="001874CF"/>
    <w:rsid w:val="00190D9B"/>
    <w:rsid w:val="00191BAE"/>
    <w:rsid w:val="00193432"/>
    <w:rsid w:val="0019346C"/>
    <w:rsid w:val="00195444"/>
    <w:rsid w:val="001A199D"/>
    <w:rsid w:val="001A2BDB"/>
    <w:rsid w:val="001A30F4"/>
    <w:rsid w:val="001A4C0D"/>
    <w:rsid w:val="001A552F"/>
    <w:rsid w:val="001A56F3"/>
    <w:rsid w:val="001A750C"/>
    <w:rsid w:val="001B1D89"/>
    <w:rsid w:val="001B3110"/>
    <w:rsid w:val="001B4198"/>
    <w:rsid w:val="001B44BC"/>
    <w:rsid w:val="001B618F"/>
    <w:rsid w:val="001B6545"/>
    <w:rsid w:val="001B681B"/>
    <w:rsid w:val="001B6A49"/>
    <w:rsid w:val="001B74FB"/>
    <w:rsid w:val="001B77A1"/>
    <w:rsid w:val="001C0422"/>
    <w:rsid w:val="001C0E0E"/>
    <w:rsid w:val="001C0EB9"/>
    <w:rsid w:val="001C1219"/>
    <w:rsid w:val="001C357A"/>
    <w:rsid w:val="001C3A37"/>
    <w:rsid w:val="001C4384"/>
    <w:rsid w:val="001C65FF"/>
    <w:rsid w:val="001D47E5"/>
    <w:rsid w:val="001D584C"/>
    <w:rsid w:val="001D5E1B"/>
    <w:rsid w:val="001D66C1"/>
    <w:rsid w:val="001D7C6F"/>
    <w:rsid w:val="001E0024"/>
    <w:rsid w:val="001E0C65"/>
    <w:rsid w:val="001E23E3"/>
    <w:rsid w:val="001E387A"/>
    <w:rsid w:val="001E3DA4"/>
    <w:rsid w:val="001E5830"/>
    <w:rsid w:val="001E684C"/>
    <w:rsid w:val="001E701C"/>
    <w:rsid w:val="001E7C03"/>
    <w:rsid w:val="001F02AF"/>
    <w:rsid w:val="001F0649"/>
    <w:rsid w:val="001F28F4"/>
    <w:rsid w:val="001F3055"/>
    <w:rsid w:val="001F31BC"/>
    <w:rsid w:val="001F378E"/>
    <w:rsid w:val="001F3C79"/>
    <w:rsid w:val="001F3E68"/>
    <w:rsid w:val="001F4597"/>
    <w:rsid w:val="001F56A9"/>
    <w:rsid w:val="001F5C6A"/>
    <w:rsid w:val="001F670A"/>
    <w:rsid w:val="00200D15"/>
    <w:rsid w:val="00203074"/>
    <w:rsid w:val="00203B46"/>
    <w:rsid w:val="002048E1"/>
    <w:rsid w:val="00207DB6"/>
    <w:rsid w:val="00210278"/>
    <w:rsid w:val="00210CC2"/>
    <w:rsid w:val="00210F5B"/>
    <w:rsid w:val="00210FFA"/>
    <w:rsid w:val="00211262"/>
    <w:rsid w:val="002115F5"/>
    <w:rsid w:val="00211AC9"/>
    <w:rsid w:val="0021355B"/>
    <w:rsid w:val="002179F9"/>
    <w:rsid w:val="002205F2"/>
    <w:rsid w:val="0022080E"/>
    <w:rsid w:val="0022139E"/>
    <w:rsid w:val="0022272B"/>
    <w:rsid w:val="00222A99"/>
    <w:rsid w:val="00223678"/>
    <w:rsid w:val="002236F7"/>
    <w:rsid w:val="00223E00"/>
    <w:rsid w:val="002252E0"/>
    <w:rsid w:val="002255F6"/>
    <w:rsid w:val="00226466"/>
    <w:rsid w:val="002266D0"/>
    <w:rsid w:val="00226887"/>
    <w:rsid w:val="00230DAD"/>
    <w:rsid w:val="0023229C"/>
    <w:rsid w:val="0023355C"/>
    <w:rsid w:val="00234280"/>
    <w:rsid w:val="00235000"/>
    <w:rsid w:val="002350E3"/>
    <w:rsid w:val="00235330"/>
    <w:rsid w:val="00236443"/>
    <w:rsid w:val="00240773"/>
    <w:rsid w:val="00240815"/>
    <w:rsid w:val="00240A5B"/>
    <w:rsid w:val="00240C76"/>
    <w:rsid w:val="002436BA"/>
    <w:rsid w:val="002444ED"/>
    <w:rsid w:val="00244A15"/>
    <w:rsid w:val="00244D40"/>
    <w:rsid w:val="00246AE9"/>
    <w:rsid w:val="0024799E"/>
    <w:rsid w:val="00250C59"/>
    <w:rsid w:val="00250E0D"/>
    <w:rsid w:val="00251D59"/>
    <w:rsid w:val="00252602"/>
    <w:rsid w:val="00252FDC"/>
    <w:rsid w:val="00257613"/>
    <w:rsid w:val="00261E5B"/>
    <w:rsid w:val="00262F34"/>
    <w:rsid w:val="00263470"/>
    <w:rsid w:val="00263733"/>
    <w:rsid w:val="00264676"/>
    <w:rsid w:val="00265536"/>
    <w:rsid w:val="00265E54"/>
    <w:rsid w:val="00266F3E"/>
    <w:rsid w:val="00272464"/>
    <w:rsid w:val="00273DCD"/>
    <w:rsid w:val="00274291"/>
    <w:rsid w:val="00276CFE"/>
    <w:rsid w:val="00277071"/>
    <w:rsid w:val="0027786C"/>
    <w:rsid w:val="00277BF7"/>
    <w:rsid w:val="00281416"/>
    <w:rsid w:val="00285CD3"/>
    <w:rsid w:val="0028686A"/>
    <w:rsid w:val="00286E66"/>
    <w:rsid w:val="002919B5"/>
    <w:rsid w:val="00293441"/>
    <w:rsid w:val="00294238"/>
    <w:rsid w:val="0029493E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821"/>
    <w:rsid w:val="002A74D2"/>
    <w:rsid w:val="002A7CDA"/>
    <w:rsid w:val="002A7F47"/>
    <w:rsid w:val="002B1544"/>
    <w:rsid w:val="002B36C8"/>
    <w:rsid w:val="002B7240"/>
    <w:rsid w:val="002C2668"/>
    <w:rsid w:val="002C43BD"/>
    <w:rsid w:val="002C5261"/>
    <w:rsid w:val="002C6091"/>
    <w:rsid w:val="002D0562"/>
    <w:rsid w:val="002D1B5A"/>
    <w:rsid w:val="002D2500"/>
    <w:rsid w:val="002D3F00"/>
    <w:rsid w:val="002D4D59"/>
    <w:rsid w:val="002D54BF"/>
    <w:rsid w:val="002D5E94"/>
    <w:rsid w:val="002D632D"/>
    <w:rsid w:val="002E02A1"/>
    <w:rsid w:val="002E0982"/>
    <w:rsid w:val="002E0DB9"/>
    <w:rsid w:val="002E2CE4"/>
    <w:rsid w:val="002E34F3"/>
    <w:rsid w:val="002E435E"/>
    <w:rsid w:val="002E73F2"/>
    <w:rsid w:val="002F33FB"/>
    <w:rsid w:val="002F7594"/>
    <w:rsid w:val="00301357"/>
    <w:rsid w:val="00301D04"/>
    <w:rsid w:val="003035D4"/>
    <w:rsid w:val="00303DCB"/>
    <w:rsid w:val="00304771"/>
    <w:rsid w:val="00305736"/>
    <w:rsid w:val="00306C5B"/>
    <w:rsid w:val="00306E3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DEE"/>
    <w:rsid w:val="003302DA"/>
    <w:rsid w:val="00330EB0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E57"/>
    <w:rsid w:val="003541B0"/>
    <w:rsid w:val="0035457E"/>
    <w:rsid w:val="00355885"/>
    <w:rsid w:val="0035605E"/>
    <w:rsid w:val="00357449"/>
    <w:rsid w:val="0036238B"/>
    <w:rsid w:val="003651A4"/>
    <w:rsid w:val="00365680"/>
    <w:rsid w:val="003657F3"/>
    <w:rsid w:val="00367038"/>
    <w:rsid w:val="00370963"/>
    <w:rsid w:val="0037144E"/>
    <w:rsid w:val="003736B5"/>
    <w:rsid w:val="00374F1E"/>
    <w:rsid w:val="00376DEC"/>
    <w:rsid w:val="00377200"/>
    <w:rsid w:val="00380E04"/>
    <w:rsid w:val="00383227"/>
    <w:rsid w:val="00384D8F"/>
    <w:rsid w:val="00385D98"/>
    <w:rsid w:val="00385EC5"/>
    <w:rsid w:val="0038658E"/>
    <w:rsid w:val="0039066E"/>
    <w:rsid w:val="00391C95"/>
    <w:rsid w:val="00394D49"/>
    <w:rsid w:val="00396DAC"/>
    <w:rsid w:val="003A0214"/>
    <w:rsid w:val="003A027D"/>
    <w:rsid w:val="003A1D74"/>
    <w:rsid w:val="003A2B4D"/>
    <w:rsid w:val="003A2D2B"/>
    <w:rsid w:val="003A2DD4"/>
    <w:rsid w:val="003A3B1C"/>
    <w:rsid w:val="003A4088"/>
    <w:rsid w:val="003A478C"/>
    <w:rsid w:val="003A4F82"/>
    <w:rsid w:val="003A5525"/>
    <w:rsid w:val="003A6B38"/>
    <w:rsid w:val="003B2580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26F4"/>
    <w:rsid w:val="003C3686"/>
    <w:rsid w:val="003C4852"/>
    <w:rsid w:val="003C5BC7"/>
    <w:rsid w:val="003C601E"/>
    <w:rsid w:val="003D2C4E"/>
    <w:rsid w:val="003D3600"/>
    <w:rsid w:val="003D3825"/>
    <w:rsid w:val="003D3EC4"/>
    <w:rsid w:val="003D4760"/>
    <w:rsid w:val="003D49DC"/>
    <w:rsid w:val="003D5D7A"/>
    <w:rsid w:val="003E0663"/>
    <w:rsid w:val="003E133F"/>
    <w:rsid w:val="003E49F6"/>
    <w:rsid w:val="003E699C"/>
    <w:rsid w:val="003E69F3"/>
    <w:rsid w:val="003E782E"/>
    <w:rsid w:val="003E7A0B"/>
    <w:rsid w:val="003E7B2B"/>
    <w:rsid w:val="003F181F"/>
    <w:rsid w:val="003F1A48"/>
    <w:rsid w:val="003F2B0A"/>
    <w:rsid w:val="003F313C"/>
    <w:rsid w:val="003F341B"/>
    <w:rsid w:val="003F37FC"/>
    <w:rsid w:val="003F49A6"/>
    <w:rsid w:val="003F5098"/>
    <w:rsid w:val="003F5568"/>
    <w:rsid w:val="003F5A95"/>
    <w:rsid w:val="003F6D19"/>
    <w:rsid w:val="004000D5"/>
    <w:rsid w:val="004005C1"/>
    <w:rsid w:val="00401716"/>
    <w:rsid w:val="00401A09"/>
    <w:rsid w:val="0040273A"/>
    <w:rsid w:val="00402C25"/>
    <w:rsid w:val="004050D7"/>
    <w:rsid w:val="004078BD"/>
    <w:rsid w:val="00410132"/>
    <w:rsid w:val="00410BCD"/>
    <w:rsid w:val="0041175D"/>
    <w:rsid w:val="004123BE"/>
    <w:rsid w:val="00414CE5"/>
    <w:rsid w:val="00416673"/>
    <w:rsid w:val="0042160D"/>
    <w:rsid w:val="00423A3C"/>
    <w:rsid w:val="0042681B"/>
    <w:rsid w:val="00427193"/>
    <w:rsid w:val="0043068A"/>
    <w:rsid w:val="004306E0"/>
    <w:rsid w:val="00431D54"/>
    <w:rsid w:val="004329BE"/>
    <w:rsid w:val="00432C38"/>
    <w:rsid w:val="004342EC"/>
    <w:rsid w:val="00437C76"/>
    <w:rsid w:val="0044105C"/>
    <w:rsid w:val="004441A0"/>
    <w:rsid w:val="00444268"/>
    <w:rsid w:val="00444326"/>
    <w:rsid w:val="004443BF"/>
    <w:rsid w:val="00444C19"/>
    <w:rsid w:val="00445218"/>
    <w:rsid w:val="00445CDD"/>
    <w:rsid w:val="00446892"/>
    <w:rsid w:val="00447E36"/>
    <w:rsid w:val="00450C30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29FD"/>
    <w:rsid w:val="00463B4B"/>
    <w:rsid w:val="00463F4D"/>
    <w:rsid w:val="0046471F"/>
    <w:rsid w:val="00464BE8"/>
    <w:rsid w:val="00465019"/>
    <w:rsid w:val="00465FA4"/>
    <w:rsid w:val="0046613F"/>
    <w:rsid w:val="0046655D"/>
    <w:rsid w:val="0046765E"/>
    <w:rsid w:val="004676E2"/>
    <w:rsid w:val="00471EDD"/>
    <w:rsid w:val="00473E94"/>
    <w:rsid w:val="0047400C"/>
    <w:rsid w:val="004745D9"/>
    <w:rsid w:val="004762D8"/>
    <w:rsid w:val="004765B3"/>
    <w:rsid w:val="00476D29"/>
    <w:rsid w:val="00477241"/>
    <w:rsid w:val="00477EAF"/>
    <w:rsid w:val="00477EE0"/>
    <w:rsid w:val="00480AB8"/>
    <w:rsid w:val="0048139F"/>
    <w:rsid w:val="00481C00"/>
    <w:rsid w:val="00483053"/>
    <w:rsid w:val="00484874"/>
    <w:rsid w:val="00485230"/>
    <w:rsid w:val="004879E9"/>
    <w:rsid w:val="00487F81"/>
    <w:rsid w:val="00490247"/>
    <w:rsid w:val="0049104F"/>
    <w:rsid w:val="00491218"/>
    <w:rsid w:val="00491CFD"/>
    <w:rsid w:val="00493362"/>
    <w:rsid w:val="00494343"/>
    <w:rsid w:val="00496C2F"/>
    <w:rsid w:val="0049740D"/>
    <w:rsid w:val="004978D3"/>
    <w:rsid w:val="004A11F8"/>
    <w:rsid w:val="004A22BD"/>
    <w:rsid w:val="004A22FA"/>
    <w:rsid w:val="004A269A"/>
    <w:rsid w:val="004A30FB"/>
    <w:rsid w:val="004A35DD"/>
    <w:rsid w:val="004A37D3"/>
    <w:rsid w:val="004A3AD6"/>
    <w:rsid w:val="004A5865"/>
    <w:rsid w:val="004A77DF"/>
    <w:rsid w:val="004B0295"/>
    <w:rsid w:val="004B0803"/>
    <w:rsid w:val="004B10A8"/>
    <w:rsid w:val="004B22DA"/>
    <w:rsid w:val="004B3CB7"/>
    <w:rsid w:val="004B3D55"/>
    <w:rsid w:val="004B55B7"/>
    <w:rsid w:val="004C00A6"/>
    <w:rsid w:val="004C0BBB"/>
    <w:rsid w:val="004C1AD6"/>
    <w:rsid w:val="004C1B86"/>
    <w:rsid w:val="004C3382"/>
    <w:rsid w:val="004C3867"/>
    <w:rsid w:val="004C4AB7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504B"/>
    <w:rsid w:val="004D536E"/>
    <w:rsid w:val="004D7506"/>
    <w:rsid w:val="004D76CC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73"/>
    <w:rsid w:val="004F33A0"/>
    <w:rsid w:val="004F4353"/>
    <w:rsid w:val="004F447D"/>
    <w:rsid w:val="004F4C28"/>
    <w:rsid w:val="004F4E82"/>
    <w:rsid w:val="004F5CC5"/>
    <w:rsid w:val="004F6350"/>
    <w:rsid w:val="005028E1"/>
    <w:rsid w:val="0050692E"/>
    <w:rsid w:val="00507040"/>
    <w:rsid w:val="005079F8"/>
    <w:rsid w:val="00510189"/>
    <w:rsid w:val="005108C0"/>
    <w:rsid w:val="00511873"/>
    <w:rsid w:val="00513B7E"/>
    <w:rsid w:val="005140DE"/>
    <w:rsid w:val="00514474"/>
    <w:rsid w:val="005147E9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2854"/>
    <w:rsid w:val="005350F2"/>
    <w:rsid w:val="00535152"/>
    <w:rsid w:val="00535359"/>
    <w:rsid w:val="005357A2"/>
    <w:rsid w:val="00535D87"/>
    <w:rsid w:val="00535EF0"/>
    <w:rsid w:val="005363DF"/>
    <w:rsid w:val="0053734B"/>
    <w:rsid w:val="005375B1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5CDC"/>
    <w:rsid w:val="005765D5"/>
    <w:rsid w:val="00576A3E"/>
    <w:rsid w:val="0057703D"/>
    <w:rsid w:val="0058366F"/>
    <w:rsid w:val="00583D5B"/>
    <w:rsid w:val="00583FFD"/>
    <w:rsid w:val="00587CCD"/>
    <w:rsid w:val="005908AE"/>
    <w:rsid w:val="0059176E"/>
    <w:rsid w:val="00592854"/>
    <w:rsid w:val="00593152"/>
    <w:rsid w:val="00593CA3"/>
    <w:rsid w:val="00594161"/>
    <w:rsid w:val="00594969"/>
    <w:rsid w:val="00596C5E"/>
    <w:rsid w:val="005A2194"/>
    <w:rsid w:val="005A21E0"/>
    <w:rsid w:val="005A33A1"/>
    <w:rsid w:val="005A54EE"/>
    <w:rsid w:val="005A563B"/>
    <w:rsid w:val="005A7500"/>
    <w:rsid w:val="005A77E4"/>
    <w:rsid w:val="005B1BDB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A23"/>
    <w:rsid w:val="005C562C"/>
    <w:rsid w:val="005C5812"/>
    <w:rsid w:val="005C6400"/>
    <w:rsid w:val="005C7F1E"/>
    <w:rsid w:val="005D374F"/>
    <w:rsid w:val="005D5802"/>
    <w:rsid w:val="005D6CFC"/>
    <w:rsid w:val="005D73E2"/>
    <w:rsid w:val="005D757A"/>
    <w:rsid w:val="005E1E4B"/>
    <w:rsid w:val="005E362D"/>
    <w:rsid w:val="005E492C"/>
    <w:rsid w:val="005E4BAA"/>
    <w:rsid w:val="005E52EF"/>
    <w:rsid w:val="005E5B56"/>
    <w:rsid w:val="005E6088"/>
    <w:rsid w:val="005E61DF"/>
    <w:rsid w:val="005E6B65"/>
    <w:rsid w:val="005E6B78"/>
    <w:rsid w:val="005F26CE"/>
    <w:rsid w:val="005F4057"/>
    <w:rsid w:val="005F4088"/>
    <w:rsid w:val="005F601D"/>
    <w:rsid w:val="005F6119"/>
    <w:rsid w:val="005F7940"/>
    <w:rsid w:val="0060107A"/>
    <w:rsid w:val="00601AFF"/>
    <w:rsid w:val="00602D1D"/>
    <w:rsid w:val="00604307"/>
    <w:rsid w:val="0060487F"/>
    <w:rsid w:val="00605814"/>
    <w:rsid w:val="00606B93"/>
    <w:rsid w:val="00607727"/>
    <w:rsid w:val="00610BD5"/>
    <w:rsid w:val="00611531"/>
    <w:rsid w:val="006118AA"/>
    <w:rsid w:val="006139C7"/>
    <w:rsid w:val="006153E3"/>
    <w:rsid w:val="006167AB"/>
    <w:rsid w:val="00617D2D"/>
    <w:rsid w:val="00617D83"/>
    <w:rsid w:val="00620430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94E"/>
    <w:rsid w:val="00634C90"/>
    <w:rsid w:val="00635E79"/>
    <w:rsid w:val="00636E5E"/>
    <w:rsid w:val="006379E0"/>
    <w:rsid w:val="006404A7"/>
    <w:rsid w:val="006407F3"/>
    <w:rsid w:val="006408EC"/>
    <w:rsid w:val="0064129B"/>
    <w:rsid w:val="00644DFC"/>
    <w:rsid w:val="006451E4"/>
    <w:rsid w:val="006454B4"/>
    <w:rsid w:val="00645A9C"/>
    <w:rsid w:val="006460B8"/>
    <w:rsid w:val="006504A0"/>
    <w:rsid w:val="006520C7"/>
    <w:rsid w:val="00652CBB"/>
    <w:rsid w:val="006530B8"/>
    <w:rsid w:val="006535D6"/>
    <w:rsid w:val="006572ED"/>
    <w:rsid w:val="00657E87"/>
    <w:rsid w:val="00660457"/>
    <w:rsid w:val="00660E1E"/>
    <w:rsid w:val="006637B1"/>
    <w:rsid w:val="00664B64"/>
    <w:rsid w:val="00665D67"/>
    <w:rsid w:val="00665D77"/>
    <w:rsid w:val="006660CD"/>
    <w:rsid w:val="00666EC8"/>
    <w:rsid w:val="00666F4B"/>
    <w:rsid w:val="006676D0"/>
    <w:rsid w:val="0066796E"/>
    <w:rsid w:val="00670FAC"/>
    <w:rsid w:val="006710C9"/>
    <w:rsid w:val="006716A5"/>
    <w:rsid w:val="00675E37"/>
    <w:rsid w:val="00676AFC"/>
    <w:rsid w:val="00676F11"/>
    <w:rsid w:val="00680079"/>
    <w:rsid w:val="00680F68"/>
    <w:rsid w:val="0068260E"/>
    <w:rsid w:val="0068373D"/>
    <w:rsid w:val="00683BFE"/>
    <w:rsid w:val="0068437D"/>
    <w:rsid w:val="006857DF"/>
    <w:rsid w:val="00685E66"/>
    <w:rsid w:val="00686B72"/>
    <w:rsid w:val="00686BF1"/>
    <w:rsid w:val="00690A09"/>
    <w:rsid w:val="00690A25"/>
    <w:rsid w:val="00693EA1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18AE"/>
    <w:rsid w:val="006A2EE8"/>
    <w:rsid w:val="006A3CF3"/>
    <w:rsid w:val="006A568F"/>
    <w:rsid w:val="006A65EF"/>
    <w:rsid w:val="006A672B"/>
    <w:rsid w:val="006B23A9"/>
    <w:rsid w:val="006B3F8A"/>
    <w:rsid w:val="006B5CA3"/>
    <w:rsid w:val="006B6B3B"/>
    <w:rsid w:val="006B7714"/>
    <w:rsid w:val="006B78D8"/>
    <w:rsid w:val="006C090F"/>
    <w:rsid w:val="006C0935"/>
    <w:rsid w:val="006C0BCE"/>
    <w:rsid w:val="006C113F"/>
    <w:rsid w:val="006C2AED"/>
    <w:rsid w:val="006C38DD"/>
    <w:rsid w:val="006C5577"/>
    <w:rsid w:val="006C559A"/>
    <w:rsid w:val="006C58FA"/>
    <w:rsid w:val="006D042D"/>
    <w:rsid w:val="006D06EF"/>
    <w:rsid w:val="006D142E"/>
    <w:rsid w:val="006D4497"/>
    <w:rsid w:val="006D4E6F"/>
    <w:rsid w:val="006D61F6"/>
    <w:rsid w:val="006E0EB0"/>
    <w:rsid w:val="006E1F4C"/>
    <w:rsid w:val="006E22C8"/>
    <w:rsid w:val="006E279A"/>
    <w:rsid w:val="006E2F3F"/>
    <w:rsid w:val="006E313B"/>
    <w:rsid w:val="006E442A"/>
    <w:rsid w:val="006E4434"/>
    <w:rsid w:val="006E59FC"/>
    <w:rsid w:val="006E5CFD"/>
    <w:rsid w:val="006E7E2C"/>
    <w:rsid w:val="006F1326"/>
    <w:rsid w:val="006F2BEE"/>
    <w:rsid w:val="006F3708"/>
    <w:rsid w:val="006F3E6B"/>
    <w:rsid w:val="006F4619"/>
    <w:rsid w:val="006F4A59"/>
    <w:rsid w:val="00700232"/>
    <w:rsid w:val="007014C7"/>
    <w:rsid w:val="00702D6F"/>
    <w:rsid w:val="00703B6C"/>
    <w:rsid w:val="00703C6B"/>
    <w:rsid w:val="007047D5"/>
    <w:rsid w:val="00705D98"/>
    <w:rsid w:val="00707891"/>
    <w:rsid w:val="00707D43"/>
    <w:rsid w:val="00711EF1"/>
    <w:rsid w:val="0071229A"/>
    <w:rsid w:val="00712572"/>
    <w:rsid w:val="00713495"/>
    <w:rsid w:val="00713EEB"/>
    <w:rsid w:val="007159D2"/>
    <w:rsid w:val="0072050E"/>
    <w:rsid w:val="00720FA2"/>
    <w:rsid w:val="007211F5"/>
    <w:rsid w:val="00724666"/>
    <w:rsid w:val="00726043"/>
    <w:rsid w:val="0072704A"/>
    <w:rsid w:val="00730AE8"/>
    <w:rsid w:val="00731963"/>
    <w:rsid w:val="00734321"/>
    <w:rsid w:val="0073532E"/>
    <w:rsid w:val="00740310"/>
    <w:rsid w:val="00740652"/>
    <w:rsid w:val="00740F02"/>
    <w:rsid w:val="00740FEC"/>
    <w:rsid w:val="0074132E"/>
    <w:rsid w:val="00741493"/>
    <w:rsid w:val="007426B3"/>
    <w:rsid w:val="007426FD"/>
    <w:rsid w:val="0074329D"/>
    <w:rsid w:val="00744376"/>
    <w:rsid w:val="007449EA"/>
    <w:rsid w:val="00744D00"/>
    <w:rsid w:val="00745273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F2"/>
    <w:rsid w:val="00762EBA"/>
    <w:rsid w:val="0076359D"/>
    <w:rsid w:val="0077058D"/>
    <w:rsid w:val="00772536"/>
    <w:rsid w:val="00773613"/>
    <w:rsid w:val="00774782"/>
    <w:rsid w:val="00776476"/>
    <w:rsid w:val="00776527"/>
    <w:rsid w:val="007805E1"/>
    <w:rsid w:val="0078113E"/>
    <w:rsid w:val="00781834"/>
    <w:rsid w:val="007821DB"/>
    <w:rsid w:val="00782818"/>
    <w:rsid w:val="007838F1"/>
    <w:rsid w:val="00784C4A"/>
    <w:rsid w:val="00787432"/>
    <w:rsid w:val="00787507"/>
    <w:rsid w:val="007879F2"/>
    <w:rsid w:val="00791CF8"/>
    <w:rsid w:val="00791EF9"/>
    <w:rsid w:val="00792262"/>
    <w:rsid w:val="00793387"/>
    <w:rsid w:val="00793BAE"/>
    <w:rsid w:val="00794E0A"/>
    <w:rsid w:val="00796642"/>
    <w:rsid w:val="007A11D9"/>
    <w:rsid w:val="007A327B"/>
    <w:rsid w:val="007A45B1"/>
    <w:rsid w:val="007A4606"/>
    <w:rsid w:val="007B0D67"/>
    <w:rsid w:val="007B1966"/>
    <w:rsid w:val="007B2779"/>
    <w:rsid w:val="007B3DCC"/>
    <w:rsid w:val="007B4518"/>
    <w:rsid w:val="007B5031"/>
    <w:rsid w:val="007B573F"/>
    <w:rsid w:val="007C0065"/>
    <w:rsid w:val="007C010B"/>
    <w:rsid w:val="007C605B"/>
    <w:rsid w:val="007D2A5A"/>
    <w:rsid w:val="007D2AD8"/>
    <w:rsid w:val="007D2C47"/>
    <w:rsid w:val="007D3167"/>
    <w:rsid w:val="007D4128"/>
    <w:rsid w:val="007D4281"/>
    <w:rsid w:val="007D42F5"/>
    <w:rsid w:val="007D44C3"/>
    <w:rsid w:val="007D5947"/>
    <w:rsid w:val="007D65C1"/>
    <w:rsid w:val="007E030F"/>
    <w:rsid w:val="007E0E59"/>
    <w:rsid w:val="007E0F4B"/>
    <w:rsid w:val="007E3715"/>
    <w:rsid w:val="007E7E61"/>
    <w:rsid w:val="007F0845"/>
    <w:rsid w:val="007F16F9"/>
    <w:rsid w:val="007F3E3E"/>
    <w:rsid w:val="007F42E0"/>
    <w:rsid w:val="007F500D"/>
    <w:rsid w:val="007F5F14"/>
    <w:rsid w:val="007F7B54"/>
    <w:rsid w:val="00800073"/>
    <w:rsid w:val="008005D7"/>
    <w:rsid w:val="00801FDD"/>
    <w:rsid w:val="008020C2"/>
    <w:rsid w:val="0080255C"/>
    <w:rsid w:val="0081187C"/>
    <w:rsid w:val="00811E24"/>
    <w:rsid w:val="00812386"/>
    <w:rsid w:val="00812E2B"/>
    <w:rsid w:val="00813A70"/>
    <w:rsid w:val="00813FE6"/>
    <w:rsid w:val="00815C6E"/>
    <w:rsid w:val="0081645F"/>
    <w:rsid w:val="00817755"/>
    <w:rsid w:val="008178C2"/>
    <w:rsid w:val="008178CF"/>
    <w:rsid w:val="00817C98"/>
    <w:rsid w:val="00820C9F"/>
    <w:rsid w:val="00821FF6"/>
    <w:rsid w:val="00823AAF"/>
    <w:rsid w:val="00824081"/>
    <w:rsid w:val="0082409A"/>
    <w:rsid w:val="008252D7"/>
    <w:rsid w:val="00825C0F"/>
    <w:rsid w:val="00827181"/>
    <w:rsid w:val="0082733C"/>
    <w:rsid w:val="00827746"/>
    <w:rsid w:val="0083143E"/>
    <w:rsid w:val="0083159D"/>
    <w:rsid w:val="008318FF"/>
    <w:rsid w:val="00832187"/>
    <w:rsid w:val="00832493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604"/>
    <w:rsid w:val="00843ECF"/>
    <w:rsid w:val="00846673"/>
    <w:rsid w:val="0085281A"/>
    <w:rsid w:val="008559FE"/>
    <w:rsid w:val="00857339"/>
    <w:rsid w:val="00860706"/>
    <w:rsid w:val="00862A7A"/>
    <w:rsid w:val="00863104"/>
    <w:rsid w:val="008636CD"/>
    <w:rsid w:val="00863D9E"/>
    <w:rsid w:val="00863FDC"/>
    <w:rsid w:val="008642AF"/>
    <w:rsid w:val="00865ED4"/>
    <w:rsid w:val="008669A7"/>
    <w:rsid w:val="00867E29"/>
    <w:rsid w:val="00870F2B"/>
    <w:rsid w:val="008746E6"/>
    <w:rsid w:val="0087594C"/>
    <w:rsid w:val="00876086"/>
    <w:rsid w:val="008768D6"/>
    <w:rsid w:val="008775D1"/>
    <w:rsid w:val="008777BB"/>
    <w:rsid w:val="00877D68"/>
    <w:rsid w:val="00877E5D"/>
    <w:rsid w:val="00880150"/>
    <w:rsid w:val="00880ABA"/>
    <w:rsid w:val="00883A67"/>
    <w:rsid w:val="00883D45"/>
    <w:rsid w:val="00884D69"/>
    <w:rsid w:val="0088503D"/>
    <w:rsid w:val="00886A8F"/>
    <w:rsid w:val="0088733A"/>
    <w:rsid w:val="00891BE0"/>
    <w:rsid w:val="00893302"/>
    <w:rsid w:val="00893648"/>
    <w:rsid w:val="00893F3C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B00C2"/>
    <w:rsid w:val="008B07EF"/>
    <w:rsid w:val="008B16DE"/>
    <w:rsid w:val="008B190E"/>
    <w:rsid w:val="008B1A8A"/>
    <w:rsid w:val="008B1FC9"/>
    <w:rsid w:val="008B6B67"/>
    <w:rsid w:val="008B7306"/>
    <w:rsid w:val="008B775F"/>
    <w:rsid w:val="008B7C02"/>
    <w:rsid w:val="008B7D13"/>
    <w:rsid w:val="008B7F9E"/>
    <w:rsid w:val="008C0E88"/>
    <w:rsid w:val="008C1AA8"/>
    <w:rsid w:val="008C22A8"/>
    <w:rsid w:val="008C5B43"/>
    <w:rsid w:val="008C63FD"/>
    <w:rsid w:val="008C6CB8"/>
    <w:rsid w:val="008C7815"/>
    <w:rsid w:val="008C7A07"/>
    <w:rsid w:val="008D0171"/>
    <w:rsid w:val="008D13EA"/>
    <w:rsid w:val="008D2671"/>
    <w:rsid w:val="008D2A16"/>
    <w:rsid w:val="008D2ECF"/>
    <w:rsid w:val="008D3F3D"/>
    <w:rsid w:val="008E0367"/>
    <w:rsid w:val="008E308D"/>
    <w:rsid w:val="008E31FF"/>
    <w:rsid w:val="008E46A3"/>
    <w:rsid w:val="008E5DE6"/>
    <w:rsid w:val="008E6113"/>
    <w:rsid w:val="008E6AB3"/>
    <w:rsid w:val="008E6AD3"/>
    <w:rsid w:val="008E71A6"/>
    <w:rsid w:val="008E77B6"/>
    <w:rsid w:val="008E7C55"/>
    <w:rsid w:val="008F032E"/>
    <w:rsid w:val="008F0F14"/>
    <w:rsid w:val="008F4FCE"/>
    <w:rsid w:val="008F5301"/>
    <w:rsid w:val="008F6967"/>
    <w:rsid w:val="008F6A0C"/>
    <w:rsid w:val="008F7721"/>
    <w:rsid w:val="008F7D28"/>
    <w:rsid w:val="009003A8"/>
    <w:rsid w:val="009010A7"/>
    <w:rsid w:val="00902CBE"/>
    <w:rsid w:val="00902D74"/>
    <w:rsid w:val="00902EFF"/>
    <w:rsid w:val="00903E06"/>
    <w:rsid w:val="00904B9D"/>
    <w:rsid w:val="00905A11"/>
    <w:rsid w:val="009066E1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D2"/>
    <w:rsid w:val="0092540B"/>
    <w:rsid w:val="00926283"/>
    <w:rsid w:val="00937B11"/>
    <w:rsid w:val="00940F1F"/>
    <w:rsid w:val="00941250"/>
    <w:rsid w:val="0094427A"/>
    <w:rsid w:val="00944380"/>
    <w:rsid w:val="009459C5"/>
    <w:rsid w:val="0094626C"/>
    <w:rsid w:val="0095013A"/>
    <w:rsid w:val="00953AEF"/>
    <w:rsid w:val="009551E2"/>
    <w:rsid w:val="00955783"/>
    <w:rsid w:val="00955E5F"/>
    <w:rsid w:val="009560B0"/>
    <w:rsid w:val="00956F23"/>
    <w:rsid w:val="00957871"/>
    <w:rsid w:val="00960077"/>
    <w:rsid w:val="00960769"/>
    <w:rsid w:val="00962D2E"/>
    <w:rsid w:val="00963724"/>
    <w:rsid w:val="00964498"/>
    <w:rsid w:val="0096504D"/>
    <w:rsid w:val="00965A2D"/>
    <w:rsid w:val="009663EB"/>
    <w:rsid w:val="0096650F"/>
    <w:rsid w:val="00967AD2"/>
    <w:rsid w:val="009700DB"/>
    <w:rsid w:val="00971DC6"/>
    <w:rsid w:val="00972263"/>
    <w:rsid w:val="00972502"/>
    <w:rsid w:val="00972D8D"/>
    <w:rsid w:val="00973AAE"/>
    <w:rsid w:val="0097476C"/>
    <w:rsid w:val="00974923"/>
    <w:rsid w:val="00974D48"/>
    <w:rsid w:val="00974D5F"/>
    <w:rsid w:val="00975017"/>
    <w:rsid w:val="009759DF"/>
    <w:rsid w:val="00980373"/>
    <w:rsid w:val="00980621"/>
    <w:rsid w:val="00982072"/>
    <w:rsid w:val="009833FA"/>
    <w:rsid w:val="00983DBB"/>
    <w:rsid w:val="00983ECF"/>
    <w:rsid w:val="00986745"/>
    <w:rsid w:val="009867BC"/>
    <w:rsid w:val="00987109"/>
    <w:rsid w:val="00987309"/>
    <w:rsid w:val="0099012D"/>
    <w:rsid w:val="00990363"/>
    <w:rsid w:val="009954FF"/>
    <w:rsid w:val="009961BC"/>
    <w:rsid w:val="00996355"/>
    <w:rsid w:val="009A2014"/>
    <w:rsid w:val="009A3A87"/>
    <w:rsid w:val="009A4E12"/>
    <w:rsid w:val="009A5C68"/>
    <w:rsid w:val="009A6EF7"/>
    <w:rsid w:val="009B04D0"/>
    <w:rsid w:val="009B052C"/>
    <w:rsid w:val="009B0EF2"/>
    <w:rsid w:val="009B23A3"/>
    <w:rsid w:val="009B4925"/>
    <w:rsid w:val="009B4B4B"/>
    <w:rsid w:val="009B5A79"/>
    <w:rsid w:val="009B6FD3"/>
    <w:rsid w:val="009B70BD"/>
    <w:rsid w:val="009C07A5"/>
    <w:rsid w:val="009C7388"/>
    <w:rsid w:val="009D0CFF"/>
    <w:rsid w:val="009D1551"/>
    <w:rsid w:val="009D2859"/>
    <w:rsid w:val="009D36EC"/>
    <w:rsid w:val="009D4173"/>
    <w:rsid w:val="009D6095"/>
    <w:rsid w:val="009D6306"/>
    <w:rsid w:val="009E048A"/>
    <w:rsid w:val="009E1FBA"/>
    <w:rsid w:val="009E2C54"/>
    <w:rsid w:val="009E3710"/>
    <w:rsid w:val="009E7B1F"/>
    <w:rsid w:val="009F41C4"/>
    <w:rsid w:val="009F5846"/>
    <w:rsid w:val="009F7B52"/>
    <w:rsid w:val="009F7D77"/>
    <w:rsid w:val="00A015EA"/>
    <w:rsid w:val="00A10D66"/>
    <w:rsid w:val="00A12BA8"/>
    <w:rsid w:val="00A1420C"/>
    <w:rsid w:val="00A1456C"/>
    <w:rsid w:val="00A14821"/>
    <w:rsid w:val="00A17754"/>
    <w:rsid w:val="00A2055B"/>
    <w:rsid w:val="00A2253C"/>
    <w:rsid w:val="00A23545"/>
    <w:rsid w:val="00A23A55"/>
    <w:rsid w:val="00A23E43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24F8"/>
    <w:rsid w:val="00A437B7"/>
    <w:rsid w:val="00A46D48"/>
    <w:rsid w:val="00A46DE0"/>
    <w:rsid w:val="00A4778A"/>
    <w:rsid w:val="00A504C0"/>
    <w:rsid w:val="00A5067F"/>
    <w:rsid w:val="00A55301"/>
    <w:rsid w:val="00A572FB"/>
    <w:rsid w:val="00A57B3C"/>
    <w:rsid w:val="00A57F1B"/>
    <w:rsid w:val="00A6128E"/>
    <w:rsid w:val="00A62CE1"/>
    <w:rsid w:val="00A631FA"/>
    <w:rsid w:val="00A64203"/>
    <w:rsid w:val="00A64348"/>
    <w:rsid w:val="00A644E1"/>
    <w:rsid w:val="00A721FB"/>
    <w:rsid w:val="00A727BA"/>
    <w:rsid w:val="00A72D4B"/>
    <w:rsid w:val="00A732AE"/>
    <w:rsid w:val="00A75E40"/>
    <w:rsid w:val="00A77EB2"/>
    <w:rsid w:val="00A81094"/>
    <w:rsid w:val="00A82B66"/>
    <w:rsid w:val="00A83B58"/>
    <w:rsid w:val="00A84FAF"/>
    <w:rsid w:val="00A851B6"/>
    <w:rsid w:val="00A85729"/>
    <w:rsid w:val="00A8574B"/>
    <w:rsid w:val="00A857C0"/>
    <w:rsid w:val="00A91336"/>
    <w:rsid w:val="00A9221C"/>
    <w:rsid w:val="00A94628"/>
    <w:rsid w:val="00A96463"/>
    <w:rsid w:val="00A97E3F"/>
    <w:rsid w:val="00AA09D3"/>
    <w:rsid w:val="00AA23FB"/>
    <w:rsid w:val="00AA42AB"/>
    <w:rsid w:val="00AA559A"/>
    <w:rsid w:val="00AB104D"/>
    <w:rsid w:val="00AB2AF1"/>
    <w:rsid w:val="00AB440B"/>
    <w:rsid w:val="00AB47E3"/>
    <w:rsid w:val="00AB74C5"/>
    <w:rsid w:val="00AB7BEE"/>
    <w:rsid w:val="00AB7DF2"/>
    <w:rsid w:val="00AC1E3F"/>
    <w:rsid w:val="00AC219A"/>
    <w:rsid w:val="00AC4F18"/>
    <w:rsid w:val="00AD0B46"/>
    <w:rsid w:val="00AD1094"/>
    <w:rsid w:val="00AD2565"/>
    <w:rsid w:val="00AD306C"/>
    <w:rsid w:val="00AD3424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7968"/>
    <w:rsid w:val="00AF128B"/>
    <w:rsid w:val="00AF1AEA"/>
    <w:rsid w:val="00AF2852"/>
    <w:rsid w:val="00AF3225"/>
    <w:rsid w:val="00AF518B"/>
    <w:rsid w:val="00AF5275"/>
    <w:rsid w:val="00AF6367"/>
    <w:rsid w:val="00AF6A79"/>
    <w:rsid w:val="00AF724E"/>
    <w:rsid w:val="00AF73A9"/>
    <w:rsid w:val="00B01436"/>
    <w:rsid w:val="00B01C2C"/>
    <w:rsid w:val="00B0231C"/>
    <w:rsid w:val="00B13681"/>
    <w:rsid w:val="00B15DCD"/>
    <w:rsid w:val="00B17E71"/>
    <w:rsid w:val="00B17FDE"/>
    <w:rsid w:val="00B208FC"/>
    <w:rsid w:val="00B20C65"/>
    <w:rsid w:val="00B22E17"/>
    <w:rsid w:val="00B266C5"/>
    <w:rsid w:val="00B27293"/>
    <w:rsid w:val="00B3229E"/>
    <w:rsid w:val="00B32DDB"/>
    <w:rsid w:val="00B35174"/>
    <w:rsid w:val="00B35BEA"/>
    <w:rsid w:val="00B37915"/>
    <w:rsid w:val="00B3793D"/>
    <w:rsid w:val="00B41BE6"/>
    <w:rsid w:val="00B428A4"/>
    <w:rsid w:val="00B457E7"/>
    <w:rsid w:val="00B45D1B"/>
    <w:rsid w:val="00B46D25"/>
    <w:rsid w:val="00B47430"/>
    <w:rsid w:val="00B52D2D"/>
    <w:rsid w:val="00B55BA8"/>
    <w:rsid w:val="00B55F15"/>
    <w:rsid w:val="00B561A6"/>
    <w:rsid w:val="00B60062"/>
    <w:rsid w:val="00B62960"/>
    <w:rsid w:val="00B63A11"/>
    <w:rsid w:val="00B63FD0"/>
    <w:rsid w:val="00B65C84"/>
    <w:rsid w:val="00B6608F"/>
    <w:rsid w:val="00B74317"/>
    <w:rsid w:val="00B76D1E"/>
    <w:rsid w:val="00B77BC8"/>
    <w:rsid w:val="00B800EB"/>
    <w:rsid w:val="00B822D2"/>
    <w:rsid w:val="00B83D46"/>
    <w:rsid w:val="00B848B8"/>
    <w:rsid w:val="00B84A41"/>
    <w:rsid w:val="00B84D57"/>
    <w:rsid w:val="00B8504B"/>
    <w:rsid w:val="00B85689"/>
    <w:rsid w:val="00B86748"/>
    <w:rsid w:val="00B907EA"/>
    <w:rsid w:val="00B91EC9"/>
    <w:rsid w:val="00B924CA"/>
    <w:rsid w:val="00B92A4B"/>
    <w:rsid w:val="00B93384"/>
    <w:rsid w:val="00B94417"/>
    <w:rsid w:val="00B95566"/>
    <w:rsid w:val="00B95940"/>
    <w:rsid w:val="00B95EF8"/>
    <w:rsid w:val="00B95F50"/>
    <w:rsid w:val="00B96BD9"/>
    <w:rsid w:val="00BB0274"/>
    <w:rsid w:val="00BB1CFD"/>
    <w:rsid w:val="00BB2C53"/>
    <w:rsid w:val="00BB32DA"/>
    <w:rsid w:val="00BB3A54"/>
    <w:rsid w:val="00BB4D26"/>
    <w:rsid w:val="00BB4E21"/>
    <w:rsid w:val="00BB7746"/>
    <w:rsid w:val="00BC22EB"/>
    <w:rsid w:val="00BC682B"/>
    <w:rsid w:val="00BC6B04"/>
    <w:rsid w:val="00BC6D27"/>
    <w:rsid w:val="00BD186B"/>
    <w:rsid w:val="00BD1EAC"/>
    <w:rsid w:val="00BD254C"/>
    <w:rsid w:val="00BD3428"/>
    <w:rsid w:val="00BD366B"/>
    <w:rsid w:val="00BD534C"/>
    <w:rsid w:val="00BD56BC"/>
    <w:rsid w:val="00BD5D91"/>
    <w:rsid w:val="00BD6615"/>
    <w:rsid w:val="00BD6D50"/>
    <w:rsid w:val="00BE0D79"/>
    <w:rsid w:val="00BE0DB0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CB8"/>
    <w:rsid w:val="00C00F20"/>
    <w:rsid w:val="00C01700"/>
    <w:rsid w:val="00C034E6"/>
    <w:rsid w:val="00C05715"/>
    <w:rsid w:val="00C05926"/>
    <w:rsid w:val="00C0784A"/>
    <w:rsid w:val="00C10B28"/>
    <w:rsid w:val="00C10D62"/>
    <w:rsid w:val="00C10FAE"/>
    <w:rsid w:val="00C123B4"/>
    <w:rsid w:val="00C12A69"/>
    <w:rsid w:val="00C13737"/>
    <w:rsid w:val="00C150BE"/>
    <w:rsid w:val="00C158B0"/>
    <w:rsid w:val="00C15A0C"/>
    <w:rsid w:val="00C15DCB"/>
    <w:rsid w:val="00C1711F"/>
    <w:rsid w:val="00C17E38"/>
    <w:rsid w:val="00C20744"/>
    <w:rsid w:val="00C20C4D"/>
    <w:rsid w:val="00C21D46"/>
    <w:rsid w:val="00C21F94"/>
    <w:rsid w:val="00C222A1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1DD8"/>
    <w:rsid w:val="00C3271C"/>
    <w:rsid w:val="00C34FDE"/>
    <w:rsid w:val="00C35C16"/>
    <w:rsid w:val="00C40F81"/>
    <w:rsid w:val="00C41463"/>
    <w:rsid w:val="00C41A72"/>
    <w:rsid w:val="00C42D45"/>
    <w:rsid w:val="00C476C5"/>
    <w:rsid w:val="00C503B0"/>
    <w:rsid w:val="00C511C2"/>
    <w:rsid w:val="00C53D82"/>
    <w:rsid w:val="00C54748"/>
    <w:rsid w:val="00C60696"/>
    <w:rsid w:val="00C60EEF"/>
    <w:rsid w:val="00C6121D"/>
    <w:rsid w:val="00C615F1"/>
    <w:rsid w:val="00C61627"/>
    <w:rsid w:val="00C64E60"/>
    <w:rsid w:val="00C657A4"/>
    <w:rsid w:val="00C6736C"/>
    <w:rsid w:val="00C71A1D"/>
    <w:rsid w:val="00C71EC4"/>
    <w:rsid w:val="00C7591E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86127"/>
    <w:rsid w:val="00C90CF4"/>
    <w:rsid w:val="00C91C19"/>
    <w:rsid w:val="00C929A0"/>
    <w:rsid w:val="00C93389"/>
    <w:rsid w:val="00C937DB"/>
    <w:rsid w:val="00C94519"/>
    <w:rsid w:val="00C94E83"/>
    <w:rsid w:val="00CA02B2"/>
    <w:rsid w:val="00CA0883"/>
    <w:rsid w:val="00CA140F"/>
    <w:rsid w:val="00CA25C2"/>
    <w:rsid w:val="00CA37BB"/>
    <w:rsid w:val="00CA37CA"/>
    <w:rsid w:val="00CA5724"/>
    <w:rsid w:val="00CA6508"/>
    <w:rsid w:val="00CA6BA1"/>
    <w:rsid w:val="00CA6CD5"/>
    <w:rsid w:val="00CB1910"/>
    <w:rsid w:val="00CB2150"/>
    <w:rsid w:val="00CB28EE"/>
    <w:rsid w:val="00CB43A7"/>
    <w:rsid w:val="00CB4DF1"/>
    <w:rsid w:val="00CB5996"/>
    <w:rsid w:val="00CB6809"/>
    <w:rsid w:val="00CB7452"/>
    <w:rsid w:val="00CC0E10"/>
    <w:rsid w:val="00CC1DAF"/>
    <w:rsid w:val="00CC2642"/>
    <w:rsid w:val="00CC2A36"/>
    <w:rsid w:val="00CC2E15"/>
    <w:rsid w:val="00CC3908"/>
    <w:rsid w:val="00CC62AD"/>
    <w:rsid w:val="00CC6CA2"/>
    <w:rsid w:val="00CC7B80"/>
    <w:rsid w:val="00CD2B3C"/>
    <w:rsid w:val="00CD30F6"/>
    <w:rsid w:val="00CD4B29"/>
    <w:rsid w:val="00CD6954"/>
    <w:rsid w:val="00CD6DA3"/>
    <w:rsid w:val="00CD6EF1"/>
    <w:rsid w:val="00CD7E35"/>
    <w:rsid w:val="00CE21C7"/>
    <w:rsid w:val="00CE2682"/>
    <w:rsid w:val="00CE442A"/>
    <w:rsid w:val="00CE57D8"/>
    <w:rsid w:val="00CE617A"/>
    <w:rsid w:val="00CF25D2"/>
    <w:rsid w:val="00CF28C2"/>
    <w:rsid w:val="00CF42BD"/>
    <w:rsid w:val="00CF51EC"/>
    <w:rsid w:val="00CF6A9D"/>
    <w:rsid w:val="00CF6CD7"/>
    <w:rsid w:val="00CF75EC"/>
    <w:rsid w:val="00D0037A"/>
    <w:rsid w:val="00D00DAF"/>
    <w:rsid w:val="00D017EC"/>
    <w:rsid w:val="00D01CDA"/>
    <w:rsid w:val="00D040DD"/>
    <w:rsid w:val="00D04E1B"/>
    <w:rsid w:val="00D0547B"/>
    <w:rsid w:val="00D076DB"/>
    <w:rsid w:val="00D1067C"/>
    <w:rsid w:val="00D136D4"/>
    <w:rsid w:val="00D13830"/>
    <w:rsid w:val="00D13ECF"/>
    <w:rsid w:val="00D142E5"/>
    <w:rsid w:val="00D148CD"/>
    <w:rsid w:val="00D1611E"/>
    <w:rsid w:val="00D16E69"/>
    <w:rsid w:val="00D205A9"/>
    <w:rsid w:val="00D217EE"/>
    <w:rsid w:val="00D245BA"/>
    <w:rsid w:val="00D26923"/>
    <w:rsid w:val="00D27856"/>
    <w:rsid w:val="00D301CA"/>
    <w:rsid w:val="00D30740"/>
    <w:rsid w:val="00D31075"/>
    <w:rsid w:val="00D31445"/>
    <w:rsid w:val="00D31932"/>
    <w:rsid w:val="00D37689"/>
    <w:rsid w:val="00D378CC"/>
    <w:rsid w:val="00D4042C"/>
    <w:rsid w:val="00D40B9E"/>
    <w:rsid w:val="00D41281"/>
    <w:rsid w:val="00D42312"/>
    <w:rsid w:val="00D43998"/>
    <w:rsid w:val="00D451E0"/>
    <w:rsid w:val="00D4615E"/>
    <w:rsid w:val="00D478E2"/>
    <w:rsid w:val="00D5264C"/>
    <w:rsid w:val="00D547BA"/>
    <w:rsid w:val="00D55626"/>
    <w:rsid w:val="00D556BC"/>
    <w:rsid w:val="00D5626D"/>
    <w:rsid w:val="00D60277"/>
    <w:rsid w:val="00D60336"/>
    <w:rsid w:val="00D61F88"/>
    <w:rsid w:val="00D62901"/>
    <w:rsid w:val="00D6470C"/>
    <w:rsid w:val="00D64853"/>
    <w:rsid w:val="00D64CB5"/>
    <w:rsid w:val="00D66D48"/>
    <w:rsid w:val="00D7162F"/>
    <w:rsid w:val="00D73256"/>
    <w:rsid w:val="00D73A30"/>
    <w:rsid w:val="00D74C65"/>
    <w:rsid w:val="00D75DC2"/>
    <w:rsid w:val="00D766EF"/>
    <w:rsid w:val="00D76C03"/>
    <w:rsid w:val="00D77F8D"/>
    <w:rsid w:val="00D82462"/>
    <w:rsid w:val="00D868CE"/>
    <w:rsid w:val="00D86DAE"/>
    <w:rsid w:val="00D90C1E"/>
    <w:rsid w:val="00D91BDF"/>
    <w:rsid w:val="00D91F2C"/>
    <w:rsid w:val="00D93F09"/>
    <w:rsid w:val="00D954C2"/>
    <w:rsid w:val="00D97BB8"/>
    <w:rsid w:val="00DA1318"/>
    <w:rsid w:val="00DA1382"/>
    <w:rsid w:val="00DA28B7"/>
    <w:rsid w:val="00DA2FE8"/>
    <w:rsid w:val="00DA4AF6"/>
    <w:rsid w:val="00DB016E"/>
    <w:rsid w:val="00DB06E9"/>
    <w:rsid w:val="00DB19BD"/>
    <w:rsid w:val="00DB378E"/>
    <w:rsid w:val="00DB3E9D"/>
    <w:rsid w:val="00DB47B9"/>
    <w:rsid w:val="00DB4FB8"/>
    <w:rsid w:val="00DB53CE"/>
    <w:rsid w:val="00DB549D"/>
    <w:rsid w:val="00DB5792"/>
    <w:rsid w:val="00DB6A88"/>
    <w:rsid w:val="00DB7BA4"/>
    <w:rsid w:val="00DC226A"/>
    <w:rsid w:val="00DC257F"/>
    <w:rsid w:val="00DC350B"/>
    <w:rsid w:val="00DC3790"/>
    <w:rsid w:val="00DC408A"/>
    <w:rsid w:val="00DC5B3B"/>
    <w:rsid w:val="00DC6796"/>
    <w:rsid w:val="00DC78DF"/>
    <w:rsid w:val="00DC7D4C"/>
    <w:rsid w:val="00DD0821"/>
    <w:rsid w:val="00DD0E32"/>
    <w:rsid w:val="00DD2872"/>
    <w:rsid w:val="00DD2BFE"/>
    <w:rsid w:val="00DD373E"/>
    <w:rsid w:val="00DD57AD"/>
    <w:rsid w:val="00DE009B"/>
    <w:rsid w:val="00DE0C31"/>
    <w:rsid w:val="00DE2ED9"/>
    <w:rsid w:val="00DE319A"/>
    <w:rsid w:val="00DF0DC3"/>
    <w:rsid w:val="00DF21FD"/>
    <w:rsid w:val="00DF2873"/>
    <w:rsid w:val="00DF4C74"/>
    <w:rsid w:val="00DF5578"/>
    <w:rsid w:val="00DF78DD"/>
    <w:rsid w:val="00DF7FEC"/>
    <w:rsid w:val="00E01C0E"/>
    <w:rsid w:val="00E02086"/>
    <w:rsid w:val="00E02740"/>
    <w:rsid w:val="00E03B27"/>
    <w:rsid w:val="00E04694"/>
    <w:rsid w:val="00E049F6"/>
    <w:rsid w:val="00E04CA9"/>
    <w:rsid w:val="00E05B2B"/>
    <w:rsid w:val="00E06A2A"/>
    <w:rsid w:val="00E07F05"/>
    <w:rsid w:val="00E127E1"/>
    <w:rsid w:val="00E144D2"/>
    <w:rsid w:val="00E144D6"/>
    <w:rsid w:val="00E15346"/>
    <w:rsid w:val="00E15B7D"/>
    <w:rsid w:val="00E2097E"/>
    <w:rsid w:val="00E215EA"/>
    <w:rsid w:val="00E21CAB"/>
    <w:rsid w:val="00E221FC"/>
    <w:rsid w:val="00E24619"/>
    <w:rsid w:val="00E25223"/>
    <w:rsid w:val="00E30BEA"/>
    <w:rsid w:val="00E31764"/>
    <w:rsid w:val="00E32BC2"/>
    <w:rsid w:val="00E34985"/>
    <w:rsid w:val="00E34E4A"/>
    <w:rsid w:val="00E365B3"/>
    <w:rsid w:val="00E366BB"/>
    <w:rsid w:val="00E37C45"/>
    <w:rsid w:val="00E40AAA"/>
    <w:rsid w:val="00E42444"/>
    <w:rsid w:val="00E438CF"/>
    <w:rsid w:val="00E43C41"/>
    <w:rsid w:val="00E4500E"/>
    <w:rsid w:val="00E450CE"/>
    <w:rsid w:val="00E45A00"/>
    <w:rsid w:val="00E45CE7"/>
    <w:rsid w:val="00E4631F"/>
    <w:rsid w:val="00E47CB8"/>
    <w:rsid w:val="00E522BB"/>
    <w:rsid w:val="00E539E4"/>
    <w:rsid w:val="00E569C7"/>
    <w:rsid w:val="00E571F2"/>
    <w:rsid w:val="00E57429"/>
    <w:rsid w:val="00E61EA8"/>
    <w:rsid w:val="00E64EA1"/>
    <w:rsid w:val="00E70510"/>
    <w:rsid w:val="00E71262"/>
    <w:rsid w:val="00E71A58"/>
    <w:rsid w:val="00E737F6"/>
    <w:rsid w:val="00E7568F"/>
    <w:rsid w:val="00E7724B"/>
    <w:rsid w:val="00E84F21"/>
    <w:rsid w:val="00E8618A"/>
    <w:rsid w:val="00E90A4B"/>
    <w:rsid w:val="00E90F73"/>
    <w:rsid w:val="00E910A7"/>
    <w:rsid w:val="00E91607"/>
    <w:rsid w:val="00E921C7"/>
    <w:rsid w:val="00E92995"/>
    <w:rsid w:val="00E94612"/>
    <w:rsid w:val="00E95797"/>
    <w:rsid w:val="00E9682F"/>
    <w:rsid w:val="00E96A8D"/>
    <w:rsid w:val="00E972BA"/>
    <w:rsid w:val="00E97FA2"/>
    <w:rsid w:val="00EA06CB"/>
    <w:rsid w:val="00EA0C68"/>
    <w:rsid w:val="00EA19E2"/>
    <w:rsid w:val="00EA3EBE"/>
    <w:rsid w:val="00EA3FAC"/>
    <w:rsid w:val="00EA4153"/>
    <w:rsid w:val="00EA5CD6"/>
    <w:rsid w:val="00EA76FD"/>
    <w:rsid w:val="00EB03D4"/>
    <w:rsid w:val="00EB0555"/>
    <w:rsid w:val="00EB20A0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454B"/>
    <w:rsid w:val="00EC6153"/>
    <w:rsid w:val="00EC7F92"/>
    <w:rsid w:val="00ED00A8"/>
    <w:rsid w:val="00ED0A79"/>
    <w:rsid w:val="00ED2989"/>
    <w:rsid w:val="00ED2CA5"/>
    <w:rsid w:val="00ED336F"/>
    <w:rsid w:val="00ED40F0"/>
    <w:rsid w:val="00ED4AC0"/>
    <w:rsid w:val="00ED54D6"/>
    <w:rsid w:val="00ED5726"/>
    <w:rsid w:val="00EE0113"/>
    <w:rsid w:val="00EE0298"/>
    <w:rsid w:val="00EE0384"/>
    <w:rsid w:val="00EE10AA"/>
    <w:rsid w:val="00EE1637"/>
    <w:rsid w:val="00EE3B7A"/>
    <w:rsid w:val="00EE3E78"/>
    <w:rsid w:val="00EE495A"/>
    <w:rsid w:val="00EE5E02"/>
    <w:rsid w:val="00EE617D"/>
    <w:rsid w:val="00EE61BF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625B"/>
    <w:rsid w:val="00F101FF"/>
    <w:rsid w:val="00F104DF"/>
    <w:rsid w:val="00F10A33"/>
    <w:rsid w:val="00F1186C"/>
    <w:rsid w:val="00F14ACD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FFF"/>
    <w:rsid w:val="00F2441D"/>
    <w:rsid w:val="00F24FAA"/>
    <w:rsid w:val="00F26197"/>
    <w:rsid w:val="00F273D4"/>
    <w:rsid w:val="00F307DD"/>
    <w:rsid w:val="00F318FC"/>
    <w:rsid w:val="00F31F76"/>
    <w:rsid w:val="00F3364D"/>
    <w:rsid w:val="00F35ACD"/>
    <w:rsid w:val="00F365BF"/>
    <w:rsid w:val="00F36BF8"/>
    <w:rsid w:val="00F375BA"/>
    <w:rsid w:val="00F37760"/>
    <w:rsid w:val="00F403D1"/>
    <w:rsid w:val="00F43921"/>
    <w:rsid w:val="00F4524F"/>
    <w:rsid w:val="00F45530"/>
    <w:rsid w:val="00F4591F"/>
    <w:rsid w:val="00F4736B"/>
    <w:rsid w:val="00F47997"/>
    <w:rsid w:val="00F47D05"/>
    <w:rsid w:val="00F50030"/>
    <w:rsid w:val="00F502F5"/>
    <w:rsid w:val="00F50B9D"/>
    <w:rsid w:val="00F51FC9"/>
    <w:rsid w:val="00F541ED"/>
    <w:rsid w:val="00F54B31"/>
    <w:rsid w:val="00F54FD3"/>
    <w:rsid w:val="00F55605"/>
    <w:rsid w:val="00F57CD7"/>
    <w:rsid w:val="00F62F02"/>
    <w:rsid w:val="00F63DDE"/>
    <w:rsid w:val="00F63FB7"/>
    <w:rsid w:val="00F64726"/>
    <w:rsid w:val="00F6561A"/>
    <w:rsid w:val="00F70309"/>
    <w:rsid w:val="00F7078A"/>
    <w:rsid w:val="00F727D5"/>
    <w:rsid w:val="00F72F44"/>
    <w:rsid w:val="00F73A0C"/>
    <w:rsid w:val="00F759DC"/>
    <w:rsid w:val="00F7717C"/>
    <w:rsid w:val="00F771A5"/>
    <w:rsid w:val="00F817A4"/>
    <w:rsid w:val="00F81C3A"/>
    <w:rsid w:val="00F835FC"/>
    <w:rsid w:val="00F8373A"/>
    <w:rsid w:val="00F83E21"/>
    <w:rsid w:val="00F83FA4"/>
    <w:rsid w:val="00F84E18"/>
    <w:rsid w:val="00F852E5"/>
    <w:rsid w:val="00F9310A"/>
    <w:rsid w:val="00F95117"/>
    <w:rsid w:val="00FA05D7"/>
    <w:rsid w:val="00FA1C6C"/>
    <w:rsid w:val="00FA2447"/>
    <w:rsid w:val="00FA2C2A"/>
    <w:rsid w:val="00FA309A"/>
    <w:rsid w:val="00FA7644"/>
    <w:rsid w:val="00FB0A9A"/>
    <w:rsid w:val="00FB16AD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C5E01"/>
    <w:rsid w:val="00FD1261"/>
    <w:rsid w:val="00FD1627"/>
    <w:rsid w:val="00FD1BBD"/>
    <w:rsid w:val="00FD473D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705E"/>
    <w:rsid w:val="00FF02E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9F10F-4B3D-44C8-BDEE-D08CA201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868</TotalTime>
  <Pages>2</Pages>
  <Words>1210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kucera4376</cp:lastModifiedBy>
  <cp:revision>292</cp:revision>
  <cp:lastPrinted>2015-06-19T06:21:00Z</cp:lastPrinted>
  <dcterms:created xsi:type="dcterms:W3CDTF">2015-12-16T13:30:00Z</dcterms:created>
  <dcterms:modified xsi:type="dcterms:W3CDTF">2016-03-23T12:50:00Z</dcterms:modified>
</cp:coreProperties>
</file>