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Default="00576A3E" w:rsidP="00D6437D">
      <w:pPr>
        <w:pStyle w:val="Nadpis1"/>
        <w:numPr>
          <w:ilvl w:val="0"/>
          <w:numId w:val="6"/>
        </w:numPr>
        <w:jc w:val="both"/>
      </w:pPr>
      <w:bookmarkStart w:id="0" w:name="_Toc446341883"/>
      <w:r>
        <w:t>Vnější ekonomické vztahy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7"/>
        <w:gridCol w:w="282"/>
        <w:gridCol w:w="7495"/>
      </w:tblGrid>
      <w:tr w:rsidR="00960769" w:rsidRPr="008F2F8F" w:rsidTr="00960769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592854" w:rsidRDefault="00960769" w:rsidP="00835991">
            <w:pPr>
              <w:spacing w:line="240" w:lineRule="auto"/>
              <w:rPr>
                <w:sz w:val="16"/>
                <w:szCs w:val="16"/>
              </w:rPr>
            </w:pPr>
            <w:r w:rsidRPr="00592854">
              <w:rPr>
                <w:sz w:val="16"/>
                <w:szCs w:val="16"/>
              </w:rPr>
              <w:t>Přebytek běžného účtu se v loňském roce</w:t>
            </w:r>
            <w:r w:rsidR="00835991" w:rsidRPr="00592854">
              <w:rPr>
                <w:sz w:val="16"/>
                <w:szCs w:val="16"/>
              </w:rPr>
              <w:t xml:space="preserve"> více než </w:t>
            </w:r>
            <w:r w:rsidRPr="00592854">
              <w:rPr>
                <w:sz w:val="16"/>
                <w:szCs w:val="16"/>
              </w:rPr>
              <w:t>z</w:t>
            </w:r>
            <w:r w:rsidR="00835991" w:rsidRPr="00592854">
              <w:rPr>
                <w:sz w:val="16"/>
                <w:szCs w:val="16"/>
              </w:rPr>
              <w:t>pětinásobil</w:t>
            </w:r>
            <w:r w:rsidRPr="00592854">
              <w:rPr>
                <w:sz w:val="16"/>
                <w:szCs w:val="16"/>
              </w:rPr>
              <w:t xml:space="preserve"> a byl historicky nejvyšší, …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592854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592854" w:rsidRDefault="00960769" w:rsidP="00960769">
            <w:pPr>
              <w:pStyle w:val="Textpoznpodarou"/>
              <w:jc w:val="both"/>
            </w:pPr>
            <w:r w:rsidRPr="00592854">
              <w:t>Běžný účet platební bilance skončil v přebytku druhý rok za sebou. Převaha příjmů nad výdaji na tomto účtu se proti roku 2014 na</w:t>
            </w:r>
            <w:r w:rsidR="009010A7">
              <w:t>dto</w:t>
            </w:r>
            <w:r w:rsidR="008F7721" w:rsidRPr="00592854">
              <w:t xml:space="preserve"> více než</w:t>
            </w:r>
            <w:r w:rsidRPr="00592854">
              <w:t xml:space="preserve"> </w:t>
            </w:r>
            <w:r w:rsidR="008F7721" w:rsidRPr="00592854">
              <w:t>zpětinásobila</w:t>
            </w:r>
            <w:r w:rsidRPr="00592854">
              <w:t xml:space="preserve"> a</w:t>
            </w:r>
            <w:r w:rsidR="008F7721" w:rsidRPr="00592854">
              <w:t> </w:t>
            </w:r>
            <w:r w:rsidRPr="00592854">
              <w:t xml:space="preserve">byla rekordní. V roce 2014 činil přebytek běžného </w:t>
            </w:r>
            <w:r w:rsidR="008F7721" w:rsidRPr="00592854">
              <w:t>účtu 7,5</w:t>
            </w:r>
            <w:r w:rsidRPr="00592854">
              <w:t xml:space="preserve"> mld. korun</w:t>
            </w:r>
            <w:r w:rsidR="008F7721" w:rsidRPr="00592854">
              <w:t xml:space="preserve"> (0,2 % HDP), loni </w:t>
            </w:r>
            <w:r w:rsidRPr="00592854">
              <w:t>4</w:t>
            </w:r>
            <w:r w:rsidR="008F7721" w:rsidRPr="00592854">
              <w:t>1,4</w:t>
            </w:r>
            <w:r w:rsidRPr="00592854">
              <w:t xml:space="preserve"> mld.</w:t>
            </w:r>
            <w:r w:rsidR="008F7721" w:rsidRPr="00592854">
              <w:t xml:space="preserve"> (0,9</w:t>
            </w:r>
            <w:r w:rsidRPr="00592854">
              <w:t xml:space="preserve"> % HDP). Historicky nejvyšší byl i přebytek kapitálového účtu, díky dočerpávání peněz z fondů EU popr</w:t>
            </w:r>
            <w:r w:rsidR="006379E0">
              <w:t>vé přesáhl 100</w:t>
            </w:r>
            <w:r w:rsidR="008F7721" w:rsidRPr="00592854">
              <w:t>mld. hranici (106,1 </w:t>
            </w:r>
            <w:r w:rsidRPr="00592854">
              <w:t xml:space="preserve">mld. korun). Také některé transakce na finančním účtu se vymykaly historickým </w:t>
            </w:r>
            <w:r w:rsidRPr="00592854">
              <w:rPr>
                <w:spacing w:val="-2"/>
              </w:rPr>
              <w:t>kontextům – čistý odliv přímých investic, převaha</w:t>
            </w:r>
            <w:r w:rsidRPr="00592854">
              <w:t xml:space="preserve"> přílivu portfoliových investic nad jejich odlivem či nárůst rezervních aktiv, to jsou další rekordy zachycené ve výkazu platební bilance.</w:t>
            </w:r>
          </w:p>
          <w:p w:rsidR="00960769" w:rsidRPr="00592854" w:rsidRDefault="00960769" w:rsidP="00960769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960769" w:rsidRPr="008F2F8F" w:rsidTr="00960769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592854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592854">
              <w:rPr>
                <w:sz w:val="16"/>
                <w:szCs w:val="16"/>
              </w:rPr>
              <w:t>…na jeho zlepšení se podílela všechna dílčí salda s výjimkou obchodní bilance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592854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592854" w:rsidRDefault="00960769" w:rsidP="00960769">
            <w:pPr>
              <w:pStyle w:val="Textpoznpodarou"/>
              <w:jc w:val="both"/>
            </w:pPr>
            <w:r w:rsidRPr="00592854">
              <w:rPr>
                <w:spacing w:val="-4"/>
              </w:rPr>
              <w:t>Ve směru dalšího zlepšení běžného účtu působil nižší deficit prvotních i</w:t>
            </w:r>
            <w:r w:rsidR="00427193" w:rsidRPr="00592854">
              <w:t xml:space="preserve"> druhotných důchodů (+17,3 mld. korun</w:t>
            </w:r>
            <w:r w:rsidR="00956F23">
              <w:t>, resp.</w:t>
            </w:r>
            <w:r w:rsidR="00427193" w:rsidRPr="00592854">
              <w:t xml:space="preserve"> +6</w:t>
            </w:r>
            <w:r w:rsidRPr="00592854">
              <w:t xml:space="preserve"> mld.) a také v</w:t>
            </w:r>
            <w:r w:rsidR="00427193" w:rsidRPr="00592854">
              <w:t xml:space="preserve">ýraznější přebytek zahraničního </w:t>
            </w:r>
            <w:r w:rsidR="00B95566" w:rsidRPr="00592854">
              <w:t>obchodu se službami (+19,4</w:t>
            </w:r>
            <w:r w:rsidRPr="00592854">
              <w:t xml:space="preserve"> mld.). Obchodní bilance se však v loňském roce zhoršila, vlivem rychle</w:t>
            </w:r>
            <w:r w:rsidR="00B95566" w:rsidRPr="00592854">
              <w:t>jšího nárůstu dovozu zboží (+193</w:t>
            </w:r>
            <w:r w:rsidRPr="00592854">
              <w:t xml:space="preserve"> mld.</w:t>
            </w:r>
            <w:r w:rsidR="00B95566" w:rsidRPr="00592854">
              <w:t xml:space="preserve"> korun) oproti jeho vývozu (+184,2 mld.), o 8</w:t>
            </w:r>
            <w:r w:rsidRPr="00592854">
              <w:t>,8 mld. Trendy typické pro roky 2012, 2013 a 2014 – tj. kontinuální narůstání deficitu prvotních důchodů a snižovaní přebytku zahraničního obchodu se službami při současném nárůstu přebytku obchodní bilance – se tak v loňském roce zcela obrátily.</w:t>
            </w:r>
          </w:p>
          <w:p w:rsidR="00960769" w:rsidRPr="00592854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8F2F8F" w:rsidTr="00960769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7A45B1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7A45B1">
              <w:rPr>
                <w:sz w:val="16"/>
                <w:szCs w:val="16"/>
              </w:rPr>
              <w:t xml:space="preserve">Příliv přímých investic </w:t>
            </w:r>
            <w:r w:rsidR="00592854" w:rsidRPr="007A45B1">
              <w:rPr>
                <w:sz w:val="16"/>
                <w:szCs w:val="16"/>
              </w:rPr>
              <w:t>do ČR byl nejslabší od roku 2003</w:t>
            </w:r>
            <w:r w:rsidRPr="007A45B1">
              <w:rPr>
                <w:sz w:val="16"/>
                <w:szCs w:val="16"/>
              </w:rPr>
              <w:t>, v trendu navíc oslabuje už deset let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111502" w:rsidRDefault="00960769" w:rsidP="00960769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592854" w:rsidRDefault="00960769" w:rsidP="00960769">
            <w:pPr>
              <w:pStyle w:val="Textpoznpodarou"/>
              <w:jc w:val="both"/>
            </w:pPr>
            <w:r w:rsidRPr="00592854">
              <w:t>Transakce se zahraničím vykazované na finančním účtu vedly k deficitu, stej</w:t>
            </w:r>
            <w:r w:rsidR="005A563B">
              <w:t>ně jako v letech 2012–2014. V</w:t>
            </w:r>
            <w:r w:rsidRPr="00592854">
              <w:t>elikost</w:t>
            </w:r>
            <w:r w:rsidR="005A563B">
              <w:t xml:space="preserve"> tohoto schodku</w:t>
            </w:r>
            <w:r w:rsidRPr="00592854">
              <w:t xml:space="preserve"> </w:t>
            </w:r>
            <w:r w:rsidR="005A563B" w:rsidRPr="00592854">
              <w:t xml:space="preserve">ale </w:t>
            </w:r>
            <w:r w:rsidRPr="00592854">
              <w:t>byla zc</w:t>
            </w:r>
            <w:r w:rsidR="00592854" w:rsidRPr="00592854">
              <w:t>ela mimořádná, dosáhla totiž 193,8</w:t>
            </w:r>
            <w:r w:rsidRPr="00592854">
              <w:t xml:space="preserve"> mld. korun. České společnosti posílily v loňském roce své</w:t>
            </w:r>
            <w:r w:rsidR="00592854" w:rsidRPr="00592854">
              <w:t xml:space="preserve"> přímé investice v zahraničí o </w:t>
            </w:r>
            <w:r w:rsidRPr="00592854">
              <w:t>8</w:t>
            </w:r>
            <w:r w:rsidR="00592854" w:rsidRPr="00592854">
              <w:t>7,3</w:t>
            </w:r>
            <w:r w:rsidRPr="00592854">
              <w:t xml:space="preserve"> mld., investice v ČR </w:t>
            </w:r>
            <w:r w:rsidR="00A1456C">
              <w:t>však byly méně atraktivní</w:t>
            </w:r>
            <w:r w:rsidRPr="00592854">
              <w:t>, neboť přímí zahraniční investo</w:t>
            </w:r>
            <w:r w:rsidR="00592854" w:rsidRPr="00592854">
              <w:t>ři proinvestovali v Česku jen 60</w:t>
            </w:r>
            <w:r w:rsidRPr="00592854">
              <w:t>,7 mld. Přírůstek kapitálu zahraničních investor</w:t>
            </w:r>
            <w:r w:rsidR="00592854" w:rsidRPr="00592854">
              <w:t>ů v ČR byl nejmenší od roku 2003</w:t>
            </w:r>
            <w:r w:rsidRPr="00592854">
              <w:t>, v trendu navíc oslabuje už od roku 2006. Deficit finančního účtu byl</w:t>
            </w:r>
            <w:r w:rsidR="00592854" w:rsidRPr="00592854">
              <w:t xml:space="preserve"> tedy způsoben</w:t>
            </w:r>
            <w:r w:rsidRPr="00592854">
              <w:t xml:space="preserve"> čistým odlivem </w:t>
            </w:r>
            <w:r w:rsidR="00592854" w:rsidRPr="00592854">
              <w:t>přímých</w:t>
            </w:r>
            <w:r w:rsidRPr="00592854">
              <w:t xml:space="preserve"> investic, především však dramatickým nárůstem rezervních aktiv v rozsahu 351,3 mld. korun. Ta se zvýšila jednak vlivem pokračujících intervencí ČNB proti posilující koruně, jednak následkem dočerpání peněz z fondů EU, které byly směňovány do korun mimo trh a zvyšovaly tak devizové rezervy ČNB.</w:t>
            </w:r>
          </w:p>
          <w:p w:rsidR="00960769" w:rsidRPr="00111502" w:rsidRDefault="00960769" w:rsidP="00960769">
            <w:pPr>
              <w:pStyle w:val="Textpoznpodarou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60769" w:rsidRPr="008F2F8F" w:rsidTr="00960769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7A45B1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7A45B1">
              <w:rPr>
                <w:sz w:val="16"/>
                <w:szCs w:val="16"/>
              </w:rPr>
              <w:t>Zahraniční investoři nakoupili v loňském</w:t>
            </w:r>
            <w:r w:rsidR="007A45B1" w:rsidRPr="007A45B1">
              <w:rPr>
                <w:sz w:val="16"/>
                <w:szCs w:val="16"/>
              </w:rPr>
              <w:t xml:space="preserve"> roce v ČR cenné papíry za 236,4</w:t>
            </w:r>
            <w:r w:rsidRPr="007A45B1">
              <w:rPr>
                <w:sz w:val="16"/>
                <w:szCs w:val="16"/>
              </w:rPr>
              <w:t xml:space="preserve"> mld. korun. Z toho 117,7 mld. připadlo na pořízení vládních dluhopisů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7A45B1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7A45B1" w:rsidRDefault="00960769" w:rsidP="00960769">
            <w:pPr>
              <w:pStyle w:val="Textpoznpodarou"/>
              <w:jc w:val="both"/>
            </w:pPr>
            <w:r w:rsidRPr="007A45B1">
              <w:t xml:space="preserve">Česká ekonomika přijala v roce 2015 v podobě </w:t>
            </w:r>
            <w:r w:rsidR="00592854" w:rsidRPr="007A45B1">
              <w:t>salda portfoliových investic 164,1</w:t>
            </w:r>
            <w:r w:rsidRPr="007A45B1">
              <w:t xml:space="preserve"> mld. korun. Rezidenti navýšili držbu </w:t>
            </w:r>
            <w:r w:rsidR="00484874" w:rsidRPr="007A45B1">
              <w:t>zahraničních cenných papírů o 72,2</w:t>
            </w:r>
            <w:r w:rsidRPr="007A45B1">
              <w:t xml:space="preserve"> mld. korun, expozice zahraničních investorů v portfoliových investicích vůči ČR</w:t>
            </w:r>
            <w:r w:rsidR="00484874" w:rsidRPr="007A45B1">
              <w:t xml:space="preserve"> narostla o 236,4</w:t>
            </w:r>
            <w:r w:rsidRPr="007A45B1">
              <w:t xml:space="preserve"> mld. Snaha tuzemských bank optimalizovat strukturu bilancí na konci roku se promítla v investicích zahraničních inve</w:t>
            </w:r>
            <w:r w:rsidR="007A45B1" w:rsidRPr="007A45B1">
              <w:t>storů do jejich dluhopisů za 148,7</w:t>
            </w:r>
            <w:r w:rsidRPr="007A45B1">
              <w:t xml:space="preserve"> mld. korun, zahraniční investoři nakupovali v masivním rozsahu ale i vládní dluhopisy (za 117,7 mld.). Preferovali nízké riziko, spekulovali zřejmě i </w:t>
            </w:r>
            <w:r w:rsidRPr="007A45B1">
              <w:rPr>
                <w:spacing w:val="-2"/>
              </w:rPr>
              <w:t>na budoucí posilování české koruny, které by jim mohlo přinést dodatečné</w:t>
            </w:r>
            <w:r w:rsidRPr="007A45B1">
              <w:t xml:space="preserve"> výnosy.</w:t>
            </w:r>
          </w:p>
          <w:p w:rsidR="00960769" w:rsidRPr="007A45B1" w:rsidRDefault="00960769" w:rsidP="00960769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960769" w:rsidRPr="008F2F8F" w:rsidTr="00960769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D05D91">
              <w:rPr>
                <w:sz w:val="16"/>
                <w:szCs w:val="16"/>
              </w:rPr>
              <w:t>Vývoz zboží stoupl v loňském roce podle údajů národního pojetí o 5,9 %. Pokles zbožových vývozů do Ruské federace o třetinu však snížil i celkový vývoz do zemí mimo EU (-0,4 %)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960769">
            <w:pPr>
              <w:pStyle w:val="Textpoznpodarou"/>
              <w:jc w:val="both"/>
            </w:pPr>
            <w:r w:rsidRPr="00D05D91">
              <w:t>Vývoz zboží se podle údajů národního pojetí</w:t>
            </w:r>
            <w:r w:rsidRPr="00D05D91">
              <w:rPr>
                <w:rStyle w:val="Znakapoznpodarou"/>
              </w:rPr>
              <w:footnoteReference w:id="1"/>
            </w:r>
            <w:r w:rsidRPr="00D05D91">
              <w:t xml:space="preserve"> v roce 2015 zvýšil o 5,9 % a dosáhl hodnoty 3 336 mld. korun. Jeho dynamika byla silnější v 1. polovině roku, kdy stoupl o 7,1 %, než ve 2. pololetí, </w:t>
            </w:r>
            <w:r w:rsidRPr="00D05D91">
              <w:rPr>
                <w:spacing w:val="-2"/>
              </w:rPr>
              <w:t>kdy byl meziročně vyšší o 4,7 %. Exportérům se v loňském roce dařilo</w:t>
            </w:r>
            <w:r w:rsidRPr="00D05D91">
              <w:t xml:space="preserve"> expandovat především na trhy EU, podobně jako </w:t>
            </w:r>
            <w:r>
              <w:t>v letech 2013 a 2014</w:t>
            </w:r>
            <w:r w:rsidRPr="00D05D91">
              <w:t xml:space="preserve">. Vývoz zboží do Unie stoupl o 7,2 %, do samotného Německa o 7,4 % a na Slovensko dokonce o 14,4 %. Co se týče hodnoty vývozu zboží do zemí mimo EU, ta se snížila (-0,4 %), poprvé od roku 2009. Tento pokles </w:t>
            </w:r>
            <w:r w:rsidRPr="00D05D91">
              <w:rPr>
                <w:spacing w:val="-2"/>
              </w:rPr>
              <w:t>souvisel jednak s restrikcemi na vývoz do Ruské federace, jednak s</w:t>
            </w:r>
            <w:r w:rsidRPr="00D05D91">
              <w:t xml:space="preserve"> hospodářskými problémy této země. Vývoz zboží do Ruska </w:t>
            </w:r>
            <w:r w:rsidRPr="00D05D91">
              <w:rPr>
                <w:spacing w:val="-2"/>
              </w:rPr>
              <w:t xml:space="preserve">propadl v loňském roce </w:t>
            </w:r>
            <w:r w:rsidR="00175F60">
              <w:rPr>
                <w:spacing w:val="-2"/>
              </w:rPr>
              <w:t xml:space="preserve">meziročně </w:t>
            </w:r>
            <w:r w:rsidRPr="00D05D91">
              <w:rPr>
                <w:spacing w:val="-2"/>
              </w:rPr>
              <w:t>o</w:t>
            </w:r>
            <w:r w:rsidR="00175F60">
              <w:rPr>
                <w:spacing w:val="-2"/>
              </w:rPr>
              <w:t> </w:t>
            </w:r>
            <w:r w:rsidRPr="00D05D91">
              <w:rPr>
                <w:spacing w:val="-2"/>
              </w:rPr>
              <w:t>32,8 % a proti roku 2012 byl nižší už o 37,</w:t>
            </w:r>
            <w:r w:rsidRPr="00D05D91">
              <w:t>3 %.</w:t>
            </w:r>
          </w:p>
          <w:p w:rsidR="00960769" w:rsidRPr="00D05D91" w:rsidRDefault="00960769" w:rsidP="00960769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960769" w:rsidRPr="008F2F8F" w:rsidTr="00960769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D05D91">
              <w:rPr>
                <w:sz w:val="16"/>
                <w:szCs w:val="16"/>
              </w:rPr>
              <w:t>Tempo růstu vývozu do Číny v letech 2009–2013 vyšší než dynamika celkového vývozu, v posledních dvou letech bylo ale již podprůměrné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8D2671" w:rsidRDefault="00960769" w:rsidP="008D2671">
            <w:pPr>
              <w:pStyle w:val="Textpoznpodarou"/>
              <w:jc w:val="both"/>
              <w:rPr>
                <w:sz w:val="16"/>
                <w:szCs w:val="16"/>
              </w:rPr>
            </w:pPr>
            <w:r w:rsidRPr="008D2671">
              <w:t>Vývoz zboží směřující do Číny se v roce 2009 i přes všeobecně slabou poptávku navýšil o 20,6 %. Také v letech 2010–2013 se vyvíjel příznivě, neboť rostl mnohem rychleji než vývoz zboží z ČR celkem. V posledních dvou letech se ale českým exportérům</w:t>
            </w:r>
            <w:r w:rsidR="008D2671" w:rsidRPr="008D2671">
              <w:t xml:space="preserve"> na čínském</w:t>
            </w:r>
            <w:r w:rsidRPr="008D2671">
              <w:t xml:space="preserve"> trh</w:t>
            </w:r>
            <w:r w:rsidR="008D2671" w:rsidRPr="008D2671">
              <w:t>u</w:t>
            </w:r>
            <w:r w:rsidRPr="008D2671">
              <w:t xml:space="preserve"> už příliš </w:t>
            </w:r>
            <w:r w:rsidR="008D2671" w:rsidRPr="008D2671">
              <w:t>prosazovat</w:t>
            </w:r>
            <w:r w:rsidRPr="008D2671">
              <w:t xml:space="preserve"> nedařilo – vývoz do Číny se v roce 2014 zvýšil o 8,7 % a v roce 2015 o 4,4 %, v obou letech méně než odpovídalo přírůstku celkového vývozu zboží.</w:t>
            </w:r>
          </w:p>
        </w:tc>
      </w:tr>
      <w:tr w:rsidR="00960769" w:rsidRPr="008F2F8F" w:rsidTr="00960769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D05D91">
              <w:rPr>
                <w:sz w:val="16"/>
                <w:szCs w:val="16"/>
              </w:rPr>
              <w:lastRenderedPageBreak/>
              <w:t>Vývoz motorových vozidel vzrostl o 12,7 % a v kumulaci za roky 2014 a 2015 o 38 %. Proti roku 2007 byl téměř dvojnásobný (+87,3 %)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960769">
            <w:pPr>
              <w:pStyle w:val="Textpoznpodarou"/>
              <w:jc w:val="both"/>
            </w:pPr>
            <w:r w:rsidRPr="00D05D91">
              <w:t>Dynamický nárůst vývozu motorových vozidel z roku 2014 (+22,5 %) se už loni neopakoval. Zůstal ale silný (+12,7 %) a zhruba dvojnásobný oproti celkovému navýšení vývozu zboží. Rok 2015 byl příznivý i pro exportéry kovodělných výrobků (+9,4 %), elektrických zařízení (+6,9 %) a pryžových a plastových výrobků (+6,6 %)</w:t>
            </w:r>
            <w:r w:rsidR="003302DA">
              <w:t>.</w:t>
            </w:r>
            <w:r w:rsidRPr="00D05D91">
              <w:t xml:space="preserve"> Ze zbývajících </w:t>
            </w:r>
            <w:r w:rsidR="00E32BC2">
              <w:t>oddílů</w:t>
            </w:r>
            <w:r w:rsidRPr="00D05D91">
              <w:t xml:space="preserve">, jejichž hodnota vývozu dlouhodobě překračuje hranici 100 mld. korun ročně, se v loňském roce vyvezlo méně jen chemických látek (-6,8 %) a základních kovů (-5,5 %). V případě chemických látek došlo k poklesu hodnoty vývozu </w:t>
            </w:r>
            <w:r w:rsidR="00C54748">
              <w:t>vlivem nucené odstávky části výrobních kapacit, přispěly k ní ale</w:t>
            </w:r>
            <w:r w:rsidRPr="00D05D91">
              <w:t xml:space="preserve"> i </w:t>
            </w:r>
            <w:r w:rsidR="00C54748">
              <w:t>nižší</w:t>
            </w:r>
            <w:r w:rsidRPr="00D05D91">
              <w:t xml:space="preserve"> cen</w:t>
            </w:r>
            <w:r w:rsidR="00C54748">
              <w:t>y ropy. J</w:t>
            </w:r>
            <w:r w:rsidRPr="00D05D91">
              <w:t xml:space="preserve">e </w:t>
            </w:r>
            <w:r w:rsidR="00C54748">
              <w:t>nicméně</w:t>
            </w:r>
            <w:r w:rsidRPr="00D05D91">
              <w:t xml:space="preserve"> zajímavé, že vývoz samotné ropy a zemního plynu se zdvojnásobil (+126,1 %).</w:t>
            </w:r>
          </w:p>
          <w:p w:rsidR="00960769" w:rsidRPr="00D05D91" w:rsidRDefault="00960769" w:rsidP="00960769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960769" w:rsidRPr="008F2F8F" w:rsidTr="00960769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CB4DF1">
            <w:pPr>
              <w:spacing w:line="240" w:lineRule="auto"/>
              <w:rPr>
                <w:sz w:val="16"/>
                <w:szCs w:val="16"/>
              </w:rPr>
            </w:pPr>
            <w:r w:rsidRPr="00D05D91">
              <w:rPr>
                <w:sz w:val="16"/>
                <w:szCs w:val="16"/>
              </w:rPr>
              <w:t>Siln</w:t>
            </w:r>
            <w:r w:rsidR="00CB4DF1">
              <w:rPr>
                <w:sz w:val="16"/>
                <w:szCs w:val="16"/>
              </w:rPr>
              <w:t xml:space="preserve">á domácí poptávka se promítla ve výraznějším </w:t>
            </w:r>
            <w:r w:rsidRPr="00D05D91">
              <w:rPr>
                <w:sz w:val="16"/>
                <w:szCs w:val="16"/>
              </w:rPr>
              <w:t>nárůstu dovozu oproti vývozu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960769">
            <w:pPr>
              <w:pStyle w:val="Textpoznpodarou"/>
              <w:jc w:val="both"/>
            </w:pPr>
            <w:r w:rsidRPr="00D05D91">
              <w:t xml:space="preserve">Ceny ropy a zemního plynu na světovém trhu v roce 2015 poklesly a promítly se významně do hodnoty dovozu tohoto zboží do České republiky (-20,3 %). I tak ale celkový dovoz zboží do Česka stoupl o 6,5 </w:t>
            </w:r>
            <w:r w:rsidR="00CB4DF1">
              <w:t>%. Zvýšil se rychleji než vývoz. Z</w:t>
            </w:r>
            <w:r w:rsidRPr="00D05D91">
              <w:t>e</w:t>
            </w:r>
            <w:r w:rsidR="00CB4DF1">
              <w:t> </w:t>
            </w:r>
            <w:r w:rsidRPr="00D05D91">
              <w:t>čtvrtletních dat je přitom patrné, že šlo o důsledek vývoje v 1. až 3. čtvrtletí, protože ve 4. kvartále již tempo růstu dovozu zaostávalo. Silná domácí poptávka, daná rychle rostoucí spotřebou a investicemi, navyšovala hlavně dovozy z Polska (+11,4 %), Číny (+11,1 %) a Německa (+8,3 %). Hodnota zboží pocházejícího ze zemí mimo EU se zvýšila o 2,9 %, dovoz z Ruska o 18,4 % poklesl.</w:t>
            </w:r>
          </w:p>
          <w:p w:rsidR="00960769" w:rsidRPr="00D05D91" w:rsidRDefault="00960769" w:rsidP="00960769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960769" w:rsidRPr="008F2F8F" w:rsidTr="00960769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D05D91">
              <w:rPr>
                <w:sz w:val="16"/>
                <w:szCs w:val="16"/>
              </w:rPr>
              <w:t>Propojenost české ekonomiky s EU se loni dále zvětšila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C54748" w:rsidP="00960769">
            <w:pPr>
              <w:pStyle w:val="Textpoznpodarou"/>
              <w:jc w:val="both"/>
            </w:pPr>
            <w:r>
              <w:t>O</w:t>
            </w:r>
            <w:r w:rsidR="00960769" w:rsidRPr="00D05D91">
              <w:t>rientace e</w:t>
            </w:r>
            <w:r w:rsidR="002A267F">
              <w:t>konomiky</w:t>
            </w:r>
            <w:r>
              <w:t xml:space="preserve"> ČR</w:t>
            </w:r>
            <w:r w:rsidR="002A267F">
              <w:t xml:space="preserve"> na EU</w:t>
            </w:r>
            <w:r>
              <w:t xml:space="preserve"> se v </w:t>
            </w:r>
            <w:r w:rsidR="00960769" w:rsidRPr="00D05D91">
              <w:t>roce</w:t>
            </w:r>
            <w:r>
              <w:t xml:space="preserve"> 2015</w:t>
            </w:r>
            <w:r w:rsidR="00960769" w:rsidRPr="00D05D91">
              <w:t xml:space="preserve"> </w:t>
            </w:r>
            <w:r w:rsidR="0068437D">
              <w:t>posílila</w:t>
            </w:r>
            <w:r w:rsidR="00960769" w:rsidRPr="00D05D91">
              <w:t xml:space="preserve">. Zatímco v roce 2014 skončilo v zemích Unie 83 % celkového vývozu zboží z ČR, loni už 84 %. Váha </w:t>
            </w:r>
            <w:r w:rsidR="00CC6CA2">
              <w:rPr>
                <w:spacing w:val="-2"/>
              </w:rPr>
              <w:t>dovozu</w:t>
            </w:r>
            <w:r w:rsidR="00960769" w:rsidRPr="00C54748">
              <w:rPr>
                <w:spacing w:val="-2"/>
              </w:rPr>
              <w:t xml:space="preserve"> zboží z EU na celkových zbožových dovozech narostla z 68,1 % na 68,9</w:t>
            </w:r>
            <w:r w:rsidR="00960769" w:rsidRPr="00D05D91">
              <w:t xml:space="preserve"> %.</w:t>
            </w:r>
          </w:p>
          <w:p w:rsidR="00960769" w:rsidRPr="00D05D91" w:rsidRDefault="00960769" w:rsidP="00960769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960769" w:rsidRPr="008F2F8F" w:rsidTr="00960769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D05D91">
              <w:rPr>
                <w:sz w:val="16"/>
                <w:szCs w:val="16"/>
              </w:rPr>
              <w:t>Přebytek zahraničního obchodu se zbožím v národním pojetí se v roce 2015 snížil o 7,3 mld. korun. Přitom deficit obchodu s ropou a zemním plynem se o 55,5 mld. zmenšil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960769" w:rsidRPr="00D05D91" w:rsidRDefault="00960769" w:rsidP="00A0009B">
            <w:pPr>
              <w:pStyle w:val="Textpoznpodarou"/>
              <w:jc w:val="both"/>
            </w:pPr>
            <w:r w:rsidRPr="00D05D91">
              <w:t>Přebytek zahraničního obchodu se zbožím v národním pojetí, tj. rozdíl mezi vývozem v cenách FOB a dovozem v cenách CIF, činil v loňském roce 138,7 mld. korun. Převaha vývozu nad dovozem se zmenšila o 7,3 mld. korun a trend kontinuálního nárůstu přebytku z let 2011–2014 se zastavil. Přebytek obchodu s Unií narostl na 597,1 mld. korun (o 28,6 mld.), deficit se zeměmi mimo EU se zvětšil na 437,7 mld. (o 29,3 mld.).</w:t>
            </w:r>
            <w:r w:rsidRPr="00D05D91">
              <w:rPr>
                <w:rStyle w:val="Znakapoznpodarou"/>
              </w:rPr>
              <w:footnoteReference w:id="2"/>
            </w:r>
            <w:r w:rsidRPr="00D05D91">
              <w:t xml:space="preserve"> K nejvýznamnějšímu zlepšení bilance došlo u ropy a zemního plynu (deficit se zmenšil o 55,5 mld.), motorových vozidel (růst přebytku o 27,9 mld.) a ostatních dopravních prostředků a zařízení (nárůst přebytku o 10,8 mld.). Horší výsledek než v roce 2014 vykázal především obchod s tabákovými výrob</w:t>
            </w:r>
            <w:r w:rsidR="00A0009B">
              <w:t>ky, který přešel z přebytku</w:t>
            </w:r>
            <w:r w:rsidRPr="00D05D91">
              <w:t xml:space="preserve"> do deficitu. V případě chemických látek a základních kovů došlo ke zhoršení deficitu o 26,8 mld. a 15 mld., přebytek ve strojích a zařízení poklesl o 10,1 mld.</w:t>
            </w:r>
          </w:p>
        </w:tc>
      </w:tr>
    </w:tbl>
    <w:p w:rsidR="006A18AE" w:rsidRPr="00960769" w:rsidRDefault="006A18AE" w:rsidP="002E0DB9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120"/>
        <w:gridCol w:w="3806"/>
        <w:gridCol w:w="714"/>
        <w:gridCol w:w="1117"/>
        <w:gridCol w:w="3097"/>
      </w:tblGrid>
      <w:tr w:rsidR="00960769" w:rsidRPr="00083224" w:rsidTr="00960769">
        <w:tc>
          <w:tcPr>
            <w:tcW w:w="568" w:type="pct"/>
          </w:tcPr>
          <w:p w:rsidR="00960769" w:rsidRPr="00AD7D49" w:rsidRDefault="00960769" w:rsidP="00960769">
            <w:pPr>
              <w:pStyle w:val="Textpoznpodarou"/>
            </w:pPr>
            <w:r w:rsidRPr="00AD7D49">
              <w:t>Graf č. 9</w:t>
            </w:r>
          </w:p>
        </w:tc>
        <w:tc>
          <w:tcPr>
            <w:tcW w:w="1930" w:type="pct"/>
          </w:tcPr>
          <w:p w:rsidR="00960769" w:rsidRPr="00AD7D49" w:rsidRDefault="00960769" w:rsidP="00960769">
            <w:pPr>
              <w:pStyle w:val="Textpoznpodarou"/>
              <w:rPr>
                <w:b/>
              </w:rPr>
            </w:pPr>
            <w:r w:rsidRPr="00AD7D49">
              <w:rPr>
                <w:b/>
              </w:rPr>
              <w:t>Běžný účet platební bilance</w:t>
            </w:r>
          </w:p>
          <w:p w:rsidR="00960769" w:rsidRPr="00AD7D49" w:rsidRDefault="00960769" w:rsidP="00960769">
            <w:pPr>
              <w:pStyle w:val="Textpoznpodarou"/>
            </w:pPr>
            <w:r w:rsidRPr="00AD7D49">
              <w:t>(v mld. korun)</w:t>
            </w:r>
          </w:p>
        </w:tc>
        <w:tc>
          <w:tcPr>
            <w:tcW w:w="362" w:type="pct"/>
          </w:tcPr>
          <w:p w:rsidR="00960769" w:rsidRPr="00083224" w:rsidRDefault="00960769" w:rsidP="00960769">
            <w:pPr>
              <w:pStyle w:val="Textpoznpodarou"/>
            </w:pPr>
            <w:r w:rsidRPr="00083224">
              <w:t>Graf č. 10</w:t>
            </w:r>
          </w:p>
        </w:tc>
        <w:tc>
          <w:tcPr>
            <w:tcW w:w="2140" w:type="pct"/>
            <w:gridSpan w:val="2"/>
          </w:tcPr>
          <w:p w:rsidR="00960769" w:rsidRPr="00083224" w:rsidRDefault="00960769" w:rsidP="00960769">
            <w:pPr>
              <w:pStyle w:val="Textpoznpodarou"/>
              <w:rPr>
                <w:b/>
              </w:rPr>
            </w:pPr>
            <w:r w:rsidRPr="00083224">
              <w:rPr>
                <w:b/>
              </w:rPr>
              <w:t xml:space="preserve">Bilance zahraničního obchodu se zbožím v národním pojetí v roce 2015 </w:t>
            </w:r>
            <w:r w:rsidR="00E47CB8">
              <w:t>(y</w:t>
            </w:r>
            <w:r w:rsidR="00E47CB8" w:rsidRPr="00D05D91">
              <w:t>–</w:t>
            </w:r>
            <w:r w:rsidRPr="00083224">
              <w:t>y v mld. korun, v cenách FOB/CIF, nominálně)</w:t>
            </w:r>
          </w:p>
        </w:tc>
      </w:tr>
      <w:tr w:rsidR="00960769" w:rsidRPr="00083224" w:rsidTr="00960769">
        <w:tc>
          <w:tcPr>
            <w:tcW w:w="2498" w:type="pct"/>
            <w:gridSpan w:val="2"/>
          </w:tcPr>
          <w:p w:rsidR="00960769" w:rsidRPr="00083224" w:rsidRDefault="00A0009B" w:rsidP="00960769">
            <w:pPr>
              <w:pStyle w:val="Textpoznpodarou"/>
              <w:jc w:val="both"/>
            </w:pPr>
            <w:r w:rsidRPr="00AE51B0">
              <w:rPr>
                <w:noProof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6.65pt;height:186.55pt;visibility:visible;mso-wrap-style:square">
                  <v:imagedata r:id="rId8" o:title=""/>
                </v:shape>
              </w:pict>
            </w:r>
          </w:p>
        </w:tc>
        <w:tc>
          <w:tcPr>
            <w:tcW w:w="2502" w:type="pct"/>
            <w:gridSpan w:val="3"/>
          </w:tcPr>
          <w:p w:rsidR="00960769" w:rsidRPr="00083224" w:rsidRDefault="00A0009B" w:rsidP="00960769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26" type="#_x0000_t75" style="width:236.65pt;height:185.95pt;visibility:visible;mso-wrap-style:square">
                  <v:imagedata r:id="rId9" o:title=""/>
                </v:shape>
              </w:pict>
            </w:r>
          </w:p>
        </w:tc>
      </w:tr>
      <w:tr w:rsidR="00960769" w:rsidRPr="00083224" w:rsidTr="00960769">
        <w:tc>
          <w:tcPr>
            <w:tcW w:w="3427" w:type="pct"/>
            <w:gridSpan w:val="4"/>
          </w:tcPr>
          <w:p w:rsidR="00960769" w:rsidRPr="00083224" w:rsidRDefault="00960769" w:rsidP="00960769">
            <w:pPr>
              <w:pStyle w:val="Textpoznpodarou"/>
              <w:rPr>
                <w:noProof/>
                <w:sz w:val="18"/>
                <w:szCs w:val="18"/>
              </w:rPr>
            </w:pPr>
          </w:p>
        </w:tc>
        <w:tc>
          <w:tcPr>
            <w:tcW w:w="1573" w:type="pct"/>
          </w:tcPr>
          <w:p w:rsidR="00960769" w:rsidRPr="00083224" w:rsidRDefault="00960769" w:rsidP="00960769">
            <w:pPr>
              <w:pStyle w:val="Textpoznpodarou"/>
              <w:jc w:val="right"/>
              <w:rPr>
                <w:noProof/>
              </w:rPr>
            </w:pPr>
            <w:r w:rsidRPr="00083224">
              <w:rPr>
                <w:sz w:val="18"/>
                <w:szCs w:val="18"/>
              </w:rPr>
              <w:t>Zdroj: ČSÚ, ČNB</w:t>
            </w:r>
          </w:p>
        </w:tc>
      </w:tr>
    </w:tbl>
    <w:p w:rsidR="00886A8F" w:rsidRDefault="00886A8F" w:rsidP="002E0DB9">
      <w:pPr>
        <w:rPr>
          <w:sz w:val="2"/>
          <w:szCs w:val="2"/>
        </w:rPr>
      </w:pPr>
    </w:p>
    <w:sectPr w:rsidR="00886A8F" w:rsidSect="00D6437D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92" w:rsidRDefault="00DB5792" w:rsidP="00E71A58">
      <w:r>
        <w:separator/>
      </w:r>
    </w:p>
  </w:endnote>
  <w:endnote w:type="continuationSeparator" w:id="0">
    <w:p w:rsidR="00DB5792" w:rsidRDefault="00DB579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Default="00AE51B0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B579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A0009B">
      <w:rPr>
        <w:rFonts w:ascii="Arial" w:hAnsi="Arial" w:cs="Arial"/>
        <w:noProof/>
        <w:sz w:val="16"/>
        <w:szCs w:val="16"/>
      </w:rPr>
      <w:t>12</w:t>
    </w:r>
    <w:r w:rsidRPr="005A21E0">
      <w:rPr>
        <w:rFonts w:ascii="Arial" w:hAnsi="Arial" w:cs="Arial"/>
        <w:sz w:val="16"/>
        <w:szCs w:val="16"/>
      </w:rPr>
      <w:fldChar w:fldCharType="end"/>
    </w:r>
    <w:r w:rsidR="00DB5792">
      <w:rPr>
        <w:rFonts w:ascii="Arial" w:hAnsi="Arial" w:cs="Arial"/>
        <w:sz w:val="16"/>
        <w:szCs w:val="16"/>
      </w:rPr>
      <w:tab/>
      <w:t>2016</w:t>
    </w:r>
    <w:r w:rsidR="00DB5792">
      <w:tab/>
    </w:r>
    <w:r w:rsidR="00DB579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Default="00AE51B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DB5792">
      <w:tab/>
    </w:r>
    <w:r w:rsidR="00DB5792">
      <w:tab/>
    </w:r>
    <w:r w:rsidR="00DB5792" w:rsidRPr="00DC5B3B">
      <w:t xml:space="preserve">                              </w:t>
    </w:r>
  </w:p>
  <w:p w:rsidR="00DB5792" w:rsidRPr="00223E00" w:rsidRDefault="00DB5792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AE51B0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AE51B0" w:rsidRPr="00223E00">
      <w:rPr>
        <w:rFonts w:ascii="Arial" w:hAnsi="Arial" w:cs="Arial"/>
        <w:sz w:val="16"/>
        <w:szCs w:val="16"/>
      </w:rPr>
      <w:fldChar w:fldCharType="separate"/>
    </w:r>
    <w:r w:rsidR="00A0009B">
      <w:rPr>
        <w:rFonts w:ascii="Arial" w:hAnsi="Arial" w:cs="Arial"/>
        <w:noProof/>
        <w:sz w:val="16"/>
        <w:szCs w:val="16"/>
      </w:rPr>
      <w:t>13</w:t>
    </w:r>
    <w:r w:rsidR="00AE51B0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92" w:rsidRDefault="00DB5792" w:rsidP="00E71A58">
      <w:r>
        <w:separator/>
      </w:r>
    </w:p>
  </w:footnote>
  <w:footnote w:type="continuationSeparator" w:id="0">
    <w:p w:rsidR="00DB5792" w:rsidRDefault="00DB5792" w:rsidP="00E71A58">
      <w:r>
        <w:continuationSeparator/>
      </w:r>
    </w:p>
  </w:footnote>
  <w:footnote w:id="1">
    <w:p w:rsidR="00DB5792" w:rsidRPr="00D05D91" w:rsidRDefault="00DB5792" w:rsidP="00960769">
      <w:pPr>
        <w:pStyle w:val="Textpoznpodarou"/>
        <w:jc w:val="both"/>
        <w:rPr>
          <w:sz w:val="16"/>
          <w:szCs w:val="16"/>
        </w:rPr>
      </w:pPr>
      <w:r w:rsidRPr="00D05D91">
        <w:rPr>
          <w:rStyle w:val="Znakapoznpodarou"/>
          <w:sz w:val="16"/>
          <w:szCs w:val="16"/>
        </w:rPr>
        <w:footnoteRef/>
      </w:r>
      <w:r w:rsidRPr="00D05D91">
        <w:rPr>
          <w:sz w:val="16"/>
          <w:szCs w:val="16"/>
        </w:rPr>
        <w:t xml:space="preserve"> Údaje v národním pojetí jsou v nominálním vyjádření. Hodnota vývozu je zachycena v cenách FOB, tj. včetně nákladů souvisejících s dopravou na hranice ČR. Dovoz je v cenách CIF, tj. včetně nákladů souvisejících s dopravou v zahraničí, a to až na hranice ČR.</w:t>
      </w:r>
    </w:p>
  </w:footnote>
  <w:footnote w:id="2">
    <w:p w:rsidR="00DB5792" w:rsidRPr="00D05D91" w:rsidRDefault="00DB5792" w:rsidP="00960769">
      <w:pPr>
        <w:pStyle w:val="Textpoznpodarou"/>
        <w:jc w:val="both"/>
      </w:pPr>
      <w:r w:rsidRPr="00D05D91">
        <w:rPr>
          <w:sz w:val="16"/>
          <w:szCs w:val="16"/>
          <w:vertAlign w:val="superscript"/>
        </w:rPr>
        <w:footnoteRef/>
      </w:r>
      <w:r w:rsidRPr="00D05D91">
        <w:rPr>
          <w:sz w:val="16"/>
          <w:szCs w:val="16"/>
        </w:rPr>
        <w:t xml:space="preserve"> Deficit obchodu s nespecifikovanými subjekty narostl na 20,7 mld. korun (o 6,6 mld.).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Pr="00D766EF" w:rsidRDefault="00DB5792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Pr="00D766EF" w:rsidRDefault="00DB5792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CE9"/>
    <w:multiLevelType w:val="hybridMultilevel"/>
    <w:tmpl w:val="AE0439D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195"/>
    <w:rsid w:val="0001519F"/>
    <w:rsid w:val="0001572B"/>
    <w:rsid w:val="0001573E"/>
    <w:rsid w:val="000162DB"/>
    <w:rsid w:val="00017F05"/>
    <w:rsid w:val="000202C6"/>
    <w:rsid w:val="00020946"/>
    <w:rsid w:val="00022B41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5CCF"/>
    <w:rsid w:val="00035FC6"/>
    <w:rsid w:val="00037667"/>
    <w:rsid w:val="0004075D"/>
    <w:rsid w:val="000411E1"/>
    <w:rsid w:val="00043E05"/>
    <w:rsid w:val="0004694F"/>
    <w:rsid w:val="000500DC"/>
    <w:rsid w:val="00052172"/>
    <w:rsid w:val="00053CBA"/>
    <w:rsid w:val="00054E43"/>
    <w:rsid w:val="00055059"/>
    <w:rsid w:val="000553E4"/>
    <w:rsid w:val="000567FA"/>
    <w:rsid w:val="00057C16"/>
    <w:rsid w:val="00060F26"/>
    <w:rsid w:val="00062D43"/>
    <w:rsid w:val="00062EC5"/>
    <w:rsid w:val="00064256"/>
    <w:rsid w:val="000706A4"/>
    <w:rsid w:val="00071F80"/>
    <w:rsid w:val="00072118"/>
    <w:rsid w:val="00073173"/>
    <w:rsid w:val="000779AC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DB9"/>
    <w:rsid w:val="000B3F02"/>
    <w:rsid w:val="000B48A2"/>
    <w:rsid w:val="000B48E7"/>
    <w:rsid w:val="000B4F41"/>
    <w:rsid w:val="000B7663"/>
    <w:rsid w:val="000C11D3"/>
    <w:rsid w:val="000C12F5"/>
    <w:rsid w:val="000C3408"/>
    <w:rsid w:val="000C5C0F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707DE"/>
    <w:rsid w:val="00170B04"/>
    <w:rsid w:val="00170F47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50C"/>
    <w:rsid w:val="001B1D89"/>
    <w:rsid w:val="001B3110"/>
    <w:rsid w:val="001B4198"/>
    <w:rsid w:val="001B44BC"/>
    <w:rsid w:val="001B618F"/>
    <w:rsid w:val="001B6545"/>
    <w:rsid w:val="001B681B"/>
    <w:rsid w:val="001B6A49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3055"/>
    <w:rsid w:val="001F31BC"/>
    <w:rsid w:val="001F378E"/>
    <w:rsid w:val="001F3C79"/>
    <w:rsid w:val="001F3E68"/>
    <w:rsid w:val="001F4597"/>
    <w:rsid w:val="001F56A9"/>
    <w:rsid w:val="001F5C6A"/>
    <w:rsid w:val="001F670A"/>
    <w:rsid w:val="00200D15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36BA"/>
    <w:rsid w:val="002444ED"/>
    <w:rsid w:val="00244A15"/>
    <w:rsid w:val="00244D40"/>
    <w:rsid w:val="00246AE9"/>
    <w:rsid w:val="0024799E"/>
    <w:rsid w:val="00250C59"/>
    <w:rsid w:val="00250E0D"/>
    <w:rsid w:val="00251D59"/>
    <w:rsid w:val="00252602"/>
    <w:rsid w:val="00252FDC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238"/>
    <w:rsid w:val="0029493E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2500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7594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7038"/>
    <w:rsid w:val="00370963"/>
    <w:rsid w:val="0037144E"/>
    <w:rsid w:val="003736B5"/>
    <w:rsid w:val="00374F1E"/>
    <w:rsid w:val="00376DEC"/>
    <w:rsid w:val="00377200"/>
    <w:rsid w:val="00380E04"/>
    <w:rsid w:val="00383227"/>
    <w:rsid w:val="00384D8F"/>
    <w:rsid w:val="00385D98"/>
    <w:rsid w:val="00385EC5"/>
    <w:rsid w:val="0038658E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D2C4E"/>
    <w:rsid w:val="003D3600"/>
    <w:rsid w:val="003D3825"/>
    <w:rsid w:val="003D3EC4"/>
    <w:rsid w:val="003D4760"/>
    <w:rsid w:val="003D49DC"/>
    <w:rsid w:val="003D5D7A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2B0A"/>
    <w:rsid w:val="003F313C"/>
    <w:rsid w:val="003F341B"/>
    <w:rsid w:val="003F37FC"/>
    <w:rsid w:val="003F49A6"/>
    <w:rsid w:val="003F5098"/>
    <w:rsid w:val="003F5568"/>
    <w:rsid w:val="003F5A95"/>
    <w:rsid w:val="003F6D19"/>
    <w:rsid w:val="004000D5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C30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29FD"/>
    <w:rsid w:val="00463B4B"/>
    <w:rsid w:val="00463F4D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E1E4B"/>
    <w:rsid w:val="005E3526"/>
    <w:rsid w:val="005E362D"/>
    <w:rsid w:val="005E492C"/>
    <w:rsid w:val="005E4BAA"/>
    <w:rsid w:val="005E52EF"/>
    <w:rsid w:val="005E5B56"/>
    <w:rsid w:val="005E6088"/>
    <w:rsid w:val="005E61DF"/>
    <w:rsid w:val="005E6B65"/>
    <w:rsid w:val="005E6B78"/>
    <w:rsid w:val="005F26CE"/>
    <w:rsid w:val="005F4057"/>
    <w:rsid w:val="005F4088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4DFC"/>
    <w:rsid w:val="006451E4"/>
    <w:rsid w:val="006454B4"/>
    <w:rsid w:val="00645A9C"/>
    <w:rsid w:val="006460B8"/>
    <w:rsid w:val="006504A0"/>
    <w:rsid w:val="006520C7"/>
    <w:rsid w:val="00652CBB"/>
    <w:rsid w:val="006530B8"/>
    <w:rsid w:val="006535D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90A09"/>
    <w:rsid w:val="00690A25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3F8A"/>
    <w:rsid w:val="006B5CA3"/>
    <w:rsid w:val="006B6B3B"/>
    <w:rsid w:val="006B7714"/>
    <w:rsid w:val="006B78D8"/>
    <w:rsid w:val="006C090F"/>
    <w:rsid w:val="006C0935"/>
    <w:rsid w:val="006C0BCE"/>
    <w:rsid w:val="006C113F"/>
    <w:rsid w:val="006C2AED"/>
    <w:rsid w:val="006C38DD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6043"/>
    <w:rsid w:val="0072704A"/>
    <w:rsid w:val="00730AE8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C0065"/>
    <w:rsid w:val="007C010B"/>
    <w:rsid w:val="007C605B"/>
    <w:rsid w:val="007D2A5A"/>
    <w:rsid w:val="007D2AD8"/>
    <w:rsid w:val="007D2C47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7181"/>
    <w:rsid w:val="0082733C"/>
    <w:rsid w:val="00827746"/>
    <w:rsid w:val="0083143E"/>
    <w:rsid w:val="0083159D"/>
    <w:rsid w:val="008318FF"/>
    <w:rsid w:val="00832187"/>
    <w:rsid w:val="0083249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6673"/>
    <w:rsid w:val="0085281A"/>
    <w:rsid w:val="008559FE"/>
    <w:rsid w:val="00857339"/>
    <w:rsid w:val="00860706"/>
    <w:rsid w:val="00862A7A"/>
    <w:rsid w:val="00863104"/>
    <w:rsid w:val="008636CD"/>
    <w:rsid w:val="00863D9E"/>
    <w:rsid w:val="00863FDC"/>
    <w:rsid w:val="008642AF"/>
    <w:rsid w:val="00865ED4"/>
    <w:rsid w:val="008669A7"/>
    <w:rsid w:val="00867E29"/>
    <w:rsid w:val="00870F2B"/>
    <w:rsid w:val="008746E6"/>
    <w:rsid w:val="0087594C"/>
    <w:rsid w:val="00876086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6B67"/>
    <w:rsid w:val="008B7306"/>
    <w:rsid w:val="008B775F"/>
    <w:rsid w:val="008B7C02"/>
    <w:rsid w:val="008B7D13"/>
    <w:rsid w:val="008B7F9E"/>
    <w:rsid w:val="008C0E88"/>
    <w:rsid w:val="008C1AA8"/>
    <w:rsid w:val="008C22A8"/>
    <w:rsid w:val="008C5B43"/>
    <w:rsid w:val="008C63FD"/>
    <w:rsid w:val="008C6CB8"/>
    <w:rsid w:val="008C7815"/>
    <w:rsid w:val="008C7A07"/>
    <w:rsid w:val="008D0171"/>
    <w:rsid w:val="008D13EA"/>
    <w:rsid w:val="008D2671"/>
    <w:rsid w:val="008D2A16"/>
    <w:rsid w:val="008D2ECF"/>
    <w:rsid w:val="008D3F3D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967"/>
    <w:rsid w:val="008F6A0C"/>
    <w:rsid w:val="008F7721"/>
    <w:rsid w:val="008F7D28"/>
    <w:rsid w:val="009003A8"/>
    <w:rsid w:val="009010A7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D2"/>
    <w:rsid w:val="0092540B"/>
    <w:rsid w:val="00926283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E5F"/>
    <w:rsid w:val="009560B0"/>
    <w:rsid w:val="00956F23"/>
    <w:rsid w:val="00957871"/>
    <w:rsid w:val="00960077"/>
    <w:rsid w:val="00960769"/>
    <w:rsid w:val="00962D2E"/>
    <w:rsid w:val="00963724"/>
    <w:rsid w:val="00964498"/>
    <w:rsid w:val="0096504D"/>
    <w:rsid w:val="00965A2D"/>
    <w:rsid w:val="009663EB"/>
    <w:rsid w:val="0096650F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B52"/>
    <w:rsid w:val="009F7D77"/>
    <w:rsid w:val="00A0009B"/>
    <w:rsid w:val="00A015EA"/>
    <w:rsid w:val="00A10D66"/>
    <w:rsid w:val="00A12BA8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48"/>
    <w:rsid w:val="00A46DE0"/>
    <w:rsid w:val="00A4778A"/>
    <w:rsid w:val="00A504C0"/>
    <w:rsid w:val="00A5067F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1336"/>
    <w:rsid w:val="00A9221C"/>
    <w:rsid w:val="00A94628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51B0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13681"/>
    <w:rsid w:val="00B15DCD"/>
    <w:rsid w:val="00B17E71"/>
    <w:rsid w:val="00B17FDE"/>
    <w:rsid w:val="00B208FC"/>
    <w:rsid w:val="00B20C65"/>
    <w:rsid w:val="00B22E17"/>
    <w:rsid w:val="00B266C5"/>
    <w:rsid w:val="00B27293"/>
    <w:rsid w:val="00B3229E"/>
    <w:rsid w:val="00B32DDB"/>
    <w:rsid w:val="00B35174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186B"/>
    <w:rsid w:val="00BD1EAC"/>
    <w:rsid w:val="00BD254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23B4"/>
    <w:rsid w:val="00C12A69"/>
    <w:rsid w:val="00C13737"/>
    <w:rsid w:val="00C150BE"/>
    <w:rsid w:val="00C158B0"/>
    <w:rsid w:val="00C15A0C"/>
    <w:rsid w:val="00C15DCB"/>
    <w:rsid w:val="00C1711F"/>
    <w:rsid w:val="00C17E38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76C5"/>
    <w:rsid w:val="00C503B0"/>
    <w:rsid w:val="00C511C2"/>
    <w:rsid w:val="00C53D82"/>
    <w:rsid w:val="00C54748"/>
    <w:rsid w:val="00C60696"/>
    <w:rsid w:val="00C60EEF"/>
    <w:rsid w:val="00C6121D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A02B2"/>
    <w:rsid w:val="00CA0883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A36"/>
    <w:rsid w:val="00CC2E15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442A"/>
    <w:rsid w:val="00CE57D8"/>
    <w:rsid w:val="00CE617A"/>
    <w:rsid w:val="00CF25D2"/>
    <w:rsid w:val="00CF28C2"/>
    <w:rsid w:val="00CF42BD"/>
    <w:rsid w:val="00CF51EC"/>
    <w:rsid w:val="00CF6A9D"/>
    <w:rsid w:val="00CF6CD7"/>
    <w:rsid w:val="00CF75EC"/>
    <w:rsid w:val="00D0037A"/>
    <w:rsid w:val="00D00DAF"/>
    <w:rsid w:val="00D017EC"/>
    <w:rsid w:val="00D01CDA"/>
    <w:rsid w:val="00D040DD"/>
    <w:rsid w:val="00D04E1B"/>
    <w:rsid w:val="00D0547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689"/>
    <w:rsid w:val="00D378CC"/>
    <w:rsid w:val="00D4042C"/>
    <w:rsid w:val="00D40B9E"/>
    <w:rsid w:val="00D41281"/>
    <w:rsid w:val="00D42312"/>
    <w:rsid w:val="00D43998"/>
    <w:rsid w:val="00D451E0"/>
    <w:rsid w:val="00D4615E"/>
    <w:rsid w:val="00D478E2"/>
    <w:rsid w:val="00D5264C"/>
    <w:rsid w:val="00D547BA"/>
    <w:rsid w:val="00D55626"/>
    <w:rsid w:val="00D556BC"/>
    <w:rsid w:val="00D5626D"/>
    <w:rsid w:val="00D60277"/>
    <w:rsid w:val="00D60336"/>
    <w:rsid w:val="00D61F88"/>
    <w:rsid w:val="00D62901"/>
    <w:rsid w:val="00D6437D"/>
    <w:rsid w:val="00D6470C"/>
    <w:rsid w:val="00D64853"/>
    <w:rsid w:val="00D64CB5"/>
    <w:rsid w:val="00D66D48"/>
    <w:rsid w:val="00D7162F"/>
    <w:rsid w:val="00D73256"/>
    <w:rsid w:val="00D73A30"/>
    <w:rsid w:val="00D74C65"/>
    <w:rsid w:val="00D75DC2"/>
    <w:rsid w:val="00D766EF"/>
    <w:rsid w:val="00D76C03"/>
    <w:rsid w:val="00D77F8D"/>
    <w:rsid w:val="00D82462"/>
    <w:rsid w:val="00D868CE"/>
    <w:rsid w:val="00D86DAE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350B"/>
    <w:rsid w:val="00DC3790"/>
    <w:rsid w:val="00DC408A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57AD"/>
    <w:rsid w:val="00DE009B"/>
    <w:rsid w:val="00DE0C31"/>
    <w:rsid w:val="00DE2ED9"/>
    <w:rsid w:val="00DE319A"/>
    <w:rsid w:val="00DF0DC3"/>
    <w:rsid w:val="00DF21FD"/>
    <w:rsid w:val="00DF2873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4619"/>
    <w:rsid w:val="00E25223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C41"/>
    <w:rsid w:val="00E4500E"/>
    <w:rsid w:val="00E450CE"/>
    <w:rsid w:val="00E45A00"/>
    <w:rsid w:val="00E45CE7"/>
    <w:rsid w:val="00E4631F"/>
    <w:rsid w:val="00E47CB8"/>
    <w:rsid w:val="00E522BB"/>
    <w:rsid w:val="00E539E4"/>
    <w:rsid w:val="00E569C7"/>
    <w:rsid w:val="00E571F2"/>
    <w:rsid w:val="00E57429"/>
    <w:rsid w:val="00E61EA8"/>
    <w:rsid w:val="00E64EA1"/>
    <w:rsid w:val="00E70510"/>
    <w:rsid w:val="00E71262"/>
    <w:rsid w:val="00E71A58"/>
    <w:rsid w:val="00E737F6"/>
    <w:rsid w:val="00E7568F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4DF"/>
    <w:rsid w:val="00F10A33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273D4"/>
    <w:rsid w:val="00F307DD"/>
    <w:rsid w:val="00F318FC"/>
    <w:rsid w:val="00F31F76"/>
    <w:rsid w:val="00F3364D"/>
    <w:rsid w:val="00F35ACD"/>
    <w:rsid w:val="00F365BF"/>
    <w:rsid w:val="00F36BF8"/>
    <w:rsid w:val="00F375BA"/>
    <w:rsid w:val="00F37760"/>
    <w:rsid w:val="00F403D1"/>
    <w:rsid w:val="00F43921"/>
    <w:rsid w:val="00F4524F"/>
    <w:rsid w:val="00F45530"/>
    <w:rsid w:val="00F4591F"/>
    <w:rsid w:val="00F4736B"/>
    <w:rsid w:val="00F47997"/>
    <w:rsid w:val="00F47D05"/>
    <w:rsid w:val="00F50030"/>
    <w:rsid w:val="00F502F5"/>
    <w:rsid w:val="00F50B9D"/>
    <w:rsid w:val="00F51FC9"/>
    <w:rsid w:val="00F541ED"/>
    <w:rsid w:val="00F54B31"/>
    <w:rsid w:val="00F54FD3"/>
    <w:rsid w:val="00F55605"/>
    <w:rsid w:val="00F57CD7"/>
    <w:rsid w:val="00F62F02"/>
    <w:rsid w:val="00F63DDE"/>
    <w:rsid w:val="00F63FB7"/>
    <w:rsid w:val="00F64726"/>
    <w:rsid w:val="00F6561A"/>
    <w:rsid w:val="00F70309"/>
    <w:rsid w:val="00F7078A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310A"/>
    <w:rsid w:val="00F95117"/>
    <w:rsid w:val="00FA05D7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A0155-419C-418A-AD13-5021F419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867</TotalTime>
  <Pages>2</Pages>
  <Words>1131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293</cp:revision>
  <cp:lastPrinted>2015-06-19T06:21:00Z</cp:lastPrinted>
  <dcterms:created xsi:type="dcterms:W3CDTF">2015-12-16T13:30:00Z</dcterms:created>
  <dcterms:modified xsi:type="dcterms:W3CDTF">2016-03-23T14:17:00Z</dcterms:modified>
</cp:coreProperties>
</file>