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69" w:rsidRPr="00F4591F" w:rsidRDefault="00CD7E35" w:rsidP="00960769">
      <w:pPr>
        <w:pStyle w:val="Nadpis1"/>
        <w:numPr>
          <w:ilvl w:val="0"/>
          <w:numId w:val="3"/>
        </w:numPr>
        <w:jc w:val="both"/>
      </w:pPr>
      <w:bookmarkStart w:id="0" w:name="_Toc446341881"/>
      <w:r>
        <w:t>Souhrnná výkonnost</w:t>
      </w:r>
      <w:bookmarkEnd w:id="0"/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960769" w:rsidRPr="002A7D6D" w:rsidTr="00960769">
        <w:tc>
          <w:tcPr>
            <w:tcW w:w="1054" w:type="pct"/>
          </w:tcPr>
          <w:p w:rsidR="00960769" w:rsidRPr="00F273D4" w:rsidRDefault="00960769" w:rsidP="00967AD2">
            <w:pPr>
              <w:spacing w:line="240" w:lineRule="auto"/>
              <w:rPr>
                <w:sz w:val="16"/>
                <w:szCs w:val="16"/>
              </w:rPr>
            </w:pPr>
            <w:r w:rsidRPr="00F273D4">
              <w:rPr>
                <w:sz w:val="16"/>
                <w:szCs w:val="16"/>
              </w:rPr>
              <w:t xml:space="preserve">Růst ekonomiky byl v roce 2015 významně podpořen mimořádnými vlivy. </w:t>
            </w:r>
            <w:r w:rsidR="00967AD2" w:rsidRPr="00F273D4">
              <w:rPr>
                <w:sz w:val="16"/>
                <w:szCs w:val="16"/>
              </w:rPr>
              <w:t>V posledním čtvrtletí již ale oslabily</w:t>
            </w:r>
            <w:r w:rsidR="00C123B4" w:rsidRPr="00F273D4">
              <w:rPr>
                <w:sz w:val="16"/>
                <w:szCs w:val="16"/>
              </w:rPr>
              <w:t>,</w:t>
            </w:r>
            <w:r w:rsidRPr="00F273D4">
              <w:rPr>
                <w:sz w:val="16"/>
                <w:szCs w:val="16"/>
              </w:rPr>
              <w:t xml:space="preserve"> …</w:t>
            </w:r>
          </w:p>
        </w:tc>
        <w:tc>
          <w:tcPr>
            <w:tcW w:w="143" w:type="pct"/>
          </w:tcPr>
          <w:p w:rsidR="00960769" w:rsidRPr="00F273D4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F273D4" w:rsidRDefault="00960769" w:rsidP="00960769">
            <w:pPr>
              <w:pStyle w:val="Textpoznpodarou"/>
              <w:jc w:val="both"/>
              <w:rPr>
                <w:spacing w:val="-2"/>
              </w:rPr>
            </w:pPr>
            <w:r w:rsidRPr="00F273D4">
              <w:t>České ekonomice se v roce 2015 dařilo a její výkon narostl nejrychleji za posledních osm let, tj. od vrcholu konjunktury v roce 2007.</w:t>
            </w:r>
            <w:r w:rsidRPr="00F273D4">
              <w:rPr>
                <w:rStyle w:val="Znakapoznpodarou"/>
              </w:rPr>
              <w:footnoteReference w:id="1"/>
            </w:r>
            <w:r w:rsidR="009867BC" w:rsidRPr="00F273D4">
              <w:t xml:space="preserve"> </w:t>
            </w:r>
            <w:r w:rsidRPr="00F273D4">
              <w:t>Hrubý domácí produkt (HDP) se zvýšil o 4,3 %, přitom jeho dynamika byla alespoň 4% v každém čtvrtletí. Hrubá přidaná hodnota stoupla o 3,8 %. Z hlediska výdajové strany se na růstu ekonomiky podílela hlavně domácí poptávka, na straně nabídky působily pozitivně především zpracovatelský průmysl a soukromé a veřejné služby. Ekonomika rostla v meziročním srovnání již devět čtvrtletí v řadě, v roce 2015 byla její dynamika podpořena mimořádnými vlivy. Jednalo se  o pokles c</w:t>
            </w:r>
            <w:r w:rsidR="00370963" w:rsidRPr="00F273D4">
              <w:t>eny ropy na světovém trhu, což</w:t>
            </w:r>
            <w:r w:rsidRPr="00F273D4">
              <w:t xml:space="preserve"> snižoval</w:t>
            </w:r>
            <w:r w:rsidR="00370963" w:rsidRPr="00F273D4">
              <w:t>o</w:t>
            </w:r>
            <w:r w:rsidRPr="00F273D4">
              <w:t xml:space="preserve"> firmám náklady na vstupy a domácnostem výdaje na nákup pohonných hmot, a také o dočerpávání finančních prostředků z fondů EU na konci programového období 2007–2013</w:t>
            </w:r>
            <w:r w:rsidR="00967AD2" w:rsidRPr="00F273D4">
              <w:t>.</w:t>
            </w:r>
          </w:p>
          <w:p w:rsidR="00960769" w:rsidRPr="00F273D4" w:rsidRDefault="00960769" w:rsidP="00960769">
            <w:pPr>
              <w:pStyle w:val="Textpoznpodarou"/>
              <w:jc w:val="both"/>
              <w:rPr>
                <w:spacing w:val="-2"/>
              </w:rPr>
            </w:pPr>
          </w:p>
        </w:tc>
      </w:tr>
      <w:tr w:rsidR="00960769" w:rsidRPr="002A7D6D" w:rsidTr="00960769">
        <w:tc>
          <w:tcPr>
            <w:tcW w:w="1054" w:type="pct"/>
          </w:tcPr>
          <w:p w:rsidR="00960769" w:rsidRPr="00110513" w:rsidRDefault="00960769" w:rsidP="00971DC6">
            <w:pPr>
              <w:spacing w:line="240" w:lineRule="auto"/>
              <w:rPr>
                <w:sz w:val="16"/>
                <w:szCs w:val="16"/>
              </w:rPr>
            </w:pPr>
            <w:r w:rsidRPr="00110513">
              <w:rPr>
                <w:sz w:val="16"/>
                <w:szCs w:val="16"/>
              </w:rPr>
              <w:t>…</w:t>
            </w:r>
            <w:r w:rsidR="00971DC6">
              <w:rPr>
                <w:sz w:val="16"/>
                <w:szCs w:val="16"/>
              </w:rPr>
              <w:t xml:space="preserve"> </w:t>
            </w:r>
            <w:r w:rsidRPr="00110513">
              <w:rPr>
                <w:sz w:val="16"/>
                <w:szCs w:val="16"/>
              </w:rPr>
              <w:t>HDP v</w:t>
            </w:r>
            <w:r w:rsidR="00971DC6">
              <w:rPr>
                <w:sz w:val="16"/>
                <w:szCs w:val="16"/>
              </w:rPr>
              <w:t> </w:t>
            </w:r>
            <w:r w:rsidRPr="00110513">
              <w:rPr>
                <w:sz w:val="16"/>
                <w:szCs w:val="16"/>
              </w:rPr>
              <w:t>mezičtvrtletním</w:t>
            </w:r>
            <w:r w:rsidR="00971DC6">
              <w:rPr>
                <w:sz w:val="16"/>
                <w:szCs w:val="16"/>
              </w:rPr>
              <w:t xml:space="preserve"> </w:t>
            </w:r>
            <w:r w:rsidRPr="00110513">
              <w:rPr>
                <w:sz w:val="16"/>
                <w:szCs w:val="16"/>
              </w:rPr>
              <w:t>srovnání</w:t>
            </w:r>
            <w:r w:rsidR="00971DC6">
              <w:rPr>
                <w:sz w:val="16"/>
                <w:szCs w:val="16"/>
              </w:rPr>
              <w:t> </w:t>
            </w:r>
            <w:r w:rsidRPr="00110513">
              <w:rPr>
                <w:sz w:val="16"/>
                <w:szCs w:val="16"/>
              </w:rPr>
              <w:t>stagnoval a</w:t>
            </w:r>
            <w:r w:rsidR="00967AD2">
              <w:rPr>
                <w:sz w:val="16"/>
                <w:szCs w:val="16"/>
              </w:rPr>
              <w:t> </w:t>
            </w:r>
            <w:r w:rsidRPr="00110513">
              <w:rPr>
                <w:sz w:val="16"/>
                <w:szCs w:val="16"/>
              </w:rPr>
              <w:t>hrubá přidaná hodnota vzrostla pouze o 0,5 %, nejpomaleji od 4. čtvrtletí 2013</w:t>
            </w:r>
          </w:p>
        </w:tc>
        <w:tc>
          <w:tcPr>
            <w:tcW w:w="143" w:type="pct"/>
          </w:tcPr>
          <w:p w:rsidR="00960769" w:rsidRPr="00110513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110513" w:rsidRDefault="00960769" w:rsidP="00960769">
            <w:pPr>
              <w:pStyle w:val="Textpoznpodarou"/>
              <w:jc w:val="both"/>
            </w:pPr>
            <w:r w:rsidRPr="00110513">
              <w:t>HDP se v prvních třech čtvrtletích loňského roku zvyšoval v mezičtvrtletním srovnání postupně o 2,4 %, 1 % a 0,7 % a ekonomika tedy zpomalovala. V posledním čtvrtletí přešla dokonce do stagnace, neboť HDP se proti 3. čtvrtletí nezměnil. Přestože byl tento vývoj zčásti způsoben sezónním očištěním,</w:t>
            </w:r>
            <w:r w:rsidRPr="00110513">
              <w:rPr>
                <w:rStyle w:val="Znakapoznpodarou"/>
              </w:rPr>
              <w:footnoteReference w:id="2"/>
            </w:r>
            <w:r w:rsidRPr="00110513">
              <w:t xml:space="preserve"> bylo z něho patrné, ž</w:t>
            </w:r>
            <w:r w:rsidR="00FE3D8B">
              <w:t>e hospodářství již zvolňuje. T</w:t>
            </w:r>
            <w:r w:rsidRPr="00110513">
              <w:t xml:space="preserve">ento závěr potvrzoval i vývoj hrubé přidané hodnoty. V 1. až 3. čtvrtletí byly její mezičtvrtletní přírůstky stabilní, v rozmezí od +1 % </w:t>
            </w:r>
            <w:r w:rsidRPr="00110513">
              <w:rPr>
                <w:spacing w:val="-2"/>
              </w:rPr>
              <w:t>do +1,2 %. V posledním čtvrtletí hrubá přidaná hodnota vzrostla ale už jen o 0,5</w:t>
            </w:r>
            <w:r w:rsidRPr="00110513">
              <w:t xml:space="preserve"> %, nej</w:t>
            </w:r>
            <w:r w:rsidR="006C0BCE">
              <w:t>méně</w:t>
            </w:r>
            <w:r w:rsidRPr="00110513">
              <w:t xml:space="preserve"> od konce roku 2013.</w:t>
            </w:r>
          </w:p>
          <w:p w:rsidR="00960769" w:rsidRPr="00967AD2" w:rsidRDefault="00960769" w:rsidP="00960769">
            <w:pPr>
              <w:pStyle w:val="Textpoznpodarou"/>
              <w:jc w:val="both"/>
            </w:pPr>
          </w:p>
        </w:tc>
      </w:tr>
      <w:tr w:rsidR="00960769" w:rsidRPr="002A7D6D" w:rsidTr="00960769">
        <w:tc>
          <w:tcPr>
            <w:tcW w:w="1054" w:type="pct"/>
          </w:tcPr>
          <w:p w:rsidR="00960769" w:rsidRPr="00BC6D27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BC6D27">
              <w:rPr>
                <w:sz w:val="16"/>
                <w:szCs w:val="16"/>
              </w:rPr>
              <w:t>V loňském roce se dařilo všem zemím sku</w:t>
            </w:r>
            <w:r w:rsidR="00FE3D8B">
              <w:rPr>
                <w:sz w:val="16"/>
                <w:szCs w:val="16"/>
              </w:rPr>
              <w:t>piny V4, nejlépe na tom byla</w:t>
            </w:r>
            <w:r w:rsidRPr="00BC6D27">
              <w:rPr>
                <w:sz w:val="16"/>
                <w:szCs w:val="16"/>
              </w:rPr>
              <w:t xml:space="preserve"> ČR</w:t>
            </w:r>
          </w:p>
        </w:tc>
        <w:tc>
          <w:tcPr>
            <w:tcW w:w="143" w:type="pct"/>
          </w:tcPr>
          <w:p w:rsidR="00960769" w:rsidRPr="00BC6D27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BC6D27" w:rsidRDefault="00960769" w:rsidP="00960769">
            <w:pPr>
              <w:pStyle w:val="Textpoznpodarou"/>
              <w:jc w:val="both"/>
            </w:pPr>
            <w:r w:rsidRPr="00BC6D27">
              <w:rPr>
                <w:spacing w:val="-4"/>
              </w:rPr>
              <w:t>Česká republika patřila v loňském roce k nejrychleji rostoucím zemím EU. Vyšší</w:t>
            </w:r>
            <w:r w:rsidRPr="00BC6D27">
              <w:t xml:space="preserve"> přírůstek HDP si podle dostupných údajů</w:t>
            </w:r>
            <w:r w:rsidR="00CF75EC" w:rsidRPr="00BC6D27">
              <w:t xml:space="preserve"> připsala</w:t>
            </w:r>
            <w:r w:rsidRPr="00BC6D27">
              <w:t xml:space="preserve"> pouze Malta (+6,3 %).</w:t>
            </w:r>
            <w:r w:rsidR="00CF75EC" w:rsidRPr="00BC6D27">
              <w:rPr>
                <w:rStyle w:val="Znakapoznpodarou"/>
              </w:rPr>
              <w:footnoteReference w:id="3"/>
            </w:r>
            <w:r w:rsidRPr="00BC6D27">
              <w:t xml:space="preserve"> Také pro ostatní země Visegrádské skupiny byl rok 2015 úspěšný. Polsko vzrostlo spolu se Slovenskem o 3,6 %, </w:t>
            </w:r>
            <w:r w:rsidRPr="00BC6D27">
              <w:rPr>
                <w:spacing w:val="-2"/>
              </w:rPr>
              <w:t>Maďarsko o 2,9 %. Pozitivem v širším ohledu byl snižující se počet zemí</w:t>
            </w:r>
            <w:r w:rsidRPr="00BC6D27">
              <w:t xml:space="preserve"> evidujících pokles HDP. V roce 2013 bylo těchto zemí jedenáct, v roce 2014 čtyři a loni už pouze jedna (Řecko, -0,3 %).</w:t>
            </w:r>
          </w:p>
          <w:p w:rsidR="00960769" w:rsidRPr="00967AD2" w:rsidRDefault="00960769" w:rsidP="00960769">
            <w:pPr>
              <w:pStyle w:val="Textpoznpodarou"/>
              <w:jc w:val="both"/>
            </w:pPr>
          </w:p>
        </w:tc>
      </w:tr>
      <w:tr w:rsidR="00960769" w:rsidRPr="002A7D6D" w:rsidTr="00960769">
        <w:tc>
          <w:tcPr>
            <w:tcW w:w="1054" w:type="pct"/>
          </w:tcPr>
          <w:p w:rsidR="00960769" w:rsidRPr="00BC6D27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BC6D27">
              <w:rPr>
                <w:sz w:val="16"/>
                <w:szCs w:val="16"/>
              </w:rPr>
              <w:t>Přírůstek HDP v Česku oproti EU více než dvojnásobný, proti eurozóně skoro trojnásobný</w:t>
            </w:r>
          </w:p>
        </w:tc>
        <w:tc>
          <w:tcPr>
            <w:tcW w:w="143" w:type="pct"/>
          </w:tcPr>
          <w:p w:rsidR="00960769" w:rsidRPr="00BC6D27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BC6D27" w:rsidRDefault="00960769" w:rsidP="00960769">
            <w:pPr>
              <w:pStyle w:val="Textpoznpodarou"/>
              <w:jc w:val="both"/>
            </w:pPr>
            <w:r w:rsidRPr="00BC6D27">
              <w:rPr>
                <w:spacing w:val="-2"/>
              </w:rPr>
              <w:t>HDP stoupl v ČR v roce 2015 v porovnání s EU (+1,8 %) více než dvakrát</w:t>
            </w:r>
            <w:r w:rsidRPr="00BC6D27">
              <w:t xml:space="preserve"> rychle, proti eurozóně (+1,5 %) byl tuzemský růst téměř trojnásobný. Opakovala se situace z roku 2014, rozdíl v tempech ČR oproti EU a eurozóně se ale zvětšil. Tuzemská ekonomika tak v roce 2015 k těmto celkům dále konvergovala, rychlost jejího přibližování se navíc </w:t>
            </w:r>
            <w:r w:rsidR="008F6967">
              <w:t>pravděpodobně</w:t>
            </w:r>
            <w:r w:rsidRPr="00BC6D27">
              <w:t xml:space="preserve"> zvýšila.</w:t>
            </w:r>
          </w:p>
          <w:p w:rsidR="00960769" w:rsidRPr="00967AD2" w:rsidRDefault="00960769" w:rsidP="00960769">
            <w:pPr>
              <w:pStyle w:val="Textpoznpodarou"/>
              <w:jc w:val="both"/>
              <w:rPr>
                <w:spacing w:val="-4"/>
              </w:rPr>
            </w:pPr>
          </w:p>
        </w:tc>
      </w:tr>
      <w:tr w:rsidR="00960769" w:rsidRPr="002A7D6D" w:rsidTr="00960769">
        <w:tc>
          <w:tcPr>
            <w:tcW w:w="1054" w:type="pct"/>
          </w:tcPr>
          <w:p w:rsidR="00960769" w:rsidRPr="00110513" w:rsidRDefault="00960769" w:rsidP="00D7162F">
            <w:pPr>
              <w:spacing w:line="240" w:lineRule="auto"/>
              <w:rPr>
                <w:sz w:val="16"/>
                <w:szCs w:val="16"/>
              </w:rPr>
            </w:pPr>
            <w:r w:rsidRPr="00110513">
              <w:rPr>
                <w:sz w:val="16"/>
                <w:szCs w:val="16"/>
              </w:rPr>
              <w:t>Zdrojem růstu ekonomiky byla v loňském roce hlavně domácí poptávka. Investice přispěly +1,9</w:t>
            </w:r>
            <w:r w:rsidR="00D7162F">
              <w:rPr>
                <w:sz w:val="16"/>
                <w:szCs w:val="16"/>
              </w:rPr>
              <w:t> </w:t>
            </w:r>
            <w:r w:rsidRPr="00110513">
              <w:rPr>
                <w:sz w:val="16"/>
                <w:szCs w:val="16"/>
              </w:rPr>
              <w:t>p</w:t>
            </w:r>
            <w:r w:rsidR="00D7162F">
              <w:rPr>
                <w:sz w:val="16"/>
                <w:szCs w:val="16"/>
              </w:rPr>
              <w:t>.</w:t>
            </w:r>
            <w:r w:rsidRPr="00110513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.</w:t>
            </w:r>
            <w:r w:rsidRPr="00110513">
              <w:rPr>
                <w:sz w:val="16"/>
                <w:szCs w:val="16"/>
              </w:rPr>
              <w:t xml:space="preserve"> a spotřeba domácností +1,4 p</w:t>
            </w:r>
            <w:r w:rsidR="00D7162F">
              <w:rPr>
                <w:sz w:val="16"/>
                <w:szCs w:val="16"/>
              </w:rPr>
              <w:t>.</w:t>
            </w:r>
            <w:r w:rsidR="003F341B">
              <w:rPr>
                <w:sz w:val="16"/>
                <w:szCs w:val="16"/>
              </w:rPr>
              <w:t>b.</w:t>
            </w:r>
            <w:r w:rsidRPr="00110513">
              <w:rPr>
                <w:sz w:val="16"/>
                <w:szCs w:val="16"/>
              </w:rPr>
              <w:t xml:space="preserve"> … </w:t>
            </w:r>
          </w:p>
        </w:tc>
        <w:tc>
          <w:tcPr>
            <w:tcW w:w="143" w:type="pct"/>
          </w:tcPr>
          <w:p w:rsidR="00960769" w:rsidRPr="00110513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110513" w:rsidRDefault="00960769" w:rsidP="00960769">
            <w:pPr>
              <w:pStyle w:val="Textpoznpodarou"/>
              <w:jc w:val="both"/>
            </w:pPr>
            <w:r w:rsidRPr="00110513">
              <w:t>K růstu hospodářství v roce 2015 přispěly pozitivně všechny složky poptávky, výjimkou byla jen bilance zahraničního obchodu.</w:t>
            </w:r>
            <w:r w:rsidRPr="00110513">
              <w:rPr>
                <w:rStyle w:val="Znakapoznpodarou"/>
              </w:rPr>
              <w:footnoteReference w:id="4"/>
            </w:r>
            <w:r w:rsidRPr="00110513">
              <w:t xml:space="preserve"> Ta se vlivem silnějšího tempa </w:t>
            </w:r>
            <w:r w:rsidRPr="00110513">
              <w:rPr>
                <w:spacing w:val="-2"/>
              </w:rPr>
              <w:t>růstu dovozu (+8,1 %) oproti vývozu (+7,2 %) zhoršila a působila ve směru</w:t>
            </w:r>
            <w:r w:rsidRPr="00110513">
              <w:t xml:space="preserve"> poklesu výkonnosti ekonomiky ČR (-0,2 p</w:t>
            </w:r>
            <w:r w:rsidR="00D7162F">
              <w:t>.</w:t>
            </w:r>
            <w:r w:rsidRPr="00110513">
              <w:t>b.). Hlavním zdrojem růstu byly investice (tvorba hrubého fixního kapitálu), které přispěly +1,9 p</w:t>
            </w:r>
            <w:r w:rsidR="00D7162F">
              <w:t>.</w:t>
            </w:r>
            <w:r w:rsidRPr="00110513">
              <w:t>b., a výdaje na konečnou spotřebu domácností (+1,4 p</w:t>
            </w:r>
            <w:r w:rsidR="00D7162F">
              <w:t>.</w:t>
            </w:r>
            <w:r w:rsidRPr="00110513">
              <w:t>b.). Investice působily ve směru růstu ekonomiky už devět čtvrtletí v řadě, spotřeba domácností jedenáct. Příspěvek výdajů na konečnou spotřebu vládních institucí byl v porovnání s investicemi a spotřebou domácností slabší (+0,7 p</w:t>
            </w:r>
            <w:r w:rsidR="00D7162F">
              <w:t>.</w:t>
            </w:r>
            <w:r w:rsidRPr="00110513">
              <w:t xml:space="preserve">b.), to ovšem </w:t>
            </w:r>
            <w:r>
              <w:t>vyplývalo z menší váhy</w:t>
            </w:r>
            <w:r w:rsidRPr="00110513">
              <w:t xml:space="preserve"> této složky poptávky. Samotná dynamika spotřeby vládních institucí byla nejvyšší od roku 2003, přitom k silnému růstu</w:t>
            </w:r>
            <w:r>
              <w:t xml:space="preserve"> docházelo hlavně ve 3</w:t>
            </w:r>
            <w:r w:rsidRPr="00110513">
              <w:t xml:space="preserve">. </w:t>
            </w:r>
            <w:r>
              <w:t>čtvrtletí</w:t>
            </w:r>
            <w:r w:rsidRPr="00110513">
              <w:t xml:space="preserve">, kdy se ve velkém </w:t>
            </w:r>
            <w:r>
              <w:t>měřítku</w:t>
            </w:r>
            <w:r w:rsidRPr="00110513">
              <w:t xml:space="preserve"> – za přispění </w:t>
            </w:r>
            <w:r w:rsidR="0035457E">
              <w:t>financování z fondů EU</w:t>
            </w:r>
            <w:r w:rsidRPr="00110513">
              <w:t xml:space="preserve"> – opravovala dopravní infrastruktura. Změna zásob stimulující ekonomiku hlavně na počátku roku přidala +0,6 p</w:t>
            </w:r>
            <w:r w:rsidR="00D7162F">
              <w:t>.</w:t>
            </w:r>
            <w:r w:rsidRPr="00110513">
              <w:t>b.</w:t>
            </w:r>
          </w:p>
          <w:p w:rsidR="00960769" w:rsidRPr="00967AD2" w:rsidRDefault="00960769" w:rsidP="00960769">
            <w:pPr>
              <w:pStyle w:val="Textpoznpodarou"/>
              <w:jc w:val="both"/>
              <w:rPr>
                <w:spacing w:val="-2"/>
              </w:rPr>
            </w:pPr>
          </w:p>
        </w:tc>
      </w:tr>
      <w:tr w:rsidR="00960769" w:rsidRPr="002A7D6D" w:rsidTr="00960769">
        <w:tc>
          <w:tcPr>
            <w:tcW w:w="1054" w:type="pct"/>
          </w:tcPr>
          <w:p w:rsidR="00960769" w:rsidRPr="00110513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110513">
              <w:rPr>
                <w:sz w:val="16"/>
                <w:szCs w:val="16"/>
              </w:rPr>
              <w:t>… po vylouče</w:t>
            </w:r>
            <w:r w:rsidR="00D7162F">
              <w:rPr>
                <w:sz w:val="16"/>
                <w:szCs w:val="16"/>
              </w:rPr>
              <w:t xml:space="preserve">ní dovozu pro konečné užití ale </w:t>
            </w:r>
            <w:r w:rsidRPr="00110513">
              <w:rPr>
                <w:sz w:val="16"/>
                <w:szCs w:val="16"/>
              </w:rPr>
              <w:t>jen +1,4 p</w:t>
            </w:r>
            <w:r w:rsidR="00D7162F">
              <w:rPr>
                <w:sz w:val="16"/>
                <w:szCs w:val="16"/>
              </w:rPr>
              <w:t>.</w:t>
            </w:r>
            <w:r w:rsidRPr="00110513">
              <w:rPr>
                <w:sz w:val="16"/>
                <w:szCs w:val="16"/>
              </w:rPr>
              <w:t>b. a +0,8 p</w:t>
            </w:r>
            <w:r w:rsidR="00D7162F">
              <w:rPr>
                <w:sz w:val="16"/>
                <w:szCs w:val="16"/>
              </w:rPr>
              <w:t>.</w:t>
            </w:r>
            <w:r w:rsidRPr="00110513">
              <w:rPr>
                <w:sz w:val="16"/>
                <w:szCs w:val="16"/>
              </w:rPr>
              <w:t>b.</w:t>
            </w:r>
          </w:p>
        </w:tc>
        <w:tc>
          <w:tcPr>
            <w:tcW w:w="143" w:type="pct"/>
          </w:tcPr>
          <w:p w:rsidR="00960769" w:rsidRPr="00110513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110513" w:rsidRDefault="00C158B0" w:rsidP="00960769">
            <w:pPr>
              <w:pStyle w:val="Textpoznpodarou"/>
              <w:jc w:val="both"/>
            </w:pPr>
            <w:r>
              <w:t>P</w:t>
            </w:r>
            <w:r w:rsidR="00960769" w:rsidRPr="00110513">
              <w:t>okud se z celkového objemu dovozu do ČR vyloučí dovoz pro konečné užití, neboli dovoz, který nesměřuje k dalš</w:t>
            </w:r>
            <w:r>
              <w:t>ímu využití ve výrobním procesu,</w:t>
            </w:r>
            <w:r w:rsidR="00D91F2C">
              <w:t xml:space="preserve"> potom</w:t>
            </w:r>
            <w:r w:rsidR="00972502">
              <w:t xml:space="preserve"> </w:t>
            </w:r>
            <w:r>
              <w:t xml:space="preserve">jsou </w:t>
            </w:r>
            <w:r w:rsidRPr="00D7162F">
              <w:rPr>
                <w:spacing w:val="-4"/>
              </w:rPr>
              <w:t>p</w:t>
            </w:r>
            <w:r w:rsidR="00960769" w:rsidRPr="00D7162F">
              <w:rPr>
                <w:spacing w:val="-4"/>
              </w:rPr>
              <w:t xml:space="preserve">říspěvky </w:t>
            </w:r>
            <w:r w:rsidRPr="00D7162F">
              <w:rPr>
                <w:spacing w:val="-4"/>
              </w:rPr>
              <w:t>výdajů na konečnou spotřebu</w:t>
            </w:r>
            <w:r w:rsidR="00960769" w:rsidRPr="00D7162F">
              <w:rPr>
                <w:spacing w:val="-4"/>
              </w:rPr>
              <w:t xml:space="preserve"> domácností (+0,8 p</w:t>
            </w:r>
            <w:r w:rsidR="00D7162F" w:rsidRPr="00D7162F">
              <w:rPr>
                <w:spacing w:val="-4"/>
              </w:rPr>
              <w:t>.</w:t>
            </w:r>
            <w:r w:rsidR="00960769" w:rsidRPr="00D7162F">
              <w:rPr>
                <w:spacing w:val="-4"/>
              </w:rPr>
              <w:t>b.) a investic (+1</w:t>
            </w:r>
            <w:r w:rsidR="00960769" w:rsidRPr="00110513">
              <w:t>,4 p</w:t>
            </w:r>
            <w:r w:rsidR="00D7162F">
              <w:t>.</w:t>
            </w:r>
            <w:r w:rsidR="00960769" w:rsidRPr="00110513">
              <w:t xml:space="preserve">b.) </w:t>
            </w:r>
            <w:r w:rsidR="00D91F2C">
              <w:lastRenderedPageBreak/>
              <w:t>výrazně</w:t>
            </w:r>
            <w:r>
              <w:t xml:space="preserve"> menší.</w:t>
            </w:r>
            <w:r w:rsidR="00960769" w:rsidRPr="00110513">
              <w:t xml:space="preserve"> </w:t>
            </w:r>
            <w:r>
              <w:t>Je tomu tak proto</w:t>
            </w:r>
            <w:r w:rsidR="00960769" w:rsidRPr="00110513">
              <w:t xml:space="preserve">, že nárůst </w:t>
            </w:r>
            <w:r>
              <w:t>spotřeby domácností a investic</w:t>
            </w:r>
            <w:r w:rsidR="00960769" w:rsidRPr="00110513">
              <w:t xml:space="preserve"> byl ve velkém</w:t>
            </w:r>
            <w:r w:rsidR="008E46A3">
              <w:t xml:space="preserve"> rozsahu uspokojen ze zahraničí, tj. dovozem</w:t>
            </w:r>
            <w:r w:rsidR="00111CA5">
              <w:t>.</w:t>
            </w:r>
            <w:r w:rsidR="00960769" w:rsidRPr="00110513">
              <w:t xml:space="preserve"> </w:t>
            </w:r>
            <w:r w:rsidR="00057C16">
              <w:t>Vyplynulo</w:t>
            </w:r>
            <w:r w:rsidR="00960769" w:rsidRPr="00110513">
              <w:t xml:space="preserve"> to </w:t>
            </w:r>
            <w:r w:rsidR="003E49F6">
              <w:t xml:space="preserve">především </w:t>
            </w:r>
            <w:r w:rsidR="00960769" w:rsidRPr="00110513">
              <w:t>z</w:t>
            </w:r>
            <w:r>
              <w:t> </w:t>
            </w:r>
            <w:r w:rsidR="00960769" w:rsidRPr="00110513">
              <w:t xml:space="preserve">vyšších nákupů automobilů a strojního vybavení, </w:t>
            </w:r>
            <w:r w:rsidR="00960769">
              <w:t>jež</w:t>
            </w:r>
            <w:r w:rsidR="00960769" w:rsidRPr="00110513">
              <w:t xml:space="preserve"> nebylo možné co do pestrosti a specifických požadavků uspokojit z domácích zdrojů. Příspěvek výdajů na</w:t>
            </w:r>
            <w:r w:rsidR="00960769">
              <w:t> </w:t>
            </w:r>
            <w:r w:rsidR="00960769" w:rsidRPr="00110513">
              <w:t>konečnou spotřebu vládních institucí je nižší oproti klasickému pojetí jen nepatrně (+0,6 p</w:t>
            </w:r>
            <w:r w:rsidR="0023355C">
              <w:t>.</w:t>
            </w:r>
            <w:r w:rsidR="00960769" w:rsidRPr="00110513">
              <w:t>b.),</w:t>
            </w:r>
            <w:r w:rsidR="00960769">
              <w:t xml:space="preserve"> stejně tak</w:t>
            </w:r>
            <w:r w:rsidR="00960769" w:rsidRPr="00110513">
              <w:t xml:space="preserve"> v případě změny zásob (</w:t>
            </w:r>
            <w:r w:rsidR="00960769">
              <w:t>+0,5</w:t>
            </w:r>
            <w:r w:rsidR="00960769" w:rsidRPr="00110513">
              <w:t xml:space="preserve"> p</w:t>
            </w:r>
            <w:r w:rsidR="0023355C">
              <w:t>.</w:t>
            </w:r>
            <w:r w:rsidR="00960769" w:rsidRPr="00110513">
              <w:t>b.). B</w:t>
            </w:r>
            <w:r w:rsidR="00960769">
              <w:t>ilance zahraničního obchodu, ze které je vyjmutý dovoz určený pro konečné užití,</w:t>
            </w:r>
            <w:r w:rsidR="00960769" w:rsidRPr="00110513">
              <w:t xml:space="preserve"> přispěla k růstu ekonomiky +1 p</w:t>
            </w:r>
            <w:r w:rsidR="0023355C">
              <w:t>.</w:t>
            </w:r>
            <w:r w:rsidR="00960769" w:rsidRPr="00110513">
              <w:t>b.</w:t>
            </w:r>
          </w:p>
          <w:p w:rsidR="00960769" w:rsidRPr="00620430" w:rsidRDefault="00960769" w:rsidP="00960769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960769" w:rsidRPr="002A7D6D" w:rsidTr="00960769">
        <w:tc>
          <w:tcPr>
            <w:tcW w:w="1054" w:type="pct"/>
          </w:tcPr>
          <w:p w:rsidR="00960769" w:rsidRPr="00110513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110513">
              <w:rPr>
                <w:sz w:val="16"/>
                <w:szCs w:val="16"/>
              </w:rPr>
              <w:lastRenderedPageBreak/>
              <w:t>Vyšší příjmy domácností a vysoká spotřebitelská důvěra se promítaly do nárůstu spotřeby domácností, …</w:t>
            </w:r>
          </w:p>
        </w:tc>
        <w:tc>
          <w:tcPr>
            <w:tcW w:w="143" w:type="pct"/>
          </w:tcPr>
          <w:p w:rsidR="00960769" w:rsidRPr="00110513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110513" w:rsidRDefault="00960769" w:rsidP="00960769">
            <w:pPr>
              <w:pStyle w:val="Textpoznpodarou"/>
              <w:jc w:val="both"/>
            </w:pPr>
            <w:r w:rsidRPr="00110513">
              <w:t xml:space="preserve">Výdaje na konečnou spotřebu domácností stouply v roce 2015 o 2,9 % při </w:t>
            </w:r>
            <w:r w:rsidRPr="00110513">
              <w:rPr>
                <w:spacing w:val="-2"/>
              </w:rPr>
              <w:t>rovnoměrné meziroční dynamice v jednotlivých čtvrtletích (+2,7 %, +2,9 %, +3</w:t>
            </w:r>
            <w:r w:rsidRPr="00110513">
              <w:t xml:space="preserve"> %, </w:t>
            </w:r>
            <w:r w:rsidRPr="00110513">
              <w:rPr>
                <w:spacing w:val="-2"/>
              </w:rPr>
              <w:t>+2,9 %) a rychlém mezičtvrtletním růstu na počátku a konci roku (+1,1 %, +0,5 %,</w:t>
            </w:r>
            <w:r w:rsidRPr="00110513">
              <w:t xml:space="preserve"> +0,4 %, +0,9 %). Byly odrazem zvyšujících se nominálních příjmů domácností v nízkoinflačním prostředí, pozitivně je ovlivňovala i vysoká spotřebitelská důvěra. Ta byla v prosinci nejvyšší na </w:t>
            </w:r>
            <w:r w:rsidR="00057C16">
              <w:t>dostupné časové řadě sahající do roku 1998</w:t>
            </w:r>
            <w:r w:rsidRPr="00110513">
              <w:t xml:space="preserve"> </w:t>
            </w:r>
            <w:r w:rsidR="00057C16">
              <w:t>(</w:t>
            </w:r>
            <w:r w:rsidRPr="00110513">
              <w:t>překonána byla ale hned v lednu 2016</w:t>
            </w:r>
            <w:r w:rsidR="00057C16">
              <w:t>)</w:t>
            </w:r>
            <w:r w:rsidRPr="00110513">
              <w:t>.</w:t>
            </w:r>
          </w:p>
          <w:p w:rsidR="00960769" w:rsidRPr="00620430" w:rsidRDefault="00960769" w:rsidP="00960769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960769" w:rsidRPr="002A7D6D" w:rsidTr="00960769">
        <w:tc>
          <w:tcPr>
            <w:tcW w:w="1054" w:type="pct"/>
          </w:tcPr>
          <w:p w:rsidR="00960769" w:rsidRPr="00110513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110513">
              <w:rPr>
                <w:sz w:val="16"/>
                <w:szCs w:val="16"/>
              </w:rPr>
              <w:t>… ta se zvýšila v celé své struktuře poprvé od roku 2007</w:t>
            </w:r>
          </w:p>
        </w:tc>
        <w:tc>
          <w:tcPr>
            <w:tcW w:w="143" w:type="pct"/>
          </w:tcPr>
          <w:p w:rsidR="00960769" w:rsidRPr="00110513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110513" w:rsidRDefault="00960769" w:rsidP="00960769">
            <w:pPr>
              <w:pStyle w:val="Textpoznpodarou"/>
              <w:jc w:val="both"/>
            </w:pPr>
            <w:r w:rsidRPr="00110513">
              <w:t xml:space="preserve">Spotřeba domácností narostla v loňském roce v celé své struktuře poprvé od roku 2007. Přírůstek výdajů za předměty dlouhodobé spotřeby (např. automobily) </w:t>
            </w:r>
            <w:r w:rsidR="009833FA">
              <w:t>se snížil</w:t>
            </w:r>
            <w:r w:rsidRPr="00110513">
              <w:t xml:space="preserve"> z +10,7 % na +7,9 %</w:t>
            </w:r>
            <w:r w:rsidR="009833FA">
              <w:t>, i tak ale zůstal velmi vysoký</w:t>
            </w:r>
            <w:r w:rsidRPr="00110513">
              <w:t>.</w:t>
            </w:r>
            <w:r w:rsidRPr="00110513">
              <w:rPr>
                <w:rStyle w:val="Znakapoznpodarou"/>
              </w:rPr>
              <w:footnoteReference w:id="5"/>
            </w:r>
            <w:r w:rsidRPr="00110513">
              <w:t xml:space="preserve"> Dynamika výdajů za předměty střednědobé spotře</w:t>
            </w:r>
            <w:r w:rsidR="009F7B52">
              <w:t>by narostla z</w:t>
            </w:r>
            <w:r w:rsidR="009867BC">
              <w:t xml:space="preserve"> +2,9 % na +4,2 %, zvýšila se i</w:t>
            </w:r>
            <w:r w:rsidR="009867BC" w:rsidRPr="009F7B52">
              <w:rPr>
                <w:spacing w:val="-2"/>
              </w:rPr>
              <w:t xml:space="preserve"> </w:t>
            </w:r>
            <w:r w:rsidR="009F7B52" w:rsidRPr="009F7B52">
              <w:rPr>
                <w:spacing w:val="-2"/>
              </w:rPr>
              <w:t>dynamika výdajů za předměty</w:t>
            </w:r>
            <w:r w:rsidRPr="009F7B52">
              <w:rPr>
                <w:spacing w:val="-2"/>
              </w:rPr>
              <w:t xml:space="preserve"> krátkodobé spotřeby (z +0,8 % na +2,9 %).</w:t>
            </w:r>
            <w:r w:rsidRPr="00110513">
              <w:t xml:space="preserve"> Poptávka po službách, která byla v roce 2014 slabší (-0,5 %), se již obnovila (+1,4 %).</w:t>
            </w:r>
          </w:p>
          <w:p w:rsidR="00960769" w:rsidRPr="00110513" w:rsidRDefault="00960769" w:rsidP="00960769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960769" w:rsidRPr="002A7D6D" w:rsidTr="00960769">
        <w:tc>
          <w:tcPr>
            <w:tcW w:w="1054" w:type="pct"/>
          </w:tcPr>
          <w:p w:rsidR="00960769" w:rsidRPr="00110513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110513">
              <w:rPr>
                <w:sz w:val="16"/>
                <w:szCs w:val="16"/>
              </w:rPr>
              <w:t>Nárůst dynamiky výdajů na konečnou spotřebu vládních institucí ve 3. čtvrtletí byl důsledkem rozsáhlých oprav a údržby infrastruktury</w:t>
            </w:r>
          </w:p>
        </w:tc>
        <w:tc>
          <w:tcPr>
            <w:tcW w:w="143" w:type="pct"/>
          </w:tcPr>
          <w:p w:rsidR="00960769" w:rsidRPr="00110513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110513" w:rsidRDefault="00960769" w:rsidP="00960769">
            <w:pPr>
              <w:pStyle w:val="Textpoznpodarou"/>
              <w:jc w:val="both"/>
            </w:pPr>
            <w:r w:rsidRPr="00110513">
              <w:t xml:space="preserve">Expanzivní fiskální politika se zrcadlila ve vysokém přírůstku výdajů na konečnou spotřebu vládních institucí (+3,4 %), v samotném 3. čtvrtletí stouply tyto výdaje dokonce o 4,7 % meziročně. Celoroční objem spotřeby poprvé překonal úroveň roku 2010 (o 2,7 %). </w:t>
            </w:r>
            <w:r>
              <w:t xml:space="preserve">Z údajů za prvních devět měsíců </w:t>
            </w:r>
            <w:r w:rsidRPr="00110513">
              <w:t>vyplývá, že v 1. a 2. čtvrtletí rostly rychleji výdaje na </w:t>
            </w:r>
            <w:r w:rsidRPr="003C5BC7">
              <w:t>individuální spotřebu než na spotřebu kolektivní. Ve</w:t>
            </w:r>
            <w:r w:rsidR="003C5BC7" w:rsidRPr="003C5BC7">
              <w:t> </w:t>
            </w:r>
            <w:r w:rsidRPr="003C5BC7">
              <w:t>3. čtvrtletí se relace otočila a</w:t>
            </w:r>
            <w:r w:rsidR="001F31BC">
              <w:t xml:space="preserve"> dynamikou</w:t>
            </w:r>
            <w:r w:rsidRPr="003C5BC7">
              <w:t xml:space="preserve"> </w:t>
            </w:r>
            <w:r w:rsidR="003C5BC7" w:rsidRPr="003C5BC7">
              <w:t>dominovaly</w:t>
            </w:r>
            <w:r w:rsidRPr="003C5BC7">
              <w:t xml:space="preserve"> – vzhledem k rozsáhlým opravám a údržbě dopravní infrastruktury – výdaje na kolektivní spotřebu.</w:t>
            </w:r>
          </w:p>
          <w:p w:rsidR="00960769" w:rsidRPr="00110513" w:rsidRDefault="00960769" w:rsidP="00960769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960769" w:rsidRPr="002A7D6D" w:rsidTr="00960769">
        <w:tc>
          <w:tcPr>
            <w:tcW w:w="1054" w:type="pct"/>
          </w:tcPr>
          <w:p w:rsidR="00960769" w:rsidRPr="00110513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110513">
              <w:rPr>
                <w:sz w:val="16"/>
                <w:szCs w:val="16"/>
              </w:rPr>
              <w:t>Devět čtvrtletí trvající mezičtvrtletní růst investic se v závěru loňského roku již zastavil</w:t>
            </w:r>
          </w:p>
        </w:tc>
        <w:tc>
          <w:tcPr>
            <w:tcW w:w="143" w:type="pct"/>
          </w:tcPr>
          <w:p w:rsidR="00960769" w:rsidRPr="00110513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110513" w:rsidRDefault="00960769" w:rsidP="00960769">
            <w:pPr>
              <w:pStyle w:val="Textpoznpodarou"/>
              <w:jc w:val="both"/>
            </w:pPr>
            <w:r w:rsidRPr="00110513">
              <w:t xml:space="preserve">Hlavním zdrojem růstu české ekonomiky byly v loňském roce investice. Jejich dynamika </w:t>
            </w:r>
            <w:r>
              <w:t>se zvyšovala</w:t>
            </w:r>
            <w:r w:rsidRPr="00110513">
              <w:t xml:space="preserve"> až do 3. čtvrtletí, kdy dosáhla +9,6 % meziročně a byla nejvyšší od konce roku 2007. V úhrnu za celý rok se investice zvýšily o 7,5 % a souvisely s vyšší investiční aktivitou nefinančních podniků, vládních institucí</w:t>
            </w:r>
            <w:r w:rsidRPr="00110513">
              <w:rPr>
                <w:spacing w:val="-4"/>
              </w:rPr>
              <w:t xml:space="preserve"> i domácností. V posledním čtvrtletí meziroční dynamika již mírně oslabila (na +7,</w:t>
            </w:r>
            <w:r w:rsidRPr="00110513">
              <w:t>9 %), mezikvartálně se investice dokonce snížily (-0,9 %).</w:t>
            </w:r>
          </w:p>
          <w:p w:rsidR="00960769" w:rsidRPr="00110513" w:rsidRDefault="00960769" w:rsidP="00960769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960769" w:rsidRPr="002A7D6D" w:rsidTr="00960769">
        <w:trPr>
          <w:trHeight w:val="2085"/>
        </w:trPr>
        <w:tc>
          <w:tcPr>
            <w:tcW w:w="1054" w:type="pct"/>
          </w:tcPr>
          <w:p w:rsidR="00960769" w:rsidRPr="00110513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110513">
              <w:rPr>
                <w:sz w:val="16"/>
                <w:szCs w:val="16"/>
              </w:rPr>
              <w:t>Investice do budov a staveb stouply v loňském roce téměř o desetinu. Rychleji rostly naposledy v roce 1995</w:t>
            </w:r>
          </w:p>
        </w:tc>
        <w:tc>
          <w:tcPr>
            <w:tcW w:w="143" w:type="pct"/>
          </w:tcPr>
          <w:p w:rsidR="00960769" w:rsidRPr="00110513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110513" w:rsidRDefault="00960769" w:rsidP="00960769">
            <w:pPr>
              <w:pStyle w:val="Textpoznpodarou"/>
              <w:jc w:val="both"/>
              <w:rPr>
                <w:spacing w:val="-2"/>
              </w:rPr>
            </w:pPr>
            <w:r w:rsidRPr="00110513">
              <w:rPr>
                <w:spacing w:val="-2"/>
              </w:rPr>
              <w:t>Podle věcného členění tvorby hrubého fixního kapitálu</w:t>
            </w:r>
            <w:r w:rsidRPr="00110513">
              <w:rPr>
                <w:rStyle w:val="Znakapoznpodarou"/>
                <w:spacing w:val="-2"/>
              </w:rPr>
              <w:footnoteReference w:id="6"/>
            </w:r>
            <w:r w:rsidRPr="00110513">
              <w:rPr>
                <w:spacing w:val="-2"/>
              </w:rPr>
              <w:t xml:space="preserve"> stouply v roce 2015 především nákupy dopravních prostředků a zařízení (+14,9 %), nárůst investic nefinančních podniků rámovaly ale i vyšší investice do ICT, strojů a zařízení (+5,9 %) a dva roky nepozorovaný růst investic do produktů duševního vlastnictví. Zrychlené čerpání peněz z fondů EU se promítalo velmi silně v investicích do budov a staveb (+9,2 %), přitom jejich přírůstek byl nejvyšší – podobně jako u výdajů na konečnou spotřebu vládních institucí – ve 3. čtvrtletí (+13,6 % meziročně). Také domácnosti byly v loňském roce </w:t>
            </w:r>
            <w:r w:rsidR="004342EC">
              <w:rPr>
                <w:spacing w:val="-2"/>
              </w:rPr>
              <w:t>vysoce aktivní</w:t>
            </w:r>
            <w:r w:rsidRPr="00110513">
              <w:rPr>
                <w:spacing w:val="-2"/>
              </w:rPr>
              <w:t xml:space="preserve"> a pomohly tomu i nízké ú</w:t>
            </w:r>
            <w:r w:rsidR="004342EC">
              <w:rPr>
                <w:spacing w:val="-2"/>
              </w:rPr>
              <w:t>rokové sazby z úvěrů na bydlení – i</w:t>
            </w:r>
            <w:r w:rsidRPr="00110513">
              <w:rPr>
                <w:spacing w:val="-2"/>
              </w:rPr>
              <w:t>nvestice do staveb pro bydlení stouply o 7 %.</w:t>
            </w:r>
          </w:p>
          <w:p w:rsidR="00960769" w:rsidRPr="00110513" w:rsidRDefault="00960769" w:rsidP="00960769">
            <w:pPr>
              <w:pStyle w:val="Textpoznpodarou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960769" w:rsidRPr="002A7D6D" w:rsidTr="00960769">
        <w:tc>
          <w:tcPr>
            <w:tcW w:w="1054" w:type="pct"/>
          </w:tcPr>
          <w:p w:rsidR="00960769" w:rsidRPr="00110513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110513">
              <w:rPr>
                <w:sz w:val="16"/>
                <w:szCs w:val="16"/>
              </w:rPr>
              <w:t xml:space="preserve">Přebytek zahraničního obchodu se zbožím a službami se v roce 2015 zvětšil </w:t>
            </w:r>
            <w:r>
              <w:rPr>
                <w:sz w:val="16"/>
                <w:szCs w:val="16"/>
              </w:rPr>
              <w:t>jen</w:t>
            </w:r>
            <w:r w:rsidRPr="00110513">
              <w:rPr>
                <w:sz w:val="16"/>
                <w:szCs w:val="16"/>
              </w:rPr>
              <w:t xml:space="preserve"> o 2,1 mld. korun nominálně, …</w:t>
            </w:r>
          </w:p>
        </w:tc>
        <w:tc>
          <w:tcPr>
            <w:tcW w:w="143" w:type="pct"/>
          </w:tcPr>
          <w:p w:rsidR="00960769" w:rsidRPr="00110513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110513" w:rsidRDefault="00960769" w:rsidP="00960769">
            <w:pPr>
              <w:pStyle w:val="Textpoznpodarou"/>
              <w:jc w:val="both"/>
            </w:pPr>
            <w:r w:rsidRPr="00110513">
              <w:t>Přebytek zahraničního obchodu se zbožím a službami dosáhl v pojetí národních účtů 288,6 mld. korun nominálně. V porovnání s rokem 2014 se přebytek zvětšil pouze o 2,1 mld. korun, nejpomaleji za posledních pět let. Na jeho růstu se podílel poněkud překvapivě jenom obchod se službami (+21,3 mld. korun), přebytek obchodu se zbožím byl nižší o 19,2 mld. Pokud jde o jednotlivá čtvrtletí, přebytky v </w:t>
            </w:r>
            <w:r w:rsidRPr="00110513">
              <w:rPr>
                <w:spacing w:val="4"/>
              </w:rPr>
              <w:t xml:space="preserve">zahraničním obchodě byly v 1. až 3. kvartále roku dokonce </w:t>
            </w:r>
            <w:r w:rsidR="00524FDD" w:rsidRPr="00110513">
              <w:rPr>
                <w:spacing w:val="4"/>
              </w:rPr>
              <w:t xml:space="preserve">meziročně </w:t>
            </w:r>
            <w:r w:rsidRPr="00110513">
              <w:rPr>
                <w:spacing w:val="4"/>
              </w:rPr>
              <w:t>slabší (-</w:t>
            </w:r>
            <w:r w:rsidRPr="00110513">
              <w:t xml:space="preserve">9,1 </w:t>
            </w:r>
            <w:r w:rsidRPr="004502C0">
              <w:rPr>
                <w:spacing w:val="-2"/>
              </w:rPr>
              <w:t xml:space="preserve">mld. korun), celoroční výsledek </w:t>
            </w:r>
            <w:r w:rsidR="00524FDD">
              <w:rPr>
                <w:spacing w:val="-2"/>
              </w:rPr>
              <w:t>vylepšilo</w:t>
            </w:r>
            <w:r w:rsidRPr="004502C0">
              <w:rPr>
                <w:spacing w:val="-2"/>
              </w:rPr>
              <w:t xml:space="preserve"> až poslední čtvrtletí (+11</w:t>
            </w:r>
            <w:r w:rsidRPr="00110513">
              <w:t>,3 mld.).</w:t>
            </w:r>
          </w:p>
          <w:p w:rsidR="00960769" w:rsidRPr="00110513" w:rsidRDefault="00960769" w:rsidP="00960769">
            <w:pPr>
              <w:pStyle w:val="Textpoznpodarou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960769" w:rsidRPr="002A7D6D" w:rsidTr="00960769">
        <w:tc>
          <w:tcPr>
            <w:tcW w:w="1054" w:type="pct"/>
          </w:tcPr>
          <w:p w:rsidR="00960769" w:rsidRPr="00110513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 w:rsidRPr="00110513">
              <w:rPr>
                <w:sz w:val="16"/>
                <w:szCs w:val="16"/>
              </w:rPr>
              <w:t>… a to pouze díky přetrvávajícím kladným směnným relacím</w:t>
            </w:r>
          </w:p>
        </w:tc>
        <w:tc>
          <w:tcPr>
            <w:tcW w:w="143" w:type="pct"/>
          </w:tcPr>
          <w:p w:rsidR="00960769" w:rsidRPr="00110513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110513" w:rsidRDefault="00960769" w:rsidP="00960769">
            <w:pPr>
              <w:pStyle w:val="Textpoznpodarou"/>
              <w:jc w:val="both"/>
            </w:pPr>
            <w:r w:rsidRPr="00A91336">
              <w:t>Reálný hrubý domácí důchod,</w:t>
            </w:r>
            <w:r w:rsidR="007D4128" w:rsidRPr="00A91336">
              <w:rPr>
                <w:vertAlign w:val="superscript"/>
              </w:rPr>
              <w:t>8</w:t>
            </w:r>
            <w:r w:rsidRPr="00A91336">
              <w:t xml:space="preserve"> který</w:t>
            </w:r>
            <w:r w:rsidRPr="00110513">
              <w:t xml:space="preserve"> na rozdíl od HDP zohledňuje dodatečné zisky </w:t>
            </w:r>
            <w:r>
              <w:t>nebo ztráty z vývoje cen v zahraničním obchodě</w:t>
            </w:r>
            <w:r w:rsidR="00343474">
              <w:t>,</w:t>
            </w:r>
            <w:r w:rsidR="00343474">
              <w:rPr>
                <w:spacing w:val="-2"/>
              </w:rPr>
              <w:t xml:space="preserve"> resp.</w:t>
            </w:r>
            <w:r>
              <w:rPr>
                <w:spacing w:val="-2"/>
              </w:rPr>
              <w:t xml:space="preserve"> zisky nebo ztráty ze</w:t>
            </w:r>
            <w:r w:rsidR="00343474">
              <w:rPr>
                <w:spacing w:val="-2"/>
              </w:rPr>
              <w:t> </w:t>
            </w:r>
            <w:r>
              <w:rPr>
                <w:spacing w:val="-2"/>
              </w:rPr>
              <w:t>směnných relací,</w:t>
            </w:r>
            <w:r w:rsidRPr="00110513">
              <w:rPr>
                <w:spacing w:val="-2"/>
              </w:rPr>
              <w:t xml:space="preserve"> vzrostl v loňském roce o 4,5 %. Zvýšil se tedy o 0,</w:t>
            </w:r>
            <w:r>
              <w:rPr>
                <w:spacing w:val="-2"/>
              </w:rPr>
              <w:t>3</w:t>
            </w:r>
            <w:r w:rsidRPr="00110513">
              <w:t xml:space="preserve"> p</w:t>
            </w:r>
            <w:r w:rsidR="00D41281">
              <w:t>.</w:t>
            </w:r>
            <w:r w:rsidRPr="00110513">
              <w:t xml:space="preserve">b. </w:t>
            </w:r>
            <w:r w:rsidRPr="00110513">
              <w:lastRenderedPageBreak/>
              <w:t xml:space="preserve">rychleji </w:t>
            </w:r>
            <w:r w:rsidR="00022B41">
              <w:t>než HDP. Proti</w:t>
            </w:r>
            <w:r w:rsidRPr="00110513">
              <w:t xml:space="preserve"> rokům 2013 a 2014 došlo k výrazné změně, protože tehdy byla dynamika reálného hrubého domácího důchodu v porovnání s HDP vyšší o</w:t>
            </w:r>
            <w:r>
              <w:t> 0,9</w:t>
            </w:r>
            <w:r w:rsidR="00022B41">
              <w:t> </w:t>
            </w:r>
            <w:r w:rsidRPr="00110513">
              <w:t>p</w:t>
            </w:r>
            <w:r w:rsidR="00D41281">
              <w:t>.</w:t>
            </w:r>
            <w:r w:rsidRPr="00110513">
              <w:t>b. a 1,2 p</w:t>
            </w:r>
            <w:r w:rsidR="00D41281">
              <w:t>.</w:t>
            </w:r>
            <w:r w:rsidRPr="00110513">
              <w:t xml:space="preserve">b. </w:t>
            </w:r>
            <w:r>
              <w:t>Zatímco v letech 2013 a 2014</w:t>
            </w:r>
            <w:r w:rsidRPr="00110513">
              <w:t xml:space="preserve"> </w:t>
            </w:r>
            <w:r>
              <w:t>směnné relace</w:t>
            </w:r>
            <w:r w:rsidRPr="00110513">
              <w:t xml:space="preserve"> činily 101,2 % a</w:t>
            </w:r>
            <w:r>
              <w:t> </w:t>
            </w:r>
            <w:r w:rsidRPr="00110513">
              <w:t>101,5 %</w:t>
            </w:r>
            <w:r>
              <w:t>, loni už jen 100,4 %</w:t>
            </w:r>
            <w:r w:rsidRPr="00110513">
              <w:t>.</w:t>
            </w:r>
          </w:p>
          <w:p w:rsidR="00960769" w:rsidRPr="004502C0" w:rsidRDefault="00960769" w:rsidP="00960769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960769" w:rsidRPr="002A7D6D" w:rsidTr="00960769">
        <w:tc>
          <w:tcPr>
            <w:tcW w:w="1054" w:type="pct"/>
          </w:tcPr>
          <w:p w:rsidR="00960769" w:rsidRPr="002A7D6D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 růstu ekonomiky přispěly v loňském roce rovnoměrně zpracovatelský průmysl i služby, přidaly +1,9 p</w:t>
            </w:r>
            <w:r w:rsidR="00D412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b. a +1,8 p</w:t>
            </w:r>
            <w:r w:rsidR="00D412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b., …</w:t>
            </w:r>
          </w:p>
        </w:tc>
        <w:tc>
          <w:tcPr>
            <w:tcW w:w="143" w:type="pct"/>
          </w:tcPr>
          <w:p w:rsidR="00960769" w:rsidRPr="002A7D6D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Default="00960769" w:rsidP="00960769">
            <w:pPr>
              <w:pStyle w:val="Textpoznpodarou"/>
              <w:jc w:val="both"/>
            </w:pPr>
            <w:r w:rsidRPr="004A4770">
              <w:rPr>
                <w:spacing w:val="-4"/>
              </w:rPr>
              <w:t xml:space="preserve">Růst ekonomiky </w:t>
            </w:r>
            <w:r>
              <w:rPr>
                <w:spacing w:val="-4"/>
              </w:rPr>
              <w:t>byl</w:t>
            </w:r>
            <w:r w:rsidRPr="004A4770">
              <w:rPr>
                <w:spacing w:val="-4"/>
              </w:rPr>
              <w:t xml:space="preserve"> z hlediska </w:t>
            </w:r>
            <w:r>
              <w:rPr>
                <w:spacing w:val="-4"/>
              </w:rPr>
              <w:t>strany nabídky rovnoměrně rozložen mezi</w:t>
            </w:r>
            <w:r w:rsidRPr="00A6419D">
              <w:t xml:space="preserve"> </w:t>
            </w:r>
            <w:r>
              <w:t>zpracovatelský</w:t>
            </w:r>
            <w:r w:rsidRPr="00A6419D">
              <w:t xml:space="preserve"> průmysl a</w:t>
            </w:r>
            <w:r>
              <w:t xml:space="preserve"> sektor</w:t>
            </w:r>
            <w:r w:rsidRPr="00A6419D">
              <w:t xml:space="preserve"> s</w:t>
            </w:r>
            <w:r>
              <w:t>lužeb</w:t>
            </w:r>
            <w:r w:rsidRPr="00A6419D">
              <w:t xml:space="preserve">. Hrubá přidaná hodnota </w:t>
            </w:r>
            <w:r>
              <w:t>průmyslu jako celku</w:t>
            </w:r>
            <w:r w:rsidRPr="00A6419D">
              <w:t xml:space="preserve"> vzrostla</w:t>
            </w:r>
            <w:r>
              <w:t xml:space="preserve"> v loňském roce</w:t>
            </w:r>
            <w:r w:rsidRPr="00A6419D">
              <w:t xml:space="preserve"> o </w:t>
            </w:r>
            <w:r>
              <w:t>5,6</w:t>
            </w:r>
            <w:r w:rsidRPr="00A6419D">
              <w:t xml:space="preserve"> % a podílela se na růstu ekonomiky +</w:t>
            </w:r>
            <w:r>
              <w:t>1,8</w:t>
            </w:r>
            <w:r w:rsidRPr="00A6419D">
              <w:t xml:space="preserve"> p</w:t>
            </w:r>
            <w:r w:rsidR="00D41281">
              <w:t>.</w:t>
            </w:r>
            <w:r w:rsidRPr="00A6419D">
              <w:t xml:space="preserve">b., </w:t>
            </w:r>
            <w:r>
              <w:t>samotný zpracovatelský průmysl si připsal +7,3 % a přidal +1,9 p</w:t>
            </w:r>
            <w:r w:rsidR="00D41281">
              <w:t>.</w:t>
            </w:r>
            <w:r>
              <w:t xml:space="preserve">b. Ostatní průmyslová odvětví </w:t>
            </w:r>
            <w:r w:rsidR="005F26CE">
              <w:t>– těžba a dobývání, energetika,</w:t>
            </w:r>
            <w:r>
              <w:t xml:space="preserve"> zásobování vodou – byla v</w:t>
            </w:r>
            <w:r w:rsidR="005F26CE">
              <w:t> </w:t>
            </w:r>
            <w:r>
              <w:t>poklesu</w:t>
            </w:r>
            <w:r w:rsidR="005F26CE">
              <w:t xml:space="preserve"> (-0,1 p</w:t>
            </w:r>
            <w:r w:rsidR="00D41281">
              <w:t>.</w:t>
            </w:r>
            <w:r w:rsidR="005F26CE">
              <w:t>b.)</w:t>
            </w:r>
            <w:r>
              <w:t>. Služby stouply o 3</w:t>
            </w:r>
            <w:r w:rsidRPr="00A6419D">
              <w:t xml:space="preserve"> % a </w:t>
            </w:r>
            <w:r>
              <w:t>přispěly k růstu</w:t>
            </w:r>
            <w:r w:rsidR="00883A67">
              <w:t xml:space="preserve"> +</w:t>
            </w:r>
            <w:r w:rsidRPr="00A6419D">
              <w:t>1,8 p</w:t>
            </w:r>
            <w:r w:rsidR="00D41281">
              <w:t>.</w:t>
            </w:r>
            <w:r w:rsidRPr="00A6419D">
              <w:t>b.</w:t>
            </w:r>
            <w:r>
              <w:t xml:space="preserve">, důležité </w:t>
            </w:r>
            <w:r w:rsidRPr="005F26CE">
              <w:rPr>
                <w:spacing w:val="-2"/>
              </w:rPr>
              <w:t>přitom bylo, že se dařilo širšímu spektru odvětví než v roce 2014. Obchod</w:t>
            </w:r>
            <w:r>
              <w:t>, doprava, ubytování a pohostinství přidal</w:t>
            </w:r>
            <w:r w:rsidR="00343474">
              <w:t>y</w:t>
            </w:r>
            <w:r>
              <w:t xml:space="preserve"> celkově +0,4 p</w:t>
            </w:r>
            <w:r w:rsidR="00D41281">
              <w:t>.</w:t>
            </w:r>
            <w:r>
              <w:t>b</w:t>
            </w:r>
            <w:r w:rsidR="00893648">
              <w:t>.</w:t>
            </w:r>
            <w:r>
              <w:t>, totožným dílem se na růstu ekonomiky podílela i odvětví s převahou veřejného sektoru (CZ-NACE O až Q). Rychle rostoucí informační a komunikační služby (+7 %) přispěly +0,3 p</w:t>
            </w:r>
            <w:r w:rsidR="00D41281">
              <w:t>.</w:t>
            </w:r>
            <w:r>
              <w:t>b., stejně jako váhově významnější profesní, vědecké, technické a administrativní činnosti.</w:t>
            </w:r>
          </w:p>
          <w:p w:rsidR="00960769" w:rsidRPr="004502C0" w:rsidRDefault="00960769" w:rsidP="00960769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960769" w:rsidRPr="002A7D6D" w:rsidTr="00960769">
        <w:tc>
          <w:tcPr>
            <w:tcW w:w="1054" w:type="pct"/>
          </w:tcPr>
          <w:p w:rsidR="00960769" w:rsidRPr="002A7D6D" w:rsidRDefault="00960769" w:rsidP="0096076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příspěvek stavebnictví zůstal stejný jako před rokem (+0,2 p</w:t>
            </w:r>
            <w:r w:rsidR="00D412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b.)</w:t>
            </w:r>
          </w:p>
        </w:tc>
        <w:tc>
          <w:tcPr>
            <w:tcW w:w="143" w:type="pct"/>
          </w:tcPr>
          <w:p w:rsidR="00960769" w:rsidRPr="002A7D6D" w:rsidRDefault="00960769" w:rsidP="00960769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60769" w:rsidRPr="001C0EB9" w:rsidRDefault="00960769" w:rsidP="00ED40F0">
            <w:pPr>
              <w:pStyle w:val="Textpoznpodarou"/>
              <w:jc w:val="both"/>
            </w:pPr>
            <w:r w:rsidRPr="001C0EB9">
              <w:t xml:space="preserve">Přísun peněz do stavebnictví z fondů EU zajistil, že </w:t>
            </w:r>
            <w:r w:rsidR="001C0EB9" w:rsidRPr="001C0EB9">
              <w:t>toto odvětví</w:t>
            </w:r>
            <w:r w:rsidRPr="001C0EB9">
              <w:t xml:space="preserve"> rostlo solidním tempem i </w:t>
            </w:r>
            <w:r w:rsidR="00ED40F0">
              <w:t>loni</w:t>
            </w:r>
            <w:r w:rsidRPr="001C0EB9">
              <w:t>. Jeho příspěvek k</w:t>
            </w:r>
            <w:r w:rsidR="00ED40F0">
              <w:t xml:space="preserve"> celkovému</w:t>
            </w:r>
            <w:r w:rsidRPr="001C0EB9">
              <w:t> růstu se nezměnil a zůstal stejný jako v roce 2014 (+0,2 p</w:t>
            </w:r>
            <w:r w:rsidR="00D41281">
              <w:t>.</w:t>
            </w:r>
            <w:r w:rsidRPr="001C0EB9">
              <w:t>b.). Zemědělství, lesnictví a rybářství vlivem vysoké základny související s velmi dobrou sklizní ovšem zpomalilo a na růstu se nepodílelo.</w:t>
            </w:r>
          </w:p>
        </w:tc>
      </w:tr>
    </w:tbl>
    <w:p w:rsidR="00960769" w:rsidRPr="00960769" w:rsidRDefault="00960769" w:rsidP="00960769">
      <w:pPr>
        <w:pStyle w:val="Textpoznpodarou"/>
        <w:jc w:val="both"/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1060"/>
        <w:gridCol w:w="3879"/>
        <w:gridCol w:w="621"/>
        <w:gridCol w:w="4294"/>
      </w:tblGrid>
      <w:tr w:rsidR="00960769" w:rsidRPr="006133A2" w:rsidTr="00960769">
        <w:tc>
          <w:tcPr>
            <w:tcW w:w="536" w:type="pct"/>
          </w:tcPr>
          <w:p w:rsidR="00960769" w:rsidRPr="00FF314F" w:rsidRDefault="00960769" w:rsidP="00960769">
            <w:pPr>
              <w:pStyle w:val="Textpoznpodarou"/>
              <w:rPr>
                <w:lang w:eastAsia="en-US"/>
              </w:rPr>
            </w:pPr>
            <w:r w:rsidRPr="00FF314F">
              <w:rPr>
                <w:lang w:eastAsia="en-US"/>
              </w:rPr>
              <w:t>Graf č. 1</w:t>
            </w:r>
          </w:p>
        </w:tc>
        <w:tc>
          <w:tcPr>
            <w:tcW w:w="1965" w:type="pct"/>
          </w:tcPr>
          <w:p w:rsidR="00960769" w:rsidRPr="00FF314F" w:rsidRDefault="00960769" w:rsidP="00960769">
            <w:pPr>
              <w:pStyle w:val="Textpoznpodarou"/>
              <w:rPr>
                <w:lang w:eastAsia="en-US"/>
              </w:rPr>
            </w:pPr>
            <w:r w:rsidRPr="00960769">
              <w:rPr>
                <w:b/>
                <w:lang w:eastAsia="en-US"/>
              </w:rPr>
              <w:t xml:space="preserve">HDP </w:t>
            </w:r>
            <w:r w:rsidRPr="00FF314F">
              <w:rPr>
                <w:lang w:eastAsia="en-US"/>
              </w:rPr>
              <w:t>(stálé ceny, očištěno o sezónní a kalendářní vlivy, v %)</w:t>
            </w:r>
          </w:p>
        </w:tc>
        <w:tc>
          <w:tcPr>
            <w:tcW w:w="315" w:type="pct"/>
          </w:tcPr>
          <w:p w:rsidR="00960769" w:rsidRPr="00FF314F" w:rsidRDefault="00960769" w:rsidP="00960769">
            <w:pPr>
              <w:pStyle w:val="Textpoznpodarou"/>
              <w:rPr>
                <w:lang w:eastAsia="en-US"/>
              </w:rPr>
            </w:pPr>
            <w:r w:rsidRPr="00FF314F">
              <w:rPr>
                <w:lang w:eastAsia="en-US"/>
              </w:rPr>
              <w:t>Graf č. 2</w:t>
            </w:r>
          </w:p>
        </w:tc>
        <w:tc>
          <w:tcPr>
            <w:tcW w:w="2185" w:type="pct"/>
          </w:tcPr>
          <w:p w:rsidR="00960769" w:rsidRPr="00960769" w:rsidRDefault="00960769" w:rsidP="00960769">
            <w:pPr>
              <w:pStyle w:val="Textpoznpodarou"/>
              <w:rPr>
                <w:spacing w:val="-2"/>
                <w:lang w:eastAsia="en-US"/>
              </w:rPr>
            </w:pPr>
            <w:r w:rsidRPr="00960769">
              <w:rPr>
                <w:b/>
                <w:spacing w:val="-2"/>
                <w:lang w:eastAsia="en-US"/>
              </w:rPr>
              <w:t xml:space="preserve">HDP </w:t>
            </w:r>
            <w:r w:rsidRPr="00960769">
              <w:rPr>
                <w:spacing w:val="-2"/>
                <w:lang w:eastAsia="en-US"/>
              </w:rPr>
              <w:t xml:space="preserve">(stálé ceny, očištěno o sezónní a kalendářní vlivy, y/y v %, pravá osa) </w:t>
            </w:r>
            <w:r w:rsidRPr="00960769">
              <w:rPr>
                <w:b/>
                <w:spacing w:val="-2"/>
                <w:lang w:eastAsia="en-US"/>
              </w:rPr>
              <w:t>a indikátory důvěry</w:t>
            </w:r>
            <w:r w:rsidRPr="00960769">
              <w:rPr>
                <w:spacing w:val="-2"/>
                <w:lang w:eastAsia="en-US"/>
              </w:rPr>
              <w:t xml:space="preserve"> (2005=100, levá osa)</w:t>
            </w:r>
          </w:p>
        </w:tc>
      </w:tr>
      <w:tr w:rsidR="00960769" w:rsidRPr="006133A2" w:rsidTr="00960769">
        <w:tc>
          <w:tcPr>
            <w:tcW w:w="2501" w:type="pct"/>
            <w:gridSpan w:val="2"/>
          </w:tcPr>
          <w:p w:rsidR="00960769" w:rsidRPr="00960769" w:rsidRDefault="00B350A0" w:rsidP="00960769">
            <w:pPr>
              <w:pStyle w:val="Textpoznpodarou"/>
              <w:jc w:val="both"/>
              <w:rPr>
                <w:color w:val="FF0000"/>
                <w:lang w:eastAsia="en-US"/>
              </w:rPr>
            </w:pPr>
            <w:r w:rsidRPr="000F697F">
              <w:rPr>
                <w:noProof/>
                <w:color w:val="FF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9pt;height:187.2pt;visibility:visible;mso-wrap-style:square">
                  <v:imagedata r:id="rId8" o:title=""/>
                </v:shape>
              </w:pict>
            </w:r>
          </w:p>
        </w:tc>
        <w:tc>
          <w:tcPr>
            <w:tcW w:w="2499" w:type="pct"/>
            <w:gridSpan w:val="2"/>
          </w:tcPr>
          <w:p w:rsidR="00960769" w:rsidRPr="00960769" w:rsidRDefault="00B350A0" w:rsidP="00960769">
            <w:pPr>
              <w:pStyle w:val="Textpoznpodarou"/>
              <w:jc w:val="both"/>
              <w:rPr>
                <w:color w:val="FF0000"/>
                <w:lang w:eastAsia="en-US"/>
              </w:rPr>
            </w:pPr>
            <w:r w:rsidRPr="000F697F">
              <w:rPr>
                <w:noProof/>
                <w:color w:val="FF0000"/>
              </w:rPr>
              <w:pict>
                <v:shape id="_x0000_i1026" type="#_x0000_t75" style="width:236.65pt;height:187.2pt;visibility:visible;mso-wrap-style:square">
                  <v:imagedata r:id="rId9" o:title=""/>
                </v:shape>
              </w:pict>
            </w:r>
          </w:p>
        </w:tc>
      </w:tr>
      <w:tr w:rsidR="00960769" w:rsidRPr="006133A2" w:rsidTr="00960769">
        <w:tc>
          <w:tcPr>
            <w:tcW w:w="5000" w:type="pct"/>
            <w:gridSpan w:val="4"/>
          </w:tcPr>
          <w:p w:rsidR="00960769" w:rsidRPr="00960769" w:rsidRDefault="00960769" w:rsidP="00960769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960769">
              <w:rPr>
                <w:sz w:val="18"/>
                <w:szCs w:val="18"/>
                <w:lang w:eastAsia="en-US"/>
              </w:rPr>
              <w:t>Zdroj: ČSÚ, Eurostat</w:t>
            </w:r>
          </w:p>
        </w:tc>
      </w:tr>
    </w:tbl>
    <w:p w:rsidR="00960769" w:rsidRPr="00960769" w:rsidRDefault="00960769" w:rsidP="00960769">
      <w:pPr>
        <w:pStyle w:val="Textpoznpodarou"/>
        <w:jc w:val="both"/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632"/>
        <w:gridCol w:w="4282"/>
        <w:gridCol w:w="1008"/>
        <w:gridCol w:w="1397"/>
        <w:gridCol w:w="2535"/>
      </w:tblGrid>
      <w:tr w:rsidR="00960769" w:rsidRPr="006133A2" w:rsidTr="00960769">
        <w:tc>
          <w:tcPr>
            <w:tcW w:w="320" w:type="pct"/>
          </w:tcPr>
          <w:p w:rsidR="00960769" w:rsidRPr="00FF314F" w:rsidRDefault="00960769" w:rsidP="00960769">
            <w:pPr>
              <w:pStyle w:val="Textpoznpodarou"/>
              <w:rPr>
                <w:lang w:eastAsia="en-US"/>
              </w:rPr>
            </w:pPr>
            <w:r w:rsidRPr="00FF314F">
              <w:rPr>
                <w:lang w:eastAsia="en-US"/>
              </w:rPr>
              <w:t>Graf č. 3</w:t>
            </w:r>
          </w:p>
        </w:tc>
        <w:tc>
          <w:tcPr>
            <w:tcW w:w="2175" w:type="pct"/>
          </w:tcPr>
          <w:p w:rsidR="00960769" w:rsidRPr="00960769" w:rsidRDefault="00960769" w:rsidP="00960769">
            <w:pPr>
              <w:pStyle w:val="Textpoznpodarou"/>
              <w:rPr>
                <w:spacing w:val="-6"/>
                <w:lang w:eastAsia="en-US"/>
              </w:rPr>
            </w:pPr>
            <w:r w:rsidRPr="00960769">
              <w:rPr>
                <w:b/>
                <w:spacing w:val="-6"/>
                <w:lang w:eastAsia="en-US"/>
              </w:rPr>
              <w:t>Příspěvky výdajových složek ke změně HDP*</w:t>
            </w:r>
            <w:r w:rsidRPr="00960769">
              <w:rPr>
                <w:spacing w:val="-6"/>
                <w:lang w:eastAsia="en-US"/>
              </w:rPr>
              <w:t xml:space="preserve"> (stálé ceny, y/y, příspěvky v</w:t>
            </w:r>
            <w:r w:rsidR="00EB522B">
              <w:rPr>
                <w:spacing w:val="-6"/>
                <w:lang w:eastAsia="en-US"/>
              </w:rPr>
              <w:t> </w:t>
            </w:r>
            <w:r w:rsidRPr="00960769">
              <w:rPr>
                <w:spacing w:val="-6"/>
                <w:lang w:eastAsia="en-US"/>
              </w:rPr>
              <w:t>p</w:t>
            </w:r>
            <w:r w:rsidR="00EB522B">
              <w:rPr>
                <w:spacing w:val="-6"/>
                <w:lang w:eastAsia="en-US"/>
              </w:rPr>
              <w:t>.</w:t>
            </w:r>
            <w:r w:rsidRPr="00960769">
              <w:rPr>
                <w:spacing w:val="-6"/>
                <w:lang w:eastAsia="en-US"/>
              </w:rPr>
              <w:t>b., HDP v %)</w:t>
            </w:r>
          </w:p>
        </w:tc>
        <w:tc>
          <w:tcPr>
            <w:tcW w:w="511" w:type="pct"/>
          </w:tcPr>
          <w:p w:rsidR="00960769" w:rsidRPr="00FF314F" w:rsidRDefault="00960769" w:rsidP="00960769">
            <w:pPr>
              <w:pStyle w:val="Textpoznpodarou"/>
              <w:rPr>
                <w:lang w:eastAsia="en-US"/>
              </w:rPr>
            </w:pPr>
            <w:r w:rsidRPr="00FF314F">
              <w:rPr>
                <w:lang w:eastAsia="en-US"/>
              </w:rPr>
              <w:t>Graf č. 4</w:t>
            </w:r>
          </w:p>
        </w:tc>
        <w:tc>
          <w:tcPr>
            <w:tcW w:w="1994" w:type="pct"/>
            <w:gridSpan w:val="2"/>
          </w:tcPr>
          <w:p w:rsidR="00960769" w:rsidRPr="00FF314F" w:rsidRDefault="00960769" w:rsidP="00960769">
            <w:pPr>
              <w:pStyle w:val="Textpoznpodarou"/>
              <w:rPr>
                <w:lang w:eastAsia="en-US"/>
              </w:rPr>
            </w:pPr>
            <w:r w:rsidRPr="00960769">
              <w:rPr>
                <w:b/>
                <w:lang w:eastAsia="en-US"/>
              </w:rPr>
              <w:t>Příspěvky odvětví ke změně HPH</w:t>
            </w:r>
            <w:r w:rsidRPr="00FF314F">
              <w:rPr>
                <w:lang w:eastAsia="en-US"/>
              </w:rPr>
              <w:t xml:space="preserve"> (stálé ceny, y/y, příspěvky v</w:t>
            </w:r>
            <w:r w:rsidR="00EB522B">
              <w:rPr>
                <w:lang w:eastAsia="en-US"/>
              </w:rPr>
              <w:t> </w:t>
            </w:r>
            <w:r w:rsidRPr="00FF314F">
              <w:rPr>
                <w:lang w:eastAsia="en-US"/>
              </w:rPr>
              <w:t>p</w:t>
            </w:r>
            <w:r w:rsidR="00EB522B">
              <w:rPr>
                <w:lang w:eastAsia="en-US"/>
              </w:rPr>
              <w:t>.</w:t>
            </w:r>
            <w:r w:rsidRPr="00FF314F">
              <w:rPr>
                <w:lang w:eastAsia="en-US"/>
              </w:rPr>
              <w:t>b., HPH v %)</w:t>
            </w:r>
          </w:p>
        </w:tc>
      </w:tr>
      <w:tr w:rsidR="00960769" w:rsidRPr="006133A2" w:rsidTr="00960769">
        <w:tc>
          <w:tcPr>
            <w:tcW w:w="2495" w:type="pct"/>
            <w:gridSpan w:val="2"/>
          </w:tcPr>
          <w:p w:rsidR="00960769" w:rsidRPr="00960769" w:rsidRDefault="00B350A0" w:rsidP="00960769">
            <w:pPr>
              <w:pStyle w:val="Textpoznpodarou"/>
              <w:jc w:val="both"/>
              <w:rPr>
                <w:color w:val="FF0000"/>
                <w:sz w:val="22"/>
                <w:lang w:eastAsia="en-US"/>
              </w:rPr>
            </w:pPr>
            <w:r w:rsidRPr="000F697F">
              <w:rPr>
                <w:noProof/>
                <w:color w:val="FF0000"/>
                <w:sz w:val="22"/>
              </w:rPr>
              <w:pict>
                <v:shape id="_x0000_i1027" type="#_x0000_t75" style="width:236.65pt;height:187.2pt;visibility:visible;mso-wrap-style:square">
                  <v:imagedata r:id="rId10" o:title=""/>
                </v:shape>
              </w:pict>
            </w:r>
          </w:p>
        </w:tc>
        <w:tc>
          <w:tcPr>
            <w:tcW w:w="2505" w:type="pct"/>
            <w:gridSpan w:val="3"/>
          </w:tcPr>
          <w:p w:rsidR="00960769" w:rsidRPr="00960769" w:rsidRDefault="00B350A0" w:rsidP="00960769">
            <w:pPr>
              <w:pStyle w:val="Textpoznpodarou"/>
              <w:jc w:val="both"/>
              <w:rPr>
                <w:color w:val="FF0000"/>
                <w:sz w:val="22"/>
                <w:lang w:eastAsia="en-US"/>
              </w:rPr>
            </w:pPr>
            <w:r w:rsidRPr="000F697F">
              <w:rPr>
                <w:noProof/>
                <w:color w:val="FF0000"/>
                <w:sz w:val="22"/>
              </w:rPr>
              <w:pict>
                <v:shape id="_x0000_i1028" type="#_x0000_t75" style="width:237.9pt;height:187.2pt;visibility:visible;mso-wrap-style:square">
                  <v:imagedata r:id="rId11" o:title=""/>
                </v:shape>
              </w:pict>
            </w:r>
          </w:p>
        </w:tc>
      </w:tr>
      <w:tr w:rsidR="00960769" w:rsidRPr="006133A2" w:rsidTr="00960769">
        <w:tc>
          <w:tcPr>
            <w:tcW w:w="3714" w:type="pct"/>
            <w:gridSpan w:val="4"/>
          </w:tcPr>
          <w:p w:rsidR="00960769" w:rsidRPr="00960769" w:rsidRDefault="00960769" w:rsidP="00960769">
            <w:pPr>
              <w:pStyle w:val="Textpoznpodarou"/>
              <w:rPr>
                <w:sz w:val="18"/>
                <w:szCs w:val="18"/>
                <w:lang w:eastAsia="en-US"/>
              </w:rPr>
            </w:pPr>
            <w:r w:rsidRPr="00960769">
              <w:rPr>
                <w:sz w:val="18"/>
                <w:szCs w:val="18"/>
                <w:lang w:eastAsia="en-US"/>
              </w:rPr>
              <w:t>*příspěvky ke změně HDP bez vyloučení dovozu pro konečné užití</w:t>
            </w:r>
          </w:p>
        </w:tc>
        <w:tc>
          <w:tcPr>
            <w:tcW w:w="1286" w:type="pct"/>
          </w:tcPr>
          <w:p w:rsidR="00960769" w:rsidRPr="00960769" w:rsidRDefault="00960769" w:rsidP="00960769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960769">
              <w:rPr>
                <w:sz w:val="18"/>
                <w:szCs w:val="18"/>
                <w:lang w:eastAsia="en-US"/>
              </w:rPr>
              <w:t>Zdroj: ČSÚ</w:t>
            </w:r>
          </w:p>
        </w:tc>
      </w:tr>
    </w:tbl>
    <w:p w:rsidR="00960769" w:rsidRPr="00960769" w:rsidRDefault="00960769" w:rsidP="00960769">
      <w:pPr>
        <w:pStyle w:val="Textpoznpodarou"/>
        <w:jc w:val="both"/>
        <w:rPr>
          <w:sz w:val="2"/>
          <w:szCs w:val="2"/>
        </w:rPr>
      </w:pPr>
    </w:p>
    <w:sectPr w:rsidR="00960769" w:rsidRPr="00960769" w:rsidSect="00B350A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92" w:rsidRDefault="00DB5792" w:rsidP="00E71A58">
      <w:r>
        <w:separator/>
      </w:r>
    </w:p>
  </w:endnote>
  <w:endnote w:type="continuationSeparator" w:id="0">
    <w:p w:rsidR="00DB5792" w:rsidRDefault="00DB579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2" w:rsidRDefault="000F697F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DB5792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B350A0">
      <w:rPr>
        <w:rFonts w:ascii="Arial" w:hAnsi="Arial" w:cs="Arial"/>
        <w:noProof/>
        <w:sz w:val="16"/>
        <w:szCs w:val="16"/>
      </w:rPr>
      <w:t>6</w:t>
    </w:r>
    <w:r w:rsidRPr="005A21E0">
      <w:rPr>
        <w:rFonts w:ascii="Arial" w:hAnsi="Arial" w:cs="Arial"/>
        <w:sz w:val="16"/>
        <w:szCs w:val="16"/>
      </w:rPr>
      <w:fldChar w:fldCharType="end"/>
    </w:r>
    <w:r w:rsidR="00DB5792">
      <w:rPr>
        <w:rFonts w:ascii="Arial" w:hAnsi="Arial" w:cs="Arial"/>
        <w:sz w:val="16"/>
        <w:szCs w:val="16"/>
      </w:rPr>
      <w:tab/>
      <w:t>2016</w:t>
    </w:r>
    <w:r w:rsidR="00DB5792">
      <w:tab/>
    </w:r>
    <w:r w:rsidR="00DB5792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2" w:rsidRDefault="000F697F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DB5792">
      <w:tab/>
    </w:r>
    <w:r w:rsidR="00DB5792">
      <w:tab/>
    </w:r>
    <w:r w:rsidR="00DB5792" w:rsidRPr="00DC5B3B">
      <w:t xml:space="preserve">                              </w:t>
    </w:r>
  </w:p>
  <w:p w:rsidR="00DB5792" w:rsidRPr="00223E00" w:rsidRDefault="00DB5792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rPr>
        <w:rFonts w:ascii="Arial" w:hAnsi="Arial" w:cs="Arial"/>
        <w:sz w:val="16"/>
        <w:szCs w:val="16"/>
      </w:rPr>
      <w:tab/>
    </w:r>
    <w:r w:rsidR="000F697F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0F697F" w:rsidRPr="00223E00">
      <w:rPr>
        <w:rFonts w:ascii="Arial" w:hAnsi="Arial" w:cs="Arial"/>
        <w:sz w:val="16"/>
        <w:szCs w:val="16"/>
      </w:rPr>
      <w:fldChar w:fldCharType="separate"/>
    </w:r>
    <w:r w:rsidR="00B350A0">
      <w:rPr>
        <w:rFonts w:ascii="Arial" w:hAnsi="Arial" w:cs="Arial"/>
        <w:noProof/>
        <w:sz w:val="16"/>
        <w:szCs w:val="16"/>
      </w:rPr>
      <w:t>7</w:t>
    </w:r>
    <w:r w:rsidR="000F697F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92" w:rsidRDefault="00DB5792" w:rsidP="00E71A58">
      <w:r>
        <w:separator/>
      </w:r>
    </w:p>
  </w:footnote>
  <w:footnote w:type="continuationSeparator" w:id="0">
    <w:p w:rsidR="00DB5792" w:rsidRDefault="00DB5792" w:rsidP="00E71A58">
      <w:r>
        <w:continuationSeparator/>
      </w:r>
    </w:p>
  </w:footnote>
  <w:footnote w:id="1">
    <w:p w:rsidR="00DB5792" w:rsidRPr="002115F5" w:rsidRDefault="00DB5792" w:rsidP="00960769">
      <w:pPr>
        <w:pStyle w:val="Textpoznpodarou"/>
        <w:jc w:val="both"/>
        <w:rPr>
          <w:sz w:val="16"/>
          <w:szCs w:val="16"/>
        </w:rPr>
      </w:pPr>
      <w:r w:rsidRPr="002115F5">
        <w:rPr>
          <w:rStyle w:val="Znakapoznpodarou"/>
          <w:sz w:val="16"/>
          <w:szCs w:val="16"/>
        </w:rPr>
        <w:footnoteRef/>
      </w:r>
      <w:r w:rsidRPr="002115F5">
        <w:rPr>
          <w:sz w:val="16"/>
          <w:szCs w:val="16"/>
        </w:rPr>
        <w:t xml:space="preserve"> Pokud není uvedeno jinak, jsou data o HDP a jeho složkách vyjádřena reálně a v očištění o sezónní a kalendářní vlivy. Stejné platí pro hrubou přidanou hodnotu.</w:t>
      </w:r>
    </w:p>
  </w:footnote>
  <w:footnote w:id="2">
    <w:p w:rsidR="00DB5792" w:rsidRPr="002115F5" w:rsidRDefault="00DB5792" w:rsidP="00960769">
      <w:pPr>
        <w:pStyle w:val="Textpoznpodarou"/>
        <w:jc w:val="both"/>
        <w:rPr>
          <w:sz w:val="16"/>
          <w:szCs w:val="16"/>
        </w:rPr>
      </w:pPr>
      <w:r w:rsidRPr="002115F5">
        <w:rPr>
          <w:sz w:val="16"/>
          <w:szCs w:val="16"/>
          <w:vertAlign w:val="superscript"/>
        </w:rPr>
        <w:footnoteRef/>
      </w:r>
      <w:r w:rsidRPr="002115F5">
        <w:rPr>
          <w:sz w:val="16"/>
          <w:szCs w:val="16"/>
        </w:rPr>
        <w:t xml:space="preserve"> Sezónní očištění ovlivnilo mezičtvrtletní tempa růstu salda daní z produktů a dotací na produkty na počátku a konci roku. V 1. čtvrtletí 2015 byla mezičtvrtletní dynamika ovlivněna pozitivně, ve 4. čtvrtletí naopak negativně. To se promítlo v dynamice HDP, do kterého je toto saldo započteno. Dynamika hrubé přidané hodnoty zůstala nedotčena.</w:t>
      </w:r>
    </w:p>
  </w:footnote>
  <w:footnote w:id="3">
    <w:p w:rsidR="00DB5792" w:rsidRPr="00BC6D27" w:rsidRDefault="00DB5792" w:rsidP="00CF75EC">
      <w:pPr>
        <w:pStyle w:val="Textpoznpodarou"/>
        <w:jc w:val="both"/>
        <w:rPr>
          <w:sz w:val="16"/>
          <w:szCs w:val="16"/>
        </w:rPr>
      </w:pPr>
      <w:r w:rsidRPr="00BC6D27">
        <w:rPr>
          <w:sz w:val="16"/>
          <w:szCs w:val="16"/>
          <w:vertAlign w:val="superscript"/>
        </w:rPr>
        <w:footnoteRef/>
      </w:r>
      <w:r w:rsidRPr="00BC6D27">
        <w:rPr>
          <w:sz w:val="16"/>
          <w:szCs w:val="16"/>
        </w:rPr>
        <w:t xml:space="preserve"> Celoroční údaj</w:t>
      </w:r>
      <w:r>
        <w:rPr>
          <w:sz w:val="16"/>
          <w:szCs w:val="16"/>
        </w:rPr>
        <w:t xml:space="preserve"> není</w:t>
      </w:r>
      <w:r w:rsidRPr="00BC6D27">
        <w:rPr>
          <w:sz w:val="16"/>
          <w:szCs w:val="16"/>
        </w:rPr>
        <w:t xml:space="preserve"> nedostupný za Irsko a Lucembursko, podle dat za první tři čtvrtletí 2015 však i tyto dvě země rostly rychleji než</w:t>
      </w:r>
      <w:r>
        <w:rPr>
          <w:sz w:val="16"/>
          <w:szCs w:val="16"/>
        </w:rPr>
        <w:t> </w:t>
      </w:r>
      <w:r w:rsidRPr="00BC6D27">
        <w:rPr>
          <w:sz w:val="16"/>
          <w:szCs w:val="16"/>
        </w:rPr>
        <w:t>ČR. Dynamika HDP za Irsko a Slovensko není očištěna o kalendářní vlivy.</w:t>
      </w:r>
    </w:p>
  </w:footnote>
  <w:footnote w:id="4">
    <w:p w:rsidR="00DB5792" w:rsidRPr="00AD62A4" w:rsidRDefault="00DB5792" w:rsidP="00960769">
      <w:pPr>
        <w:pStyle w:val="Textpoznpodarou"/>
        <w:rPr>
          <w:color w:val="FF0000"/>
          <w:sz w:val="16"/>
          <w:szCs w:val="16"/>
        </w:rPr>
      </w:pPr>
      <w:r w:rsidRPr="002115F5">
        <w:rPr>
          <w:rStyle w:val="Znakapoznpodarou"/>
          <w:sz w:val="16"/>
          <w:szCs w:val="16"/>
        </w:rPr>
        <w:footnoteRef/>
      </w:r>
      <w:r w:rsidRPr="002115F5">
        <w:rPr>
          <w:sz w:val="16"/>
          <w:szCs w:val="16"/>
        </w:rPr>
        <w:t xml:space="preserve"> Příspěvky ke změně HDP bez vyloučení dovozu pro konečné užití.</w:t>
      </w:r>
    </w:p>
  </w:footnote>
  <w:footnote w:id="5">
    <w:p w:rsidR="00DB5792" w:rsidRPr="00620430" w:rsidRDefault="00DB5792" w:rsidP="00960769">
      <w:pPr>
        <w:pStyle w:val="Textpoznpodarou"/>
        <w:rPr>
          <w:sz w:val="16"/>
          <w:szCs w:val="16"/>
        </w:rPr>
      </w:pPr>
      <w:r w:rsidRPr="00620430">
        <w:rPr>
          <w:sz w:val="16"/>
          <w:szCs w:val="16"/>
          <w:vertAlign w:val="superscript"/>
        </w:rPr>
        <w:footnoteRef/>
      </w:r>
      <w:r w:rsidRPr="00620430">
        <w:rPr>
          <w:sz w:val="16"/>
          <w:szCs w:val="16"/>
        </w:rPr>
        <w:t xml:space="preserve"> Struktura výdajů je v domácím pojetí a bez očištění o sezónní a kalendářní vlivy.</w:t>
      </w:r>
    </w:p>
  </w:footnote>
  <w:footnote w:id="6">
    <w:p w:rsidR="00DB5792" w:rsidRPr="0044103C" w:rsidRDefault="00DB5792" w:rsidP="00960769">
      <w:pPr>
        <w:pStyle w:val="Textpoznpodarou"/>
        <w:rPr>
          <w:color w:val="FF0000"/>
        </w:rPr>
      </w:pPr>
      <w:r w:rsidRPr="00620430">
        <w:rPr>
          <w:rStyle w:val="Znakapoznpodarou"/>
          <w:sz w:val="16"/>
          <w:szCs w:val="16"/>
        </w:rPr>
        <w:footnoteRef/>
      </w:r>
      <w:r w:rsidRPr="00620430">
        <w:rPr>
          <w:sz w:val="16"/>
          <w:szCs w:val="16"/>
        </w:rPr>
        <w:t xml:space="preserve"> Bez očištění o sezónní a kalendářní vlivy.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2" w:rsidRPr="00D766EF" w:rsidRDefault="00DB5792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roce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2" w:rsidRPr="00D766EF" w:rsidRDefault="00DB5792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roce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1EFF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195"/>
    <w:rsid w:val="0001519F"/>
    <w:rsid w:val="0001572B"/>
    <w:rsid w:val="0001573E"/>
    <w:rsid w:val="000162DB"/>
    <w:rsid w:val="00017F05"/>
    <w:rsid w:val="000202C6"/>
    <w:rsid w:val="00020946"/>
    <w:rsid w:val="00022B41"/>
    <w:rsid w:val="00024887"/>
    <w:rsid w:val="00024CBA"/>
    <w:rsid w:val="00025501"/>
    <w:rsid w:val="00026998"/>
    <w:rsid w:val="000304C4"/>
    <w:rsid w:val="0003066A"/>
    <w:rsid w:val="00030F14"/>
    <w:rsid w:val="000311C5"/>
    <w:rsid w:val="00032838"/>
    <w:rsid w:val="00032C12"/>
    <w:rsid w:val="00035CCF"/>
    <w:rsid w:val="00035FC6"/>
    <w:rsid w:val="00037667"/>
    <w:rsid w:val="0004075D"/>
    <w:rsid w:val="000411E1"/>
    <w:rsid w:val="00043E05"/>
    <w:rsid w:val="0004694F"/>
    <w:rsid w:val="000500DC"/>
    <w:rsid w:val="00052172"/>
    <w:rsid w:val="00053CBA"/>
    <w:rsid w:val="00054E43"/>
    <w:rsid w:val="00055059"/>
    <w:rsid w:val="000553E4"/>
    <w:rsid w:val="000567FA"/>
    <w:rsid w:val="00057C16"/>
    <w:rsid w:val="00060F26"/>
    <w:rsid w:val="00062D43"/>
    <w:rsid w:val="00062EC5"/>
    <w:rsid w:val="00064256"/>
    <w:rsid w:val="000706A4"/>
    <w:rsid w:val="00071F80"/>
    <w:rsid w:val="00072118"/>
    <w:rsid w:val="00073173"/>
    <w:rsid w:val="000779AC"/>
    <w:rsid w:val="00083803"/>
    <w:rsid w:val="00084393"/>
    <w:rsid w:val="0008716A"/>
    <w:rsid w:val="00087634"/>
    <w:rsid w:val="00091237"/>
    <w:rsid w:val="0009191B"/>
    <w:rsid w:val="000920EC"/>
    <w:rsid w:val="00092208"/>
    <w:rsid w:val="00092505"/>
    <w:rsid w:val="00092C9A"/>
    <w:rsid w:val="00097D02"/>
    <w:rsid w:val="000A1183"/>
    <w:rsid w:val="000A2121"/>
    <w:rsid w:val="000A2484"/>
    <w:rsid w:val="000A36CE"/>
    <w:rsid w:val="000A59BF"/>
    <w:rsid w:val="000A66C2"/>
    <w:rsid w:val="000B1CFE"/>
    <w:rsid w:val="000B210A"/>
    <w:rsid w:val="000B249B"/>
    <w:rsid w:val="000B3DB9"/>
    <w:rsid w:val="000B3F02"/>
    <w:rsid w:val="000B48A2"/>
    <w:rsid w:val="000B48E7"/>
    <w:rsid w:val="000B4F41"/>
    <w:rsid w:val="000B7663"/>
    <w:rsid w:val="000C11D3"/>
    <w:rsid w:val="000C12F5"/>
    <w:rsid w:val="000C3408"/>
    <w:rsid w:val="000C5C0F"/>
    <w:rsid w:val="000C6498"/>
    <w:rsid w:val="000D0D51"/>
    <w:rsid w:val="000D14B3"/>
    <w:rsid w:val="000D208B"/>
    <w:rsid w:val="000D2B8D"/>
    <w:rsid w:val="000D2E41"/>
    <w:rsid w:val="000D342A"/>
    <w:rsid w:val="000D5E7A"/>
    <w:rsid w:val="000D5FAA"/>
    <w:rsid w:val="000D65A4"/>
    <w:rsid w:val="000D6AEF"/>
    <w:rsid w:val="000E025B"/>
    <w:rsid w:val="000E0ECB"/>
    <w:rsid w:val="000E153A"/>
    <w:rsid w:val="000E19A8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697F"/>
    <w:rsid w:val="000F790F"/>
    <w:rsid w:val="000F7E1B"/>
    <w:rsid w:val="00100014"/>
    <w:rsid w:val="0010039A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352E"/>
    <w:rsid w:val="00114FC0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51AC0"/>
    <w:rsid w:val="00151B27"/>
    <w:rsid w:val="00152046"/>
    <w:rsid w:val="00154147"/>
    <w:rsid w:val="00155746"/>
    <w:rsid w:val="00156318"/>
    <w:rsid w:val="0015639A"/>
    <w:rsid w:val="0016081D"/>
    <w:rsid w:val="00160CF3"/>
    <w:rsid w:val="00160E61"/>
    <w:rsid w:val="001620FA"/>
    <w:rsid w:val="00162853"/>
    <w:rsid w:val="00163793"/>
    <w:rsid w:val="001707DE"/>
    <w:rsid w:val="00170B04"/>
    <w:rsid w:val="00170F47"/>
    <w:rsid w:val="001714F2"/>
    <w:rsid w:val="00173642"/>
    <w:rsid w:val="00173AF4"/>
    <w:rsid w:val="00173CB0"/>
    <w:rsid w:val="00174CE8"/>
    <w:rsid w:val="00175351"/>
    <w:rsid w:val="00175F60"/>
    <w:rsid w:val="00176050"/>
    <w:rsid w:val="001764D8"/>
    <w:rsid w:val="00176A8F"/>
    <w:rsid w:val="00180D58"/>
    <w:rsid w:val="00182981"/>
    <w:rsid w:val="00184CF9"/>
    <w:rsid w:val="00185010"/>
    <w:rsid w:val="001852EC"/>
    <w:rsid w:val="00186447"/>
    <w:rsid w:val="001874CF"/>
    <w:rsid w:val="00190D9B"/>
    <w:rsid w:val="00191BAE"/>
    <w:rsid w:val="00193432"/>
    <w:rsid w:val="0019346C"/>
    <w:rsid w:val="00195444"/>
    <w:rsid w:val="001A199D"/>
    <w:rsid w:val="001A2BDB"/>
    <w:rsid w:val="001A30F4"/>
    <w:rsid w:val="001A4C0D"/>
    <w:rsid w:val="001A552F"/>
    <w:rsid w:val="001A56F3"/>
    <w:rsid w:val="001A750C"/>
    <w:rsid w:val="001B1D89"/>
    <w:rsid w:val="001B3110"/>
    <w:rsid w:val="001B4198"/>
    <w:rsid w:val="001B44BC"/>
    <w:rsid w:val="001B618F"/>
    <w:rsid w:val="001B6545"/>
    <w:rsid w:val="001B681B"/>
    <w:rsid w:val="001B6A49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65FF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3055"/>
    <w:rsid w:val="001F31BC"/>
    <w:rsid w:val="001F378E"/>
    <w:rsid w:val="001F3C79"/>
    <w:rsid w:val="001F3E68"/>
    <w:rsid w:val="001F4597"/>
    <w:rsid w:val="001F56A9"/>
    <w:rsid w:val="001F5C6A"/>
    <w:rsid w:val="001F670A"/>
    <w:rsid w:val="00200D15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79F9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36BA"/>
    <w:rsid w:val="002444ED"/>
    <w:rsid w:val="00244A15"/>
    <w:rsid w:val="00244D40"/>
    <w:rsid w:val="00246AE9"/>
    <w:rsid w:val="0024799E"/>
    <w:rsid w:val="00250C59"/>
    <w:rsid w:val="00250E0D"/>
    <w:rsid w:val="00251D59"/>
    <w:rsid w:val="00252602"/>
    <w:rsid w:val="00252FDC"/>
    <w:rsid w:val="00257613"/>
    <w:rsid w:val="00261E5B"/>
    <w:rsid w:val="00262F34"/>
    <w:rsid w:val="00263470"/>
    <w:rsid w:val="00263733"/>
    <w:rsid w:val="00264676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919B5"/>
    <w:rsid w:val="00293441"/>
    <w:rsid w:val="00294238"/>
    <w:rsid w:val="0029493E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2500"/>
    <w:rsid w:val="002D3F00"/>
    <w:rsid w:val="002D4D59"/>
    <w:rsid w:val="002D54BF"/>
    <w:rsid w:val="002D5E94"/>
    <w:rsid w:val="002D632D"/>
    <w:rsid w:val="002E02A1"/>
    <w:rsid w:val="002E0982"/>
    <w:rsid w:val="002E0DB9"/>
    <w:rsid w:val="002E2CE4"/>
    <w:rsid w:val="002E34F3"/>
    <w:rsid w:val="002E435E"/>
    <w:rsid w:val="002E73F2"/>
    <w:rsid w:val="002F33FB"/>
    <w:rsid w:val="002F7594"/>
    <w:rsid w:val="00301357"/>
    <w:rsid w:val="00301D04"/>
    <w:rsid w:val="003035D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7449"/>
    <w:rsid w:val="0036238B"/>
    <w:rsid w:val="003651A4"/>
    <w:rsid w:val="00365680"/>
    <w:rsid w:val="003657F3"/>
    <w:rsid w:val="00367038"/>
    <w:rsid w:val="00370963"/>
    <w:rsid w:val="0037144E"/>
    <w:rsid w:val="003736B5"/>
    <w:rsid w:val="00374F1E"/>
    <w:rsid w:val="00376DEC"/>
    <w:rsid w:val="00377200"/>
    <w:rsid w:val="00380E04"/>
    <w:rsid w:val="00383227"/>
    <w:rsid w:val="00384D8F"/>
    <w:rsid w:val="00385D98"/>
    <w:rsid w:val="00385EC5"/>
    <w:rsid w:val="0038658E"/>
    <w:rsid w:val="0039066E"/>
    <w:rsid w:val="00391C95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D2C4E"/>
    <w:rsid w:val="003D3600"/>
    <w:rsid w:val="003D3825"/>
    <w:rsid w:val="003D3EC4"/>
    <w:rsid w:val="003D4760"/>
    <w:rsid w:val="003D49DC"/>
    <w:rsid w:val="003D5D7A"/>
    <w:rsid w:val="003E0663"/>
    <w:rsid w:val="003E133F"/>
    <w:rsid w:val="003E49F6"/>
    <w:rsid w:val="003E699C"/>
    <w:rsid w:val="003E69F3"/>
    <w:rsid w:val="003E782E"/>
    <w:rsid w:val="003E7A0B"/>
    <w:rsid w:val="003E7B2B"/>
    <w:rsid w:val="003F181F"/>
    <w:rsid w:val="003F1A48"/>
    <w:rsid w:val="003F2B0A"/>
    <w:rsid w:val="003F313C"/>
    <w:rsid w:val="003F341B"/>
    <w:rsid w:val="003F37FC"/>
    <w:rsid w:val="003F49A6"/>
    <w:rsid w:val="003F5098"/>
    <w:rsid w:val="003F5568"/>
    <w:rsid w:val="003F5A95"/>
    <w:rsid w:val="003F6D19"/>
    <w:rsid w:val="004000D5"/>
    <w:rsid w:val="004005C1"/>
    <w:rsid w:val="00401716"/>
    <w:rsid w:val="00401A09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9BE"/>
    <w:rsid w:val="00432C38"/>
    <w:rsid w:val="004342EC"/>
    <w:rsid w:val="00437C76"/>
    <w:rsid w:val="0044105C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C30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29FD"/>
    <w:rsid w:val="00463B4B"/>
    <w:rsid w:val="00463F4D"/>
    <w:rsid w:val="0046471F"/>
    <w:rsid w:val="00464BE8"/>
    <w:rsid w:val="00465019"/>
    <w:rsid w:val="00465FA4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0AB8"/>
    <w:rsid w:val="0048139F"/>
    <w:rsid w:val="00481C00"/>
    <w:rsid w:val="00483053"/>
    <w:rsid w:val="00484874"/>
    <w:rsid w:val="00485230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803"/>
    <w:rsid w:val="004B10A8"/>
    <w:rsid w:val="004B22DA"/>
    <w:rsid w:val="004B3CB7"/>
    <w:rsid w:val="004B3D55"/>
    <w:rsid w:val="004B55B7"/>
    <w:rsid w:val="004C00A6"/>
    <w:rsid w:val="004C0BBB"/>
    <w:rsid w:val="004C1AD6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504B"/>
    <w:rsid w:val="004D536E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73"/>
    <w:rsid w:val="004F33A0"/>
    <w:rsid w:val="004F4353"/>
    <w:rsid w:val="004F447D"/>
    <w:rsid w:val="004F4C28"/>
    <w:rsid w:val="004F4E82"/>
    <w:rsid w:val="004F5CC5"/>
    <w:rsid w:val="004F6350"/>
    <w:rsid w:val="005028E1"/>
    <w:rsid w:val="0050692E"/>
    <w:rsid w:val="00507040"/>
    <w:rsid w:val="005079F8"/>
    <w:rsid w:val="00510189"/>
    <w:rsid w:val="005108C0"/>
    <w:rsid w:val="00511873"/>
    <w:rsid w:val="00513B7E"/>
    <w:rsid w:val="005140DE"/>
    <w:rsid w:val="00514474"/>
    <w:rsid w:val="005147E9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66F"/>
    <w:rsid w:val="00583D5B"/>
    <w:rsid w:val="00583FFD"/>
    <w:rsid w:val="00587CCD"/>
    <w:rsid w:val="005908AE"/>
    <w:rsid w:val="0059176E"/>
    <w:rsid w:val="00592854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563B"/>
    <w:rsid w:val="005A7500"/>
    <w:rsid w:val="005A77E4"/>
    <w:rsid w:val="005B1BDB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374F"/>
    <w:rsid w:val="005D5802"/>
    <w:rsid w:val="005D6CFC"/>
    <w:rsid w:val="005D73E2"/>
    <w:rsid w:val="005D757A"/>
    <w:rsid w:val="005E1E4B"/>
    <w:rsid w:val="005E362D"/>
    <w:rsid w:val="005E492C"/>
    <w:rsid w:val="005E4BAA"/>
    <w:rsid w:val="005E52EF"/>
    <w:rsid w:val="005E5B56"/>
    <w:rsid w:val="005E6088"/>
    <w:rsid w:val="005E61DF"/>
    <w:rsid w:val="005E6B65"/>
    <w:rsid w:val="005E6B78"/>
    <w:rsid w:val="005F26CE"/>
    <w:rsid w:val="005F4057"/>
    <w:rsid w:val="005F4088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10BD5"/>
    <w:rsid w:val="00611531"/>
    <w:rsid w:val="006118AA"/>
    <w:rsid w:val="006139C7"/>
    <w:rsid w:val="006153E3"/>
    <w:rsid w:val="006167AB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4DFC"/>
    <w:rsid w:val="006451E4"/>
    <w:rsid w:val="006454B4"/>
    <w:rsid w:val="00645A9C"/>
    <w:rsid w:val="006460B8"/>
    <w:rsid w:val="006504A0"/>
    <w:rsid w:val="006520C7"/>
    <w:rsid w:val="00652CBB"/>
    <w:rsid w:val="006530B8"/>
    <w:rsid w:val="006535D6"/>
    <w:rsid w:val="006572ED"/>
    <w:rsid w:val="00657E87"/>
    <w:rsid w:val="00660457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AFC"/>
    <w:rsid w:val="00676F11"/>
    <w:rsid w:val="00680079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90A09"/>
    <w:rsid w:val="00690A25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23A9"/>
    <w:rsid w:val="006B3F8A"/>
    <w:rsid w:val="006B5CA3"/>
    <w:rsid w:val="006B6B3B"/>
    <w:rsid w:val="006B7714"/>
    <w:rsid w:val="006B78D8"/>
    <w:rsid w:val="006C090F"/>
    <w:rsid w:val="006C0935"/>
    <w:rsid w:val="006C0BCE"/>
    <w:rsid w:val="006C113F"/>
    <w:rsid w:val="006C2AED"/>
    <w:rsid w:val="006C38DD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A59"/>
    <w:rsid w:val="00700232"/>
    <w:rsid w:val="007014C7"/>
    <w:rsid w:val="00702D6F"/>
    <w:rsid w:val="00703B6C"/>
    <w:rsid w:val="00703C6B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159D2"/>
    <w:rsid w:val="0072050E"/>
    <w:rsid w:val="00720FA2"/>
    <w:rsid w:val="007211F5"/>
    <w:rsid w:val="00724666"/>
    <w:rsid w:val="00726043"/>
    <w:rsid w:val="0072704A"/>
    <w:rsid w:val="00730AE8"/>
    <w:rsid w:val="00731963"/>
    <w:rsid w:val="00734321"/>
    <w:rsid w:val="0073532E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4D00"/>
    <w:rsid w:val="00745273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F2"/>
    <w:rsid w:val="00762EBA"/>
    <w:rsid w:val="0076359D"/>
    <w:rsid w:val="0077058D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CF8"/>
    <w:rsid w:val="00791EF9"/>
    <w:rsid w:val="00792262"/>
    <w:rsid w:val="00793387"/>
    <w:rsid w:val="00793BAE"/>
    <w:rsid w:val="00794E0A"/>
    <w:rsid w:val="00796642"/>
    <w:rsid w:val="007A11D9"/>
    <w:rsid w:val="007A327B"/>
    <w:rsid w:val="007A45B1"/>
    <w:rsid w:val="007A4606"/>
    <w:rsid w:val="007B0D67"/>
    <w:rsid w:val="007B1966"/>
    <w:rsid w:val="007B2779"/>
    <w:rsid w:val="007B3DCC"/>
    <w:rsid w:val="007B4518"/>
    <w:rsid w:val="007B5031"/>
    <w:rsid w:val="007B573F"/>
    <w:rsid w:val="007C0065"/>
    <w:rsid w:val="007C010B"/>
    <w:rsid w:val="007C605B"/>
    <w:rsid w:val="007D2A5A"/>
    <w:rsid w:val="007D2AD8"/>
    <w:rsid w:val="007D2C47"/>
    <w:rsid w:val="007D3167"/>
    <w:rsid w:val="007D4128"/>
    <w:rsid w:val="007D4281"/>
    <w:rsid w:val="007D42F5"/>
    <w:rsid w:val="007D44C3"/>
    <w:rsid w:val="007D5947"/>
    <w:rsid w:val="007D65C1"/>
    <w:rsid w:val="007E030F"/>
    <w:rsid w:val="007E0E59"/>
    <w:rsid w:val="007E0F4B"/>
    <w:rsid w:val="007E3715"/>
    <w:rsid w:val="007E7E61"/>
    <w:rsid w:val="007F0845"/>
    <w:rsid w:val="007F16F9"/>
    <w:rsid w:val="007F3E3E"/>
    <w:rsid w:val="007F42E0"/>
    <w:rsid w:val="007F500D"/>
    <w:rsid w:val="007F5F14"/>
    <w:rsid w:val="007F7B54"/>
    <w:rsid w:val="00800073"/>
    <w:rsid w:val="008005D7"/>
    <w:rsid w:val="00801FDD"/>
    <w:rsid w:val="008020C2"/>
    <w:rsid w:val="0080255C"/>
    <w:rsid w:val="0081187C"/>
    <w:rsid w:val="00811E24"/>
    <w:rsid w:val="00812386"/>
    <w:rsid w:val="00812E2B"/>
    <w:rsid w:val="00813A70"/>
    <w:rsid w:val="00813FE6"/>
    <w:rsid w:val="00815C6E"/>
    <w:rsid w:val="0081645F"/>
    <w:rsid w:val="00817755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5C0F"/>
    <w:rsid w:val="00827181"/>
    <w:rsid w:val="0082733C"/>
    <w:rsid w:val="00827746"/>
    <w:rsid w:val="0083143E"/>
    <w:rsid w:val="0083159D"/>
    <w:rsid w:val="008318FF"/>
    <w:rsid w:val="00832187"/>
    <w:rsid w:val="0083249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6673"/>
    <w:rsid w:val="0085281A"/>
    <w:rsid w:val="008559FE"/>
    <w:rsid w:val="00857339"/>
    <w:rsid w:val="00860706"/>
    <w:rsid w:val="00862A7A"/>
    <w:rsid w:val="00863104"/>
    <w:rsid w:val="008636CD"/>
    <w:rsid w:val="00863D9E"/>
    <w:rsid w:val="00863FDC"/>
    <w:rsid w:val="008642AF"/>
    <w:rsid w:val="00865ED4"/>
    <w:rsid w:val="008669A7"/>
    <w:rsid w:val="00867E29"/>
    <w:rsid w:val="00870F2B"/>
    <w:rsid w:val="008746E6"/>
    <w:rsid w:val="0087594C"/>
    <w:rsid w:val="00876086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00C2"/>
    <w:rsid w:val="008B07EF"/>
    <w:rsid w:val="008B16DE"/>
    <w:rsid w:val="008B190E"/>
    <w:rsid w:val="008B1A8A"/>
    <w:rsid w:val="008B1FC9"/>
    <w:rsid w:val="008B6B67"/>
    <w:rsid w:val="008B7306"/>
    <w:rsid w:val="008B775F"/>
    <w:rsid w:val="008B7C02"/>
    <w:rsid w:val="008B7D13"/>
    <w:rsid w:val="008B7F9E"/>
    <w:rsid w:val="008C0E88"/>
    <w:rsid w:val="008C1AA8"/>
    <w:rsid w:val="008C22A8"/>
    <w:rsid w:val="008C5B43"/>
    <w:rsid w:val="008C63FD"/>
    <w:rsid w:val="008C6CB8"/>
    <w:rsid w:val="008C7815"/>
    <w:rsid w:val="008C7A07"/>
    <w:rsid w:val="008D0171"/>
    <w:rsid w:val="008D13EA"/>
    <w:rsid w:val="008D2671"/>
    <w:rsid w:val="008D2A16"/>
    <w:rsid w:val="008D2ECF"/>
    <w:rsid w:val="008D3F3D"/>
    <w:rsid w:val="008E0367"/>
    <w:rsid w:val="008E308D"/>
    <w:rsid w:val="008E31FF"/>
    <w:rsid w:val="008E46A3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4FCE"/>
    <w:rsid w:val="008F5301"/>
    <w:rsid w:val="008F6967"/>
    <w:rsid w:val="008F6A0C"/>
    <w:rsid w:val="008F7721"/>
    <w:rsid w:val="008F7D28"/>
    <w:rsid w:val="009003A8"/>
    <w:rsid w:val="009010A7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D2"/>
    <w:rsid w:val="0092540B"/>
    <w:rsid w:val="00926283"/>
    <w:rsid w:val="00937B11"/>
    <w:rsid w:val="00940F1F"/>
    <w:rsid w:val="00941250"/>
    <w:rsid w:val="0094427A"/>
    <w:rsid w:val="00944380"/>
    <w:rsid w:val="009459C5"/>
    <w:rsid w:val="0094626C"/>
    <w:rsid w:val="0095013A"/>
    <w:rsid w:val="00953AEF"/>
    <w:rsid w:val="009551E2"/>
    <w:rsid w:val="00955783"/>
    <w:rsid w:val="00955E5F"/>
    <w:rsid w:val="009560B0"/>
    <w:rsid w:val="00956F23"/>
    <w:rsid w:val="00957871"/>
    <w:rsid w:val="00960077"/>
    <w:rsid w:val="00960769"/>
    <w:rsid w:val="00962D2E"/>
    <w:rsid w:val="00963724"/>
    <w:rsid w:val="00964498"/>
    <w:rsid w:val="0096504D"/>
    <w:rsid w:val="00965A2D"/>
    <w:rsid w:val="009663EB"/>
    <w:rsid w:val="0096650F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54FF"/>
    <w:rsid w:val="009961BC"/>
    <w:rsid w:val="00996355"/>
    <w:rsid w:val="009A2014"/>
    <w:rsid w:val="009A3A87"/>
    <w:rsid w:val="009A4E12"/>
    <w:rsid w:val="009A5C68"/>
    <w:rsid w:val="009A6EF7"/>
    <w:rsid w:val="009B04D0"/>
    <w:rsid w:val="009B052C"/>
    <w:rsid w:val="009B0EF2"/>
    <w:rsid w:val="009B23A3"/>
    <w:rsid w:val="009B4925"/>
    <w:rsid w:val="009B4B4B"/>
    <w:rsid w:val="009B6FD3"/>
    <w:rsid w:val="009B70BD"/>
    <w:rsid w:val="009C07A5"/>
    <w:rsid w:val="009C7388"/>
    <w:rsid w:val="009D0CFF"/>
    <w:rsid w:val="009D1551"/>
    <w:rsid w:val="009D2859"/>
    <w:rsid w:val="009D36EC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B52"/>
    <w:rsid w:val="009F7D77"/>
    <w:rsid w:val="00A015EA"/>
    <w:rsid w:val="00A10D66"/>
    <w:rsid w:val="00A12BA8"/>
    <w:rsid w:val="00A1420C"/>
    <w:rsid w:val="00A1456C"/>
    <w:rsid w:val="00A14821"/>
    <w:rsid w:val="00A17754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37B7"/>
    <w:rsid w:val="00A46D48"/>
    <w:rsid w:val="00A46DE0"/>
    <w:rsid w:val="00A4778A"/>
    <w:rsid w:val="00A504C0"/>
    <w:rsid w:val="00A5067F"/>
    <w:rsid w:val="00A55301"/>
    <w:rsid w:val="00A572FB"/>
    <w:rsid w:val="00A57B3C"/>
    <w:rsid w:val="00A57F1B"/>
    <w:rsid w:val="00A6128E"/>
    <w:rsid w:val="00A62CE1"/>
    <w:rsid w:val="00A631FA"/>
    <w:rsid w:val="00A64203"/>
    <w:rsid w:val="00A64348"/>
    <w:rsid w:val="00A644E1"/>
    <w:rsid w:val="00A721FB"/>
    <w:rsid w:val="00A727BA"/>
    <w:rsid w:val="00A72D4B"/>
    <w:rsid w:val="00A732AE"/>
    <w:rsid w:val="00A75E40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1336"/>
    <w:rsid w:val="00A9221C"/>
    <w:rsid w:val="00A94628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BEE"/>
    <w:rsid w:val="00AB7DF2"/>
    <w:rsid w:val="00AC1E3F"/>
    <w:rsid w:val="00AC219A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436"/>
    <w:rsid w:val="00B01C2C"/>
    <w:rsid w:val="00B0231C"/>
    <w:rsid w:val="00B13681"/>
    <w:rsid w:val="00B15DCD"/>
    <w:rsid w:val="00B17E71"/>
    <w:rsid w:val="00B17FDE"/>
    <w:rsid w:val="00B208FC"/>
    <w:rsid w:val="00B20C65"/>
    <w:rsid w:val="00B22E17"/>
    <w:rsid w:val="00B266C5"/>
    <w:rsid w:val="00B27293"/>
    <w:rsid w:val="00B3229E"/>
    <w:rsid w:val="00B32DDB"/>
    <w:rsid w:val="00B350A0"/>
    <w:rsid w:val="00B35174"/>
    <w:rsid w:val="00B35BEA"/>
    <w:rsid w:val="00B37915"/>
    <w:rsid w:val="00B3793D"/>
    <w:rsid w:val="00B41BE6"/>
    <w:rsid w:val="00B428A4"/>
    <w:rsid w:val="00B457E7"/>
    <w:rsid w:val="00B45D1B"/>
    <w:rsid w:val="00B46D25"/>
    <w:rsid w:val="00B47430"/>
    <w:rsid w:val="00B52D2D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6748"/>
    <w:rsid w:val="00B907EA"/>
    <w:rsid w:val="00B91EC9"/>
    <w:rsid w:val="00B924CA"/>
    <w:rsid w:val="00B92A4B"/>
    <w:rsid w:val="00B93384"/>
    <w:rsid w:val="00B94417"/>
    <w:rsid w:val="00B95566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B04"/>
    <w:rsid w:val="00BC6D27"/>
    <w:rsid w:val="00BD186B"/>
    <w:rsid w:val="00BD1EAC"/>
    <w:rsid w:val="00BD254C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23B4"/>
    <w:rsid w:val="00C12A69"/>
    <w:rsid w:val="00C13737"/>
    <w:rsid w:val="00C150BE"/>
    <w:rsid w:val="00C158B0"/>
    <w:rsid w:val="00C15A0C"/>
    <w:rsid w:val="00C15DCB"/>
    <w:rsid w:val="00C1711F"/>
    <w:rsid w:val="00C17E38"/>
    <w:rsid w:val="00C20744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76C5"/>
    <w:rsid w:val="00C503B0"/>
    <w:rsid w:val="00C511C2"/>
    <w:rsid w:val="00C53D82"/>
    <w:rsid w:val="00C54748"/>
    <w:rsid w:val="00C60696"/>
    <w:rsid w:val="00C60EEF"/>
    <w:rsid w:val="00C6121D"/>
    <w:rsid w:val="00C615F1"/>
    <w:rsid w:val="00C61627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83"/>
    <w:rsid w:val="00CA02B2"/>
    <w:rsid w:val="00CA0883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A36"/>
    <w:rsid w:val="00CC2E15"/>
    <w:rsid w:val="00CC3908"/>
    <w:rsid w:val="00CC62AD"/>
    <w:rsid w:val="00CC6CA2"/>
    <w:rsid w:val="00CC7B80"/>
    <w:rsid w:val="00CD2B3C"/>
    <w:rsid w:val="00CD30F6"/>
    <w:rsid w:val="00CD4B29"/>
    <w:rsid w:val="00CD6954"/>
    <w:rsid w:val="00CD6DA3"/>
    <w:rsid w:val="00CD6EF1"/>
    <w:rsid w:val="00CD7E35"/>
    <w:rsid w:val="00CE21C7"/>
    <w:rsid w:val="00CE2682"/>
    <w:rsid w:val="00CE442A"/>
    <w:rsid w:val="00CE57D8"/>
    <w:rsid w:val="00CE617A"/>
    <w:rsid w:val="00CF25D2"/>
    <w:rsid w:val="00CF28C2"/>
    <w:rsid w:val="00CF42BD"/>
    <w:rsid w:val="00CF51EC"/>
    <w:rsid w:val="00CF6A9D"/>
    <w:rsid w:val="00CF6CD7"/>
    <w:rsid w:val="00CF75EC"/>
    <w:rsid w:val="00D0037A"/>
    <w:rsid w:val="00D00DAF"/>
    <w:rsid w:val="00D017EC"/>
    <w:rsid w:val="00D01CDA"/>
    <w:rsid w:val="00D040DD"/>
    <w:rsid w:val="00D04E1B"/>
    <w:rsid w:val="00D0547B"/>
    <w:rsid w:val="00D076DB"/>
    <w:rsid w:val="00D1067C"/>
    <w:rsid w:val="00D136D4"/>
    <w:rsid w:val="00D13830"/>
    <w:rsid w:val="00D13ECF"/>
    <w:rsid w:val="00D142E5"/>
    <w:rsid w:val="00D148CD"/>
    <w:rsid w:val="00D1611E"/>
    <w:rsid w:val="00D16E69"/>
    <w:rsid w:val="00D205A9"/>
    <w:rsid w:val="00D217EE"/>
    <w:rsid w:val="00D245BA"/>
    <w:rsid w:val="00D26923"/>
    <w:rsid w:val="00D27856"/>
    <w:rsid w:val="00D301CA"/>
    <w:rsid w:val="00D30740"/>
    <w:rsid w:val="00D31075"/>
    <w:rsid w:val="00D31445"/>
    <w:rsid w:val="00D31932"/>
    <w:rsid w:val="00D37689"/>
    <w:rsid w:val="00D378CC"/>
    <w:rsid w:val="00D4042C"/>
    <w:rsid w:val="00D40B9E"/>
    <w:rsid w:val="00D41281"/>
    <w:rsid w:val="00D42312"/>
    <w:rsid w:val="00D43998"/>
    <w:rsid w:val="00D451E0"/>
    <w:rsid w:val="00D4615E"/>
    <w:rsid w:val="00D478E2"/>
    <w:rsid w:val="00D5264C"/>
    <w:rsid w:val="00D547BA"/>
    <w:rsid w:val="00D55626"/>
    <w:rsid w:val="00D556BC"/>
    <w:rsid w:val="00D5626D"/>
    <w:rsid w:val="00D60277"/>
    <w:rsid w:val="00D60336"/>
    <w:rsid w:val="00D61F88"/>
    <w:rsid w:val="00D62901"/>
    <w:rsid w:val="00D6470C"/>
    <w:rsid w:val="00D64853"/>
    <w:rsid w:val="00D64CB5"/>
    <w:rsid w:val="00D66D48"/>
    <w:rsid w:val="00D7162F"/>
    <w:rsid w:val="00D73256"/>
    <w:rsid w:val="00D73A30"/>
    <w:rsid w:val="00D74C65"/>
    <w:rsid w:val="00D75DC2"/>
    <w:rsid w:val="00D766EF"/>
    <w:rsid w:val="00D76C03"/>
    <w:rsid w:val="00D77F8D"/>
    <w:rsid w:val="00D82462"/>
    <w:rsid w:val="00D868CE"/>
    <w:rsid w:val="00D86DAE"/>
    <w:rsid w:val="00D90C1E"/>
    <w:rsid w:val="00D91BDF"/>
    <w:rsid w:val="00D91F2C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19BD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226A"/>
    <w:rsid w:val="00DC257F"/>
    <w:rsid w:val="00DC350B"/>
    <w:rsid w:val="00DC3790"/>
    <w:rsid w:val="00DC408A"/>
    <w:rsid w:val="00DC5B3B"/>
    <w:rsid w:val="00DC6796"/>
    <w:rsid w:val="00DC78DF"/>
    <w:rsid w:val="00DC7D4C"/>
    <w:rsid w:val="00DD0821"/>
    <w:rsid w:val="00DD0E32"/>
    <w:rsid w:val="00DD2872"/>
    <w:rsid w:val="00DD2BFE"/>
    <w:rsid w:val="00DD373E"/>
    <w:rsid w:val="00DD57AD"/>
    <w:rsid w:val="00DE009B"/>
    <w:rsid w:val="00DE0C31"/>
    <w:rsid w:val="00DE2ED9"/>
    <w:rsid w:val="00DE319A"/>
    <w:rsid w:val="00DF0DC3"/>
    <w:rsid w:val="00DF21FD"/>
    <w:rsid w:val="00DF2873"/>
    <w:rsid w:val="00DF4C74"/>
    <w:rsid w:val="00DF5578"/>
    <w:rsid w:val="00DF78DD"/>
    <w:rsid w:val="00DF7FEC"/>
    <w:rsid w:val="00E01C0E"/>
    <w:rsid w:val="00E02086"/>
    <w:rsid w:val="00E02740"/>
    <w:rsid w:val="00E03B27"/>
    <w:rsid w:val="00E04694"/>
    <w:rsid w:val="00E049F6"/>
    <w:rsid w:val="00E04CA9"/>
    <w:rsid w:val="00E05B2B"/>
    <w:rsid w:val="00E06A2A"/>
    <w:rsid w:val="00E07F05"/>
    <w:rsid w:val="00E127E1"/>
    <w:rsid w:val="00E144D2"/>
    <w:rsid w:val="00E144D6"/>
    <w:rsid w:val="00E15346"/>
    <w:rsid w:val="00E15B7D"/>
    <w:rsid w:val="00E2097E"/>
    <w:rsid w:val="00E215EA"/>
    <w:rsid w:val="00E21CAB"/>
    <w:rsid w:val="00E221FC"/>
    <w:rsid w:val="00E24619"/>
    <w:rsid w:val="00E25223"/>
    <w:rsid w:val="00E30BEA"/>
    <w:rsid w:val="00E31764"/>
    <w:rsid w:val="00E32BC2"/>
    <w:rsid w:val="00E34985"/>
    <w:rsid w:val="00E34E4A"/>
    <w:rsid w:val="00E365B3"/>
    <w:rsid w:val="00E366BB"/>
    <w:rsid w:val="00E37C45"/>
    <w:rsid w:val="00E40AAA"/>
    <w:rsid w:val="00E42444"/>
    <w:rsid w:val="00E438CF"/>
    <w:rsid w:val="00E43C41"/>
    <w:rsid w:val="00E4500E"/>
    <w:rsid w:val="00E450CE"/>
    <w:rsid w:val="00E45A00"/>
    <w:rsid w:val="00E45CE7"/>
    <w:rsid w:val="00E4631F"/>
    <w:rsid w:val="00E47CB8"/>
    <w:rsid w:val="00E522BB"/>
    <w:rsid w:val="00E539E4"/>
    <w:rsid w:val="00E569C7"/>
    <w:rsid w:val="00E571F2"/>
    <w:rsid w:val="00E57429"/>
    <w:rsid w:val="00E61EA8"/>
    <w:rsid w:val="00E64EA1"/>
    <w:rsid w:val="00E70510"/>
    <w:rsid w:val="00E71262"/>
    <w:rsid w:val="00E71A58"/>
    <w:rsid w:val="00E737F6"/>
    <w:rsid w:val="00E7568F"/>
    <w:rsid w:val="00E7724B"/>
    <w:rsid w:val="00E84F21"/>
    <w:rsid w:val="00E8618A"/>
    <w:rsid w:val="00E90A4B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19E2"/>
    <w:rsid w:val="00EA3EBE"/>
    <w:rsid w:val="00EA3FAC"/>
    <w:rsid w:val="00EA4153"/>
    <w:rsid w:val="00EA5CD6"/>
    <w:rsid w:val="00EA76FD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0A8"/>
    <w:rsid w:val="00ED0A79"/>
    <w:rsid w:val="00ED2989"/>
    <w:rsid w:val="00ED2CA5"/>
    <w:rsid w:val="00ED336F"/>
    <w:rsid w:val="00ED40F0"/>
    <w:rsid w:val="00ED4AC0"/>
    <w:rsid w:val="00ED54D6"/>
    <w:rsid w:val="00ED5726"/>
    <w:rsid w:val="00EE0113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625B"/>
    <w:rsid w:val="00F101FF"/>
    <w:rsid w:val="00F104DF"/>
    <w:rsid w:val="00F10A33"/>
    <w:rsid w:val="00F1186C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6197"/>
    <w:rsid w:val="00F273D4"/>
    <w:rsid w:val="00F307DD"/>
    <w:rsid w:val="00F318FC"/>
    <w:rsid w:val="00F31F76"/>
    <w:rsid w:val="00F3364D"/>
    <w:rsid w:val="00F35ACD"/>
    <w:rsid w:val="00F365BF"/>
    <w:rsid w:val="00F36BF8"/>
    <w:rsid w:val="00F375BA"/>
    <w:rsid w:val="00F37760"/>
    <w:rsid w:val="00F403D1"/>
    <w:rsid w:val="00F43921"/>
    <w:rsid w:val="00F4524F"/>
    <w:rsid w:val="00F45530"/>
    <w:rsid w:val="00F4591F"/>
    <w:rsid w:val="00F4736B"/>
    <w:rsid w:val="00F47997"/>
    <w:rsid w:val="00F47D05"/>
    <w:rsid w:val="00F50030"/>
    <w:rsid w:val="00F502F5"/>
    <w:rsid w:val="00F50B9D"/>
    <w:rsid w:val="00F51FC9"/>
    <w:rsid w:val="00F541ED"/>
    <w:rsid w:val="00F54B31"/>
    <w:rsid w:val="00F54FD3"/>
    <w:rsid w:val="00F55605"/>
    <w:rsid w:val="00F57CD7"/>
    <w:rsid w:val="00F62F02"/>
    <w:rsid w:val="00F63DDE"/>
    <w:rsid w:val="00F63FB7"/>
    <w:rsid w:val="00F64726"/>
    <w:rsid w:val="00F6561A"/>
    <w:rsid w:val="00F70309"/>
    <w:rsid w:val="00F7078A"/>
    <w:rsid w:val="00F727D5"/>
    <w:rsid w:val="00F72F44"/>
    <w:rsid w:val="00F73A0C"/>
    <w:rsid w:val="00F759DC"/>
    <w:rsid w:val="00F7717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9310A"/>
    <w:rsid w:val="00F95117"/>
    <w:rsid w:val="00FA05D7"/>
    <w:rsid w:val="00FA1C6C"/>
    <w:rsid w:val="00FA2447"/>
    <w:rsid w:val="00FA2C2A"/>
    <w:rsid w:val="00FA309A"/>
    <w:rsid w:val="00FA7644"/>
    <w:rsid w:val="00FB0A9A"/>
    <w:rsid w:val="00FB16AD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9B16D-C2E6-4609-80DC-92013FFB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867</TotalTime>
  <Pages>3</Pages>
  <Words>1590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kucera4376</cp:lastModifiedBy>
  <cp:revision>292</cp:revision>
  <cp:lastPrinted>2015-06-19T06:21:00Z</cp:lastPrinted>
  <dcterms:created xsi:type="dcterms:W3CDTF">2015-12-16T13:30:00Z</dcterms:created>
  <dcterms:modified xsi:type="dcterms:W3CDTF">2016-03-23T12:43:00Z</dcterms:modified>
</cp:coreProperties>
</file>