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A3E" w:rsidRDefault="00576A3E" w:rsidP="0060487F">
      <w:pPr>
        <w:pStyle w:val="Styl1"/>
        <w:rPr>
          <w:rFonts w:cs="Arial"/>
          <w:sz w:val="20"/>
        </w:rPr>
      </w:pPr>
    </w:p>
    <w:p w:rsidR="00576A3E" w:rsidRDefault="00D3006B">
      <w:pPr>
        <w:spacing w:line="240" w:lineRule="auto"/>
        <w:rPr>
          <w:rFonts w:cs="Arial"/>
          <w:lang w:eastAsia="ar-SA"/>
        </w:rPr>
      </w:pPr>
      <w:r w:rsidRPr="00D3006B">
        <w:rPr>
          <w:noProof/>
        </w:rPr>
        <w:pict>
          <v:shapetype id="_x0000_t202" coordsize="21600,21600" o:spt="202" path="m,l,21600r21600,l21600,xe">
            <v:stroke joinstyle="miter"/>
            <v:path gradientshapeok="t" o:connecttype="rect"/>
          </v:shapetype>
          <v:shape id="Textové pole 2" o:spid="_x0000_s1026" type="#_x0000_t202" style="position:absolute;margin-left:134.65pt;margin-top:759.8pt;width:403.95pt;height:14.15pt;z-index:251661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" filled="f" stroked="f">
            <v:textbox inset="0,0,0,0">
              <w:txbxContent>
                <w:p w:rsidR="00DB5792" w:rsidRPr="005251DD" w:rsidRDefault="00DB5792" w:rsidP="004F191F">
                  <w:r w:rsidRPr="005251DD">
                    <w:t xml:space="preserve">Český statistický úřad, </w:t>
                  </w:r>
                  <w:r>
                    <w:t>Praha, 2016</w:t>
                  </w:r>
                </w:p>
              </w:txbxContent>
            </v:textbox>
            <w10:wrap anchorx="page" anchory="page"/>
            <w10:anchorlock/>
          </v:shape>
        </w:pict>
      </w:r>
      <w:r w:rsidRPr="00D3006B">
        <w:rPr>
          <w:noProof/>
        </w:rPr>
        <w:pict>
          <v:shape id="_x0000_s1027" type="#_x0000_t202" style="position:absolute;margin-left:134.65pt;margin-top:612.45pt;width:394.65pt;height:112.45pt;z-index:25166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" filled="f" stroked="f">
            <v:textbox inset="0,0,0,0">
              <w:txbxContent>
                <w:p w:rsidR="00DB5792" w:rsidRPr="006C5577" w:rsidRDefault="00DB5792" w:rsidP="004F2A73">
                  <w:pPr>
                    <w:pStyle w:val="TL-Identifikace-dole"/>
                  </w:pPr>
                  <w:r>
                    <w:t>Z</w:t>
                  </w:r>
                  <w:r w:rsidRPr="006C5577">
                    <w:t>pracoval: Odbor</w:t>
                  </w:r>
                  <w:r>
                    <w:t xml:space="preserve"> Kancelář předsedkyně, Oddělení svodných analýz</w:t>
                  </w:r>
                </w:p>
                <w:p w:rsidR="00DB5792" w:rsidRPr="006C5577" w:rsidRDefault="00DB5792" w:rsidP="004F191F">
                  <w:pPr>
                    <w:pStyle w:val="TL-Identifikace-dole"/>
                  </w:pPr>
                  <w:r w:rsidRPr="006C5577">
                    <w:t xml:space="preserve">Ředitel odboru: </w:t>
                  </w:r>
                  <w:r>
                    <w:tab/>
                    <w:t>Egor Sidorov, Ph.D.</w:t>
                  </w:r>
                </w:p>
                <w:p w:rsidR="00DB5792" w:rsidRDefault="00DB5792" w:rsidP="004F191F">
                  <w:pPr>
                    <w:pStyle w:val="TL-Identifikace-dole"/>
                  </w:pPr>
                  <w:r>
                    <w:t>Autorský tým: Bc. Jiří Kamenický, Ing. Lukáš Kučera</w:t>
                  </w:r>
                </w:p>
                <w:p w:rsidR="00DB5792" w:rsidRDefault="00DB5792" w:rsidP="004F191F">
                  <w:pPr>
                    <w:pStyle w:val="TL-Identifikace-dole"/>
                  </w:pPr>
                  <w:r w:rsidRPr="006C5577">
                    <w:t xml:space="preserve">Kontaktní osoba: </w:t>
                  </w:r>
                  <w:r>
                    <w:t>Ing. Lukáš Kučera</w:t>
                  </w:r>
                </w:p>
                <w:p w:rsidR="00DB5792" w:rsidRDefault="00DB5792" w:rsidP="004F191F">
                  <w:pPr>
                    <w:pStyle w:val="TL-Identifikace-dole"/>
                  </w:pPr>
                  <w:r>
                    <w:t xml:space="preserve">                            e-mail</w:t>
                  </w:r>
                  <w:r w:rsidRPr="006C5577">
                    <w:t>:</w:t>
                  </w:r>
                  <w:r>
                    <w:t xml:space="preserve"> </w:t>
                  </w:r>
                  <w:hyperlink r:id="rId8" w:history="1">
                    <w:r w:rsidRPr="00BF2EF3">
                      <w:rPr>
                        <w:rStyle w:val="Hypertextovodkaz"/>
                      </w:rPr>
                      <w:t>lukas.kucera@czso.cz</w:t>
                    </w:r>
                  </w:hyperlink>
                  <w:r>
                    <w:t>, tel: 274 052 254</w:t>
                  </w:r>
                </w:p>
              </w:txbxContent>
            </v:textbox>
            <w10:wrap anchorx="page" anchory="page"/>
            <w10:anchorlock/>
          </v:shape>
        </w:pict>
      </w:r>
      <w:r w:rsidRPr="00D3006B">
        <w:rPr>
          <w:noProof/>
        </w:rPr>
        <w:pict>
          <v:shape id="Text Box 25" o:spid="_x0000_s1028" type="#_x0000_t202" style="position:absolute;margin-left:134.65pt;margin-top:358.2pt;width:394.6pt;height:155.5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" filled="f" stroked="f">
            <v:textbox inset="0,0,0,0">
              <w:txbxContent>
                <w:p w:rsidR="00DB5792" w:rsidRPr="00D31445" w:rsidRDefault="00DB5792" w:rsidP="004F191F">
                  <w:pPr>
                    <w:pStyle w:val="TL-identifikace-sted"/>
                  </w:pPr>
                  <w:r>
                    <w:t>Souhrnná data o České republice</w:t>
                  </w:r>
                </w:p>
                <w:p w:rsidR="00DB5792" w:rsidRPr="00473E94" w:rsidRDefault="000C5C0F" w:rsidP="004F191F">
                  <w:pPr>
                    <w:pStyle w:val="TL-identifikace-sted"/>
                    <w:rPr>
                      <w:color w:val="000000"/>
                    </w:rPr>
                  </w:pPr>
                  <w:bookmarkStart w:id="0" w:name="_GoBack"/>
                  <w:r>
                    <w:rPr>
                      <w:color w:val="000000"/>
                    </w:rPr>
                    <w:t>Praha, 24</w:t>
                  </w:r>
                  <w:r w:rsidR="00DB5792">
                    <w:rPr>
                      <w:color w:val="000000"/>
                    </w:rPr>
                    <w:t>. 3. 2016</w:t>
                  </w:r>
                </w:p>
                <w:bookmarkEnd w:id="0"/>
                <w:p w:rsidR="00DB5792" w:rsidRPr="002E73F2" w:rsidRDefault="00DB5792" w:rsidP="004F191F">
                  <w:pPr>
                    <w:pStyle w:val="TL-identifikace-sted"/>
                  </w:pPr>
                  <w:r w:rsidRPr="00D31445">
                    <w:t xml:space="preserve">Kód </w:t>
                  </w:r>
                  <w:r w:rsidRPr="002E73F2">
                    <w:t>publikace: 320193-15</w:t>
                  </w:r>
                </w:p>
                <w:p w:rsidR="00DB5792" w:rsidRPr="00E02086" w:rsidRDefault="00DB5792" w:rsidP="004F191F">
                  <w:pPr>
                    <w:spacing w:after="200"/>
                    <w:rPr>
                      <w:sz w:val="24"/>
                    </w:rPr>
                  </w:pPr>
                  <w:r w:rsidRPr="00E02086">
                    <w:rPr>
                      <w:sz w:val="24"/>
                    </w:rPr>
                    <w:t>Č. j.:</w:t>
                  </w:r>
                  <w:r w:rsidR="00E02086" w:rsidRPr="00E02086">
                    <w:rPr>
                      <w:sz w:val="24"/>
                    </w:rPr>
                    <w:t xml:space="preserve"> 269/2016-01</w:t>
                  </w:r>
                </w:p>
                <w:p w:rsidR="00DB5792" w:rsidRPr="00D31445" w:rsidRDefault="00DB5792" w:rsidP="004F191F">
                  <w:pPr>
                    <w:spacing w:after="200"/>
                    <w:rPr>
                      <w:sz w:val="24"/>
                    </w:rPr>
                  </w:pPr>
                  <w:r>
                    <w:rPr>
                      <w:sz w:val="24"/>
                    </w:rPr>
                    <w:t>Pořadové číslo v roce: 4</w:t>
                  </w:r>
                </w:p>
              </w:txbxContent>
            </v:textbox>
            <w10:wrap anchorx="page" anchory="page"/>
            <w10:anchorlock/>
          </v:shape>
        </w:pict>
      </w:r>
      <w:r w:rsidRPr="00D3006B">
        <w:rPr>
          <w:noProof/>
        </w:rPr>
        <w:pict>
          <v:shape id="_x0000_s1029" type="#_x0000_t202" style="position:absolute;margin-left:134.65pt;margin-top:116.25pt;width:371.15pt;height:135.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aZ4uwIAALcFAAAOAAAAZHJzL2Uyb0RvYy54bWysVNuOmzAQfa/Uf7D8znJZQgJ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" filled="f" stroked="f">
            <v:textbox style="mso-fit-shape-to-text:t" inset="0,0,0,0">
              <w:txbxContent>
                <w:p w:rsidR="00DB5792" w:rsidRPr="001C357A" w:rsidRDefault="00DB5792" w:rsidP="001C357A">
                  <w:pPr>
                    <w:pStyle w:val="Podtitul"/>
                    <w:rPr>
                      <w:sz w:val="56"/>
                      <w:szCs w:val="56"/>
                    </w:rPr>
                  </w:pPr>
                  <w:r>
                    <w:rPr>
                      <w:sz w:val="56"/>
                      <w:szCs w:val="56"/>
                    </w:rPr>
                    <w:t>VÝVOJ EKONOMIKY Č</w:t>
                  </w:r>
                  <w:r w:rsidRPr="001C357A">
                    <w:rPr>
                      <w:sz w:val="56"/>
                      <w:szCs w:val="56"/>
                    </w:rPr>
                    <w:t>E</w:t>
                  </w:r>
                  <w:r>
                    <w:rPr>
                      <w:sz w:val="56"/>
                      <w:szCs w:val="56"/>
                    </w:rPr>
                    <w:t>SKÉ REPUBLIKY V ROCE 2015</w:t>
                  </w:r>
                </w:p>
                <w:p w:rsidR="00DB5792" w:rsidRPr="009B04D0" w:rsidRDefault="00DB5792" w:rsidP="004F191F">
                  <w:pPr>
                    <w:pStyle w:val="Podtitul"/>
                  </w:pPr>
                </w:p>
              </w:txbxContent>
            </v:textbox>
            <w10:wrap anchorx="page" anchory="page"/>
            <w10:anchorlock/>
          </v:shape>
        </w:pict>
      </w:r>
      <w:r w:rsidRPr="00D3006B">
        <w:rPr>
          <w:noProof/>
        </w:rPr>
        <w:pict>
          <v:group id="Group 24" o:spid="_x0000_s1030" style="position:absolute;margin-left:45.1pt;margin-top:36.85pt;width:177.15pt;height:43.65pt;z-index:251657728;mso-position-horizontal-relative:page;mso-position-vertical-relative:page" coordorigin="567,851" coordsize="27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">
            <o:lock v:ext="edit" aspectratio="t"/>
            <v:rect id="Rectangle 9" o:spid="_x0000_s1031" style="position:absolute;left:1215;top:901;width:676;height: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Edfb4A&#10;AADaAAAADwAAAGRycy9kb3ducmV2LnhtbERPTYvCMBC9L/gfwgje1lQPrlTTIooguB62Cl7HZmyD&#10;zaQ00Xb/vTks7PHxvtf5YBvxos4bxwpm0wQEcem04UrB5bz/XILwAVlj45gU/JKHPBt9rDHVrucf&#10;ehWhEjGEfYoK6hDaVEpf1mTRT11LHLm76yyGCLtK6g77GG4bOU+ShbRoODbU2NK2pvJRPK0CI797&#10;W5yuO5c827O5ft2WPhyVmoyHzQpEoCH8i//cB60gbo1X4g2Q2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BHX2+AAAA2gAAAA8AAAAAAAAAAAAAAAAAmAIAAGRycy9kb3ducmV2&#10;LnhtbFBLBQYAAAAABAAEAPUAAACDAwAAAAA=&#10;" fillcolor="#0071bc" stroked="f">
              <o:lock v:ext="edit" aspectratio="t"/>
            </v:rect>
            <v:rect id="Rectangle 10" o:spid="_x0000_s1032" style="position:absolute;left:567;top:1131;width:1324;height: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45sIA&#10;AADaAAAADwAAAGRycy9kb3ducmV2LnhtbESPT4vCMBTE74LfITzBm6Z68E/XKIuysLB6sApen83b&#10;NmzzUppou9/eCILHYWZ+w6w2na3EnRpvHCuYjBMQxLnThgsF59PXaAHCB2SNlWNS8E8eNut+b4Wp&#10;di0f6Z6FQkQI+xQVlCHUqZQ+L8miH7uaOHq/rrEYomwKqRtsI9xWcpokM2nRcFwosaZtSflfdrMK&#10;jNy3Njtcdi651SdzmV8XPvwoNRx0nx8gAnXhHX61v7WCJTyvxBs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jbjmwgAAANoAAAAPAAAAAAAAAAAAAAAAAJgCAABkcnMvZG93&#10;bnJldi54bWxQSwUGAAAAAAQABAD1AAAAhwMAAAAA&#10;" fillcolor="#0071bc" stroked="f">
              <o:lock v:ext="edit" aspectratio="t"/>
            </v:rect>
            <v:rect id="Rectangle 11" o:spid="_x0000_s1033" style="position:absolute;left:1288;top:1361;width:603;height:1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CmR8QA&#10;AADbAAAADwAAAGRycy9kb3ducmV2LnhtbESPQWvCQBSE7wX/w/KE3pqNUtoQXUUshULbQxMh12f2&#10;mSxm34bsauK/dwuFHoeZ+YZZbyfbiSsN3jhWsEhSEMS104YbBYfy/SkD4QOyxs4xKbiRh+1m9rDG&#10;XLuRf+hahEZECPscFbQh9LmUvm7Jok9cTxy9kxsshiiHRuoBxwi3nVym6Yu0aDgutNjTvqX6XFys&#10;AiO/Rlt8V28uvfSlqV6PmQ+fSj3Op90KRKAp/If/2h9awfIZfr/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QpkfEAAAA2wAAAA8AAAAAAAAAAAAAAAAAmAIAAGRycy9k&#10;b3ducmV2LnhtbFBLBQYAAAAABAAEAPUAAACJAwAAAAA=&#10;" fillcolor="#0071bc" stroked="f">
              <o:lock v:ext="edit" aspectratio="t"/>
            </v:rect>
            <v:shape id="Freeform 12" o:spid="_x0000_s1034" style="position:absolute;left:1969;top:1311;width:600;height:207;visibility:visible;mso-wrap-style:square;v-text-anchor:top" coordsize="120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wcN8EA&#10;AADbAAAADwAAAGRycy9kb3ducmV2LnhtbESPQYvCMBSE78L+h/AEb5paUJauUYqs7IqnrfX+aN42&#10;xealNFHrvzeC4HGYmW+Y1WawrbhS7xvHCuazBARx5XTDtYLyuJt+gvABWWPrmBTcycNm/TFaYabd&#10;jf/oWoRaRAj7DBWYELpMSl8ZsuhnriOO3r/rLYYo+1rqHm8RbluZJslSWmw4LhjsaGuoOhcXq+A7&#10;J0N52W0L3renn9P5kDb7g1KT8ZB/gQg0hHf41f7VCtIFPL/E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MHDfBAAAA2wAAAA8AAAAAAAAAAAAAAAAAmAIAAGRycy9kb3du&#10;cmV2LnhtbFBLBQYAAAAABAAEAPUAAACGAw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aspectratio="t" verticies="t"/>
            </v:shape>
            <v:shape id="Freeform 13" o:spid="_x0000_s1035" style="position:absolute;left:1962;top:1081;width:1319;height:208;visibility:visible;mso-wrap-style:square;v-text-anchor:top" coordsize="263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haAMYA&#10;AADbAAAADwAAAGRycy9kb3ducmV2LnhtbESPQWvCQBSE7wX/w/KEXqRuVBBJ3YSiFKQqqGkPvT2y&#10;r0lo9m3Y3Zr033cFocdhZr5h1vlgWnEl5xvLCmbTBARxaXXDlYL34vVpBcIHZI2tZVLwSx7ybPSw&#10;xlTbns90vYRKRAj7FBXUIXSplL6syaCf2o44el/WGQxRukpqh32Em1bOk2QpDTYcF2rsaFNT+X35&#10;MQo2RfvhFod+f3aT7e7t81jJ4nhS6nE8vDyDCDSE//C9vdMK5ku4fY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haAMYAAADbAAAADwAAAAAAAAAAAAAAAACYAgAAZHJz&#10;L2Rvd25yZXYueG1sUEsFBgAAAAAEAAQA9QAAAIsDA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aspectratio="t" verticies="t"/>
            </v:shape>
            <v:shape id="Freeform 14" o:spid="_x0000_s1036" style="position:absolute;left:1962;top:851;width:679;height:208;visibility:visible;mso-wrap-style:square;v-text-anchor:top" coordsize="1358,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zGsMA&#10;AADbAAAADwAAAGRycy9kb3ducmV2LnhtbESPQWvCQBSE74L/YXmCF6mbetCSukpVot5KVXp+zT6T&#10;0OzbdHc18d+7BcHjMPPNMPNlZ2pxJecrywpexwkI4tzqigsFp2P28gbCB2SNtWVScCMPy0W/N8dU&#10;25a/6HoIhYgl7FNUUIbQpFL6vCSDfmwb4uidrTMYonSF1A7bWG5qOUmSqTRYcVwosaF1Sfnv4WIU&#10;TKbfP7tsX6w+6+3fyOnzJhu1G6WGg+7jHUSgLjzDD3qvIzeD/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gzGsMAAADbAAAADwAAAAAAAAAAAAAAAACYAgAAZHJzL2Rv&#10;d25yZXYueG1sUEsFBgAAAAAEAAQA9QAAAIgDA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aspectratio="t" verticies="t"/>
            </v:shape>
            <w10:wrap type="square" anchorx="page" anchory="page"/>
          </v:group>
        </w:pict>
      </w:r>
    </w:p>
    <w:p w:rsidR="00576A3E" w:rsidRDefault="00576A3E" w:rsidP="0060487F">
      <w:pPr>
        <w:pStyle w:val="Styl1"/>
        <w:rPr>
          <w:rFonts w:cs="Arial"/>
          <w:sz w:val="20"/>
        </w:rPr>
      </w:pPr>
    </w:p>
    <w:p w:rsidR="00576A3E" w:rsidRDefault="00576A3E" w:rsidP="0060487F">
      <w:pPr>
        <w:pStyle w:val="Styl1"/>
        <w:rPr>
          <w:rFonts w:cs="Arial"/>
          <w:sz w:val="20"/>
        </w:rPr>
      </w:pPr>
    </w:p>
    <w:p w:rsidR="00576A3E" w:rsidRDefault="00576A3E" w:rsidP="0060487F">
      <w:pPr>
        <w:pStyle w:val="Styl1"/>
        <w:rPr>
          <w:rFonts w:cs="Arial"/>
          <w:sz w:val="20"/>
        </w:rPr>
      </w:pPr>
    </w:p>
    <w:p w:rsidR="00576A3E" w:rsidRDefault="00576A3E" w:rsidP="00D31932">
      <w:pPr>
        <w:autoSpaceDE w:val="0"/>
        <w:autoSpaceDN w:val="0"/>
        <w:adjustRightInd w:val="0"/>
        <w:spacing w:line="240" w:lineRule="auto"/>
        <w:jc w:val="both"/>
        <w:rPr>
          <w:rFonts w:cs="Arial"/>
        </w:rPr>
      </w:pPr>
    </w:p>
    <w:p w:rsidR="00576A3E" w:rsidRDefault="00D3006B" w:rsidP="00D31932">
      <w:pPr>
        <w:autoSpaceDE w:val="0"/>
        <w:autoSpaceDN w:val="0"/>
        <w:adjustRightInd w:val="0"/>
        <w:spacing w:line="240" w:lineRule="auto"/>
        <w:jc w:val="both"/>
        <w:rPr>
          <w:rFonts w:cs="Arial"/>
          <w:lang w:eastAsia="ar-SA"/>
        </w:rPr>
      </w:pPr>
      <w:r w:rsidRPr="00D3006B">
        <w:rPr>
          <w:noProof/>
        </w:rPr>
        <w:pict>
          <v:line id="Přímá spojnice 33" o:spid="_x0000_s1037" style="position:absolute;left:0;text-align:left;z-index:251656704;visibility:visible;mso-wrap-distance-top:-3e-5mm;mso-wrap-distance-bottom:-3e-5mm;mso-position-horizontal-relative:page;mso-position-vertical-relative:page"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C/3IlB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w:r>
      <w:r w:rsidR="00576A3E">
        <w:rPr>
          <w:rFonts w:cs="Arial"/>
        </w:rPr>
        <w:br w:type="page"/>
      </w:r>
    </w:p>
    <w:p w:rsidR="00576A3E" w:rsidRDefault="00576A3E" w:rsidP="0060487F">
      <w:pPr>
        <w:pStyle w:val="Styl1"/>
        <w:rPr>
          <w:rFonts w:cs="Arial"/>
          <w:sz w:val="20"/>
        </w:rPr>
      </w:pPr>
    </w:p>
    <w:p w:rsidR="00576A3E" w:rsidRDefault="00576A3E" w:rsidP="0060487F">
      <w:pPr>
        <w:pStyle w:val="Styl1"/>
        <w:rPr>
          <w:rFonts w:cs="Arial"/>
          <w:sz w:val="20"/>
        </w:rPr>
      </w:pPr>
    </w:p>
    <w:p w:rsidR="00576A3E" w:rsidRDefault="00576A3E">
      <w:pPr>
        <w:spacing w:line="240" w:lineRule="auto"/>
        <w:rPr>
          <w:rFonts w:cs="Arial"/>
          <w:lang w:eastAsia="ar-SA"/>
        </w:rPr>
      </w:pPr>
    </w:p>
    <w:p w:rsidR="00576A3E" w:rsidRDefault="00576A3E" w:rsidP="0060487F">
      <w:pPr>
        <w:pStyle w:val="Styl1"/>
        <w:rPr>
          <w:rFonts w:cs="Arial"/>
          <w:sz w:val="20"/>
        </w:rPr>
      </w:pPr>
    </w:p>
    <w:p w:rsidR="00576A3E" w:rsidRPr="006404A7" w:rsidRDefault="00D3006B" w:rsidP="0060487F">
      <w:pPr>
        <w:pStyle w:val="Styl1"/>
        <w:rPr>
          <w:rFonts w:cs="Arial"/>
          <w:color w:val="7DB41E"/>
          <w:sz w:val="20"/>
          <w:szCs w:val="20"/>
        </w:rPr>
      </w:pPr>
      <w:r w:rsidRPr="00D3006B">
        <w:rPr>
          <w:noProof/>
          <w:lang w:eastAsia="cs-CZ"/>
        </w:rPr>
        <w:pict>
          <v:shape id="_x0000_s1038" type="#_x0000_t202" style="position:absolute;margin-left:56.7pt;margin-top:116.25pt;width:481.9pt;height:595.3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" filled="f" stroked="f">
            <v:textbox inset="0,0,0,0">
              <w:txbxContent>
                <w:p w:rsidR="00DB5792" w:rsidRPr="00D766EF" w:rsidRDefault="00DB5792" w:rsidP="00437C76">
                  <w:pPr>
                    <w:pStyle w:val="TL-Kontakty"/>
                  </w:pPr>
                  <w:r w:rsidRPr="00D766EF">
                    <w:rPr>
                      <w:caps w:val="0"/>
                    </w:rPr>
                    <w:t>KONTAKTY V</w:t>
                  </w:r>
                  <w:r w:rsidRPr="00D766EF">
                    <w:t> ÚSTŘEDÍ</w:t>
                  </w:r>
                </w:p>
                <w:p w:rsidR="00DB5792" w:rsidRPr="00EA4153" w:rsidRDefault="00DB5792" w:rsidP="00BD366B">
                  <w:pPr>
                    <w:spacing w:after="80" w:line="240" w:lineRule="auto"/>
                    <w:rPr>
                      <w:b/>
                      <w:color w:val="0071BC"/>
                    </w:rPr>
                  </w:pPr>
                  <w:r w:rsidRPr="00320214">
                    <w:rPr>
                      <w:b/>
                      <w:color w:val="0071BC"/>
                    </w:rPr>
                    <w:t>Český statistický úřad</w:t>
                  </w:r>
                  <w:r>
                    <w:rPr>
                      <w:b/>
                      <w:color w:val="0071BC"/>
                    </w:rPr>
                    <w:t xml:space="preserve"> | </w:t>
                  </w:r>
                  <w:r>
                    <w:t xml:space="preserve">Na padesátém 81, 100 82 Praha 10 | tel.: 274 051 111 | </w:t>
                  </w:r>
                  <w:r w:rsidRPr="00841D9F">
                    <w:rPr>
                      <w:b/>
                      <w:bCs/>
                    </w:rPr>
                    <w:t>www.czso.cz</w:t>
                  </w:r>
                </w:p>
                <w:p w:rsidR="00DB5792" w:rsidRPr="00B27293" w:rsidRDefault="00DB5792" w:rsidP="00BD366B">
                  <w:pPr>
                    <w:spacing w:after="80" w:line="240" w:lineRule="auto"/>
                  </w:pPr>
                  <w:r w:rsidRPr="00100014">
                    <w:rPr>
                      <w:b/>
                    </w:rPr>
                    <w:t>Oddělení informačních služeb</w:t>
                  </w:r>
                  <w:r w:rsidRPr="00EA4153">
                    <w:t xml:space="preserve"> |</w:t>
                  </w:r>
                  <w:r>
                    <w:rPr>
                      <w:b/>
                    </w:rPr>
                    <w:t xml:space="preserve"> </w:t>
                  </w:r>
                  <w:r>
                    <w:t>tel.: 274 052 648, 274 052 304, 274 052 451 | e-mail: infoservis@czso.cz</w:t>
                  </w:r>
                </w:p>
                <w:p w:rsidR="00DB5792" w:rsidRPr="00EA4153" w:rsidRDefault="00DB5792" w:rsidP="00BD366B">
                  <w:pPr>
                    <w:spacing w:after="80" w:line="240" w:lineRule="auto"/>
                    <w:rPr>
                      <w:b/>
                    </w:rPr>
                  </w:pPr>
                  <w:r w:rsidRPr="00100014">
                    <w:rPr>
                      <w:b/>
                    </w:rPr>
                    <w:t>Prodejna publikací ČSÚ</w:t>
                  </w:r>
                  <w:r>
                    <w:t xml:space="preserve"> | tel.: 274 052 361 | e-mail: prodejna@czso.cz</w:t>
                  </w:r>
                </w:p>
                <w:p w:rsidR="00DB5792" w:rsidRPr="00EA4153" w:rsidRDefault="00DB5792" w:rsidP="00BD366B">
                  <w:pPr>
                    <w:spacing w:after="80" w:line="240" w:lineRule="auto"/>
                    <w:rPr>
                      <w:b/>
                    </w:rPr>
                  </w:pPr>
                  <w:r>
                    <w:rPr>
                      <w:b/>
                    </w:rPr>
                    <w:t xml:space="preserve">Evropská data (ESDS), </w:t>
                  </w:r>
                  <w:r w:rsidRPr="00100014">
                    <w:rPr>
                      <w:b/>
                    </w:rPr>
                    <w:t>mezinárodní srovnání</w:t>
                  </w:r>
                  <w:r>
                    <w:t xml:space="preserve"> | tel.: 274 052 347, 274 052 757 | e-mail: esds@czso.cz</w:t>
                  </w:r>
                </w:p>
                <w:p w:rsidR="00DB5792" w:rsidRPr="00EA4153" w:rsidRDefault="00DB5792" w:rsidP="00BD366B">
                  <w:pPr>
                    <w:spacing w:after="80" w:line="240" w:lineRule="auto"/>
                    <w:rPr>
                      <w:b/>
                    </w:rPr>
                  </w:pPr>
                  <w:r w:rsidRPr="00100014">
                    <w:rPr>
                      <w:b/>
                    </w:rPr>
                    <w:t>Ústřední statistická knihovna</w:t>
                  </w:r>
                  <w:r>
                    <w:t xml:space="preserve"> | tel.: 274 052 361 | e-mail: knihovna@czso.cz</w:t>
                  </w:r>
                </w:p>
                <w:p w:rsidR="00DB5792" w:rsidRDefault="00DB5792" w:rsidP="00BD366B">
                  <w:pPr>
                    <w:spacing w:line="240" w:lineRule="auto"/>
                  </w:pPr>
                </w:p>
                <w:p w:rsidR="00DB5792" w:rsidRPr="0071229A" w:rsidRDefault="00DB5792" w:rsidP="004F06F5">
                  <w:pPr>
                    <w:pStyle w:val="TL-Kontakty"/>
                  </w:pPr>
                  <w:r w:rsidRPr="0071229A">
                    <w:t>INFORMAČNÍ SLUŽBY V REGIONECH</w:t>
                  </w:r>
                </w:p>
                <w:p w:rsidR="00DB5792" w:rsidRDefault="00DB5792" w:rsidP="00BD366B">
                  <w:pPr>
                    <w:spacing w:line="240" w:lineRule="auto"/>
                  </w:pPr>
                  <w:r w:rsidRPr="00100014">
                    <w:rPr>
                      <w:b/>
                      <w:color w:val="0071BC"/>
                    </w:rPr>
                    <w:t>Hl. m. Praha</w:t>
                  </w:r>
                  <w:r>
                    <w:t xml:space="preserve"> | Na padesátém 81, 100 82 Praha 10 | tel.: 274 052 673, 274 054 223</w:t>
                  </w:r>
                </w:p>
                <w:p w:rsidR="00DB5792" w:rsidRPr="00100014" w:rsidRDefault="00DB5792" w:rsidP="00BD366B">
                  <w:pPr>
                    <w:spacing w:line="240" w:lineRule="auto"/>
                    <w:rPr>
                      <w:b/>
                    </w:rPr>
                  </w:pPr>
                  <w:r>
                    <w:t xml:space="preserve">e-mail: infoservispraha@czso.cz | </w:t>
                  </w:r>
                  <w:r w:rsidRPr="00100014">
                    <w:rPr>
                      <w:b/>
                    </w:rPr>
                    <w:t>www.praha.czso.cz</w:t>
                  </w:r>
                </w:p>
                <w:p w:rsidR="00DB5792" w:rsidRDefault="00DB5792" w:rsidP="00BD366B">
                  <w:pPr>
                    <w:spacing w:line="240" w:lineRule="auto"/>
                  </w:pPr>
                </w:p>
                <w:p w:rsidR="00DB5792" w:rsidRPr="00B27293" w:rsidRDefault="00DB5792" w:rsidP="00BD366B">
                  <w:pPr>
                    <w:spacing w:line="240" w:lineRule="auto"/>
                    <w:rPr>
                      <w:b/>
                      <w:color w:val="0071BC"/>
                    </w:rPr>
                  </w:pPr>
                  <w:r w:rsidRPr="00100014">
                    <w:rPr>
                      <w:b/>
                      <w:color w:val="0071BC"/>
                    </w:rPr>
                    <w:t>Středočeský kraj</w:t>
                  </w:r>
                  <w:r>
                    <w:t xml:space="preserve"> | Na padesátém 81, 100 82 Praha 10</w:t>
                  </w:r>
                  <w:r w:rsidRPr="00B27293">
                    <w:t xml:space="preserve"> |</w:t>
                  </w:r>
                  <w:r w:rsidRPr="00B27293">
                    <w:rPr>
                      <w:b/>
                    </w:rPr>
                    <w:t xml:space="preserve"> </w:t>
                  </w:r>
                  <w:r>
                    <w:t>tel.: 274 054 175</w:t>
                  </w:r>
                </w:p>
                <w:p w:rsidR="00DB5792" w:rsidRPr="00B27293" w:rsidRDefault="00DB5792" w:rsidP="00BD366B">
                  <w:pPr>
                    <w:spacing w:line="240" w:lineRule="auto"/>
                  </w:pPr>
                  <w:r>
                    <w:t xml:space="preserve">e-mail: infoservisstc@czso.cz | </w:t>
                  </w:r>
                  <w:r w:rsidRPr="00100014">
                    <w:rPr>
                      <w:b/>
                    </w:rPr>
                    <w:t>www.stredocesky.czso.cz</w:t>
                  </w:r>
                </w:p>
                <w:p w:rsidR="00DB5792" w:rsidRDefault="00DB5792" w:rsidP="00BD366B">
                  <w:pPr>
                    <w:spacing w:line="240" w:lineRule="auto"/>
                  </w:pPr>
                </w:p>
                <w:p w:rsidR="00DB5792" w:rsidRPr="00B27293" w:rsidRDefault="00DB5792" w:rsidP="00BD366B">
                  <w:pPr>
                    <w:spacing w:line="240" w:lineRule="auto"/>
                    <w:rPr>
                      <w:b/>
                      <w:color w:val="0071BC"/>
                    </w:rPr>
                  </w:pPr>
                  <w:r w:rsidRPr="00100014">
                    <w:rPr>
                      <w:b/>
                      <w:color w:val="0071BC"/>
                    </w:rPr>
                    <w:t>České Budějovice</w:t>
                  </w:r>
                  <w:r>
                    <w:t xml:space="preserve"> | Žižkova 1, 370 77 České Budějovice | tel.: 386 718 440</w:t>
                  </w:r>
                </w:p>
                <w:p w:rsidR="00DB5792" w:rsidRPr="00B27293" w:rsidRDefault="00DB5792" w:rsidP="00BD366B">
                  <w:pPr>
                    <w:spacing w:line="240" w:lineRule="auto"/>
                  </w:pPr>
                  <w:r>
                    <w:t xml:space="preserve">e-mail: infoserviscb@czso.cz | </w:t>
                  </w:r>
                  <w:r w:rsidRPr="00100014">
                    <w:rPr>
                      <w:b/>
                    </w:rPr>
                    <w:t>www.cbudejovice.czso.cz</w:t>
                  </w:r>
                </w:p>
                <w:p w:rsidR="00DB5792" w:rsidRDefault="00DB5792" w:rsidP="00BD366B">
                  <w:pPr>
                    <w:spacing w:line="240" w:lineRule="auto"/>
                  </w:pPr>
                </w:p>
                <w:p w:rsidR="00DB5792" w:rsidRPr="00B27293" w:rsidRDefault="00DB5792" w:rsidP="00BD366B">
                  <w:pPr>
                    <w:spacing w:line="240" w:lineRule="auto"/>
                    <w:rPr>
                      <w:b/>
                      <w:color w:val="0071BC"/>
                    </w:rPr>
                  </w:pPr>
                  <w:r w:rsidRPr="0071229A">
                    <w:rPr>
                      <w:b/>
                      <w:color w:val="0071BC"/>
                    </w:rPr>
                    <w:t>Plzeň</w:t>
                  </w:r>
                  <w:r>
                    <w:t xml:space="preserve"> | Slovanská alej 36, 326 64 Plzeň | tel.: 377 612 108, 377 612 249</w:t>
                  </w:r>
                </w:p>
                <w:p w:rsidR="00DB5792" w:rsidRPr="00B27293" w:rsidRDefault="00DB5792" w:rsidP="00BD366B">
                  <w:pPr>
                    <w:spacing w:line="240" w:lineRule="auto"/>
                  </w:pPr>
                  <w:r>
                    <w:t xml:space="preserve">e-mail: infoservisplzen@czso.cz | </w:t>
                  </w:r>
                  <w:r w:rsidRPr="0071229A">
                    <w:rPr>
                      <w:b/>
                    </w:rPr>
                    <w:t>www.plzen.czso.cz</w:t>
                  </w:r>
                </w:p>
                <w:p w:rsidR="00DB5792" w:rsidRDefault="00DB5792" w:rsidP="00BD366B">
                  <w:pPr>
                    <w:spacing w:line="240" w:lineRule="auto"/>
                  </w:pPr>
                </w:p>
                <w:p w:rsidR="00DB5792" w:rsidRPr="00B27293" w:rsidRDefault="00DB5792" w:rsidP="00BD366B">
                  <w:pPr>
                    <w:spacing w:line="240" w:lineRule="auto"/>
                    <w:rPr>
                      <w:b/>
                      <w:color w:val="0071BC"/>
                    </w:rPr>
                  </w:pPr>
                  <w:r w:rsidRPr="0071229A">
                    <w:rPr>
                      <w:b/>
                      <w:color w:val="0071BC"/>
                    </w:rPr>
                    <w:t>Karlovy Vary</w:t>
                  </w:r>
                  <w:r>
                    <w:t xml:space="preserve"> | Sportovní 28, 360 01 Karlovy Vary | tel.: 353 114 529, 353 114 525</w:t>
                  </w:r>
                </w:p>
                <w:p w:rsidR="00DB5792" w:rsidRDefault="00DB5792" w:rsidP="00BD366B">
                  <w:pPr>
                    <w:spacing w:line="240" w:lineRule="auto"/>
                    <w:rPr>
                      <w:b/>
                    </w:rPr>
                  </w:pPr>
                  <w:r>
                    <w:t xml:space="preserve">e-mail: infoserviskv@czso.cz | </w:t>
                  </w:r>
                  <w:r>
                    <w:rPr>
                      <w:b/>
                    </w:rPr>
                    <w:t>www.kvary.czso.cz</w:t>
                  </w:r>
                </w:p>
                <w:p w:rsidR="00DB5792" w:rsidRDefault="00DB5792" w:rsidP="00BD366B">
                  <w:pPr>
                    <w:spacing w:line="240" w:lineRule="auto"/>
                  </w:pPr>
                </w:p>
                <w:p w:rsidR="00DB5792" w:rsidRPr="00B27293" w:rsidRDefault="00DB5792" w:rsidP="00BD366B">
                  <w:pPr>
                    <w:spacing w:line="240" w:lineRule="auto"/>
                    <w:rPr>
                      <w:b/>
                      <w:bCs/>
                      <w:color w:val="0071BC"/>
                    </w:rPr>
                  </w:pPr>
                  <w:r w:rsidRPr="0071229A">
                    <w:rPr>
                      <w:b/>
                      <w:bCs/>
                      <w:color w:val="0071BC"/>
                    </w:rPr>
                    <w:t>Ústí nad Labem</w:t>
                  </w:r>
                  <w:r>
                    <w:t xml:space="preserve"> | </w:t>
                  </w:r>
                  <w:r w:rsidRPr="0071229A">
                    <w:rPr>
                      <w:bCs/>
                    </w:rPr>
                    <w:t>Špálova 2684, 400 11 Ústí nad Labem</w:t>
                  </w:r>
                  <w:r>
                    <w:t xml:space="preserve"> | </w:t>
                  </w:r>
                  <w:r w:rsidRPr="0071229A">
                    <w:rPr>
                      <w:bCs/>
                    </w:rPr>
                    <w:t>tel.: 472 706 176, 472 706 121</w:t>
                  </w:r>
                </w:p>
                <w:p w:rsidR="00DB5792" w:rsidRPr="00B27293" w:rsidRDefault="00DB5792" w:rsidP="00BD366B">
                  <w:pPr>
                    <w:spacing w:line="240" w:lineRule="auto"/>
                    <w:rPr>
                      <w:bCs/>
                    </w:rPr>
                  </w:pPr>
                  <w:r w:rsidRPr="0071229A">
                    <w:rPr>
                      <w:bCs/>
                    </w:rPr>
                    <w:t>e-mail: infoservisul@czso.cz</w:t>
                  </w:r>
                  <w:r>
                    <w:t xml:space="preserve"> | </w:t>
                  </w:r>
                  <w:r w:rsidRPr="0071229A">
                    <w:rPr>
                      <w:b/>
                      <w:bCs/>
                    </w:rPr>
                    <w:t>www.ustinadlabem.czso.cz</w:t>
                  </w:r>
                </w:p>
                <w:p w:rsidR="00DB5792" w:rsidRPr="0071229A" w:rsidRDefault="00DB5792" w:rsidP="00BD366B">
                  <w:pPr>
                    <w:spacing w:line="240" w:lineRule="auto"/>
                    <w:rPr>
                      <w:bCs/>
                    </w:rPr>
                  </w:pPr>
                </w:p>
                <w:p w:rsidR="00DB5792" w:rsidRPr="00B27293" w:rsidRDefault="00DB5792" w:rsidP="00BD366B">
                  <w:pPr>
                    <w:spacing w:line="240" w:lineRule="auto"/>
                    <w:rPr>
                      <w:b/>
                      <w:bCs/>
                      <w:color w:val="0071BC"/>
                    </w:rPr>
                  </w:pPr>
                  <w:r w:rsidRPr="0071229A">
                    <w:rPr>
                      <w:b/>
                      <w:bCs/>
                      <w:color w:val="0071BC"/>
                    </w:rPr>
                    <w:t>Liberec</w:t>
                  </w:r>
                  <w:r>
                    <w:t xml:space="preserve"> | </w:t>
                  </w:r>
                  <w:r w:rsidRPr="0071229A">
                    <w:rPr>
                      <w:bCs/>
                    </w:rPr>
                    <w:t>Nám. Dr. Edvarda Beneše 585/26, 460 01 Liberec 1</w:t>
                  </w:r>
                  <w:r>
                    <w:t xml:space="preserve"> | </w:t>
                  </w:r>
                  <w:r w:rsidRPr="0071229A">
                    <w:rPr>
                      <w:bCs/>
                    </w:rPr>
                    <w:t>tel.: 485 238 811</w:t>
                  </w:r>
                </w:p>
                <w:p w:rsidR="00DB5792" w:rsidRPr="00B27293" w:rsidRDefault="00DB5792" w:rsidP="00BD366B">
                  <w:pPr>
                    <w:spacing w:line="240" w:lineRule="auto"/>
                    <w:rPr>
                      <w:bCs/>
                    </w:rPr>
                  </w:pPr>
                  <w:r w:rsidRPr="0071229A">
                    <w:rPr>
                      <w:bCs/>
                    </w:rPr>
                    <w:t>e-mail: infoservislbc@czso.cz</w:t>
                  </w:r>
                  <w:r>
                    <w:t xml:space="preserve"> | </w:t>
                  </w:r>
                  <w:r w:rsidRPr="0071229A">
                    <w:rPr>
                      <w:b/>
                      <w:bCs/>
                    </w:rPr>
                    <w:t>www.liberec.czso.cz</w:t>
                  </w:r>
                </w:p>
                <w:p w:rsidR="00DB5792" w:rsidRPr="0071229A" w:rsidRDefault="00DB5792" w:rsidP="00BD366B">
                  <w:pPr>
                    <w:spacing w:line="240" w:lineRule="auto"/>
                    <w:rPr>
                      <w:bCs/>
                    </w:rPr>
                  </w:pPr>
                </w:p>
                <w:p w:rsidR="00DB5792" w:rsidRPr="00B27293" w:rsidRDefault="00DB5792" w:rsidP="00BD366B">
                  <w:pPr>
                    <w:spacing w:line="240" w:lineRule="auto"/>
                    <w:rPr>
                      <w:b/>
                      <w:bCs/>
                      <w:color w:val="0071BC"/>
                    </w:rPr>
                  </w:pPr>
                  <w:r w:rsidRPr="0071229A">
                    <w:rPr>
                      <w:b/>
                      <w:bCs/>
                      <w:color w:val="0071BC"/>
                    </w:rPr>
                    <w:t>Hradec Králové</w:t>
                  </w:r>
                  <w:r>
                    <w:t xml:space="preserve"> | </w:t>
                  </w:r>
                  <w:r>
                    <w:rPr>
                      <w:bCs/>
                    </w:rPr>
                    <w:t xml:space="preserve">Myslivečkova 914, </w:t>
                  </w:r>
                  <w:r w:rsidRPr="0071229A">
                    <w:rPr>
                      <w:bCs/>
                    </w:rPr>
                    <w:t>500 03 Hradec Králové 3</w:t>
                  </w:r>
                  <w:r>
                    <w:t xml:space="preserve"> | t</w:t>
                  </w:r>
                  <w:r w:rsidRPr="0071229A">
                    <w:rPr>
                      <w:bCs/>
                    </w:rPr>
                    <w:t>el.: 495 762 322, 495 762 317</w:t>
                  </w:r>
                </w:p>
                <w:p w:rsidR="00DB5792" w:rsidRPr="00B27293" w:rsidRDefault="00DB5792" w:rsidP="00BD366B">
                  <w:pPr>
                    <w:spacing w:line="240" w:lineRule="auto"/>
                    <w:rPr>
                      <w:bCs/>
                    </w:rPr>
                  </w:pPr>
                  <w:r w:rsidRPr="0071229A">
                    <w:rPr>
                      <w:bCs/>
                    </w:rPr>
                    <w:t>e-mail: infoservishk@czso.cz</w:t>
                  </w:r>
                  <w:r>
                    <w:t xml:space="preserve"> | </w:t>
                  </w:r>
                  <w:r w:rsidRPr="0071229A">
                    <w:rPr>
                      <w:b/>
                      <w:bCs/>
                    </w:rPr>
                    <w:t>www.hradeckralove.czso.cz</w:t>
                  </w:r>
                </w:p>
                <w:p w:rsidR="00DB5792" w:rsidRPr="0071229A" w:rsidRDefault="00DB5792" w:rsidP="00BD366B">
                  <w:pPr>
                    <w:spacing w:line="240" w:lineRule="auto"/>
                    <w:rPr>
                      <w:bCs/>
                    </w:rPr>
                  </w:pPr>
                </w:p>
                <w:p w:rsidR="00DB5792" w:rsidRPr="00B27293" w:rsidRDefault="00DB5792" w:rsidP="00BD366B">
                  <w:pPr>
                    <w:spacing w:line="240" w:lineRule="auto"/>
                    <w:rPr>
                      <w:b/>
                      <w:bCs/>
                      <w:color w:val="0071BC"/>
                    </w:rPr>
                  </w:pPr>
                  <w:r w:rsidRPr="0071229A">
                    <w:rPr>
                      <w:b/>
                      <w:bCs/>
                      <w:color w:val="0071BC"/>
                    </w:rPr>
                    <w:t>Pardubice</w:t>
                  </w:r>
                  <w:r>
                    <w:t xml:space="preserve"> | </w:t>
                  </w:r>
                  <w:r w:rsidRPr="0071229A">
                    <w:rPr>
                      <w:bCs/>
                    </w:rPr>
                    <w:t>V Ráji 872, 531 53 Pardubice</w:t>
                  </w:r>
                  <w:r>
                    <w:t xml:space="preserve"> | </w:t>
                  </w:r>
                  <w:r w:rsidRPr="0071229A">
                    <w:rPr>
                      <w:bCs/>
                    </w:rPr>
                    <w:t>tel.: 466 743 480, 466 743 418</w:t>
                  </w:r>
                </w:p>
                <w:p w:rsidR="00DB5792" w:rsidRPr="00B27293" w:rsidRDefault="00DB5792" w:rsidP="00BD366B">
                  <w:pPr>
                    <w:spacing w:line="240" w:lineRule="auto"/>
                    <w:rPr>
                      <w:bCs/>
                    </w:rPr>
                  </w:pPr>
                  <w:r w:rsidRPr="0071229A">
                    <w:rPr>
                      <w:bCs/>
                    </w:rPr>
                    <w:t>e-mail: infoservispa@czso.cz</w:t>
                  </w:r>
                  <w:r>
                    <w:t xml:space="preserve"> | </w:t>
                  </w:r>
                  <w:r w:rsidRPr="0071229A">
                    <w:rPr>
                      <w:b/>
                      <w:bCs/>
                    </w:rPr>
                    <w:t>www.pardubice.czso.cz</w:t>
                  </w:r>
                </w:p>
                <w:p w:rsidR="00DB5792" w:rsidRPr="0071229A" w:rsidRDefault="00DB5792" w:rsidP="00BD366B">
                  <w:pPr>
                    <w:spacing w:line="240" w:lineRule="auto"/>
                    <w:rPr>
                      <w:bCs/>
                    </w:rPr>
                  </w:pPr>
                </w:p>
                <w:p w:rsidR="00DB5792" w:rsidRPr="00B27293" w:rsidRDefault="00DB5792" w:rsidP="00BD366B">
                  <w:pPr>
                    <w:spacing w:line="240" w:lineRule="auto"/>
                    <w:rPr>
                      <w:b/>
                      <w:bCs/>
                      <w:color w:val="0071BC"/>
                    </w:rPr>
                  </w:pPr>
                  <w:r w:rsidRPr="0071229A">
                    <w:rPr>
                      <w:b/>
                      <w:bCs/>
                      <w:color w:val="0071BC"/>
                    </w:rPr>
                    <w:t>Jihlava</w:t>
                  </w:r>
                  <w:r>
                    <w:t xml:space="preserve"> | </w:t>
                  </w:r>
                  <w:r w:rsidRPr="0071229A">
                    <w:rPr>
                      <w:bCs/>
                    </w:rPr>
                    <w:t>Ke Skalce 30, 586 01 Jihlava</w:t>
                  </w:r>
                  <w:r>
                    <w:t xml:space="preserve"> | t</w:t>
                  </w:r>
                  <w:r w:rsidRPr="0071229A">
                    <w:rPr>
                      <w:bCs/>
                    </w:rPr>
                    <w:t>el.: 567 109 062, 567 109 080</w:t>
                  </w:r>
                </w:p>
                <w:p w:rsidR="00DB5792" w:rsidRPr="00B27293" w:rsidRDefault="00DB5792" w:rsidP="00BD366B">
                  <w:pPr>
                    <w:spacing w:line="240" w:lineRule="auto"/>
                    <w:rPr>
                      <w:bCs/>
                    </w:rPr>
                  </w:pPr>
                  <w:r w:rsidRPr="0071229A">
                    <w:rPr>
                      <w:bCs/>
                    </w:rPr>
                    <w:t>e-mail: infoservisvys@czso.cz</w:t>
                  </w:r>
                  <w:r>
                    <w:t xml:space="preserve"> | </w:t>
                  </w:r>
                  <w:r w:rsidRPr="0071229A">
                    <w:rPr>
                      <w:b/>
                      <w:bCs/>
                    </w:rPr>
                    <w:t>www.jihlava.czso.cz</w:t>
                  </w:r>
                </w:p>
                <w:p w:rsidR="00DB5792" w:rsidRPr="0071229A" w:rsidRDefault="00DB5792" w:rsidP="00BD366B">
                  <w:pPr>
                    <w:spacing w:line="240" w:lineRule="auto"/>
                    <w:rPr>
                      <w:bCs/>
                    </w:rPr>
                  </w:pPr>
                </w:p>
                <w:p w:rsidR="00DB5792" w:rsidRPr="00B27293" w:rsidRDefault="00DB5792" w:rsidP="00BD366B">
                  <w:pPr>
                    <w:spacing w:line="240" w:lineRule="auto"/>
                    <w:rPr>
                      <w:b/>
                      <w:bCs/>
                    </w:rPr>
                  </w:pPr>
                  <w:r w:rsidRPr="0071229A">
                    <w:rPr>
                      <w:b/>
                      <w:bCs/>
                      <w:color w:val="0071BC"/>
                    </w:rPr>
                    <w:t>Brno</w:t>
                  </w:r>
                  <w:r>
                    <w:t xml:space="preserve"> | </w:t>
                  </w:r>
                  <w:r w:rsidRPr="0071229A">
                    <w:rPr>
                      <w:bCs/>
                    </w:rPr>
                    <w:t>Jezuitská 2, 601 59 Brno</w:t>
                  </w:r>
                  <w:r>
                    <w:t xml:space="preserve"> | t</w:t>
                  </w:r>
                  <w:r w:rsidRPr="0071229A">
                    <w:rPr>
                      <w:bCs/>
                    </w:rPr>
                    <w:t>el.: 542 528 115, 542 528 105</w:t>
                  </w:r>
                </w:p>
                <w:p w:rsidR="00DB5792" w:rsidRPr="00B27293" w:rsidRDefault="00DB5792" w:rsidP="00BD366B">
                  <w:pPr>
                    <w:spacing w:line="240" w:lineRule="auto"/>
                    <w:rPr>
                      <w:bCs/>
                    </w:rPr>
                  </w:pPr>
                  <w:r w:rsidRPr="0071229A">
                    <w:rPr>
                      <w:bCs/>
                    </w:rPr>
                    <w:t>e-mail: infoservisbrno@czso.cz</w:t>
                  </w:r>
                  <w:r>
                    <w:t xml:space="preserve"> | </w:t>
                  </w:r>
                  <w:r w:rsidRPr="0071229A">
                    <w:rPr>
                      <w:b/>
                      <w:bCs/>
                    </w:rPr>
                    <w:t>www.brno.czso.cz</w:t>
                  </w:r>
                </w:p>
                <w:p w:rsidR="00DB5792" w:rsidRPr="0071229A" w:rsidRDefault="00DB5792" w:rsidP="00BD366B">
                  <w:pPr>
                    <w:spacing w:line="240" w:lineRule="auto"/>
                    <w:rPr>
                      <w:bCs/>
                    </w:rPr>
                  </w:pPr>
                </w:p>
                <w:p w:rsidR="00DB5792" w:rsidRPr="00B27293" w:rsidRDefault="00DB5792" w:rsidP="00BD366B">
                  <w:pPr>
                    <w:spacing w:line="240" w:lineRule="auto"/>
                    <w:rPr>
                      <w:b/>
                      <w:bCs/>
                    </w:rPr>
                  </w:pPr>
                  <w:r w:rsidRPr="0071229A">
                    <w:rPr>
                      <w:b/>
                      <w:bCs/>
                      <w:color w:val="0071BC"/>
                    </w:rPr>
                    <w:t>Olomouc</w:t>
                  </w:r>
                  <w:r>
                    <w:t xml:space="preserve"> | </w:t>
                  </w:r>
                  <w:r w:rsidRPr="0071229A">
                    <w:rPr>
                      <w:bCs/>
                    </w:rPr>
                    <w:t>Jeremenkova 1142/42, 772 11 Olomouc</w:t>
                  </w:r>
                  <w:r>
                    <w:t xml:space="preserve"> | </w:t>
                  </w:r>
                  <w:r w:rsidRPr="0071229A">
                    <w:rPr>
                      <w:bCs/>
                    </w:rPr>
                    <w:t>tel.: 585 731 516, 585 731 509</w:t>
                  </w:r>
                </w:p>
                <w:p w:rsidR="00DB5792" w:rsidRPr="00B27293" w:rsidRDefault="00DB5792" w:rsidP="00BD366B">
                  <w:pPr>
                    <w:spacing w:line="240" w:lineRule="auto"/>
                    <w:rPr>
                      <w:bCs/>
                    </w:rPr>
                  </w:pPr>
                  <w:r w:rsidRPr="0071229A">
                    <w:rPr>
                      <w:bCs/>
                    </w:rPr>
                    <w:t>e-mail: infoservisolom@czso.cz</w:t>
                  </w:r>
                  <w:r>
                    <w:t xml:space="preserve"> | </w:t>
                  </w:r>
                  <w:r w:rsidRPr="0071229A">
                    <w:rPr>
                      <w:b/>
                      <w:bCs/>
                    </w:rPr>
                    <w:t>www.olomouc.czso.cz</w:t>
                  </w:r>
                </w:p>
                <w:p w:rsidR="00DB5792" w:rsidRPr="0071229A" w:rsidRDefault="00DB5792" w:rsidP="00BD366B">
                  <w:pPr>
                    <w:spacing w:line="240" w:lineRule="auto"/>
                    <w:rPr>
                      <w:bCs/>
                    </w:rPr>
                  </w:pPr>
                </w:p>
                <w:p w:rsidR="00DB5792" w:rsidRPr="00B27293" w:rsidRDefault="00DB5792" w:rsidP="00BD366B">
                  <w:pPr>
                    <w:spacing w:line="240" w:lineRule="auto"/>
                    <w:rPr>
                      <w:b/>
                      <w:bCs/>
                    </w:rPr>
                  </w:pPr>
                  <w:r w:rsidRPr="0071229A">
                    <w:rPr>
                      <w:b/>
                      <w:bCs/>
                      <w:color w:val="0071BC"/>
                    </w:rPr>
                    <w:t>Ostrava</w:t>
                  </w:r>
                  <w:r>
                    <w:t xml:space="preserve"> | </w:t>
                  </w:r>
                  <w:r w:rsidRPr="0071229A">
                    <w:rPr>
                      <w:bCs/>
                    </w:rPr>
                    <w:t>Repinova 17, 702 03 Ostrava</w:t>
                  </w:r>
                  <w:r>
                    <w:t xml:space="preserve"> | </w:t>
                  </w:r>
                  <w:r w:rsidRPr="0071229A">
                    <w:rPr>
                      <w:bCs/>
                    </w:rPr>
                    <w:t>tel.: 595 131 230, 595 131 232</w:t>
                  </w:r>
                </w:p>
                <w:p w:rsidR="00DB5792" w:rsidRPr="00B27293" w:rsidRDefault="00DB5792" w:rsidP="00BD366B">
                  <w:pPr>
                    <w:spacing w:line="240" w:lineRule="auto"/>
                    <w:rPr>
                      <w:bCs/>
                    </w:rPr>
                  </w:pPr>
                  <w:r w:rsidRPr="0071229A">
                    <w:rPr>
                      <w:bCs/>
                    </w:rPr>
                    <w:t>e-mail: infoservis_ov@czso.cz</w:t>
                  </w:r>
                  <w:r>
                    <w:t xml:space="preserve"> | </w:t>
                  </w:r>
                  <w:r w:rsidRPr="0071229A">
                    <w:rPr>
                      <w:b/>
                      <w:bCs/>
                    </w:rPr>
                    <w:t>www.ostrava.czso.cz</w:t>
                  </w:r>
                </w:p>
                <w:p w:rsidR="00DB5792" w:rsidRPr="0071229A" w:rsidRDefault="00DB5792" w:rsidP="00BD366B">
                  <w:pPr>
                    <w:spacing w:line="240" w:lineRule="auto"/>
                    <w:rPr>
                      <w:bCs/>
                    </w:rPr>
                  </w:pPr>
                </w:p>
                <w:p w:rsidR="00DB5792" w:rsidRPr="0071229A" w:rsidRDefault="00DB5792" w:rsidP="00BD366B">
                  <w:pPr>
                    <w:spacing w:line="240" w:lineRule="auto"/>
                    <w:rPr>
                      <w:bCs/>
                    </w:rPr>
                  </w:pPr>
                  <w:r w:rsidRPr="0071229A">
                    <w:rPr>
                      <w:b/>
                      <w:bCs/>
                      <w:color w:val="0071BC"/>
                    </w:rPr>
                    <w:t>Zlín</w:t>
                  </w:r>
                  <w:r>
                    <w:t xml:space="preserve"> | </w:t>
                  </w:r>
                  <w:r w:rsidRPr="0071229A">
                    <w:rPr>
                      <w:bCs/>
                    </w:rPr>
                    <w:t>tř. Tomáše Bati 1565, 761 76 Zlín</w:t>
                  </w:r>
                  <w:r>
                    <w:t xml:space="preserve"> | </w:t>
                  </w:r>
                  <w:r w:rsidRPr="0071229A">
                    <w:rPr>
                      <w:bCs/>
                    </w:rPr>
                    <w:t>tel.: 577 004 931, 577 004 935</w:t>
                  </w:r>
                </w:p>
                <w:p w:rsidR="00DB5792" w:rsidRPr="00B27293" w:rsidRDefault="00DB5792" w:rsidP="00BD366B">
                  <w:pPr>
                    <w:spacing w:line="240" w:lineRule="auto"/>
                    <w:rPr>
                      <w:bCs/>
                    </w:rPr>
                  </w:pPr>
                  <w:r w:rsidRPr="0071229A">
                    <w:rPr>
                      <w:bCs/>
                    </w:rPr>
                    <w:t>e-mail: infoservis-zl@czso.cz</w:t>
                  </w:r>
                  <w:r>
                    <w:t xml:space="preserve"> | </w:t>
                  </w:r>
                  <w:r w:rsidRPr="0071229A">
                    <w:rPr>
                      <w:b/>
                      <w:bCs/>
                    </w:rPr>
                    <w:t>www.zlin.czso.cz</w:t>
                  </w:r>
                </w:p>
                <w:p w:rsidR="00DB5792" w:rsidRPr="00B27293" w:rsidRDefault="00DB5792" w:rsidP="00BD366B">
                  <w:pPr>
                    <w:spacing w:line="240" w:lineRule="auto"/>
                  </w:pPr>
                </w:p>
              </w:txbxContent>
            </v:textbox>
            <w10:wrap anchorx="page" anchory="page"/>
            <w10:anchorlock/>
          </v:shape>
        </w:pict>
      </w:r>
      <w:r w:rsidRPr="00D3006B">
        <w:rPr>
          <w:noProof/>
          <w:lang w:eastAsia="cs-CZ"/>
        </w:rPr>
        <w:pict>
          <v:shape id="_x0000_s1039" type="#_x0000_t202" style="position:absolute;margin-left:56.7pt;margin-top:56.7pt;width:481.85pt;height:33.1pt;z-index:251653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" filled="f" stroked="f">
            <v:textbox style="mso-fit-shape-to-text:t" inset="0,0,0,0">
              <w:txbxContent>
                <w:p w:rsidR="00DB5792" w:rsidRPr="004F4353" w:rsidRDefault="00DB5792" w:rsidP="0060487F">
                  <w:pPr>
                    <w:rPr>
                      <w:b/>
                      <w:bCs/>
                      <w:sz w:val="24"/>
                    </w:rPr>
                  </w:pPr>
                  <w:r w:rsidRPr="004F4353">
                    <w:rPr>
                      <w:b/>
                      <w:color w:val="0071BC"/>
                      <w:sz w:val="24"/>
                    </w:rPr>
                    <w:t xml:space="preserve">Zajímají Vás nejnovější údaje o inflaci, HDP, obyvatelstvu, průměrných mzdách </w:t>
                  </w:r>
                  <w:r w:rsidRPr="004F4353">
                    <w:rPr>
                      <w:b/>
                      <w:color w:val="0071BC"/>
                      <w:sz w:val="24"/>
                    </w:rPr>
                    <w:br/>
                    <w:t xml:space="preserve">a mnohé další? Najdete je na stránkách ČSÚ na internetu: </w:t>
                  </w:r>
                  <w:r w:rsidRPr="004F4353">
                    <w:rPr>
                      <w:b/>
                      <w:bCs/>
                      <w:sz w:val="24"/>
                    </w:rPr>
                    <w:t>www.czso.cz</w:t>
                  </w:r>
                </w:p>
              </w:txbxContent>
            </v:textbox>
            <w10:wrap anchorx="page" anchory="page"/>
            <w10:anchorlock/>
          </v:shape>
        </w:pict>
      </w:r>
      <w:r w:rsidRPr="00D3006B">
        <w:rPr>
          <w:noProof/>
          <w:lang w:eastAsia="cs-CZ"/>
        </w:rPr>
        <w:pict>
          <v:shape id="_x0000_s1040" type="#_x0000_t202" style="position:absolute;margin-left:56.35pt;margin-top:747pt;width:481.9pt;height:28.35pt;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EUugIAALYFAAAOAAAAZHJzL2Uyb0RvYy54bWysVNuOmzAQfa/Uf7D8znIJYQN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" filled="f" stroked="f">
            <v:textbox inset="0,0,0,0">
              <w:txbxContent>
                <w:p w:rsidR="00DB5792" w:rsidRPr="00841D9F" w:rsidRDefault="00DB5792" w:rsidP="004F06F5"/>
                <w:p w:rsidR="00DB5792" w:rsidRPr="00AF2852" w:rsidRDefault="00DB5792" w:rsidP="004F06F5">
                  <w:r w:rsidRPr="00841D9F">
                    <w:t>© Český sta</w:t>
                  </w:r>
                  <w:r>
                    <w:t>tistický úřad, Praha, 2016</w:t>
                  </w:r>
                </w:p>
              </w:txbxContent>
            </v:textbox>
            <w10:wrap anchorx="page" anchory="page"/>
            <w10:anchorlock/>
          </v:shape>
        </w:pict>
      </w:r>
    </w:p>
    <w:p w:rsidR="00576A3E" w:rsidRDefault="00576A3E" w:rsidP="00F04811">
      <w:pPr>
        <w:pStyle w:val="Zkladnodstavec"/>
        <w:spacing w:after="240"/>
        <w:rPr>
          <w:rFonts w:ascii="Arial" w:hAnsi="Arial" w:cs="Arial"/>
          <w:b/>
          <w:color w:val="A5007B"/>
          <w:sz w:val="32"/>
          <w:szCs w:val="32"/>
        </w:rPr>
      </w:pPr>
    </w:p>
    <w:p w:rsidR="00576A3E" w:rsidRPr="0060487F" w:rsidRDefault="00576A3E">
      <w:pPr>
        <w:rPr>
          <w:rFonts w:cs="Arial"/>
          <w:b/>
          <w:color w:val="A5007B"/>
          <w:sz w:val="32"/>
          <w:szCs w:val="32"/>
        </w:rPr>
        <w:sectPr w:rsidR="00576A3E" w:rsidRPr="0060487F" w:rsidSect="00D5626D">
          <w:pgSz w:w="11906" w:h="16838" w:code="9"/>
          <w:pgMar w:top="1134" w:right="1134" w:bottom="1418" w:left="1134" w:header="709" w:footer="709" w:gutter="0"/>
          <w:cols w:space="708"/>
          <w:titlePg/>
          <w:docGrid w:linePitch="360"/>
        </w:sectPr>
      </w:pPr>
    </w:p>
    <w:p w:rsidR="00576A3E" w:rsidRPr="001C357A" w:rsidRDefault="00576A3E" w:rsidP="008C6CB8">
      <w:pPr>
        <w:pStyle w:val="Nadpis1"/>
        <w:rPr>
          <w:rFonts w:cs="Arial"/>
          <w:color w:val="808080"/>
        </w:rPr>
      </w:pPr>
      <w:bookmarkStart w:id="1" w:name="_Toc412459447"/>
      <w:bookmarkStart w:id="2" w:name="_Toc446341879"/>
      <w:r w:rsidRPr="001C357A">
        <w:lastRenderedPageBreak/>
        <w:t>Obsah</w:t>
      </w:r>
      <w:bookmarkEnd w:id="1"/>
      <w:bookmarkEnd w:id="2"/>
    </w:p>
    <w:p w:rsidR="00B428A4" w:rsidRDefault="00D3006B">
      <w:pPr>
        <w:pStyle w:val="Obsah1"/>
        <w:rPr>
          <w:rFonts w:asciiTheme="minorHAnsi" w:eastAsiaTheme="minorEastAsia" w:hAnsiTheme="minorHAnsi" w:cstheme="minorBidi"/>
          <w:b w:val="0"/>
          <w:sz w:val="22"/>
          <w:szCs w:val="22"/>
          <w:lang w:eastAsia="cs-CZ"/>
        </w:rPr>
      </w:pPr>
      <w:r w:rsidRPr="00D3006B">
        <w:fldChar w:fldCharType="begin"/>
      </w:r>
      <w:r w:rsidR="00576A3E" w:rsidRPr="00E921C7">
        <w:instrText xml:space="preserve"> TOC \o "1-3" \h \z \u </w:instrText>
      </w:r>
      <w:r w:rsidRPr="00D3006B">
        <w:fldChar w:fldCharType="separate"/>
      </w:r>
      <w:hyperlink w:anchor="_Toc446341879" w:history="1">
        <w:r w:rsidR="00B428A4" w:rsidRPr="002B32F2">
          <w:rPr>
            <w:rStyle w:val="Hypertextovodkaz"/>
          </w:rPr>
          <w:t>Obsah</w:t>
        </w:r>
        <w:r w:rsidR="00B428A4">
          <w:rPr>
            <w:webHidden/>
          </w:rPr>
          <w:tab/>
        </w:r>
        <w:r w:rsidR="00B428A4">
          <w:rPr>
            <w:webHidden/>
          </w:rPr>
          <w:tab/>
        </w:r>
        <w:r>
          <w:rPr>
            <w:webHidden/>
          </w:rPr>
          <w:fldChar w:fldCharType="begin"/>
        </w:r>
        <w:r w:rsidR="00B428A4">
          <w:rPr>
            <w:webHidden/>
          </w:rPr>
          <w:instrText xml:space="preserve"> PAGEREF _Toc446341879 \h </w:instrText>
        </w:r>
        <w:r>
          <w:rPr>
            <w:webHidden/>
          </w:rPr>
        </w:r>
        <w:r>
          <w:rPr>
            <w:webHidden/>
          </w:rPr>
          <w:fldChar w:fldCharType="separate"/>
        </w:r>
        <w:r w:rsidR="00B428A4">
          <w:rPr>
            <w:webHidden/>
          </w:rPr>
          <w:t>3</w:t>
        </w:r>
        <w:r>
          <w:rPr>
            <w:webHidden/>
          </w:rPr>
          <w:fldChar w:fldCharType="end"/>
        </w:r>
      </w:hyperlink>
    </w:p>
    <w:p w:rsidR="00B428A4" w:rsidRDefault="00D3006B">
      <w:pPr>
        <w:pStyle w:val="Obsah1"/>
        <w:rPr>
          <w:rFonts w:asciiTheme="minorHAnsi" w:eastAsiaTheme="minorEastAsia" w:hAnsiTheme="minorHAnsi" w:cstheme="minorBidi"/>
          <w:b w:val="0"/>
          <w:sz w:val="22"/>
          <w:szCs w:val="22"/>
          <w:lang w:eastAsia="cs-CZ"/>
        </w:rPr>
      </w:pPr>
      <w:hyperlink w:anchor="_Toc446341880" w:history="1">
        <w:r w:rsidR="00B428A4" w:rsidRPr="002B32F2">
          <w:rPr>
            <w:rStyle w:val="Hypertextovodkaz"/>
          </w:rPr>
          <w:t>1.</w:t>
        </w:r>
        <w:r w:rsidR="00B428A4">
          <w:rPr>
            <w:rFonts w:asciiTheme="minorHAnsi" w:eastAsiaTheme="minorEastAsia" w:hAnsiTheme="minorHAnsi" w:cstheme="minorBidi"/>
            <w:b w:val="0"/>
            <w:sz w:val="22"/>
            <w:szCs w:val="22"/>
            <w:lang w:eastAsia="cs-CZ"/>
          </w:rPr>
          <w:tab/>
        </w:r>
        <w:r w:rsidR="00B428A4" w:rsidRPr="002B32F2">
          <w:rPr>
            <w:rStyle w:val="Hypertextovodkaz"/>
          </w:rPr>
          <w:t>Shrnutí</w:t>
        </w:r>
        <w:r w:rsidR="00B428A4">
          <w:rPr>
            <w:webHidden/>
          </w:rPr>
          <w:tab/>
        </w:r>
        <w:r>
          <w:rPr>
            <w:webHidden/>
          </w:rPr>
          <w:fldChar w:fldCharType="begin"/>
        </w:r>
        <w:r w:rsidR="00B428A4">
          <w:rPr>
            <w:webHidden/>
          </w:rPr>
          <w:instrText xml:space="preserve"> PAGEREF _Toc446341880 \h </w:instrText>
        </w:r>
        <w:r>
          <w:rPr>
            <w:webHidden/>
          </w:rPr>
        </w:r>
        <w:r>
          <w:rPr>
            <w:webHidden/>
          </w:rPr>
          <w:fldChar w:fldCharType="separate"/>
        </w:r>
        <w:r w:rsidR="00B428A4">
          <w:rPr>
            <w:webHidden/>
          </w:rPr>
          <w:t>4</w:t>
        </w:r>
        <w:r>
          <w:rPr>
            <w:webHidden/>
          </w:rPr>
          <w:fldChar w:fldCharType="end"/>
        </w:r>
      </w:hyperlink>
    </w:p>
    <w:p w:rsidR="00B428A4" w:rsidRDefault="00D3006B">
      <w:pPr>
        <w:pStyle w:val="Obsah1"/>
        <w:rPr>
          <w:rFonts w:asciiTheme="minorHAnsi" w:eastAsiaTheme="minorEastAsia" w:hAnsiTheme="minorHAnsi" w:cstheme="minorBidi"/>
          <w:b w:val="0"/>
          <w:sz w:val="22"/>
          <w:szCs w:val="22"/>
          <w:lang w:eastAsia="cs-CZ"/>
        </w:rPr>
      </w:pPr>
      <w:hyperlink w:anchor="_Toc446341881" w:history="1">
        <w:r w:rsidR="00B428A4" w:rsidRPr="002B32F2">
          <w:rPr>
            <w:rStyle w:val="Hypertextovodkaz"/>
          </w:rPr>
          <w:t>2.</w:t>
        </w:r>
        <w:r w:rsidR="00B428A4">
          <w:rPr>
            <w:rFonts w:asciiTheme="minorHAnsi" w:eastAsiaTheme="minorEastAsia" w:hAnsiTheme="minorHAnsi" w:cstheme="minorBidi"/>
            <w:b w:val="0"/>
            <w:sz w:val="22"/>
            <w:szCs w:val="22"/>
            <w:lang w:eastAsia="cs-CZ"/>
          </w:rPr>
          <w:tab/>
        </w:r>
        <w:r w:rsidR="00B428A4" w:rsidRPr="002B32F2">
          <w:rPr>
            <w:rStyle w:val="Hypertextovodkaz"/>
          </w:rPr>
          <w:t>Souhrnná výkonnost</w:t>
        </w:r>
        <w:r w:rsidR="00B428A4">
          <w:rPr>
            <w:webHidden/>
          </w:rPr>
          <w:tab/>
        </w:r>
        <w:r>
          <w:rPr>
            <w:webHidden/>
          </w:rPr>
          <w:fldChar w:fldCharType="begin"/>
        </w:r>
        <w:r w:rsidR="00B428A4">
          <w:rPr>
            <w:webHidden/>
          </w:rPr>
          <w:instrText xml:space="preserve"> PAGEREF _Toc446341881 \h </w:instrText>
        </w:r>
        <w:r>
          <w:rPr>
            <w:webHidden/>
          </w:rPr>
        </w:r>
        <w:r>
          <w:rPr>
            <w:webHidden/>
          </w:rPr>
          <w:fldChar w:fldCharType="separate"/>
        </w:r>
        <w:r w:rsidR="00B428A4">
          <w:rPr>
            <w:webHidden/>
          </w:rPr>
          <w:t>5</w:t>
        </w:r>
        <w:r>
          <w:rPr>
            <w:webHidden/>
          </w:rPr>
          <w:fldChar w:fldCharType="end"/>
        </w:r>
      </w:hyperlink>
    </w:p>
    <w:p w:rsidR="00B428A4" w:rsidRDefault="00D3006B">
      <w:pPr>
        <w:pStyle w:val="Obsah1"/>
        <w:rPr>
          <w:rFonts w:asciiTheme="minorHAnsi" w:eastAsiaTheme="minorEastAsia" w:hAnsiTheme="minorHAnsi" w:cstheme="minorBidi"/>
          <w:b w:val="0"/>
          <w:sz w:val="22"/>
          <w:szCs w:val="22"/>
          <w:lang w:eastAsia="cs-CZ"/>
        </w:rPr>
      </w:pPr>
      <w:hyperlink w:anchor="_Toc446341882" w:history="1">
        <w:r w:rsidR="00B428A4" w:rsidRPr="002B32F2">
          <w:rPr>
            <w:rStyle w:val="Hypertextovodkaz"/>
          </w:rPr>
          <w:t>3.</w:t>
        </w:r>
        <w:r w:rsidR="00B428A4">
          <w:rPr>
            <w:rFonts w:asciiTheme="minorHAnsi" w:eastAsiaTheme="minorEastAsia" w:hAnsiTheme="minorHAnsi" w:cstheme="minorBidi"/>
            <w:b w:val="0"/>
            <w:sz w:val="22"/>
            <w:szCs w:val="22"/>
            <w:lang w:eastAsia="cs-CZ"/>
          </w:rPr>
          <w:tab/>
        </w:r>
        <w:r w:rsidR="00B428A4" w:rsidRPr="002B32F2">
          <w:rPr>
            <w:rStyle w:val="Hypertextovodkaz"/>
          </w:rPr>
          <w:t>Výkonnost odvětví</w:t>
        </w:r>
        <w:r w:rsidR="00B428A4">
          <w:rPr>
            <w:webHidden/>
          </w:rPr>
          <w:tab/>
        </w:r>
        <w:r>
          <w:rPr>
            <w:webHidden/>
          </w:rPr>
          <w:fldChar w:fldCharType="begin"/>
        </w:r>
        <w:r w:rsidR="00B428A4">
          <w:rPr>
            <w:webHidden/>
          </w:rPr>
          <w:instrText xml:space="preserve"> PAGEREF _Toc446341882 \h </w:instrText>
        </w:r>
        <w:r>
          <w:rPr>
            <w:webHidden/>
          </w:rPr>
        </w:r>
        <w:r>
          <w:rPr>
            <w:webHidden/>
          </w:rPr>
          <w:fldChar w:fldCharType="separate"/>
        </w:r>
        <w:r w:rsidR="00B428A4">
          <w:rPr>
            <w:webHidden/>
          </w:rPr>
          <w:t>8</w:t>
        </w:r>
        <w:r>
          <w:rPr>
            <w:webHidden/>
          </w:rPr>
          <w:fldChar w:fldCharType="end"/>
        </w:r>
      </w:hyperlink>
    </w:p>
    <w:p w:rsidR="00B428A4" w:rsidRDefault="00D3006B">
      <w:pPr>
        <w:pStyle w:val="Obsah1"/>
        <w:rPr>
          <w:rFonts w:asciiTheme="minorHAnsi" w:eastAsiaTheme="minorEastAsia" w:hAnsiTheme="minorHAnsi" w:cstheme="minorBidi"/>
          <w:b w:val="0"/>
          <w:sz w:val="22"/>
          <w:szCs w:val="22"/>
          <w:lang w:eastAsia="cs-CZ"/>
        </w:rPr>
      </w:pPr>
      <w:hyperlink w:anchor="_Toc446341883" w:history="1">
        <w:r w:rsidR="00B428A4" w:rsidRPr="002B32F2">
          <w:rPr>
            <w:rStyle w:val="Hypertextovodkaz"/>
          </w:rPr>
          <w:t>4.</w:t>
        </w:r>
        <w:r w:rsidR="00B428A4">
          <w:rPr>
            <w:rFonts w:asciiTheme="minorHAnsi" w:eastAsiaTheme="minorEastAsia" w:hAnsiTheme="minorHAnsi" w:cstheme="minorBidi"/>
            <w:b w:val="0"/>
            <w:sz w:val="22"/>
            <w:szCs w:val="22"/>
            <w:lang w:eastAsia="cs-CZ"/>
          </w:rPr>
          <w:tab/>
        </w:r>
        <w:r w:rsidR="00B428A4" w:rsidRPr="002B32F2">
          <w:rPr>
            <w:rStyle w:val="Hypertextovodkaz"/>
          </w:rPr>
          <w:t>Vnější ekonomické vztahy</w:t>
        </w:r>
        <w:r w:rsidR="00B428A4">
          <w:rPr>
            <w:webHidden/>
          </w:rPr>
          <w:tab/>
        </w:r>
        <w:r>
          <w:rPr>
            <w:webHidden/>
          </w:rPr>
          <w:fldChar w:fldCharType="begin"/>
        </w:r>
        <w:r w:rsidR="00B428A4">
          <w:rPr>
            <w:webHidden/>
          </w:rPr>
          <w:instrText xml:space="preserve"> PAGEREF _Toc446341883 \h </w:instrText>
        </w:r>
        <w:r>
          <w:rPr>
            <w:webHidden/>
          </w:rPr>
        </w:r>
        <w:r>
          <w:rPr>
            <w:webHidden/>
          </w:rPr>
          <w:fldChar w:fldCharType="separate"/>
        </w:r>
        <w:r w:rsidR="00B428A4">
          <w:rPr>
            <w:webHidden/>
          </w:rPr>
          <w:t>12</w:t>
        </w:r>
        <w:r>
          <w:rPr>
            <w:webHidden/>
          </w:rPr>
          <w:fldChar w:fldCharType="end"/>
        </w:r>
      </w:hyperlink>
    </w:p>
    <w:p w:rsidR="00B428A4" w:rsidRDefault="00D3006B">
      <w:pPr>
        <w:pStyle w:val="Obsah1"/>
        <w:rPr>
          <w:rFonts w:asciiTheme="minorHAnsi" w:eastAsiaTheme="minorEastAsia" w:hAnsiTheme="minorHAnsi" w:cstheme="minorBidi"/>
          <w:b w:val="0"/>
          <w:sz w:val="22"/>
          <w:szCs w:val="22"/>
          <w:lang w:eastAsia="cs-CZ"/>
        </w:rPr>
      </w:pPr>
      <w:hyperlink w:anchor="_Toc446341884" w:history="1">
        <w:r w:rsidR="00B428A4" w:rsidRPr="002B32F2">
          <w:rPr>
            <w:rStyle w:val="Hypertextovodkaz"/>
          </w:rPr>
          <w:t>5.</w:t>
        </w:r>
        <w:r w:rsidR="00B428A4">
          <w:rPr>
            <w:rFonts w:asciiTheme="minorHAnsi" w:eastAsiaTheme="minorEastAsia" w:hAnsiTheme="minorHAnsi" w:cstheme="minorBidi"/>
            <w:b w:val="0"/>
            <w:sz w:val="22"/>
            <w:szCs w:val="22"/>
            <w:lang w:eastAsia="cs-CZ"/>
          </w:rPr>
          <w:tab/>
        </w:r>
        <w:r w:rsidR="00B428A4" w:rsidRPr="002B32F2">
          <w:rPr>
            <w:rStyle w:val="Hypertextovodkaz"/>
          </w:rPr>
          <w:t>Ceny</w:t>
        </w:r>
        <w:r w:rsidR="00B428A4">
          <w:rPr>
            <w:webHidden/>
          </w:rPr>
          <w:tab/>
        </w:r>
        <w:r>
          <w:rPr>
            <w:webHidden/>
          </w:rPr>
          <w:fldChar w:fldCharType="begin"/>
        </w:r>
        <w:r w:rsidR="00B428A4">
          <w:rPr>
            <w:webHidden/>
          </w:rPr>
          <w:instrText xml:space="preserve"> PAGEREF _Toc446341884 \h </w:instrText>
        </w:r>
        <w:r>
          <w:rPr>
            <w:webHidden/>
          </w:rPr>
        </w:r>
        <w:r>
          <w:rPr>
            <w:webHidden/>
          </w:rPr>
          <w:fldChar w:fldCharType="separate"/>
        </w:r>
        <w:r w:rsidR="00B428A4">
          <w:rPr>
            <w:webHidden/>
          </w:rPr>
          <w:t>14</w:t>
        </w:r>
        <w:r>
          <w:rPr>
            <w:webHidden/>
          </w:rPr>
          <w:fldChar w:fldCharType="end"/>
        </w:r>
      </w:hyperlink>
    </w:p>
    <w:p w:rsidR="00B428A4" w:rsidRDefault="00D3006B">
      <w:pPr>
        <w:pStyle w:val="Obsah1"/>
        <w:rPr>
          <w:rFonts w:asciiTheme="minorHAnsi" w:eastAsiaTheme="minorEastAsia" w:hAnsiTheme="minorHAnsi" w:cstheme="minorBidi"/>
          <w:b w:val="0"/>
          <w:sz w:val="22"/>
          <w:szCs w:val="22"/>
          <w:lang w:eastAsia="cs-CZ"/>
        </w:rPr>
      </w:pPr>
      <w:hyperlink w:anchor="_Toc446341885" w:history="1">
        <w:r w:rsidR="00B428A4" w:rsidRPr="002B32F2">
          <w:rPr>
            <w:rStyle w:val="Hypertextovodkaz"/>
          </w:rPr>
          <w:t>6.</w:t>
        </w:r>
        <w:r w:rsidR="00B428A4">
          <w:rPr>
            <w:rFonts w:asciiTheme="minorHAnsi" w:eastAsiaTheme="minorEastAsia" w:hAnsiTheme="minorHAnsi" w:cstheme="minorBidi"/>
            <w:b w:val="0"/>
            <w:sz w:val="22"/>
            <w:szCs w:val="22"/>
            <w:lang w:eastAsia="cs-CZ"/>
          </w:rPr>
          <w:tab/>
        </w:r>
        <w:r w:rsidR="00B428A4" w:rsidRPr="002B32F2">
          <w:rPr>
            <w:rStyle w:val="Hypertextovodkaz"/>
          </w:rPr>
          <w:t>Trh práce</w:t>
        </w:r>
        <w:r w:rsidR="00B428A4">
          <w:rPr>
            <w:webHidden/>
          </w:rPr>
          <w:tab/>
        </w:r>
        <w:r>
          <w:rPr>
            <w:webHidden/>
          </w:rPr>
          <w:fldChar w:fldCharType="begin"/>
        </w:r>
        <w:r w:rsidR="00B428A4">
          <w:rPr>
            <w:webHidden/>
          </w:rPr>
          <w:instrText xml:space="preserve"> PAGEREF _Toc446341885 \h </w:instrText>
        </w:r>
        <w:r>
          <w:rPr>
            <w:webHidden/>
          </w:rPr>
        </w:r>
        <w:r>
          <w:rPr>
            <w:webHidden/>
          </w:rPr>
          <w:fldChar w:fldCharType="separate"/>
        </w:r>
        <w:r w:rsidR="00B428A4">
          <w:rPr>
            <w:webHidden/>
          </w:rPr>
          <w:t>17</w:t>
        </w:r>
        <w:r>
          <w:rPr>
            <w:webHidden/>
          </w:rPr>
          <w:fldChar w:fldCharType="end"/>
        </w:r>
      </w:hyperlink>
    </w:p>
    <w:p w:rsidR="00B428A4" w:rsidRDefault="00D3006B">
      <w:pPr>
        <w:pStyle w:val="Obsah1"/>
        <w:rPr>
          <w:rFonts w:asciiTheme="minorHAnsi" w:eastAsiaTheme="minorEastAsia" w:hAnsiTheme="minorHAnsi" w:cstheme="minorBidi"/>
          <w:b w:val="0"/>
          <w:sz w:val="22"/>
          <w:szCs w:val="22"/>
          <w:lang w:eastAsia="cs-CZ"/>
        </w:rPr>
      </w:pPr>
      <w:hyperlink w:anchor="_Toc446341886" w:history="1">
        <w:r w:rsidR="00B428A4" w:rsidRPr="002B32F2">
          <w:rPr>
            <w:rStyle w:val="Hypertextovodkaz"/>
          </w:rPr>
          <w:t>7.</w:t>
        </w:r>
        <w:r w:rsidR="00B428A4">
          <w:rPr>
            <w:rFonts w:asciiTheme="minorHAnsi" w:eastAsiaTheme="minorEastAsia" w:hAnsiTheme="minorHAnsi" w:cstheme="minorBidi"/>
            <w:b w:val="0"/>
            <w:sz w:val="22"/>
            <w:szCs w:val="22"/>
            <w:lang w:eastAsia="cs-CZ"/>
          </w:rPr>
          <w:tab/>
        </w:r>
        <w:r w:rsidR="00B428A4" w:rsidRPr="002B32F2">
          <w:rPr>
            <w:rStyle w:val="Hypertextovodkaz"/>
          </w:rPr>
          <w:t>Měnové podmínky</w:t>
        </w:r>
        <w:r w:rsidR="00B428A4">
          <w:rPr>
            <w:webHidden/>
          </w:rPr>
          <w:tab/>
        </w:r>
        <w:r>
          <w:rPr>
            <w:webHidden/>
          </w:rPr>
          <w:fldChar w:fldCharType="begin"/>
        </w:r>
        <w:r w:rsidR="00B428A4">
          <w:rPr>
            <w:webHidden/>
          </w:rPr>
          <w:instrText xml:space="preserve"> PAGEREF _Toc446341886 \h </w:instrText>
        </w:r>
        <w:r>
          <w:rPr>
            <w:webHidden/>
          </w:rPr>
        </w:r>
        <w:r>
          <w:rPr>
            <w:webHidden/>
          </w:rPr>
          <w:fldChar w:fldCharType="separate"/>
        </w:r>
        <w:r w:rsidR="00B428A4">
          <w:rPr>
            <w:webHidden/>
          </w:rPr>
          <w:t>19</w:t>
        </w:r>
        <w:r>
          <w:rPr>
            <w:webHidden/>
          </w:rPr>
          <w:fldChar w:fldCharType="end"/>
        </w:r>
      </w:hyperlink>
    </w:p>
    <w:p w:rsidR="00B428A4" w:rsidRDefault="00D3006B">
      <w:pPr>
        <w:pStyle w:val="Obsah1"/>
        <w:rPr>
          <w:rFonts w:asciiTheme="minorHAnsi" w:eastAsiaTheme="minorEastAsia" w:hAnsiTheme="minorHAnsi" w:cstheme="minorBidi"/>
          <w:b w:val="0"/>
          <w:sz w:val="22"/>
          <w:szCs w:val="22"/>
          <w:lang w:eastAsia="cs-CZ"/>
        </w:rPr>
      </w:pPr>
      <w:hyperlink w:anchor="_Toc446341887" w:history="1">
        <w:r w:rsidR="00B428A4" w:rsidRPr="002B32F2">
          <w:rPr>
            <w:rStyle w:val="Hypertextovodkaz"/>
          </w:rPr>
          <w:t>8.</w:t>
        </w:r>
        <w:r w:rsidR="00B428A4">
          <w:rPr>
            <w:rFonts w:asciiTheme="minorHAnsi" w:eastAsiaTheme="minorEastAsia" w:hAnsiTheme="minorHAnsi" w:cstheme="minorBidi"/>
            <w:b w:val="0"/>
            <w:sz w:val="22"/>
            <w:szCs w:val="22"/>
            <w:lang w:eastAsia="cs-CZ"/>
          </w:rPr>
          <w:tab/>
        </w:r>
        <w:r w:rsidR="00B428A4" w:rsidRPr="002B32F2">
          <w:rPr>
            <w:rStyle w:val="Hypertextovodkaz"/>
          </w:rPr>
          <w:t>Státní rozpočet</w:t>
        </w:r>
        <w:r w:rsidR="00B428A4">
          <w:rPr>
            <w:webHidden/>
          </w:rPr>
          <w:tab/>
        </w:r>
        <w:r>
          <w:rPr>
            <w:webHidden/>
          </w:rPr>
          <w:fldChar w:fldCharType="begin"/>
        </w:r>
        <w:r w:rsidR="00B428A4">
          <w:rPr>
            <w:webHidden/>
          </w:rPr>
          <w:instrText xml:space="preserve"> PAGEREF _Toc446341887 \h </w:instrText>
        </w:r>
        <w:r>
          <w:rPr>
            <w:webHidden/>
          </w:rPr>
        </w:r>
        <w:r>
          <w:rPr>
            <w:webHidden/>
          </w:rPr>
          <w:fldChar w:fldCharType="separate"/>
        </w:r>
        <w:r w:rsidR="00B428A4">
          <w:rPr>
            <w:webHidden/>
          </w:rPr>
          <w:t>21</w:t>
        </w:r>
        <w:r>
          <w:rPr>
            <w:webHidden/>
          </w:rPr>
          <w:fldChar w:fldCharType="end"/>
        </w:r>
      </w:hyperlink>
    </w:p>
    <w:p w:rsidR="00576A3E" w:rsidRDefault="00D3006B" w:rsidP="00E921C7">
      <w:pPr>
        <w:pStyle w:val="Nadpis1"/>
        <w:spacing w:before="200"/>
        <w:rPr>
          <w:rFonts w:cs="Arial"/>
          <w:sz w:val="20"/>
          <w:szCs w:val="20"/>
        </w:rPr>
      </w:pPr>
      <w:r w:rsidRPr="00E921C7">
        <w:fldChar w:fldCharType="end"/>
      </w:r>
    </w:p>
    <w:p w:rsidR="00576A3E" w:rsidRPr="008E6113" w:rsidRDefault="00576A3E" w:rsidP="003406BD">
      <w:pPr>
        <w:rPr>
          <w:rFonts w:cs="Arial"/>
          <w:b/>
        </w:rPr>
      </w:pPr>
      <w:r w:rsidRPr="008E6113">
        <w:rPr>
          <w:rFonts w:cs="Arial"/>
          <w:b/>
        </w:rPr>
        <w:t>Kapitoly zpracovali:</w:t>
      </w:r>
    </w:p>
    <w:p w:rsidR="00576A3E" w:rsidRDefault="00576A3E" w:rsidP="003406BD">
      <w:pPr>
        <w:rPr>
          <w:rFonts w:cs="Arial"/>
        </w:rPr>
      </w:pPr>
    </w:p>
    <w:p w:rsidR="00576A3E" w:rsidRDefault="00576A3E" w:rsidP="003406BD">
      <w:pPr>
        <w:spacing w:after="120" w:line="276" w:lineRule="auto"/>
        <w:rPr>
          <w:rFonts w:cs="Arial"/>
        </w:rPr>
      </w:pPr>
      <w:r>
        <w:rPr>
          <w:rFonts w:cs="Arial"/>
        </w:rPr>
        <w:t>Jiří Kamenický</w:t>
      </w:r>
      <w:r>
        <w:rPr>
          <w:rFonts w:cs="Arial"/>
        </w:rPr>
        <w:tab/>
      </w:r>
      <w:r>
        <w:rPr>
          <w:rFonts w:cs="Arial"/>
        </w:rPr>
        <w:tab/>
        <w:t xml:space="preserve">Shrnutí (kap. 1), </w:t>
      </w:r>
      <w:r w:rsidRPr="00606B93">
        <w:rPr>
          <w:rFonts w:cs="Arial"/>
          <w:color w:val="000000"/>
        </w:rPr>
        <w:t>kap. 3,</w:t>
      </w:r>
      <w:r w:rsidR="00610BD5">
        <w:rPr>
          <w:rFonts w:cs="Arial"/>
        </w:rPr>
        <w:t xml:space="preserve"> kap. 6, kap. 8</w:t>
      </w:r>
    </w:p>
    <w:p w:rsidR="00576A3E" w:rsidRDefault="00576A3E" w:rsidP="003406BD">
      <w:pPr>
        <w:spacing w:after="120" w:line="276" w:lineRule="auto"/>
        <w:rPr>
          <w:rFonts w:cs="Arial"/>
        </w:rPr>
      </w:pPr>
      <w:r>
        <w:rPr>
          <w:rFonts w:cs="Arial"/>
        </w:rPr>
        <w:t>Lukáš Kučera</w:t>
      </w:r>
      <w:r>
        <w:rPr>
          <w:rFonts w:cs="Arial"/>
        </w:rPr>
        <w:tab/>
      </w:r>
      <w:r>
        <w:rPr>
          <w:rFonts w:cs="Arial"/>
        </w:rPr>
        <w:tab/>
        <w:t xml:space="preserve">Shrnutí (kap. 1), kap. 2, </w:t>
      </w:r>
      <w:r w:rsidR="00610BD5">
        <w:rPr>
          <w:rFonts w:cs="Arial"/>
        </w:rPr>
        <w:t xml:space="preserve">kap. 4, </w:t>
      </w:r>
      <w:r>
        <w:rPr>
          <w:rFonts w:cs="Arial"/>
        </w:rPr>
        <w:t>kap. 5</w:t>
      </w:r>
      <w:r w:rsidR="00793387">
        <w:rPr>
          <w:rFonts w:cs="Arial"/>
        </w:rPr>
        <w:t xml:space="preserve">, kap. </w:t>
      </w:r>
      <w:r w:rsidR="00610BD5">
        <w:rPr>
          <w:rFonts w:cs="Arial"/>
        </w:rPr>
        <w:t>7</w:t>
      </w:r>
      <w:r>
        <w:rPr>
          <w:rFonts w:cs="Arial"/>
        </w:rPr>
        <w:t xml:space="preserve">  </w:t>
      </w:r>
    </w:p>
    <w:p w:rsidR="00576A3E" w:rsidRDefault="00576A3E" w:rsidP="001E3DA4"/>
    <w:p w:rsidR="00576A3E" w:rsidRDefault="00576A3E" w:rsidP="001E3DA4">
      <w:pPr>
        <w:sectPr w:rsidR="00576A3E" w:rsidSect="00357449">
          <w:headerReference w:type="even" r:id="rId9"/>
          <w:headerReference w:type="default" r:id="rId10"/>
          <w:footerReference w:type="default" r:id="rId11"/>
          <w:pgSz w:w="11906" w:h="16838" w:code="9"/>
          <w:pgMar w:top="1134" w:right="1134" w:bottom="1418" w:left="1134" w:header="680" w:footer="680" w:gutter="0"/>
          <w:cols w:space="708"/>
          <w:docGrid w:linePitch="360"/>
        </w:sectPr>
      </w:pPr>
    </w:p>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BB0274" w:rsidRDefault="00BB0274"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960769" w:rsidRDefault="00960769" w:rsidP="00960769">
      <w:pPr>
        <w:pStyle w:val="Textpoznpodarou"/>
        <w:jc w:val="both"/>
      </w:pPr>
    </w:p>
    <w:p w:rsidR="00960769" w:rsidRDefault="00960769" w:rsidP="00960769">
      <w:pPr>
        <w:pStyle w:val="Textpoznpodarou"/>
        <w:jc w:val="both"/>
      </w:pPr>
    </w:p>
    <w:p w:rsidR="00960769" w:rsidRDefault="00960769" w:rsidP="00960769">
      <w:pPr>
        <w:pStyle w:val="Nadpis1"/>
        <w:numPr>
          <w:ilvl w:val="0"/>
          <w:numId w:val="1"/>
        </w:numPr>
      </w:pPr>
      <w:bookmarkStart w:id="3" w:name="_Toc446341880"/>
      <w:r>
        <w:lastRenderedPageBreak/>
        <w:t>Shrnutí</w:t>
      </w:r>
      <w:bookmarkEnd w:id="3"/>
    </w:p>
    <w:p w:rsidR="00960769" w:rsidRPr="00186FE9" w:rsidRDefault="00960769" w:rsidP="00960769">
      <w:pPr>
        <w:pStyle w:val="Textpoznpodarou"/>
        <w:numPr>
          <w:ilvl w:val="0"/>
          <w:numId w:val="2"/>
        </w:numPr>
        <w:ind w:left="425" w:hanging="357"/>
        <w:jc w:val="both"/>
        <w:rPr>
          <w:lang w:eastAsia="ar-SA"/>
        </w:rPr>
      </w:pPr>
      <w:r w:rsidRPr="00186FE9">
        <w:rPr>
          <w:lang w:eastAsia="ar-SA"/>
        </w:rPr>
        <w:t>Nízká cena ropy a zrychlené čerpání peněz z fondů EU ve spojení s uvolněnou měnovou a fiskální politikou napomohly růstu HDP</w:t>
      </w:r>
      <w:r w:rsidRPr="00186FE9">
        <w:rPr>
          <w:rStyle w:val="Znakapoznpodarou"/>
          <w:lang w:eastAsia="ar-SA"/>
        </w:rPr>
        <w:footnoteReference w:id="1"/>
      </w:r>
      <w:r w:rsidRPr="00186FE9">
        <w:rPr>
          <w:lang w:eastAsia="ar-SA"/>
        </w:rPr>
        <w:t xml:space="preserve"> v roce 2015 o 4,3 %, když v roce předchozím stoupl o 2 %. Ekonomice se dařilo nejvíce za posledních osm let, i v porovnání s Evropou byl vývoj českého hospodářství výjimečný. Proti EU (+1,8 %) stoupl výkon ekonomiky více než dvojnásobným tempem, v porovnání s eurozónou (+1,5 %) byl její růst téměř troj</w:t>
      </w:r>
      <w:r w:rsidR="00F1186C">
        <w:rPr>
          <w:lang w:eastAsia="ar-SA"/>
        </w:rPr>
        <w:t>násobný. V dynamice HDP předčila</w:t>
      </w:r>
      <w:r w:rsidRPr="00186FE9">
        <w:rPr>
          <w:lang w:eastAsia="ar-SA"/>
        </w:rPr>
        <w:t xml:space="preserve"> ČR </w:t>
      </w:r>
      <w:r w:rsidR="002A7F47">
        <w:rPr>
          <w:lang w:eastAsia="ar-SA"/>
        </w:rPr>
        <w:t>ze zemí EU</w:t>
      </w:r>
      <w:r w:rsidR="002A7F47" w:rsidRPr="00186FE9">
        <w:rPr>
          <w:lang w:eastAsia="ar-SA"/>
        </w:rPr>
        <w:t xml:space="preserve"> </w:t>
      </w:r>
      <w:r w:rsidRPr="00186FE9">
        <w:rPr>
          <w:lang w:eastAsia="ar-SA"/>
        </w:rPr>
        <w:t>podle</w:t>
      </w:r>
      <w:r w:rsidR="00F1186C">
        <w:rPr>
          <w:lang w:eastAsia="ar-SA"/>
        </w:rPr>
        <w:t xml:space="preserve"> </w:t>
      </w:r>
      <w:r w:rsidR="00F1186C" w:rsidRPr="000A59BF">
        <w:rPr>
          <w:spacing w:val="-2"/>
          <w:lang w:eastAsia="ar-SA"/>
        </w:rPr>
        <w:t>dosud známých</w:t>
      </w:r>
      <w:r w:rsidRPr="000A59BF">
        <w:rPr>
          <w:spacing w:val="-2"/>
          <w:lang w:eastAsia="ar-SA"/>
        </w:rPr>
        <w:t xml:space="preserve"> údajů</w:t>
      </w:r>
      <w:r w:rsidR="002A7F47" w:rsidRPr="000A59BF">
        <w:rPr>
          <w:spacing w:val="-2"/>
          <w:lang w:eastAsia="ar-SA"/>
        </w:rPr>
        <w:t xml:space="preserve"> </w:t>
      </w:r>
      <w:r w:rsidRPr="000A59BF">
        <w:rPr>
          <w:spacing w:val="-2"/>
          <w:lang w:eastAsia="ar-SA"/>
        </w:rPr>
        <w:t xml:space="preserve">pouze </w:t>
      </w:r>
      <w:r w:rsidR="00F1186C" w:rsidRPr="000A59BF">
        <w:rPr>
          <w:spacing w:val="-2"/>
          <w:lang w:eastAsia="ar-SA"/>
        </w:rPr>
        <w:t>Malta</w:t>
      </w:r>
      <w:r w:rsidRPr="000A59BF">
        <w:rPr>
          <w:spacing w:val="-2"/>
          <w:lang w:eastAsia="ar-SA"/>
        </w:rPr>
        <w:t>. K</w:t>
      </w:r>
      <w:r w:rsidR="000A59BF" w:rsidRPr="000A59BF">
        <w:rPr>
          <w:spacing w:val="-2"/>
          <w:lang w:eastAsia="ar-SA"/>
        </w:rPr>
        <w:t> </w:t>
      </w:r>
      <w:r w:rsidRPr="000A59BF">
        <w:rPr>
          <w:spacing w:val="-2"/>
          <w:lang w:eastAsia="ar-SA"/>
        </w:rPr>
        <w:t>růstu</w:t>
      </w:r>
      <w:r w:rsidR="000A59BF" w:rsidRPr="000A59BF">
        <w:rPr>
          <w:spacing w:val="-2"/>
          <w:lang w:eastAsia="ar-SA"/>
        </w:rPr>
        <w:t xml:space="preserve"> ekonomiky</w:t>
      </w:r>
      <w:r w:rsidRPr="000A59BF">
        <w:rPr>
          <w:spacing w:val="-2"/>
          <w:lang w:eastAsia="ar-SA"/>
        </w:rPr>
        <w:t xml:space="preserve"> přispěla především domácí poptávka a z ní</w:t>
      </w:r>
      <w:r w:rsidRPr="00186FE9">
        <w:rPr>
          <w:lang w:eastAsia="ar-SA"/>
        </w:rPr>
        <w:t xml:space="preserve"> hlavně investice (tvorba hrubého fixního kapitálu), z pohledu strany nabídky na něm rovnoměrně participovaly zp</w:t>
      </w:r>
      <w:r w:rsidR="006A65EF">
        <w:rPr>
          <w:lang w:eastAsia="ar-SA"/>
        </w:rPr>
        <w:t>racovatelský průmysl a služby. Růst b</w:t>
      </w:r>
      <w:r w:rsidRPr="00186FE9">
        <w:rPr>
          <w:lang w:eastAsia="ar-SA"/>
        </w:rPr>
        <w:t>yl neinflační, podpořen vyšší dynamikou úvěrů domácnostem a podnikům a doprovázelo ho zlepšení vnějších ekonomických vztahů i hospodaření státu.</w:t>
      </w:r>
    </w:p>
    <w:p w:rsidR="00960769" w:rsidRPr="006E7E2C" w:rsidRDefault="00960769" w:rsidP="00960769">
      <w:pPr>
        <w:pStyle w:val="Textpoznpodarou"/>
        <w:ind w:left="68"/>
        <w:jc w:val="both"/>
        <w:rPr>
          <w:sz w:val="14"/>
          <w:szCs w:val="14"/>
          <w:lang w:eastAsia="ar-SA"/>
        </w:rPr>
      </w:pPr>
    </w:p>
    <w:p w:rsidR="00960769" w:rsidRPr="003B6DA4" w:rsidRDefault="00960769" w:rsidP="00960769">
      <w:pPr>
        <w:pStyle w:val="Textpoznpodarou"/>
        <w:numPr>
          <w:ilvl w:val="0"/>
          <w:numId w:val="2"/>
        </w:numPr>
        <w:ind w:left="425" w:hanging="357"/>
        <w:jc w:val="both"/>
        <w:rPr>
          <w:lang w:eastAsia="ar-SA"/>
        </w:rPr>
      </w:pPr>
      <w:r w:rsidRPr="003B6DA4">
        <w:rPr>
          <w:lang w:eastAsia="ar-SA"/>
        </w:rPr>
        <w:t>Navzdory silnému růstu HDP za celý rok 2015 a vysoké meziroční dynamice ve čtvrtletích, která byla v</w:t>
      </w:r>
      <w:r w:rsidR="00BF53B8">
        <w:rPr>
          <w:lang w:eastAsia="ar-SA"/>
        </w:rPr>
        <w:t> </w:t>
      </w:r>
      <w:r w:rsidRPr="003B6DA4">
        <w:rPr>
          <w:lang w:eastAsia="ar-SA"/>
        </w:rPr>
        <w:t>každém</w:t>
      </w:r>
      <w:r w:rsidR="00BF53B8">
        <w:rPr>
          <w:lang w:eastAsia="ar-SA"/>
        </w:rPr>
        <w:t xml:space="preserve"> z nich</w:t>
      </w:r>
      <w:r w:rsidRPr="003B6DA4">
        <w:rPr>
          <w:lang w:eastAsia="ar-SA"/>
        </w:rPr>
        <w:t xml:space="preserve"> alespoň 4%, došlo v závěru roku ke zpomalení ekonomiky ČR. HDP v mezičtvrtletním srovnání stagnoval (byl však negativně ovlivněn sezónním očištěním), hrubá přidaná hodnota narostla pouze o 0,5 % (nej</w:t>
      </w:r>
      <w:r>
        <w:rPr>
          <w:lang w:eastAsia="ar-SA"/>
        </w:rPr>
        <w:t>méně</w:t>
      </w:r>
      <w:r w:rsidRPr="003B6DA4">
        <w:rPr>
          <w:lang w:eastAsia="ar-SA"/>
        </w:rPr>
        <w:t xml:space="preserve"> od posledního čtvrtletí 2013). Investice</w:t>
      </w:r>
      <w:r>
        <w:rPr>
          <w:lang w:eastAsia="ar-SA"/>
        </w:rPr>
        <w:t xml:space="preserve"> zřejmě</w:t>
      </w:r>
      <w:r w:rsidRPr="003B6DA4">
        <w:rPr>
          <w:lang w:eastAsia="ar-SA"/>
        </w:rPr>
        <w:t xml:space="preserve"> dosáhly vrcholu ve 3. kvartále, </w:t>
      </w:r>
      <w:r w:rsidRPr="00BF53B8">
        <w:rPr>
          <w:spacing w:val="-2"/>
          <w:lang w:eastAsia="ar-SA"/>
        </w:rPr>
        <w:t>po devět čtvrtletí trvajícím mezičtvrtletním růstu, neboť v</w:t>
      </w:r>
      <w:r w:rsidR="00BF53B8" w:rsidRPr="00BF53B8">
        <w:rPr>
          <w:spacing w:val="-2"/>
          <w:lang w:eastAsia="ar-SA"/>
        </w:rPr>
        <w:t> </w:t>
      </w:r>
      <w:r w:rsidRPr="00BF53B8">
        <w:rPr>
          <w:spacing w:val="-2"/>
          <w:lang w:eastAsia="ar-SA"/>
        </w:rPr>
        <w:t>posledním</w:t>
      </w:r>
      <w:r w:rsidR="00BF53B8" w:rsidRPr="00BF53B8">
        <w:rPr>
          <w:spacing w:val="-2"/>
          <w:lang w:eastAsia="ar-SA"/>
        </w:rPr>
        <w:t xml:space="preserve"> čtvrtletí</w:t>
      </w:r>
      <w:r w:rsidRPr="00BF53B8">
        <w:rPr>
          <w:spacing w:val="-2"/>
          <w:lang w:eastAsia="ar-SA"/>
        </w:rPr>
        <w:t xml:space="preserve"> již o 0,9 % klesly</w:t>
      </w:r>
      <w:r w:rsidRPr="003B6DA4">
        <w:rPr>
          <w:lang w:eastAsia="ar-SA"/>
        </w:rPr>
        <w:t>. Mimořádné faktory působící na růst české ekonomiky začaly vyprchávat a ekonomika v dynamice ztrácet.</w:t>
      </w:r>
    </w:p>
    <w:p w:rsidR="00960769" w:rsidRPr="006E7E2C" w:rsidRDefault="00960769" w:rsidP="00960769">
      <w:pPr>
        <w:pStyle w:val="Textpoznpodarou"/>
        <w:jc w:val="both"/>
        <w:rPr>
          <w:sz w:val="14"/>
          <w:szCs w:val="14"/>
          <w:lang w:eastAsia="ar-SA"/>
        </w:rPr>
      </w:pPr>
    </w:p>
    <w:p w:rsidR="00960769" w:rsidRPr="00CD61DF" w:rsidRDefault="00960769" w:rsidP="00960769">
      <w:pPr>
        <w:pStyle w:val="Textpoznpodarou"/>
        <w:numPr>
          <w:ilvl w:val="0"/>
          <w:numId w:val="2"/>
        </w:numPr>
        <w:ind w:left="425" w:hanging="357"/>
        <w:jc w:val="both"/>
        <w:rPr>
          <w:lang w:eastAsia="ar-SA"/>
        </w:rPr>
      </w:pPr>
      <w:r w:rsidRPr="00CD61DF">
        <w:rPr>
          <w:lang w:eastAsia="ar-SA"/>
        </w:rPr>
        <w:t>Investice stouply v loňském roce o 7,5 % a podílely se na růstu HDP +1,9 p</w:t>
      </w:r>
      <w:r w:rsidR="00A84FAF">
        <w:rPr>
          <w:lang w:eastAsia="ar-SA"/>
        </w:rPr>
        <w:t>.</w:t>
      </w:r>
      <w:r w:rsidRPr="00CD61DF">
        <w:rPr>
          <w:lang w:eastAsia="ar-SA"/>
        </w:rPr>
        <w:t>b.</w:t>
      </w:r>
      <w:r w:rsidRPr="00CD61DF">
        <w:rPr>
          <w:rStyle w:val="Znakapoznpodarou"/>
          <w:lang w:eastAsia="ar-SA"/>
        </w:rPr>
        <w:footnoteReference w:id="2"/>
      </w:r>
      <w:r w:rsidRPr="00CD61DF">
        <w:rPr>
          <w:lang w:eastAsia="ar-SA"/>
        </w:rPr>
        <w:t xml:space="preserve"> Zvyšovaly je nefinanční podniky, vládní instituce dočerpávající peníze z</w:t>
      </w:r>
      <w:r>
        <w:rPr>
          <w:lang w:eastAsia="ar-SA"/>
        </w:rPr>
        <w:t> EU</w:t>
      </w:r>
      <w:r w:rsidRPr="00CD61DF">
        <w:rPr>
          <w:lang w:eastAsia="ar-SA"/>
        </w:rPr>
        <w:t xml:space="preserve"> i domácnosti posilující investice do nemovitostí. Výdaje na konečnou spotřebu domácností vzrostly o 2,9 % (+1,4 p</w:t>
      </w:r>
      <w:r w:rsidR="00A84FAF">
        <w:rPr>
          <w:lang w:eastAsia="ar-SA"/>
        </w:rPr>
        <w:t>.</w:t>
      </w:r>
      <w:r w:rsidRPr="00CD61DF">
        <w:rPr>
          <w:lang w:eastAsia="ar-SA"/>
        </w:rPr>
        <w:t>b.), přírůstek výdajů na konečnou spotřebu vládních institucí byl</w:t>
      </w:r>
      <w:r>
        <w:rPr>
          <w:lang w:eastAsia="ar-SA"/>
        </w:rPr>
        <w:t xml:space="preserve"> dokonce</w:t>
      </w:r>
      <w:r w:rsidRPr="00CD61DF">
        <w:rPr>
          <w:lang w:eastAsia="ar-SA"/>
        </w:rPr>
        <w:t xml:space="preserve"> nejvyšší od roku 2003 (+3,4 %, +0,7 p</w:t>
      </w:r>
      <w:r w:rsidR="00A84FAF">
        <w:rPr>
          <w:lang w:eastAsia="ar-SA"/>
        </w:rPr>
        <w:t>.</w:t>
      </w:r>
      <w:r w:rsidRPr="00CD61DF">
        <w:rPr>
          <w:lang w:eastAsia="ar-SA"/>
        </w:rPr>
        <w:t xml:space="preserve">b.). Změna zásob </w:t>
      </w:r>
      <w:r w:rsidRPr="00A84FAF">
        <w:rPr>
          <w:spacing w:val="-4"/>
          <w:lang w:eastAsia="ar-SA"/>
        </w:rPr>
        <w:t>ovlivňovala ekonomiku taktéž pozitivně (+0,6 p</w:t>
      </w:r>
      <w:r w:rsidR="00A84FAF" w:rsidRPr="00A84FAF">
        <w:rPr>
          <w:spacing w:val="-4"/>
          <w:lang w:eastAsia="ar-SA"/>
        </w:rPr>
        <w:t>.</w:t>
      </w:r>
      <w:r w:rsidRPr="00A84FAF">
        <w:rPr>
          <w:spacing w:val="-4"/>
          <w:lang w:eastAsia="ar-SA"/>
        </w:rPr>
        <w:t>b.), zhoršila se jen bilance zahraničního obchodu (-</w:t>
      </w:r>
      <w:r w:rsidRPr="00CD61DF">
        <w:rPr>
          <w:spacing w:val="-2"/>
          <w:lang w:eastAsia="ar-SA"/>
        </w:rPr>
        <w:t>0,2</w:t>
      </w:r>
      <w:r w:rsidRPr="00CD61DF">
        <w:rPr>
          <w:lang w:eastAsia="ar-SA"/>
        </w:rPr>
        <w:t xml:space="preserve"> p</w:t>
      </w:r>
      <w:r w:rsidR="00A84FAF">
        <w:rPr>
          <w:lang w:eastAsia="ar-SA"/>
        </w:rPr>
        <w:t>.</w:t>
      </w:r>
      <w:r w:rsidRPr="00CD61DF">
        <w:rPr>
          <w:lang w:eastAsia="ar-SA"/>
        </w:rPr>
        <w:t>b.).</w:t>
      </w:r>
    </w:p>
    <w:p w:rsidR="00960769" w:rsidRPr="006E7E2C" w:rsidRDefault="00960769" w:rsidP="00960769">
      <w:pPr>
        <w:pStyle w:val="Textpoznpodarou"/>
        <w:jc w:val="both"/>
        <w:rPr>
          <w:sz w:val="14"/>
          <w:szCs w:val="14"/>
          <w:lang w:eastAsia="ar-SA"/>
        </w:rPr>
      </w:pPr>
    </w:p>
    <w:p w:rsidR="00960769" w:rsidRPr="003B6DA4" w:rsidRDefault="00960769" w:rsidP="005140DE">
      <w:pPr>
        <w:pStyle w:val="Textpoznpodarou"/>
        <w:numPr>
          <w:ilvl w:val="0"/>
          <w:numId w:val="2"/>
        </w:numPr>
        <w:ind w:left="425" w:hanging="357"/>
        <w:jc w:val="both"/>
        <w:rPr>
          <w:lang w:eastAsia="ar-SA"/>
        </w:rPr>
      </w:pPr>
      <w:r w:rsidRPr="003B6DA4">
        <w:rPr>
          <w:lang w:eastAsia="ar-SA"/>
        </w:rPr>
        <w:t xml:space="preserve">Souhrnná výkonnost odvětví podle hrubé přidané hodnoty se v roce 2015 zvýšila o 3,8 %. Dynamicky </w:t>
      </w:r>
      <w:r w:rsidRPr="003B6DA4">
        <w:rPr>
          <w:spacing w:val="-2"/>
          <w:lang w:eastAsia="ar-SA"/>
        </w:rPr>
        <w:t>rostoucí zpracovatelský průmysl (+7,3 %) přispěl +1,9 p</w:t>
      </w:r>
      <w:r w:rsidR="00A84FAF">
        <w:rPr>
          <w:spacing w:val="-2"/>
          <w:lang w:eastAsia="ar-SA"/>
        </w:rPr>
        <w:t>.</w:t>
      </w:r>
      <w:r w:rsidRPr="003B6DA4">
        <w:rPr>
          <w:spacing w:val="-2"/>
          <w:lang w:eastAsia="ar-SA"/>
        </w:rPr>
        <w:t>b., služby +1,8 p</w:t>
      </w:r>
      <w:r w:rsidR="00A84FAF">
        <w:rPr>
          <w:spacing w:val="-2"/>
          <w:lang w:eastAsia="ar-SA"/>
        </w:rPr>
        <w:t>.</w:t>
      </w:r>
      <w:r w:rsidRPr="003B6DA4">
        <w:rPr>
          <w:spacing w:val="-2"/>
          <w:lang w:eastAsia="ar-SA"/>
        </w:rPr>
        <w:t>b. Stavebnictví přidalo +0,2</w:t>
      </w:r>
      <w:r w:rsidRPr="003B6DA4">
        <w:rPr>
          <w:lang w:eastAsia="ar-SA"/>
        </w:rPr>
        <w:t xml:space="preserve"> p</w:t>
      </w:r>
      <w:r w:rsidR="00A84FAF">
        <w:rPr>
          <w:lang w:eastAsia="ar-SA"/>
        </w:rPr>
        <w:t>.</w:t>
      </w:r>
      <w:r w:rsidRPr="003B6DA4">
        <w:rPr>
          <w:lang w:eastAsia="ar-SA"/>
        </w:rPr>
        <w:t xml:space="preserve">b., </w:t>
      </w:r>
      <w:r w:rsidRPr="00D919D4">
        <w:rPr>
          <w:lang w:eastAsia="ar-SA"/>
        </w:rPr>
        <w:t>stejně jako o rok dříve, nikoliv však zemědělství, lesnictví a rybářství, jejichž celkový příspěvek byl nulový. Těžba a dobývání, energetika a zásobování vodou</w:t>
      </w:r>
      <w:r>
        <w:rPr>
          <w:lang w:eastAsia="ar-SA"/>
        </w:rPr>
        <w:t xml:space="preserve"> působily mírně proti</w:t>
      </w:r>
      <w:r w:rsidRPr="00D919D4">
        <w:rPr>
          <w:lang w:eastAsia="ar-SA"/>
        </w:rPr>
        <w:t xml:space="preserve"> růst</w:t>
      </w:r>
      <w:r>
        <w:rPr>
          <w:lang w:eastAsia="ar-SA"/>
        </w:rPr>
        <w:t>u</w:t>
      </w:r>
      <w:r w:rsidRPr="00D919D4">
        <w:rPr>
          <w:lang w:eastAsia="ar-SA"/>
        </w:rPr>
        <w:t xml:space="preserve"> české ekonomiky (v</w:t>
      </w:r>
      <w:r>
        <w:rPr>
          <w:lang w:eastAsia="ar-SA"/>
        </w:rPr>
        <w:t> </w:t>
      </w:r>
      <w:r w:rsidRPr="00D919D4">
        <w:rPr>
          <w:lang w:eastAsia="ar-SA"/>
        </w:rPr>
        <w:t>úhrnu -0,1 p</w:t>
      </w:r>
      <w:r w:rsidR="00A84FAF">
        <w:rPr>
          <w:lang w:eastAsia="ar-SA"/>
        </w:rPr>
        <w:t>.</w:t>
      </w:r>
      <w:r w:rsidRPr="00D919D4">
        <w:rPr>
          <w:lang w:eastAsia="ar-SA"/>
        </w:rPr>
        <w:t xml:space="preserve">b.). </w:t>
      </w:r>
    </w:p>
    <w:p w:rsidR="00960769" w:rsidRPr="006E7E2C" w:rsidRDefault="00960769" w:rsidP="00960769">
      <w:pPr>
        <w:pStyle w:val="Textpoznpodarou"/>
        <w:jc w:val="both"/>
        <w:rPr>
          <w:spacing w:val="-2"/>
          <w:sz w:val="12"/>
          <w:szCs w:val="12"/>
          <w:lang w:eastAsia="ar-SA"/>
        </w:rPr>
      </w:pPr>
    </w:p>
    <w:p w:rsidR="00960769" w:rsidRPr="008C5B43" w:rsidRDefault="00960769" w:rsidP="00960769">
      <w:pPr>
        <w:pStyle w:val="Textpoznpodarou"/>
        <w:numPr>
          <w:ilvl w:val="0"/>
          <w:numId w:val="2"/>
        </w:numPr>
        <w:ind w:left="425" w:hanging="357"/>
        <w:jc w:val="both"/>
        <w:rPr>
          <w:lang w:eastAsia="ar-SA"/>
        </w:rPr>
      </w:pPr>
      <w:r w:rsidRPr="008C5B43">
        <w:t>Běžný účet platební bilance ukázal na další zlepšení vnějších ekonomických vztahů, i přes zhoršení obchodn</w:t>
      </w:r>
      <w:r w:rsidR="008C5B43" w:rsidRPr="008C5B43">
        <w:t>í bilance. Skončil v přebytku 41,4 mld. korun (0,9</w:t>
      </w:r>
      <w:r w:rsidRPr="008C5B43">
        <w:t xml:space="preserve"> % HDP) a byl rekordní. Příliv př</w:t>
      </w:r>
      <w:r w:rsidR="008C5B43" w:rsidRPr="008C5B43">
        <w:t>ímých investic do ČR klesl na 60</w:t>
      </w:r>
      <w:r w:rsidRPr="008C5B43">
        <w:t>,7 mld. a byl</w:t>
      </w:r>
      <w:r w:rsidR="008C5B43" w:rsidRPr="008C5B43">
        <w:t xml:space="preserve"> nejslabší od roku 2003</w:t>
      </w:r>
      <w:r w:rsidR="00B83D46">
        <w:t>. J</w:t>
      </w:r>
      <w:r w:rsidRPr="008C5B43">
        <w:t xml:space="preserve">im však kontrastoval mohutný příliv investic </w:t>
      </w:r>
      <w:r w:rsidRPr="008C5B43">
        <w:rPr>
          <w:spacing w:val="-2"/>
        </w:rPr>
        <w:t>portfoliových. Samotných vládních dluhopisů nakoupili zahraniční investoři v loňském roce za 117,7</w:t>
      </w:r>
      <w:r w:rsidRPr="008C5B43">
        <w:t xml:space="preserve"> mld. </w:t>
      </w:r>
    </w:p>
    <w:p w:rsidR="00960769" w:rsidRPr="006E7E2C" w:rsidRDefault="00960769" w:rsidP="00960769">
      <w:pPr>
        <w:pStyle w:val="Odstavecseseznamem"/>
        <w:ind w:left="0"/>
        <w:rPr>
          <w:sz w:val="14"/>
          <w:szCs w:val="14"/>
          <w:lang w:eastAsia="ar-SA"/>
        </w:rPr>
      </w:pPr>
    </w:p>
    <w:p w:rsidR="00960769" w:rsidRPr="006E7E2C" w:rsidRDefault="00960769" w:rsidP="00960769">
      <w:pPr>
        <w:pStyle w:val="Textpoznpodarou"/>
        <w:numPr>
          <w:ilvl w:val="0"/>
          <w:numId w:val="2"/>
        </w:numPr>
        <w:ind w:left="425" w:hanging="357"/>
        <w:jc w:val="both"/>
        <w:rPr>
          <w:spacing w:val="-4"/>
          <w:lang w:eastAsia="ar-SA"/>
        </w:rPr>
      </w:pPr>
      <w:r w:rsidRPr="006E7E2C">
        <w:rPr>
          <w:spacing w:val="-4"/>
          <w:lang w:eastAsia="ar-SA"/>
        </w:rPr>
        <w:t>Implicitní deflátor HDP poklesl v roce 2015 na +0,7 %, inflace</w:t>
      </w:r>
      <w:r w:rsidR="002179F9" w:rsidRPr="006E7E2C">
        <w:rPr>
          <w:spacing w:val="-4"/>
          <w:lang w:eastAsia="ar-SA"/>
        </w:rPr>
        <w:t xml:space="preserve"> měřená vývojem indexu spotřebitelských cen</w:t>
      </w:r>
      <w:r w:rsidRPr="006E7E2C">
        <w:rPr>
          <w:spacing w:val="-4"/>
          <w:lang w:eastAsia="ar-SA"/>
        </w:rPr>
        <w:t xml:space="preserve"> činila +0,3 % a byla nejnižší od roku 2003. Propad ceny ropy na světovém trhu a deflace ve</w:t>
      </w:r>
      <w:r w:rsidR="00DB5792">
        <w:rPr>
          <w:spacing w:val="-4"/>
          <w:lang w:eastAsia="ar-SA"/>
        </w:rPr>
        <w:t xml:space="preserve"> </w:t>
      </w:r>
      <w:r w:rsidRPr="006E7E2C">
        <w:rPr>
          <w:spacing w:val="-4"/>
          <w:lang w:eastAsia="ar-SA"/>
        </w:rPr>
        <w:t>zpracovatelském průmyslu v</w:t>
      </w:r>
      <w:r w:rsidR="00B83D46" w:rsidRPr="006E7E2C">
        <w:rPr>
          <w:spacing w:val="-4"/>
          <w:lang w:eastAsia="ar-SA"/>
        </w:rPr>
        <w:t> </w:t>
      </w:r>
      <w:r w:rsidRPr="006E7E2C">
        <w:rPr>
          <w:spacing w:val="-4"/>
          <w:lang w:eastAsia="ar-SA"/>
        </w:rPr>
        <w:t>eurozóně</w:t>
      </w:r>
      <w:r w:rsidR="00B83D46" w:rsidRPr="006E7E2C">
        <w:rPr>
          <w:spacing w:val="-4"/>
          <w:lang w:eastAsia="ar-SA"/>
        </w:rPr>
        <w:t xml:space="preserve"> se</w:t>
      </w:r>
      <w:r w:rsidRPr="006E7E2C">
        <w:rPr>
          <w:spacing w:val="-4"/>
          <w:lang w:eastAsia="ar-SA"/>
        </w:rPr>
        <w:t xml:space="preserve"> prolínaly do</w:t>
      </w:r>
      <w:r w:rsidR="00B83D46" w:rsidRPr="006E7E2C">
        <w:rPr>
          <w:spacing w:val="-4"/>
          <w:lang w:eastAsia="ar-SA"/>
        </w:rPr>
        <w:t> </w:t>
      </w:r>
      <w:r w:rsidRPr="006E7E2C">
        <w:rPr>
          <w:spacing w:val="-4"/>
          <w:lang w:eastAsia="ar-SA"/>
        </w:rPr>
        <w:t>ČR prostřednictvím cen dovozu zboží (-1,9 %) a působily na ceny průmyslových výrobců, které se snížily nejvýrazněji v historii (-3,2 %). </w:t>
      </w:r>
      <w:r w:rsidR="006E7E2C" w:rsidRPr="006E7E2C">
        <w:rPr>
          <w:spacing w:val="-4"/>
          <w:lang w:eastAsia="ar-SA"/>
        </w:rPr>
        <w:t>Ceny zemědělských výrobců klesly</w:t>
      </w:r>
      <w:r w:rsidR="006E7E2C">
        <w:rPr>
          <w:spacing w:val="-4"/>
          <w:lang w:eastAsia="ar-SA"/>
        </w:rPr>
        <w:t xml:space="preserve"> o 6 %</w:t>
      </w:r>
      <w:r w:rsidR="006E7E2C" w:rsidRPr="006E7E2C">
        <w:rPr>
          <w:spacing w:val="-4"/>
          <w:lang w:eastAsia="ar-SA"/>
        </w:rPr>
        <w:t>, ceny tržních služeb stagnovaly.</w:t>
      </w:r>
      <w:r w:rsidR="002179F9" w:rsidRPr="006E7E2C">
        <w:rPr>
          <w:spacing w:val="-4"/>
          <w:lang w:eastAsia="ar-SA"/>
        </w:rPr>
        <w:t xml:space="preserve"> N</w:t>
      </w:r>
      <w:r w:rsidRPr="006E7E2C">
        <w:rPr>
          <w:spacing w:val="-4"/>
          <w:lang w:eastAsia="ar-SA"/>
        </w:rPr>
        <w:t>arostly pouze ceny stavebních prací (+1,2 %).</w:t>
      </w:r>
    </w:p>
    <w:p w:rsidR="00960769" w:rsidRPr="006E7E2C" w:rsidRDefault="00960769" w:rsidP="00960769">
      <w:pPr>
        <w:pStyle w:val="Odstavecseseznamem"/>
        <w:ind w:left="0"/>
        <w:rPr>
          <w:spacing w:val="-2"/>
          <w:sz w:val="12"/>
          <w:szCs w:val="12"/>
          <w:lang w:eastAsia="ar-SA"/>
        </w:rPr>
      </w:pPr>
    </w:p>
    <w:p w:rsidR="00960769" w:rsidRPr="00752BC3" w:rsidRDefault="00960769" w:rsidP="005140DE">
      <w:pPr>
        <w:pStyle w:val="Textpoznpodarou"/>
        <w:numPr>
          <w:ilvl w:val="0"/>
          <w:numId w:val="2"/>
        </w:numPr>
        <w:ind w:left="425" w:hanging="357"/>
        <w:jc w:val="both"/>
        <w:rPr>
          <w:color w:val="000000" w:themeColor="text1"/>
          <w:spacing w:val="-2"/>
          <w:lang w:eastAsia="ar-SA"/>
        </w:rPr>
      </w:pPr>
      <w:r w:rsidRPr="005C406F">
        <w:rPr>
          <w:color w:val="000000" w:themeColor="text1"/>
          <w:spacing w:val="-2"/>
          <w:lang w:eastAsia="ar-SA"/>
        </w:rPr>
        <w:t>Růst ekonomiky zlepšoval situaci na trhu práce.</w:t>
      </w:r>
      <w:r w:rsidRPr="005140DE">
        <w:rPr>
          <w:color w:val="000000" w:themeColor="text1"/>
          <w:spacing w:val="-2"/>
          <w:lang w:eastAsia="ar-SA"/>
        </w:rPr>
        <w:t xml:space="preserve"> Zaměstnanost v pojetí národních účtů byla meziročně vyšší o 1,2 %, </w:t>
      </w:r>
      <w:r w:rsidR="005140DE" w:rsidRPr="005140DE">
        <w:rPr>
          <w:color w:val="000000" w:themeColor="text1"/>
          <w:spacing w:val="-2"/>
          <w:lang w:eastAsia="ar-SA"/>
        </w:rPr>
        <w:t>v absolutní výši dosáhla společně s rokem 2008 nejvyšší úrovně v historii samostatné ČR. P</w:t>
      </w:r>
      <w:r w:rsidRPr="005140DE">
        <w:rPr>
          <w:color w:val="000000" w:themeColor="text1"/>
          <w:spacing w:val="-2"/>
          <w:lang w:eastAsia="ar-SA"/>
        </w:rPr>
        <w:t>očty volných pracovních míst vystoupaly v průběhu léta již nad 100 tisíc. Obecná míra nezaměstn</w:t>
      </w:r>
      <w:r w:rsidR="005C406F" w:rsidRPr="005140DE">
        <w:rPr>
          <w:color w:val="000000" w:themeColor="text1"/>
          <w:spacing w:val="-2"/>
          <w:lang w:eastAsia="ar-SA"/>
        </w:rPr>
        <w:t xml:space="preserve">anosti </w:t>
      </w:r>
      <w:r w:rsidR="005140DE" w:rsidRPr="005140DE">
        <w:rPr>
          <w:color w:val="000000" w:themeColor="text1"/>
          <w:spacing w:val="-2"/>
          <w:lang w:eastAsia="ar-SA"/>
        </w:rPr>
        <w:t xml:space="preserve">se snižovala po celý rok a v prosinci 2015 skončila na nejnižší úrovni (4,6 %) od listopadu 2008. </w:t>
      </w:r>
      <w:r w:rsidRPr="005140DE">
        <w:rPr>
          <w:color w:val="000000" w:themeColor="text1"/>
          <w:spacing w:val="-2"/>
          <w:lang w:eastAsia="ar-SA"/>
        </w:rPr>
        <w:t>Strukturální nerovnováha mezi poptávkou po zaměstnancích a nabídkou práce ze strany uchazečů se přenášela do nedostatku kvalifikovaných pracovníků a ústila ve zrychlující růst průměrné </w:t>
      </w:r>
      <w:r w:rsidR="00071F80">
        <w:rPr>
          <w:color w:val="000000" w:themeColor="text1"/>
          <w:spacing w:val="-2"/>
          <w:lang w:eastAsia="ar-SA"/>
        </w:rPr>
        <w:t>mzdy. Ta ve 4.</w:t>
      </w:r>
      <w:r w:rsidR="00071F80" w:rsidRPr="00D919D4">
        <w:rPr>
          <w:lang w:eastAsia="ar-SA"/>
        </w:rPr>
        <w:t> </w:t>
      </w:r>
      <w:r w:rsidR="005C406F" w:rsidRPr="005140DE">
        <w:rPr>
          <w:color w:val="000000" w:themeColor="text1"/>
          <w:spacing w:val="-2"/>
          <w:lang w:eastAsia="ar-SA"/>
        </w:rPr>
        <w:t>čtvrtletí stoupla již o 3,9</w:t>
      </w:r>
      <w:r w:rsidRPr="005140DE">
        <w:rPr>
          <w:color w:val="000000" w:themeColor="text1"/>
          <w:spacing w:val="-2"/>
          <w:lang w:eastAsia="ar-SA"/>
        </w:rPr>
        <w:t> % meziročně</w:t>
      </w:r>
      <w:r w:rsidR="005140DE" w:rsidRPr="005140DE">
        <w:rPr>
          <w:color w:val="000000" w:themeColor="text1"/>
          <w:spacing w:val="-2"/>
          <w:lang w:eastAsia="ar-SA"/>
        </w:rPr>
        <w:t>.</w:t>
      </w:r>
      <w:r w:rsidRPr="005140DE">
        <w:rPr>
          <w:color w:val="000000" w:themeColor="text1"/>
          <w:spacing w:val="-2"/>
          <w:lang w:eastAsia="ar-SA"/>
        </w:rPr>
        <w:t xml:space="preserve"> V reálném vyjádření, díky nízké míře inflace, narostla průměrná mzda o 3,</w:t>
      </w:r>
      <w:r w:rsidR="005C406F" w:rsidRPr="005140DE">
        <w:rPr>
          <w:color w:val="000000" w:themeColor="text1"/>
          <w:spacing w:val="-2"/>
          <w:lang w:eastAsia="ar-SA"/>
        </w:rPr>
        <w:t>8</w:t>
      </w:r>
      <w:r w:rsidR="005140DE" w:rsidRPr="005140DE">
        <w:rPr>
          <w:color w:val="000000" w:themeColor="text1"/>
          <w:spacing w:val="-2"/>
          <w:lang w:eastAsia="ar-SA"/>
        </w:rPr>
        <w:t xml:space="preserve"> %, jednalo se o nejvyšší růst od konce roku 2009.</w:t>
      </w:r>
    </w:p>
    <w:p w:rsidR="00960769" w:rsidRPr="006E7E2C" w:rsidRDefault="00960769" w:rsidP="00960769">
      <w:pPr>
        <w:pStyle w:val="Odstavecseseznamem"/>
        <w:ind w:left="0"/>
        <w:rPr>
          <w:spacing w:val="-4"/>
          <w:sz w:val="14"/>
          <w:szCs w:val="14"/>
          <w:lang w:eastAsia="ar-SA"/>
        </w:rPr>
      </w:pPr>
    </w:p>
    <w:p w:rsidR="00960769" w:rsidRPr="003B6DA4" w:rsidRDefault="00960769" w:rsidP="00960769">
      <w:pPr>
        <w:pStyle w:val="Textpoznpodarou"/>
        <w:numPr>
          <w:ilvl w:val="0"/>
          <w:numId w:val="2"/>
        </w:numPr>
        <w:ind w:left="425" w:hanging="357"/>
        <w:jc w:val="both"/>
        <w:rPr>
          <w:spacing w:val="-4"/>
          <w:lang w:eastAsia="ar-SA"/>
        </w:rPr>
      </w:pPr>
      <w:r w:rsidRPr="003B6DA4">
        <w:t>Objem peněz v ekonomice se zvýšil v závěru roku 2015 dle měnového agregátu M2 o 6,9 % meziročně a šlo pouze o nárůst likvidních prostředků. Tempa růstu dlouhodobých úvěrů nefinančním podnikům, tj. především úvěrů</w:t>
      </w:r>
      <w:r>
        <w:t xml:space="preserve"> na investice, byla alespoň 10</w:t>
      </w:r>
      <w:r w:rsidRPr="003B6DA4">
        <w:t>% v celém 2. pololetí, dynamika úvěrů domácnostem na bydlení v prosinci (+8 %) byla nejsilnější od léta 2010. Vyšší poptávka domácností po těchto typech</w:t>
      </w:r>
      <w:r>
        <w:t> </w:t>
      </w:r>
      <w:r w:rsidRPr="003B6DA4">
        <w:t>úvěrů vyplývá z nízkých úrokových sazeb a promítá se do výrazného růstu cen nemovitostí.</w:t>
      </w:r>
    </w:p>
    <w:p w:rsidR="00960769" w:rsidRPr="00E221FC" w:rsidRDefault="00960769" w:rsidP="00960769">
      <w:pPr>
        <w:pStyle w:val="Odstavecseseznamem"/>
        <w:ind w:left="0"/>
        <w:rPr>
          <w:spacing w:val="-4"/>
          <w:sz w:val="14"/>
          <w:szCs w:val="14"/>
          <w:lang w:eastAsia="ar-SA"/>
        </w:rPr>
      </w:pPr>
    </w:p>
    <w:p w:rsidR="00210FFA" w:rsidRPr="00210FFA" w:rsidRDefault="00210FFA" w:rsidP="00E221FC">
      <w:pPr>
        <w:pStyle w:val="Textpoznpodarou"/>
        <w:numPr>
          <w:ilvl w:val="0"/>
          <w:numId w:val="2"/>
        </w:numPr>
        <w:ind w:left="425" w:hanging="357"/>
        <w:jc w:val="both"/>
      </w:pPr>
      <w:r w:rsidRPr="00210FFA">
        <w:t xml:space="preserve">Sílící růst ekonomiky podpořený rekordním čerpáním prostředků z evropských fondů </w:t>
      </w:r>
      <w:r w:rsidR="00752BC3">
        <w:t>pomohl</w:t>
      </w:r>
      <w:r w:rsidRPr="00210FFA">
        <w:t xml:space="preserve"> státnímu rozpočtu k nejnižšímu deficitu po roce 2008. Ten ve vztahu k HDP čini</w:t>
      </w:r>
      <w:r w:rsidR="00E221FC">
        <w:t>l</w:t>
      </w:r>
      <w:r w:rsidR="00071F80">
        <w:t xml:space="preserve"> </w:t>
      </w:r>
      <w:r w:rsidR="00E221FC">
        <w:t>1,4 % a meziročně se zlepšil o</w:t>
      </w:r>
      <w:r w:rsidR="00E221FC" w:rsidRPr="00D919D4">
        <w:rPr>
          <w:lang w:eastAsia="ar-SA"/>
        </w:rPr>
        <w:t> </w:t>
      </w:r>
      <w:r w:rsidRPr="00210FFA">
        <w:t>0,4 p</w:t>
      </w:r>
      <w:r w:rsidR="00465FA4">
        <w:t>.</w:t>
      </w:r>
      <w:r w:rsidRPr="00210FFA">
        <w:t>b.</w:t>
      </w:r>
      <w:r>
        <w:t xml:space="preserve"> Podíl investic na celkových výdajích státního rozpočtu dosáhl rekordních 13,6 %.</w:t>
      </w:r>
    </w:p>
    <w:p w:rsidR="00960769" w:rsidRPr="00F4591F" w:rsidRDefault="00CD7E35" w:rsidP="00960769">
      <w:pPr>
        <w:pStyle w:val="Nadpis1"/>
        <w:numPr>
          <w:ilvl w:val="0"/>
          <w:numId w:val="3"/>
        </w:numPr>
        <w:jc w:val="both"/>
      </w:pPr>
      <w:bookmarkStart w:id="4" w:name="_Toc446341881"/>
      <w:r>
        <w:lastRenderedPageBreak/>
        <w:t>Souhrnná výkonnost</w:t>
      </w:r>
      <w:bookmarkEnd w:id="4"/>
    </w:p>
    <w:tbl>
      <w:tblPr>
        <w:tblW w:w="5000" w:type="pct"/>
        <w:tblLayout w:type="fixed"/>
        <w:tblLook w:val="00A0"/>
      </w:tblPr>
      <w:tblGrid>
        <w:gridCol w:w="2077"/>
        <w:gridCol w:w="282"/>
        <w:gridCol w:w="7495"/>
      </w:tblGrid>
      <w:tr w:rsidR="00960769" w:rsidRPr="002A7D6D" w:rsidTr="00960769">
        <w:tc>
          <w:tcPr>
            <w:tcW w:w="1054" w:type="pct"/>
          </w:tcPr>
          <w:p w:rsidR="00960769" w:rsidRPr="00F273D4" w:rsidRDefault="00960769" w:rsidP="00967AD2">
            <w:pPr>
              <w:spacing w:line="240" w:lineRule="auto"/>
              <w:rPr>
                <w:sz w:val="16"/>
                <w:szCs w:val="16"/>
              </w:rPr>
            </w:pPr>
            <w:r w:rsidRPr="00F273D4">
              <w:rPr>
                <w:sz w:val="16"/>
                <w:szCs w:val="16"/>
              </w:rPr>
              <w:t xml:space="preserve">Růst ekonomiky byl v roce 2015 významně podpořen mimořádnými vlivy. </w:t>
            </w:r>
            <w:r w:rsidR="00967AD2" w:rsidRPr="00F273D4">
              <w:rPr>
                <w:sz w:val="16"/>
                <w:szCs w:val="16"/>
              </w:rPr>
              <w:t>V posledním čtvrtletí již ale oslabily</w:t>
            </w:r>
            <w:r w:rsidR="00C123B4" w:rsidRPr="00F273D4">
              <w:rPr>
                <w:sz w:val="16"/>
                <w:szCs w:val="16"/>
              </w:rPr>
              <w:t>,</w:t>
            </w:r>
            <w:r w:rsidRPr="00F273D4">
              <w:rPr>
                <w:sz w:val="16"/>
                <w:szCs w:val="16"/>
              </w:rPr>
              <w:t xml:space="preserve"> …</w:t>
            </w:r>
          </w:p>
        </w:tc>
        <w:tc>
          <w:tcPr>
            <w:tcW w:w="143" w:type="pct"/>
          </w:tcPr>
          <w:p w:rsidR="00960769" w:rsidRPr="00F273D4" w:rsidRDefault="00960769" w:rsidP="00960769">
            <w:pPr>
              <w:pStyle w:val="Textpoznpodarou"/>
              <w:jc w:val="both"/>
            </w:pPr>
          </w:p>
        </w:tc>
        <w:tc>
          <w:tcPr>
            <w:tcW w:w="3803" w:type="pct"/>
          </w:tcPr>
          <w:p w:rsidR="00960769" w:rsidRPr="00F273D4" w:rsidRDefault="00960769" w:rsidP="00960769">
            <w:pPr>
              <w:pStyle w:val="Textpoznpodarou"/>
              <w:jc w:val="both"/>
              <w:rPr>
                <w:spacing w:val="-2"/>
              </w:rPr>
            </w:pPr>
            <w:r w:rsidRPr="00F273D4">
              <w:t>České ekonomice se v roce 2015 dařilo a její výkon narostl nejrychleji za posledních osm let, tj. od vrcholu konjunktury v roce 2007.</w:t>
            </w:r>
            <w:r w:rsidRPr="00F273D4">
              <w:rPr>
                <w:rStyle w:val="Znakapoznpodarou"/>
              </w:rPr>
              <w:footnoteReference w:id="3"/>
            </w:r>
            <w:r w:rsidR="009867BC" w:rsidRPr="00F273D4">
              <w:t xml:space="preserve"> </w:t>
            </w:r>
            <w:r w:rsidRPr="00F273D4">
              <w:t>Hrubý domácí produkt (HDP) se zvýšil o 4,3 %, přitom jeho dynamika byla alespoň 4% v každém čtvrtletí. Hrubá přidaná hodnota stoupla o 3,8 %. Z hlediska výdajové strany se na růstu ekonomiky podílela hlavně domácí poptávka, na straně nabídky působily pozitivně především zpracovatelský průmysl a soukromé a veřejné služby. Ekonomika rostla v meziročním srovnání již devět čtvrtletí v řadě, v roce 2015 byla její dynamika podpořena mimořádnými vlivy. Jednalo se  o pokles c</w:t>
            </w:r>
            <w:r w:rsidR="00370963" w:rsidRPr="00F273D4">
              <w:t>eny ropy na světovém trhu, což</w:t>
            </w:r>
            <w:r w:rsidRPr="00F273D4">
              <w:t xml:space="preserve"> snižoval</w:t>
            </w:r>
            <w:r w:rsidR="00370963" w:rsidRPr="00F273D4">
              <w:t>o</w:t>
            </w:r>
            <w:r w:rsidRPr="00F273D4">
              <w:t xml:space="preserve"> firmám náklady na vstupy a domácnostem výdaje na nákup pohonných hmot, a také o dočerpávání finančních prostředků z fondů EU na konci programového období 2007–2013</w:t>
            </w:r>
            <w:r w:rsidR="00967AD2" w:rsidRPr="00F273D4">
              <w:t>.</w:t>
            </w:r>
          </w:p>
          <w:p w:rsidR="00960769" w:rsidRPr="00F273D4" w:rsidRDefault="00960769" w:rsidP="00960769">
            <w:pPr>
              <w:pStyle w:val="Textpoznpodarou"/>
              <w:jc w:val="both"/>
              <w:rPr>
                <w:spacing w:val="-2"/>
              </w:rPr>
            </w:pPr>
          </w:p>
        </w:tc>
      </w:tr>
      <w:tr w:rsidR="00960769" w:rsidRPr="002A7D6D" w:rsidTr="00960769">
        <w:tc>
          <w:tcPr>
            <w:tcW w:w="1054" w:type="pct"/>
          </w:tcPr>
          <w:p w:rsidR="00960769" w:rsidRPr="00110513" w:rsidRDefault="00960769" w:rsidP="00971DC6">
            <w:pPr>
              <w:spacing w:line="240" w:lineRule="auto"/>
              <w:rPr>
                <w:sz w:val="16"/>
                <w:szCs w:val="16"/>
              </w:rPr>
            </w:pPr>
            <w:r w:rsidRPr="00110513">
              <w:rPr>
                <w:sz w:val="16"/>
                <w:szCs w:val="16"/>
              </w:rPr>
              <w:t>…</w:t>
            </w:r>
            <w:r w:rsidR="00971DC6">
              <w:rPr>
                <w:sz w:val="16"/>
                <w:szCs w:val="16"/>
              </w:rPr>
              <w:t xml:space="preserve"> </w:t>
            </w:r>
            <w:r w:rsidRPr="00110513">
              <w:rPr>
                <w:sz w:val="16"/>
                <w:szCs w:val="16"/>
              </w:rPr>
              <w:t>HDP v</w:t>
            </w:r>
            <w:r w:rsidR="00971DC6">
              <w:rPr>
                <w:sz w:val="16"/>
                <w:szCs w:val="16"/>
              </w:rPr>
              <w:t> </w:t>
            </w:r>
            <w:r w:rsidRPr="00110513">
              <w:rPr>
                <w:sz w:val="16"/>
                <w:szCs w:val="16"/>
              </w:rPr>
              <w:t>mezičtvrtletním</w:t>
            </w:r>
            <w:r w:rsidR="00971DC6">
              <w:rPr>
                <w:sz w:val="16"/>
                <w:szCs w:val="16"/>
              </w:rPr>
              <w:t xml:space="preserve"> </w:t>
            </w:r>
            <w:r w:rsidRPr="00110513">
              <w:rPr>
                <w:sz w:val="16"/>
                <w:szCs w:val="16"/>
              </w:rPr>
              <w:t>srovnání</w:t>
            </w:r>
            <w:r w:rsidR="00971DC6">
              <w:rPr>
                <w:sz w:val="16"/>
                <w:szCs w:val="16"/>
              </w:rPr>
              <w:t> </w:t>
            </w:r>
            <w:r w:rsidRPr="00110513">
              <w:rPr>
                <w:sz w:val="16"/>
                <w:szCs w:val="16"/>
              </w:rPr>
              <w:t>stagnoval a</w:t>
            </w:r>
            <w:r w:rsidR="00967AD2">
              <w:rPr>
                <w:sz w:val="16"/>
                <w:szCs w:val="16"/>
              </w:rPr>
              <w:t> </w:t>
            </w:r>
            <w:r w:rsidRPr="00110513">
              <w:rPr>
                <w:sz w:val="16"/>
                <w:szCs w:val="16"/>
              </w:rPr>
              <w:t>hrubá přidaná hodnota vzrostla pouze o 0,5 %, nejpomaleji od 4. čtvrtletí 2013</w:t>
            </w:r>
          </w:p>
        </w:tc>
        <w:tc>
          <w:tcPr>
            <w:tcW w:w="143" w:type="pct"/>
          </w:tcPr>
          <w:p w:rsidR="00960769" w:rsidRPr="00110513" w:rsidRDefault="00960769" w:rsidP="00960769">
            <w:pPr>
              <w:pStyle w:val="Textpoznpodarou"/>
              <w:jc w:val="both"/>
            </w:pPr>
          </w:p>
        </w:tc>
        <w:tc>
          <w:tcPr>
            <w:tcW w:w="3803" w:type="pct"/>
          </w:tcPr>
          <w:p w:rsidR="00960769" w:rsidRPr="00110513" w:rsidRDefault="00960769" w:rsidP="00960769">
            <w:pPr>
              <w:pStyle w:val="Textpoznpodarou"/>
              <w:jc w:val="both"/>
            </w:pPr>
            <w:r w:rsidRPr="00110513">
              <w:t>HDP se v prvních třech čtvrtletích loňského roku zvyšoval v mezičtvrtletním srovnání postupně o 2,4 %, 1 % a 0,7 % a ekonomika tedy zpomalovala. V posledním čtvrtletí přešla dokonce do stagnace, neboť HDP se proti 3. čtvrtletí nezměnil. Přestože byl tento vývoj zčásti způsoben sezónním očištěním,</w:t>
            </w:r>
            <w:r w:rsidRPr="00110513">
              <w:rPr>
                <w:rStyle w:val="Znakapoznpodarou"/>
              </w:rPr>
              <w:footnoteReference w:id="4"/>
            </w:r>
            <w:r w:rsidRPr="00110513">
              <w:t xml:space="preserve"> bylo z něho patrné, ž</w:t>
            </w:r>
            <w:r w:rsidR="00FE3D8B">
              <w:t>e hospodářství již zvolňuje. T</w:t>
            </w:r>
            <w:r w:rsidRPr="00110513">
              <w:t xml:space="preserve">ento závěr potvrzoval i vývoj hrubé přidané hodnoty. V 1. až 3. čtvrtletí byly její mezičtvrtletní přírůstky stabilní, v rozmezí od +1 % </w:t>
            </w:r>
            <w:r w:rsidRPr="00110513">
              <w:rPr>
                <w:spacing w:val="-2"/>
              </w:rPr>
              <w:t>do +1,2 %. V posledním čtvrtletí hrubá přidaná hodnota vzrostla ale už jen o 0,5</w:t>
            </w:r>
            <w:r w:rsidRPr="00110513">
              <w:t xml:space="preserve"> %, nej</w:t>
            </w:r>
            <w:r w:rsidR="006C0BCE">
              <w:t>méně</w:t>
            </w:r>
            <w:r w:rsidRPr="00110513">
              <w:t xml:space="preserve"> od konce roku 2013.</w:t>
            </w:r>
          </w:p>
          <w:p w:rsidR="00960769" w:rsidRPr="00967AD2" w:rsidRDefault="00960769" w:rsidP="00960769">
            <w:pPr>
              <w:pStyle w:val="Textpoznpodarou"/>
              <w:jc w:val="both"/>
            </w:pPr>
          </w:p>
        </w:tc>
      </w:tr>
      <w:tr w:rsidR="00960769" w:rsidRPr="002A7D6D" w:rsidTr="00960769">
        <w:tc>
          <w:tcPr>
            <w:tcW w:w="1054" w:type="pct"/>
          </w:tcPr>
          <w:p w:rsidR="00960769" w:rsidRPr="00BC6D27" w:rsidRDefault="00960769" w:rsidP="00960769">
            <w:pPr>
              <w:spacing w:line="240" w:lineRule="auto"/>
              <w:rPr>
                <w:sz w:val="16"/>
                <w:szCs w:val="16"/>
              </w:rPr>
            </w:pPr>
            <w:r w:rsidRPr="00BC6D27">
              <w:rPr>
                <w:sz w:val="16"/>
                <w:szCs w:val="16"/>
              </w:rPr>
              <w:t>V loňském roce se dařilo všem zemím sku</w:t>
            </w:r>
            <w:r w:rsidR="00FE3D8B">
              <w:rPr>
                <w:sz w:val="16"/>
                <w:szCs w:val="16"/>
              </w:rPr>
              <w:t>piny V4, nejlépe na tom byla</w:t>
            </w:r>
            <w:r w:rsidRPr="00BC6D27">
              <w:rPr>
                <w:sz w:val="16"/>
                <w:szCs w:val="16"/>
              </w:rPr>
              <w:t xml:space="preserve"> ČR</w:t>
            </w:r>
          </w:p>
        </w:tc>
        <w:tc>
          <w:tcPr>
            <w:tcW w:w="143" w:type="pct"/>
          </w:tcPr>
          <w:p w:rsidR="00960769" w:rsidRPr="00BC6D27" w:rsidRDefault="00960769" w:rsidP="00960769">
            <w:pPr>
              <w:pStyle w:val="Textpoznpodarou"/>
              <w:jc w:val="both"/>
            </w:pPr>
          </w:p>
        </w:tc>
        <w:tc>
          <w:tcPr>
            <w:tcW w:w="3803" w:type="pct"/>
          </w:tcPr>
          <w:p w:rsidR="00960769" w:rsidRPr="00BC6D27" w:rsidRDefault="00960769" w:rsidP="00960769">
            <w:pPr>
              <w:pStyle w:val="Textpoznpodarou"/>
              <w:jc w:val="both"/>
            </w:pPr>
            <w:r w:rsidRPr="00BC6D27">
              <w:rPr>
                <w:spacing w:val="-4"/>
              </w:rPr>
              <w:t>Česká republika patřila v loňském roce k nejrychleji rostoucím zemím EU. Vyšší</w:t>
            </w:r>
            <w:r w:rsidRPr="00BC6D27">
              <w:t xml:space="preserve"> přírůstek HDP si podle dostupných údajů</w:t>
            </w:r>
            <w:r w:rsidR="00CF75EC" w:rsidRPr="00BC6D27">
              <w:t xml:space="preserve"> připsala</w:t>
            </w:r>
            <w:r w:rsidRPr="00BC6D27">
              <w:t xml:space="preserve"> pouze Malta (+6,3 %).</w:t>
            </w:r>
            <w:r w:rsidR="00CF75EC" w:rsidRPr="00BC6D27">
              <w:rPr>
                <w:rStyle w:val="Znakapoznpodarou"/>
              </w:rPr>
              <w:footnoteReference w:id="5"/>
            </w:r>
            <w:r w:rsidRPr="00BC6D27">
              <w:t xml:space="preserve"> Také pro ostatní země Visegrádské skupiny byl rok 2015 úspěšný. Polsko vzrostlo spolu se Slovenskem o 3,6 %, </w:t>
            </w:r>
            <w:r w:rsidRPr="00BC6D27">
              <w:rPr>
                <w:spacing w:val="-2"/>
              </w:rPr>
              <w:t>Maďarsko o 2,9 %. Pozitivem v širším ohledu byl snižující se počet zemí</w:t>
            </w:r>
            <w:r w:rsidRPr="00BC6D27">
              <w:t xml:space="preserve"> evidujících pokles HDP. V roce 2013 bylo těchto zemí jedenáct, v roce 2014 čtyři a loni už pouze jedna (Řecko, -0,3 %).</w:t>
            </w:r>
          </w:p>
          <w:p w:rsidR="00960769" w:rsidRPr="00967AD2" w:rsidRDefault="00960769" w:rsidP="00960769">
            <w:pPr>
              <w:pStyle w:val="Textpoznpodarou"/>
              <w:jc w:val="both"/>
            </w:pPr>
          </w:p>
        </w:tc>
      </w:tr>
      <w:tr w:rsidR="00960769" w:rsidRPr="002A7D6D" w:rsidTr="00960769">
        <w:tc>
          <w:tcPr>
            <w:tcW w:w="1054" w:type="pct"/>
          </w:tcPr>
          <w:p w:rsidR="00960769" w:rsidRPr="00BC6D27" w:rsidRDefault="00960769" w:rsidP="00960769">
            <w:pPr>
              <w:spacing w:line="240" w:lineRule="auto"/>
              <w:rPr>
                <w:sz w:val="16"/>
                <w:szCs w:val="16"/>
              </w:rPr>
            </w:pPr>
            <w:r w:rsidRPr="00BC6D27">
              <w:rPr>
                <w:sz w:val="16"/>
                <w:szCs w:val="16"/>
              </w:rPr>
              <w:t>Přírůstek HDP v Česku oproti EU více než dvojnásobný, proti eurozóně skoro trojnásobný</w:t>
            </w:r>
          </w:p>
        </w:tc>
        <w:tc>
          <w:tcPr>
            <w:tcW w:w="143" w:type="pct"/>
          </w:tcPr>
          <w:p w:rsidR="00960769" w:rsidRPr="00BC6D27" w:rsidRDefault="00960769" w:rsidP="00960769">
            <w:pPr>
              <w:pStyle w:val="Textpoznpodarou"/>
              <w:jc w:val="both"/>
            </w:pPr>
          </w:p>
        </w:tc>
        <w:tc>
          <w:tcPr>
            <w:tcW w:w="3803" w:type="pct"/>
          </w:tcPr>
          <w:p w:rsidR="00960769" w:rsidRPr="00BC6D27" w:rsidRDefault="00960769" w:rsidP="00960769">
            <w:pPr>
              <w:pStyle w:val="Textpoznpodarou"/>
              <w:jc w:val="both"/>
            </w:pPr>
            <w:r w:rsidRPr="00BC6D27">
              <w:rPr>
                <w:spacing w:val="-2"/>
              </w:rPr>
              <w:t>HDP stoupl v ČR v roce 2015 v porovnání s EU (+1,8 %) více než dvakrát</w:t>
            </w:r>
            <w:r w:rsidRPr="00BC6D27">
              <w:t xml:space="preserve"> rychle, proti eurozóně (+1,5 %) byl tuzemský růst téměř trojnásobný. Opakovala se situace z roku 2014, rozdíl v tempech ČR oproti EU a eurozóně se ale zvětšil. Tuzemská ekonomika tak v roce 2015 k těmto celkům dále konvergovala, rychlost jejího přibližování se navíc </w:t>
            </w:r>
            <w:r w:rsidR="008F6967">
              <w:t>pravděpodobně</w:t>
            </w:r>
            <w:r w:rsidRPr="00BC6D27">
              <w:t xml:space="preserve"> zvýšila.</w:t>
            </w:r>
          </w:p>
          <w:p w:rsidR="00960769" w:rsidRPr="00967AD2" w:rsidRDefault="00960769" w:rsidP="00960769">
            <w:pPr>
              <w:pStyle w:val="Textpoznpodarou"/>
              <w:jc w:val="both"/>
              <w:rPr>
                <w:spacing w:val="-4"/>
              </w:rPr>
            </w:pPr>
          </w:p>
        </w:tc>
      </w:tr>
      <w:tr w:rsidR="00960769" w:rsidRPr="002A7D6D" w:rsidTr="00960769">
        <w:tc>
          <w:tcPr>
            <w:tcW w:w="1054" w:type="pct"/>
          </w:tcPr>
          <w:p w:rsidR="00960769" w:rsidRPr="00110513" w:rsidRDefault="00960769" w:rsidP="00D7162F">
            <w:pPr>
              <w:spacing w:line="240" w:lineRule="auto"/>
              <w:rPr>
                <w:sz w:val="16"/>
                <w:szCs w:val="16"/>
              </w:rPr>
            </w:pPr>
            <w:r w:rsidRPr="00110513">
              <w:rPr>
                <w:sz w:val="16"/>
                <w:szCs w:val="16"/>
              </w:rPr>
              <w:t>Zdrojem růstu ekonomiky byla v loňském roce hlavně domácí poptávka. Investice přispěly +1,9</w:t>
            </w:r>
            <w:r w:rsidR="00D7162F">
              <w:rPr>
                <w:sz w:val="16"/>
                <w:szCs w:val="16"/>
              </w:rPr>
              <w:t> </w:t>
            </w:r>
            <w:r w:rsidRPr="00110513">
              <w:rPr>
                <w:sz w:val="16"/>
                <w:szCs w:val="16"/>
              </w:rPr>
              <w:t>p</w:t>
            </w:r>
            <w:r w:rsidR="00D7162F">
              <w:rPr>
                <w:sz w:val="16"/>
                <w:szCs w:val="16"/>
              </w:rPr>
              <w:t>.</w:t>
            </w:r>
            <w:r w:rsidRPr="00110513">
              <w:rPr>
                <w:sz w:val="16"/>
                <w:szCs w:val="16"/>
              </w:rPr>
              <w:t>b</w:t>
            </w:r>
            <w:r>
              <w:rPr>
                <w:sz w:val="16"/>
                <w:szCs w:val="16"/>
              </w:rPr>
              <w:t>.</w:t>
            </w:r>
            <w:r w:rsidRPr="00110513">
              <w:rPr>
                <w:sz w:val="16"/>
                <w:szCs w:val="16"/>
              </w:rPr>
              <w:t xml:space="preserve"> a spotřeba domácností +1,4 p</w:t>
            </w:r>
            <w:r w:rsidR="00D7162F">
              <w:rPr>
                <w:sz w:val="16"/>
                <w:szCs w:val="16"/>
              </w:rPr>
              <w:t>.</w:t>
            </w:r>
            <w:r w:rsidR="003F341B">
              <w:rPr>
                <w:sz w:val="16"/>
                <w:szCs w:val="16"/>
              </w:rPr>
              <w:t>b.</w:t>
            </w:r>
            <w:r w:rsidRPr="00110513">
              <w:rPr>
                <w:sz w:val="16"/>
                <w:szCs w:val="16"/>
              </w:rPr>
              <w:t xml:space="preserve"> … </w:t>
            </w:r>
          </w:p>
        </w:tc>
        <w:tc>
          <w:tcPr>
            <w:tcW w:w="143" w:type="pct"/>
          </w:tcPr>
          <w:p w:rsidR="00960769" w:rsidRPr="00110513" w:rsidRDefault="00960769" w:rsidP="00960769">
            <w:pPr>
              <w:pStyle w:val="Textpoznpodarou"/>
              <w:jc w:val="both"/>
            </w:pPr>
          </w:p>
        </w:tc>
        <w:tc>
          <w:tcPr>
            <w:tcW w:w="3803" w:type="pct"/>
          </w:tcPr>
          <w:p w:rsidR="00960769" w:rsidRPr="00110513" w:rsidRDefault="00960769" w:rsidP="00960769">
            <w:pPr>
              <w:pStyle w:val="Textpoznpodarou"/>
              <w:jc w:val="both"/>
            </w:pPr>
            <w:r w:rsidRPr="00110513">
              <w:t>K růstu hospodářství v roce 2015 přispěly pozitivně všechny složky poptávky, výjimkou byla jen bilance zahraničního obchodu.</w:t>
            </w:r>
            <w:r w:rsidRPr="00110513">
              <w:rPr>
                <w:rStyle w:val="Znakapoznpodarou"/>
              </w:rPr>
              <w:footnoteReference w:id="6"/>
            </w:r>
            <w:r w:rsidRPr="00110513">
              <w:t xml:space="preserve"> Ta se vlivem silnějšího tempa </w:t>
            </w:r>
            <w:r w:rsidRPr="00110513">
              <w:rPr>
                <w:spacing w:val="-2"/>
              </w:rPr>
              <w:t>růstu dovozu (+8,1 %) oproti vývozu (+7,2 %) zhoršila a působila ve směru</w:t>
            </w:r>
            <w:r w:rsidRPr="00110513">
              <w:t xml:space="preserve"> poklesu výkonnosti ekonomiky ČR (-0,2 p</w:t>
            </w:r>
            <w:r w:rsidR="00D7162F">
              <w:t>.</w:t>
            </w:r>
            <w:r w:rsidRPr="00110513">
              <w:t>b.). Hlavním zdrojem růstu byly investice (tvorba hrubého fixního kapitálu), které přispěly +1,9 p</w:t>
            </w:r>
            <w:r w:rsidR="00D7162F">
              <w:t>.</w:t>
            </w:r>
            <w:r w:rsidRPr="00110513">
              <w:t>b., a výdaje na konečnou spotřebu domácností (+1,4 p</w:t>
            </w:r>
            <w:r w:rsidR="00D7162F">
              <w:t>.</w:t>
            </w:r>
            <w:r w:rsidRPr="00110513">
              <w:t>b.). Investice působily ve směru růstu ekonomiky už devět čtvrtletí v řadě, spotřeba domácností jedenáct. Příspěvek výdajů na konečnou spotřebu vládních institucí byl v porovnání s investicemi a spotřebou domácností slabší (+0,7 p</w:t>
            </w:r>
            <w:r w:rsidR="00D7162F">
              <w:t>.</w:t>
            </w:r>
            <w:r w:rsidRPr="00110513">
              <w:t xml:space="preserve">b.), to ovšem </w:t>
            </w:r>
            <w:r>
              <w:t>vyplývalo z menší váhy</w:t>
            </w:r>
            <w:r w:rsidRPr="00110513">
              <w:t xml:space="preserve"> této složky poptávky. Samotná dynamika spotřeby vládních institucí byla nejvyšší od roku 2003, přitom k silnému růstu</w:t>
            </w:r>
            <w:r>
              <w:t xml:space="preserve"> docházelo hlavně ve 3</w:t>
            </w:r>
            <w:r w:rsidRPr="00110513">
              <w:t xml:space="preserve">. </w:t>
            </w:r>
            <w:r>
              <w:t>čtvrtletí</w:t>
            </w:r>
            <w:r w:rsidRPr="00110513">
              <w:t xml:space="preserve">, kdy se ve velkém </w:t>
            </w:r>
            <w:r>
              <w:t>měřítku</w:t>
            </w:r>
            <w:r w:rsidRPr="00110513">
              <w:t xml:space="preserve"> – za přispění </w:t>
            </w:r>
            <w:r w:rsidR="0035457E">
              <w:t>financování z fondů EU</w:t>
            </w:r>
            <w:r w:rsidRPr="00110513">
              <w:t xml:space="preserve"> – opravovala dopravní infrastruktura. Změna zásob stimulující ekonomiku hlavně na počátku roku přidala +0,6 p</w:t>
            </w:r>
            <w:r w:rsidR="00D7162F">
              <w:t>.</w:t>
            </w:r>
            <w:r w:rsidRPr="00110513">
              <w:t>b.</w:t>
            </w:r>
          </w:p>
          <w:p w:rsidR="00960769" w:rsidRPr="00967AD2" w:rsidRDefault="00960769" w:rsidP="00960769">
            <w:pPr>
              <w:pStyle w:val="Textpoznpodarou"/>
              <w:jc w:val="both"/>
              <w:rPr>
                <w:spacing w:val="-2"/>
              </w:rPr>
            </w:pPr>
          </w:p>
        </w:tc>
      </w:tr>
      <w:tr w:rsidR="00960769" w:rsidRPr="002A7D6D" w:rsidTr="00960769">
        <w:tc>
          <w:tcPr>
            <w:tcW w:w="1054" w:type="pct"/>
          </w:tcPr>
          <w:p w:rsidR="00960769" w:rsidRPr="00110513" w:rsidRDefault="00960769" w:rsidP="00960769">
            <w:pPr>
              <w:spacing w:line="240" w:lineRule="auto"/>
              <w:rPr>
                <w:sz w:val="16"/>
                <w:szCs w:val="16"/>
              </w:rPr>
            </w:pPr>
            <w:r w:rsidRPr="00110513">
              <w:rPr>
                <w:sz w:val="16"/>
                <w:szCs w:val="16"/>
              </w:rPr>
              <w:t>… po vylouče</w:t>
            </w:r>
            <w:r w:rsidR="00D7162F">
              <w:rPr>
                <w:sz w:val="16"/>
                <w:szCs w:val="16"/>
              </w:rPr>
              <w:t xml:space="preserve">ní dovozu pro konečné užití ale </w:t>
            </w:r>
            <w:r w:rsidRPr="00110513">
              <w:rPr>
                <w:sz w:val="16"/>
                <w:szCs w:val="16"/>
              </w:rPr>
              <w:t>jen +1,4 p</w:t>
            </w:r>
            <w:r w:rsidR="00D7162F">
              <w:rPr>
                <w:sz w:val="16"/>
                <w:szCs w:val="16"/>
              </w:rPr>
              <w:t>.</w:t>
            </w:r>
            <w:r w:rsidRPr="00110513">
              <w:rPr>
                <w:sz w:val="16"/>
                <w:szCs w:val="16"/>
              </w:rPr>
              <w:t>b. a +0,8 p</w:t>
            </w:r>
            <w:r w:rsidR="00D7162F">
              <w:rPr>
                <w:sz w:val="16"/>
                <w:szCs w:val="16"/>
              </w:rPr>
              <w:t>.</w:t>
            </w:r>
            <w:r w:rsidRPr="00110513">
              <w:rPr>
                <w:sz w:val="16"/>
                <w:szCs w:val="16"/>
              </w:rPr>
              <w:t>b.</w:t>
            </w:r>
          </w:p>
        </w:tc>
        <w:tc>
          <w:tcPr>
            <w:tcW w:w="143" w:type="pct"/>
          </w:tcPr>
          <w:p w:rsidR="00960769" w:rsidRPr="00110513" w:rsidRDefault="00960769" w:rsidP="00960769">
            <w:pPr>
              <w:pStyle w:val="Textpoznpodarou"/>
              <w:jc w:val="both"/>
            </w:pPr>
          </w:p>
        </w:tc>
        <w:tc>
          <w:tcPr>
            <w:tcW w:w="3803" w:type="pct"/>
          </w:tcPr>
          <w:p w:rsidR="00960769" w:rsidRPr="00110513" w:rsidRDefault="00C158B0" w:rsidP="00960769">
            <w:pPr>
              <w:pStyle w:val="Textpoznpodarou"/>
              <w:jc w:val="both"/>
            </w:pPr>
            <w:r>
              <w:t>P</w:t>
            </w:r>
            <w:r w:rsidR="00960769" w:rsidRPr="00110513">
              <w:t>okud se z celkového objemu dovozu do ČR vyloučí dovoz pro konečné užití, neboli dovoz, který nesměřuje k dalš</w:t>
            </w:r>
            <w:r>
              <w:t>ímu využití ve výrobním procesu,</w:t>
            </w:r>
            <w:r w:rsidR="00D91F2C">
              <w:t xml:space="preserve"> potom</w:t>
            </w:r>
            <w:r w:rsidR="00972502">
              <w:t xml:space="preserve"> </w:t>
            </w:r>
            <w:r>
              <w:t xml:space="preserve">jsou </w:t>
            </w:r>
            <w:r w:rsidRPr="00D7162F">
              <w:rPr>
                <w:spacing w:val="-4"/>
              </w:rPr>
              <w:t>p</w:t>
            </w:r>
            <w:r w:rsidR="00960769" w:rsidRPr="00D7162F">
              <w:rPr>
                <w:spacing w:val="-4"/>
              </w:rPr>
              <w:t xml:space="preserve">říspěvky </w:t>
            </w:r>
            <w:r w:rsidRPr="00D7162F">
              <w:rPr>
                <w:spacing w:val="-4"/>
              </w:rPr>
              <w:t>výdajů na konečnou spotřebu</w:t>
            </w:r>
            <w:r w:rsidR="00960769" w:rsidRPr="00D7162F">
              <w:rPr>
                <w:spacing w:val="-4"/>
              </w:rPr>
              <w:t xml:space="preserve"> domácností (+0,8 p</w:t>
            </w:r>
            <w:r w:rsidR="00D7162F" w:rsidRPr="00D7162F">
              <w:rPr>
                <w:spacing w:val="-4"/>
              </w:rPr>
              <w:t>.</w:t>
            </w:r>
            <w:r w:rsidR="00960769" w:rsidRPr="00D7162F">
              <w:rPr>
                <w:spacing w:val="-4"/>
              </w:rPr>
              <w:t>b.) a investic (+1</w:t>
            </w:r>
            <w:r w:rsidR="00960769" w:rsidRPr="00110513">
              <w:t>,4 p</w:t>
            </w:r>
            <w:r w:rsidR="00D7162F">
              <w:t>.</w:t>
            </w:r>
            <w:r w:rsidR="00960769" w:rsidRPr="00110513">
              <w:t xml:space="preserve">b.) </w:t>
            </w:r>
            <w:r w:rsidR="00D91F2C">
              <w:lastRenderedPageBreak/>
              <w:t>výrazně</w:t>
            </w:r>
            <w:r>
              <w:t xml:space="preserve"> menší.</w:t>
            </w:r>
            <w:r w:rsidR="00960769" w:rsidRPr="00110513">
              <w:t xml:space="preserve"> </w:t>
            </w:r>
            <w:r>
              <w:t>Je tomu tak proto</w:t>
            </w:r>
            <w:r w:rsidR="00960769" w:rsidRPr="00110513">
              <w:t xml:space="preserve">, že nárůst </w:t>
            </w:r>
            <w:r>
              <w:t>spotřeby domácností a investic</w:t>
            </w:r>
            <w:r w:rsidR="00960769" w:rsidRPr="00110513">
              <w:t xml:space="preserve"> byl ve velkém</w:t>
            </w:r>
            <w:r w:rsidR="008E46A3">
              <w:t xml:space="preserve"> rozsahu uspokojen ze zahraničí, tj. dovozem</w:t>
            </w:r>
            <w:r w:rsidR="00111CA5">
              <w:t>.</w:t>
            </w:r>
            <w:r w:rsidR="00960769" w:rsidRPr="00110513">
              <w:t xml:space="preserve"> </w:t>
            </w:r>
            <w:r w:rsidR="00057C16">
              <w:t>Vyplynulo</w:t>
            </w:r>
            <w:r w:rsidR="00960769" w:rsidRPr="00110513">
              <w:t xml:space="preserve"> to </w:t>
            </w:r>
            <w:r w:rsidR="003E49F6">
              <w:t xml:space="preserve">především </w:t>
            </w:r>
            <w:r w:rsidR="00960769" w:rsidRPr="00110513">
              <w:t>z</w:t>
            </w:r>
            <w:r>
              <w:t> </w:t>
            </w:r>
            <w:r w:rsidR="00960769" w:rsidRPr="00110513">
              <w:t xml:space="preserve">vyšších nákupů automobilů a strojního vybavení, </w:t>
            </w:r>
            <w:r w:rsidR="00960769">
              <w:t>jež</w:t>
            </w:r>
            <w:r w:rsidR="00960769" w:rsidRPr="00110513">
              <w:t xml:space="preserve"> nebylo možné co do pestrosti a specifických požadavků uspokojit z domácích zdrojů. Příspěvek výdajů na</w:t>
            </w:r>
            <w:r w:rsidR="00960769">
              <w:t> </w:t>
            </w:r>
            <w:r w:rsidR="00960769" w:rsidRPr="00110513">
              <w:t>konečnou spotřebu vládních institucí je nižší oproti klasickému pojetí jen nepatrně (+0,6 p</w:t>
            </w:r>
            <w:r w:rsidR="0023355C">
              <w:t>.</w:t>
            </w:r>
            <w:r w:rsidR="00960769" w:rsidRPr="00110513">
              <w:t>b.),</w:t>
            </w:r>
            <w:r w:rsidR="00960769">
              <w:t xml:space="preserve"> stejně tak</w:t>
            </w:r>
            <w:r w:rsidR="00960769" w:rsidRPr="00110513">
              <w:t xml:space="preserve"> v případě změny zásob (</w:t>
            </w:r>
            <w:r w:rsidR="00960769">
              <w:t>+0,5</w:t>
            </w:r>
            <w:r w:rsidR="00960769" w:rsidRPr="00110513">
              <w:t xml:space="preserve"> p</w:t>
            </w:r>
            <w:r w:rsidR="0023355C">
              <w:t>.</w:t>
            </w:r>
            <w:r w:rsidR="00960769" w:rsidRPr="00110513">
              <w:t>b.). B</w:t>
            </w:r>
            <w:r w:rsidR="00960769">
              <w:t>ilance zahraničního obchodu, ze které je vyjmutý dovoz určený pro konečné užití,</w:t>
            </w:r>
            <w:r w:rsidR="00960769" w:rsidRPr="00110513">
              <w:t xml:space="preserve"> přispěla k růstu ekonomiky +1 p</w:t>
            </w:r>
            <w:r w:rsidR="0023355C">
              <w:t>.</w:t>
            </w:r>
            <w:r w:rsidR="00960769" w:rsidRPr="00110513">
              <w:t>b.</w:t>
            </w:r>
          </w:p>
          <w:p w:rsidR="00960769" w:rsidRPr="00620430" w:rsidRDefault="00960769" w:rsidP="00960769">
            <w:pPr>
              <w:pStyle w:val="Textpoznpodarou"/>
              <w:jc w:val="both"/>
              <w:rPr>
                <w:sz w:val="18"/>
                <w:szCs w:val="18"/>
              </w:rPr>
            </w:pPr>
          </w:p>
        </w:tc>
      </w:tr>
      <w:tr w:rsidR="00960769" w:rsidRPr="002A7D6D" w:rsidTr="00960769">
        <w:tc>
          <w:tcPr>
            <w:tcW w:w="1054" w:type="pct"/>
          </w:tcPr>
          <w:p w:rsidR="00960769" w:rsidRPr="00110513" w:rsidRDefault="00960769" w:rsidP="00960769">
            <w:pPr>
              <w:spacing w:line="240" w:lineRule="auto"/>
              <w:rPr>
                <w:sz w:val="16"/>
                <w:szCs w:val="16"/>
              </w:rPr>
            </w:pPr>
            <w:r w:rsidRPr="00110513">
              <w:rPr>
                <w:sz w:val="16"/>
                <w:szCs w:val="16"/>
              </w:rPr>
              <w:lastRenderedPageBreak/>
              <w:t>Vyšší příjmy domácností a vysoká spotřebitelská důvěra se promítaly do nárůstu spotřeby domácností, …</w:t>
            </w:r>
          </w:p>
        </w:tc>
        <w:tc>
          <w:tcPr>
            <w:tcW w:w="143" w:type="pct"/>
          </w:tcPr>
          <w:p w:rsidR="00960769" w:rsidRPr="00110513" w:rsidRDefault="00960769" w:rsidP="00960769">
            <w:pPr>
              <w:pStyle w:val="Textpoznpodarou"/>
              <w:jc w:val="both"/>
            </w:pPr>
          </w:p>
        </w:tc>
        <w:tc>
          <w:tcPr>
            <w:tcW w:w="3803" w:type="pct"/>
          </w:tcPr>
          <w:p w:rsidR="00960769" w:rsidRPr="00110513" w:rsidRDefault="00960769" w:rsidP="00960769">
            <w:pPr>
              <w:pStyle w:val="Textpoznpodarou"/>
              <w:jc w:val="both"/>
            </w:pPr>
            <w:r w:rsidRPr="00110513">
              <w:t xml:space="preserve">Výdaje na konečnou spotřebu domácností stouply v roce 2015 o 2,9 % při </w:t>
            </w:r>
            <w:r w:rsidRPr="00110513">
              <w:rPr>
                <w:spacing w:val="-2"/>
              </w:rPr>
              <w:t>rovnoměrné meziroční dynamice v jednotlivých čtvrtletích (+2,7 %, +2,9 %, +3</w:t>
            </w:r>
            <w:r w:rsidRPr="00110513">
              <w:t xml:space="preserve"> %, </w:t>
            </w:r>
            <w:r w:rsidRPr="00110513">
              <w:rPr>
                <w:spacing w:val="-2"/>
              </w:rPr>
              <w:t>+2,9 %) a rychlém mezičtvrtletním růstu na počátku a konci roku (+1,1 %, +0,5 %,</w:t>
            </w:r>
            <w:r w:rsidRPr="00110513">
              <w:t xml:space="preserve"> +0,4 %, +0,9 %). Byly odrazem zvyšujících se nominálních příjmů domácností v nízkoinflačním prostředí, pozitivně je ovlivňovala i vysoká spotřebitelská důvěra. Ta byla v prosinci nejvyšší na </w:t>
            </w:r>
            <w:r w:rsidR="00057C16">
              <w:t>dostupné časové řadě sahající do roku 1998</w:t>
            </w:r>
            <w:r w:rsidRPr="00110513">
              <w:t xml:space="preserve"> </w:t>
            </w:r>
            <w:r w:rsidR="00057C16">
              <w:t>(</w:t>
            </w:r>
            <w:r w:rsidRPr="00110513">
              <w:t>překonána byla ale hned v lednu 2016</w:t>
            </w:r>
            <w:r w:rsidR="00057C16">
              <w:t>)</w:t>
            </w:r>
            <w:r w:rsidRPr="00110513">
              <w:t>.</w:t>
            </w:r>
          </w:p>
          <w:p w:rsidR="00960769" w:rsidRPr="00620430" w:rsidRDefault="00960769" w:rsidP="00960769">
            <w:pPr>
              <w:pStyle w:val="Textpoznpodarou"/>
              <w:jc w:val="both"/>
              <w:rPr>
                <w:sz w:val="18"/>
                <w:szCs w:val="18"/>
              </w:rPr>
            </w:pPr>
          </w:p>
        </w:tc>
      </w:tr>
      <w:tr w:rsidR="00960769" w:rsidRPr="002A7D6D" w:rsidTr="00960769">
        <w:tc>
          <w:tcPr>
            <w:tcW w:w="1054" w:type="pct"/>
          </w:tcPr>
          <w:p w:rsidR="00960769" w:rsidRPr="00110513" w:rsidRDefault="00960769" w:rsidP="00960769">
            <w:pPr>
              <w:spacing w:line="240" w:lineRule="auto"/>
              <w:rPr>
                <w:sz w:val="16"/>
                <w:szCs w:val="16"/>
              </w:rPr>
            </w:pPr>
            <w:r w:rsidRPr="00110513">
              <w:rPr>
                <w:sz w:val="16"/>
                <w:szCs w:val="16"/>
              </w:rPr>
              <w:t>… ta se zvýšila v celé své struktuře poprvé od roku 2007</w:t>
            </w:r>
          </w:p>
        </w:tc>
        <w:tc>
          <w:tcPr>
            <w:tcW w:w="143" w:type="pct"/>
          </w:tcPr>
          <w:p w:rsidR="00960769" w:rsidRPr="00110513" w:rsidRDefault="00960769" w:rsidP="00960769">
            <w:pPr>
              <w:pStyle w:val="Textpoznpodarou"/>
              <w:jc w:val="both"/>
            </w:pPr>
          </w:p>
        </w:tc>
        <w:tc>
          <w:tcPr>
            <w:tcW w:w="3803" w:type="pct"/>
          </w:tcPr>
          <w:p w:rsidR="00960769" w:rsidRPr="00110513" w:rsidRDefault="00960769" w:rsidP="00960769">
            <w:pPr>
              <w:pStyle w:val="Textpoznpodarou"/>
              <w:jc w:val="both"/>
            </w:pPr>
            <w:r w:rsidRPr="00110513">
              <w:t xml:space="preserve">Spotřeba domácností narostla v loňském roce v celé své struktuře poprvé od roku 2007. Přírůstek výdajů za předměty dlouhodobé spotřeby (např. automobily) </w:t>
            </w:r>
            <w:r w:rsidR="009833FA">
              <w:t>se snížil</w:t>
            </w:r>
            <w:r w:rsidRPr="00110513">
              <w:t xml:space="preserve"> z +10,7 % na +7,9 %</w:t>
            </w:r>
            <w:r w:rsidR="009833FA">
              <w:t>, i tak ale zůstal velmi vysoký</w:t>
            </w:r>
            <w:r w:rsidRPr="00110513">
              <w:t>.</w:t>
            </w:r>
            <w:r w:rsidRPr="00110513">
              <w:rPr>
                <w:rStyle w:val="Znakapoznpodarou"/>
              </w:rPr>
              <w:footnoteReference w:id="7"/>
            </w:r>
            <w:r w:rsidRPr="00110513">
              <w:t xml:space="preserve"> Dynamika výdajů za předměty střednědobé spotře</w:t>
            </w:r>
            <w:r w:rsidR="009F7B52">
              <w:t>by narostla z</w:t>
            </w:r>
            <w:r w:rsidR="009867BC">
              <w:t xml:space="preserve"> +2,9 % na +4,2 %, zvýšila se i</w:t>
            </w:r>
            <w:r w:rsidR="009867BC" w:rsidRPr="009F7B52">
              <w:rPr>
                <w:spacing w:val="-2"/>
              </w:rPr>
              <w:t xml:space="preserve"> </w:t>
            </w:r>
            <w:r w:rsidR="009F7B52" w:rsidRPr="009F7B52">
              <w:rPr>
                <w:spacing w:val="-2"/>
              </w:rPr>
              <w:t>dynamika výdajů za předměty</w:t>
            </w:r>
            <w:r w:rsidRPr="009F7B52">
              <w:rPr>
                <w:spacing w:val="-2"/>
              </w:rPr>
              <w:t xml:space="preserve"> krátkodobé spotřeby (z +0,8 % na +2,9 %).</w:t>
            </w:r>
            <w:r w:rsidRPr="00110513">
              <w:t xml:space="preserve"> Poptávka po službách, která byla v roce 2014 slabší (-0,5 %), se již obnovila (+1,4 %).</w:t>
            </w:r>
          </w:p>
          <w:p w:rsidR="00960769" w:rsidRPr="00110513" w:rsidRDefault="00960769" w:rsidP="00960769">
            <w:pPr>
              <w:pStyle w:val="Textpoznpodarou"/>
              <w:jc w:val="both"/>
              <w:rPr>
                <w:sz w:val="18"/>
                <w:szCs w:val="18"/>
              </w:rPr>
            </w:pPr>
          </w:p>
        </w:tc>
      </w:tr>
      <w:tr w:rsidR="00960769" w:rsidRPr="002A7D6D" w:rsidTr="00960769">
        <w:tc>
          <w:tcPr>
            <w:tcW w:w="1054" w:type="pct"/>
          </w:tcPr>
          <w:p w:rsidR="00960769" w:rsidRPr="00110513" w:rsidRDefault="00960769" w:rsidP="00960769">
            <w:pPr>
              <w:spacing w:line="240" w:lineRule="auto"/>
              <w:rPr>
                <w:sz w:val="16"/>
                <w:szCs w:val="16"/>
              </w:rPr>
            </w:pPr>
            <w:r w:rsidRPr="00110513">
              <w:rPr>
                <w:sz w:val="16"/>
                <w:szCs w:val="16"/>
              </w:rPr>
              <w:t>Nárůst dynamiky výdajů na konečnou spotřebu vládních institucí ve 3. čtvrtletí byl důsledkem rozsáhlých oprav a údržby infrastruktury</w:t>
            </w:r>
          </w:p>
        </w:tc>
        <w:tc>
          <w:tcPr>
            <w:tcW w:w="143" w:type="pct"/>
          </w:tcPr>
          <w:p w:rsidR="00960769" w:rsidRPr="00110513" w:rsidRDefault="00960769" w:rsidP="00960769">
            <w:pPr>
              <w:pStyle w:val="Textpoznpodarou"/>
              <w:jc w:val="both"/>
            </w:pPr>
          </w:p>
        </w:tc>
        <w:tc>
          <w:tcPr>
            <w:tcW w:w="3803" w:type="pct"/>
          </w:tcPr>
          <w:p w:rsidR="00960769" w:rsidRPr="00110513" w:rsidRDefault="00960769" w:rsidP="00960769">
            <w:pPr>
              <w:pStyle w:val="Textpoznpodarou"/>
              <w:jc w:val="both"/>
            </w:pPr>
            <w:r w:rsidRPr="00110513">
              <w:t xml:space="preserve">Expanzivní fiskální politika se zrcadlila ve vysokém přírůstku výdajů na konečnou spotřebu vládních institucí (+3,4 %), v samotném 3. čtvrtletí stouply tyto výdaje dokonce o 4,7 % meziročně. Celoroční objem spotřeby poprvé překonal úroveň roku 2010 (o 2,7 %). </w:t>
            </w:r>
            <w:r>
              <w:t xml:space="preserve">Z údajů za prvních devět měsíců </w:t>
            </w:r>
            <w:r w:rsidRPr="00110513">
              <w:t>vyplývá, že v 1. a 2. čtvrtletí rostly rychleji výdaje na </w:t>
            </w:r>
            <w:r w:rsidRPr="003C5BC7">
              <w:t>individuální spotřebu než na spotřebu kolektivní. Ve</w:t>
            </w:r>
            <w:r w:rsidR="003C5BC7" w:rsidRPr="003C5BC7">
              <w:t> </w:t>
            </w:r>
            <w:r w:rsidRPr="003C5BC7">
              <w:t>3. čtvrtletí se relace otočila a</w:t>
            </w:r>
            <w:r w:rsidR="001F31BC">
              <w:t xml:space="preserve"> dynamikou</w:t>
            </w:r>
            <w:r w:rsidRPr="003C5BC7">
              <w:t xml:space="preserve"> </w:t>
            </w:r>
            <w:r w:rsidR="003C5BC7" w:rsidRPr="003C5BC7">
              <w:t>dominovaly</w:t>
            </w:r>
            <w:r w:rsidRPr="003C5BC7">
              <w:t xml:space="preserve"> – vzhledem k rozsáhlým opravám a údržbě dopravní infrastruktury – výdaje na kolektivní spotřebu.</w:t>
            </w:r>
          </w:p>
          <w:p w:rsidR="00960769" w:rsidRPr="00110513" w:rsidRDefault="00960769" w:rsidP="00960769">
            <w:pPr>
              <w:pStyle w:val="Textpoznpodarou"/>
              <w:jc w:val="both"/>
              <w:rPr>
                <w:sz w:val="18"/>
                <w:szCs w:val="18"/>
              </w:rPr>
            </w:pPr>
          </w:p>
        </w:tc>
      </w:tr>
      <w:tr w:rsidR="00960769" w:rsidRPr="002A7D6D" w:rsidTr="00960769">
        <w:tc>
          <w:tcPr>
            <w:tcW w:w="1054" w:type="pct"/>
          </w:tcPr>
          <w:p w:rsidR="00960769" w:rsidRPr="00110513" w:rsidRDefault="00960769" w:rsidP="00960769">
            <w:pPr>
              <w:spacing w:line="240" w:lineRule="auto"/>
              <w:rPr>
                <w:sz w:val="16"/>
                <w:szCs w:val="16"/>
              </w:rPr>
            </w:pPr>
            <w:r w:rsidRPr="00110513">
              <w:rPr>
                <w:sz w:val="16"/>
                <w:szCs w:val="16"/>
              </w:rPr>
              <w:t>Devět čtvrtletí trvající mezičtvrtletní růst investic se v závěru loňského roku již zastavil</w:t>
            </w:r>
          </w:p>
        </w:tc>
        <w:tc>
          <w:tcPr>
            <w:tcW w:w="143" w:type="pct"/>
          </w:tcPr>
          <w:p w:rsidR="00960769" w:rsidRPr="00110513" w:rsidRDefault="00960769" w:rsidP="00960769">
            <w:pPr>
              <w:pStyle w:val="Textpoznpodarou"/>
              <w:jc w:val="both"/>
            </w:pPr>
          </w:p>
        </w:tc>
        <w:tc>
          <w:tcPr>
            <w:tcW w:w="3803" w:type="pct"/>
          </w:tcPr>
          <w:p w:rsidR="00960769" w:rsidRPr="00110513" w:rsidRDefault="00960769" w:rsidP="00960769">
            <w:pPr>
              <w:pStyle w:val="Textpoznpodarou"/>
              <w:jc w:val="both"/>
            </w:pPr>
            <w:r w:rsidRPr="00110513">
              <w:t xml:space="preserve">Hlavním zdrojem růstu české ekonomiky byly v loňském roce investice. Jejich dynamika </w:t>
            </w:r>
            <w:r>
              <w:t>se zvyšovala</w:t>
            </w:r>
            <w:r w:rsidRPr="00110513">
              <w:t xml:space="preserve"> až do 3. čtvrtletí, kdy dosáhla +9,6 % meziročně a byla nejvyšší od konce roku 2007. V úhrnu za celý rok se investice zvýšily o 7,5 % a souvisely s vyšší investiční aktivitou nefinančních podniků, vládních institucí</w:t>
            </w:r>
            <w:r w:rsidRPr="00110513">
              <w:rPr>
                <w:spacing w:val="-4"/>
              </w:rPr>
              <w:t xml:space="preserve"> i domácností. V posledním čtvrtletí meziroční dynamika již mírně oslabila (na +7,</w:t>
            </w:r>
            <w:r w:rsidRPr="00110513">
              <w:t>9 %), mezikvartálně se investice dokonce snížily (-0,9 %).</w:t>
            </w:r>
          </w:p>
          <w:p w:rsidR="00960769" w:rsidRPr="00110513" w:rsidRDefault="00960769" w:rsidP="00960769">
            <w:pPr>
              <w:pStyle w:val="Textpoznpodarou"/>
              <w:jc w:val="both"/>
              <w:rPr>
                <w:sz w:val="18"/>
                <w:szCs w:val="18"/>
              </w:rPr>
            </w:pPr>
          </w:p>
        </w:tc>
      </w:tr>
      <w:tr w:rsidR="00960769" w:rsidRPr="002A7D6D" w:rsidTr="00960769">
        <w:trPr>
          <w:trHeight w:val="2085"/>
        </w:trPr>
        <w:tc>
          <w:tcPr>
            <w:tcW w:w="1054" w:type="pct"/>
          </w:tcPr>
          <w:p w:rsidR="00960769" w:rsidRPr="00110513" w:rsidRDefault="00960769" w:rsidP="00960769">
            <w:pPr>
              <w:spacing w:line="240" w:lineRule="auto"/>
              <w:rPr>
                <w:sz w:val="16"/>
                <w:szCs w:val="16"/>
              </w:rPr>
            </w:pPr>
            <w:r w:rsidRPr="00110513">
              <w:rPr>
                <w:sz w:val="16"/>
                <w:szCs w:val="16"/>
              </w:rPr>
              <w:t>Investice do budov a staveb stouply v loňském roce téměř o desetinu. Rychleji rostly naposledy v roce 1995</w:t>
            </w:r>
          </w:p>
        </w:tc>
        <w:tc>
          <w:tcPr>
            <w:tcW w:w="143" w:type="pct"/>
          </w:tcPr>
          <w:p w:rsidR="00960769" w:rsidRPr="00110513" w:rsidRDefault="00960769" w:rsidP="00960769">
            <w:pPr>
              <w:pStyle w:val="Textpoznpodarou"/>
              <w:jc w:val="both"/>
            </w:pPr>
          </w:p>
        </w:tc>
        <w:tc>
          <w:tcPr>
            <w:tcW w:w="3803" w:type="pct"/>
          </w:tcPr>
          <w:p w:rsidR="00960769" w:rsidRPr="00110513" w:rsidRDefault="00960769" w:rsidP="00960769">
            <w:pPr>
              <w:pStyle w:val="Textpoznpodarou"/>
              <w:jc w:val="both"/>
              <w:rPr>
                <w:spacing w:val="-2"/>
              </w:rPr>
            </w:pPr>
            <w:r w:rsidRPr="00110513">
              <w:rPr>
                <w:spacing w:val="-2"/>
              </w:rPr>
              <w:t>Podle věcného členění tvorby hrubého fixního kapitálu</w:t>
            </w:r>
            <w:r w:rsidRPr="00110513">
              <w:rPr>
                <w:rStyle w:val="Znakapoznpodarou"/>
                <w:spacing w:val="-2"/>
              </w:rPr>
              <w:footnoteReference w:id="8"/>
            </w:r>
            <w:r w:rsidRPr="00110513">
              <w:rPr>
                <w:spacing w:val="-2"/>
              </w:rPr>
              <w:t xml:space="preserve"> stouply v roce 2015 především nákupy dopravních prostředků a zařízení (+14,9 %), nárůst investic nefinančních podniků rámovaly ale i vyšší investice do ICT, strojů a zařízení (+5,9 %) a dva roky nepozorovaný růst investic do produktů duševního vlastnictví. Zrychlené čerpání peněz z fondů EU se promítalo velmi silně v investicích do budov a staveb (+9,2 %), přitom jejich přírůstek byl nejvyšší – podobně jako u výdajů na konečnou spotřebu vládních institucí – ve 3. čtvrtletí (+13,6 % meziročně). Také domácnosti byly v loňském roce </w:t>
            </w:r>
            <w:r w:rsidR="004342EC">
              <w:rPr>
                <w:spacing w:val="-2"/>
              </w:rPr>
              <w:t>vysoce aktivní</w:t>
            </w:r>
            <w:r w:rsidRPr="00110513">
              <w:rPr>
                <w:spacing w:val="-2"/>
              </w:rPr>
              <w:t xml:space="preserve"> a pomohly tomu i nízké ú</w:t>
            </w:r>
            <w:r w:rsidR="004342EC">
              <w:rPr>
                <w:spacing w:val="-2"/>
              </w:rPr>
              <w:t>rokové sazby z úvěrů na bydlení – i</w:t>
            </w:r>
            <w:r w:rsidRPr="00110513">
              <w:rPr>
                <w:spacing w:val="-2"/>
              </w:rPr>
              <w:t>nvestice do staveb pro bydlení stouply o 7 %.</w:t>
            </w:r>
          </w:p>
          <w:p w:rsidR="00960769" w:rsidRPr="00110513" w:rsidRDefault="00960769" w:rsidP="00960769">
            <w:pPr>
              <w:pStyle w:val="Textpoznpodarou"/>
              <w:jc w:val="both"/>
              <w:rPr>
                <w:spacing w:val="-2"/>
                <w:sz w:val="18"/>
                <w:szCs w:val="18"/>
              </w:rPr>
            </w:pPr>
          </w:p>
        </w:tc>
      </w:tr>
      <w:tr w:rsidR="00960769" w:rsidRPr="002A7D6D" w:rsidTr="00960769">
        <w:tc>
          <w:tcPr>
            <w:tcW w:w="1054" w:type="pct"/>
          </w:tcPr>
          <w:p w:rsidR="00960769" w:rsidRPr="00110513" w:rsidRDefault="00960769" w:rsidP="00960769">
            <w:pPr>
              <w:spacing w:line="240" w:lineRule="auto"/>
              <w:rPr>
                <w:sz w:val="16"/>
                <w:szCs w:val="16"/>
              </w:rPr>
            </w:pPr>
            <w:r w:rsidRPr="00110513">
              <w:rPr>
                <w:sz w:val="16"/>
                <w:szCs w:val="16"/>
              </w:rPr>
              <w:t xml:space="preserve">Přebytek zahraničního obchodu se zbožím a službami se v roce 2015 zvětšil </w:t>
            </w:r>
            <w:r>
              <w:rPr>
                <w:sz w:val="16"/>
                <w:szCs w:val="16"/>
              </w:rPr>
              <w:t>jen</w:t>
            </w:r>
            <w:r w:rsidRPr="00110513">
              <w:rPr>
                <w:sz w:val="16"/>
                <w:szCs w:val="16"/>
              </w:rPr>
              <w:t xml:space="preserve"> o 2,1 mld. korun nominálně, …</w:t>
            </w:r>
          </w:p>
        </w:tc>
        <w:tc>
          <w:tcPr>
            <w:tcW w:w="143" w:type="pct"/>
          </w:tcPr>
          <w:p w:rsidR="00960769" w:rsidRPr="00110513" w:rsidRDefault="00960769" w:rsidP="00960769">
            <w:pPr>
              <w:pStyle w:val="Textpoznpodarou"/>
              <w:jc w:val="both"/>
            </w:pPr>
          </w:p>
        </w:tc>
        <w:tc>
          <w:tcPr>
            <w:tcW w:w="3803" w:type="pct"/>
          </w:tcPr>
          <w:p w:rsidR="00960769" w:rsidRPr="00110513" w:rsidRDefault="00960769" w:rsidP="00960769">
            <w:pPr>
              <w:pStyle w:val="Textpoznpodarou"/>
              <w:jc w:val="both"/>
            </w:pPr>
            <w:r w:rsidRPr="00110513">
              <w:t>Přebytek zahraničního obchodu se zbožím a službami dosáhl v pojetí národních účtů 288,6 mld. korun nominálně. V porovnání s rokem 2014 se přebytek zvětšil pouze o 2,1 mld. korun, nejpomaleji za posledních pět let. Na jeho růstu se podílel poněkud překvapivě jenom obchod se službami (+21,3 mld. korun), přebytek obchodu se zbožím byl nižší o 19,2 mld. Pokud jde o jednotlivá čtvrtletí, přebytky v </w:t>
            </w:r>
            <w:r w:rsidRPr="00110513">
              <w:rPr>
                <w:spacing w:val="4"/>
              </w:rPr>
              <w:t xml:space="preserve">zahraničním obchodě byly v 1. až 3. kvartále roku dokonce </w:t>
            </w:r>
            <w:r w:rsidR="00524FDD" w:rsidRPr="00110513">
              <w:rPr>
                <w:spacing w:val="4"/>
              </w:rPr>
              <w:t xml:space="preserve">meziročně </w:t>
            </w:r>
            <w:r w:rsidRPr="00110513">
              <w:rPr>
                <w:spacing w:val="4"/>
              </w:rPr>
              <w:t>slabší (-</w:t>
            </w:r>
            <w:r w:rsidRPr="00110513">
              <w:t xml:space="preserve">9,1 </w:t>
            </w:r>
            <w:r w:rsidRPr="004502C0">
              <w:rPr>
                <w:spacing w:val="-2"/>
              </w:rPr>
              <w:t xml:space="preserve">mld. korun), celoroční výsledek </w:t>
            </w:r>
            <w:r w:rsidR="00524FDD">
              <w:rPr>
                <w:spacing w:val="-2"/>
              </w:rPr>
              <w:t>vylepšilo</w:t>
            </w:r>
            <w:r w:rsidRPr="004502C0">
              <w:rPr>
                <w:spacing w:val="-2"/>
              </w:rPr>
              <w:t xml:space="preserve"> až poslední čtvrtletí (+11</w:t>
            </w:r>
            <w:r w:rsidRPr="00110513">
              <w:t>,3 mld.).</w:t>
            </w:r>
          </w:p>
          <w:p w:rsidR="00960769" w:rsidRPr="00110513" w:rsidRDefault="00960769" w:rsidP="00960769">
            <w:pPr>
              <w:pStyle w:val="Textpoznpodarou"/>
              <w:jc w:val="both"/>
              <w:rPr>
                <w:spacing w:val="-2"/>
                <w:sz w:val="18"/>
                <w:szCs w:val="18"/>
              </w:rPr>
            </w:pPr>
          </w:p>
        </w:tc>
      </w:tr>
      <w:tr w:rsidR="00960769" w:rsidRPr="002A7D6D" w:rsidTr="00960769">
        <w:tc>
          <w:tcPr>
            <w:tcW w:w="1054" w:type="pct"/>
          </w:tcPr>
          <w:p w:rsidR="00960769" w:rsidRPr="00110513" w:rsidRDefault="00960769" w:rsidP="00960769">
            <w:pPr>
              <w:spacing w:line="240" w:lineRule="auto"/>
              <w:rPr>
                <w:sz w:val="16"/>
                <w:szCs w:val="16"/>
              </w:rPr>
            </w:pPr>
            <w:r w:rsidRPr="00110513">
              <w:rPr>
                <w:sz w:val="16"/>
                <w:szCs w:val="16"/>
              </w:rPr>
              <w:t>… a to pouze díky přetrvávajícím kladným směnným relacím</w:t>
            </w:r>
          </w:p>
        </w:tc>
        <w:tc>
          <w:tcPr>
            <w:tcW w:w="143" w:type="pct"/>
          </w:tcPr>
          <w:p w:rsidR="00960769" w:rsidRPr="00110513" w:rsidRDefault="00960769" w:rsidP="00960769">
            <w:pPr>
              <w:pStyle w:val="Textpoznpodarou"/>
              <w:jc w:val="both"/>
            </w:pPr>
          </w:p>
        </w:tc>
        <w:tc>
          <w:tcPr>
            <w:tcW w:w="3803" w:type="pct"/>
          </w:tcPr>
          <w:p w:rsidR="00960769" w:rsidRPr="00110513" w:rsidRDefault="00960769" w:rsidP="00960769">
            <w:pPr>
              <w:pStyle w:val="Textpoznpodarou"/>
              <w:jc w:val="both"/>
            </w:pPr>
            <w:r w:rsidRPr="00A91336">
              <w:t>Reálný hrubý domácí důchod,</w:t>
            </w:r>
            <w:r w:rsidR="007D4128" w:rsidRPr="00A91336">
              <w:rPr>
                <w:vertAlign w:val="superscript"/>
              </w:rPr>
              <w:t>8</w:t>
            </w:r>
            <w:r w:rsidRPr="00A91336">
              <w:t xml:space="preserve"> který</w:t>
            </w:r>
            <w:r w:rsidRPr="00110513">
              <w:t xml:space="preserve"> na rozdíl od HDP zohledňuje dodatečné zisky </w:t>
            </w:r>
            <w:r>
              <w:t>nebo ztráty z vývoje cen v zahraničním obchodě</w:t>
            </w:r>
            <w:r w:rsidR="00343474">
              <w:t>,</w:t>
            </w:r>
            <w:r w:rsidR="00343474">
              <w:rPr>
                <w:spacing w:val="-2"/>
              </w:rPr>
              <w:t xml:space="preserve"> resp.</w:t>
            </w:r>
            <w:r>
              <w:rPr>
                <w:spacing w:val="-2"/>
              </w:rPr>
              <w:t xml:space="preserve"> zisky nebo ztráty ze</w:t>
            </w:r>
            <w:r w:rsidR="00343474">
              <w:rPr>
                <w:spacing w:val="-2"/>
              </w:rPr>
              <w:t> </w:t>
            </w:r>
            <w:r>
              <w:rPr>
                <w:spacing w:val="-2"/>
              </w:rPr>
              <w:t>směnných relací,</w:t>
            </w:r>
            <w:r w:rsidRPr="00110513">
              <w:rPr>
                <w:spacing w:val="-2"/>
              </w:rPr>
              <w:t xml:space="preserve"> vzrostl v loňském roce o 4,5 %. Zvýšil se tedy o 0,</w:t>
            </w:r>
            <w:r>
              <w:rPr>
                <w:spacing w:val="-2"/>
              </w:rPr>
              <w:t>3</w:t>
            </w:r>
            <w:r w:rsidRPr="00110513">
              <w:t xml:space="preserve"> p</w:t>
            </w:r>
            <w:r w:rsidR="00D41281">
              <w:t>.</w:t>
            </w:r>
            <w:r w:rsidRPr="00110513">
              <w:t xml:space="preserve">b. </w:t>
            </w:r>
            <w:r w:rsidRPr="00110513">
              <w:lastRenderedPageBreak/>
              <w:t xml:space="preserve">rychleji </w:t>
            </w:r>
            <w:r w:rsidR="00022B41">
              <w:t>než HDP. Proti</w:t>
            </w:r>
            <w:r w:rsidRPr="00110513">
              <w:t xml:space="preserve"> rokům 2013 a 2014 došlo k výrazné změně, protože tehdy byla dynamika reálného hrubého domácího důchodu v porovnání s HDP vyšší o</w:t>
            </w:r>
            <w:r>
              <w:t> 0,9</w:t>
            </w:r>
            <w:r w:rsidR="00022B41">
              <w:t> </w:t>
            </w:r>
            <w:r w:rsidRPr="00110513">
              <w:t>p</w:t>
            </w:r>
            <w:r w:rsidR="00D41281">
              <w:t>.</w:t>
            </w:r>
            <w:r w:rsidRPr="00110513">
              <w:t>b. a 1,2 p</w:t>
            </w:r>
            <w:r w:rsidR="00D41281">
              <w:t>.</w:t>
            </w:r>
            <w:r w:rsidRPr="00110513">
              <w:t xml:space="preserve">b. </w:t>
            </w:r>
            <w:r>
              <w:t>Zatímco v letech 2013 a 2014</w:t>
            </w:r>
            <w:r w:rsidRPr="00110513">
              <w:t xml:space="preserve"> </w:t>
            </w:r>
            <w:r>
              <w:t>směnné relace</w:t>
            </w:r>
            <w:r w:rsidRPr="00110513">
              <w:t xml:space="preserve"> činily 101,2 % a</w:t>
            </w:r>
            <w:r>
              <w:t> </w:t>
            </w:r>
            <w:r w:rsidRPr="00110513">
              <w:t>101,5 %</w:t>
            </w:r>
            <w:r>
              <w:t>, loni už jen 100,4 %</w:t>
            </w:r>
            <w:r w:rsidRPr="00110513">
              <w:t>.</w:t>
            </w:r>
          </w:p>
          <w:p w:rsidR="00960769" w:rsidRPr="004502C0" w:rsidRDefault="00960769" w:rsidP="00960769">
            <w:pPr>
              <w:pStyle w:val="Textpoznpodarou"/>
              <w:jc w:val="both"/>
              <w:rPr>
                <w:sz w:val="16"/>
                <w:szCs w:val="16"/>
              </w:rPr>
            </w:pPr>
          </w:p>
        </w:tc>
      </w:tr>
      <w:tr w:rsidR="00960769" w:rsidRPr="002A7D6D" w:rsidTr="00960769">
        <w:tc>
          <w:tcPr>
            <w:tcW w:w="1054" w:type="pct"/>
          </w:tcPr>
          <w:p w:rsidR="00960769" w:rsidRPr="002A7D6D" w:rsidRDefault="00960769" w:rsidP="00960769">
            <w:pPr>
              <w:spacing w:line="240" w:lineRule="auto"/>
              <w:rPr>
                <w:sz w:val="16"/>
                <w:szCs w:val="16"/>
              </w:rPr>
            </w:pPr>
            <w:r>
              <w:rPr>
                <w:sz w:val="16"/>
                <w:szCs w:val="16"/>
              </w:rPr>
              <w:lastRenderedPageBreak/>
              <w:t>K růstu ekonomiky přispěly v loňském roce rovnoměrně zpracovatelský průmysl i služby, přidaly +1,9 p</w:t>
            </w:r>
            <w:r w:rsidR="00D41281">
              <w:rPr>
                <w:sz w:val="16"/>
                <w:szCs w:val="16"/>
              </w:rPr>
              <w:t>.</w:t>
            </w:r>
            <w:r>
              <w:rPr>
                <w:sz w:val="16"/>
                <w:szCs w:val="16"/>
              </w:rPr>
              <w:t>b. a +1,8 p</w:t>
            </w:r>
            <w:r w:rsidR="00D41281">
              <w:rPr>
                <w:sz w:val="16"/>
                <w:szCs w:val="16"/>
              </w:rPr>
              <w:t>.</w:t>
            </w:r>
            <w:r>
              <w:rPr>
                <w:sz w:val="16"/>
                <w:szCs w:val="16"/>
              </w:rPr>
              <w:t>b., …</w:t>
            </w:r>
          </w:p>
        </w:tc>
        <w:tc>
          <w:tcPr>
            <w:tcW w:w="143" w:type="pct"/>
          </w:tcPr>
          <w:p w:rsidR="00960769" w:rsidRPr="002A7D6D" w:rsidRDefault="00960769" w:rsidP="00960769">
            <w:pPr>
              <w:pStyle w:val="Textpoznpodarou"/>
              <w:jc w:val="both"/>
            </w:pPr>
          </w:p>
        </w:tc>
        <w:tc>
          <w:tcPr>
            <w:tcW w:w="3803" w:type="pct"/>
          </w:tcPr>
          <w:p w:rsidR="00960769" w:rsidRDefault="00960769" w:rsidP="00960769">
            <w:pPr>
              <w:pStyle w:val="Textpoznpodarou"/>
              <w:jc w:val="both"/>
            </w:pPr>
            <w:r w:rsidRPr="004A4770">
              <w:rPr>
                <w:spacing w:val="-4"/>
              </w:rPr>
              <w:t xml:space="preserve">Růst ekonomiky </w:t>
            </w:r>
            <w:r>
              <w:rPr>
                <w:spacing w:val="-4"/>
              </w:rPr>
              <w:t>byl</w:t>
            </w:r>
            <w:r w:rsidRPr="004A4770">
              <w:rPr>
                <w:spacing w:val="-4"/>
              </w:rPr>
              <w:t xml:space="preserve"> z hlediska </w:t>
            </w:r>
            <w:r>
              <w:rPr>
                <w:spacing w:val="-4"/>
              </w:rPr>
              <w:t>strany nabídky rovnoměrně rozložen mezi</w:t>
            </w:r>
            <w:r w:rsidRPr="00A6419D">
              <w:t xml:space="preserve"> </w:t>
            </w:r>
            <w:r>
              <w:t>zpracovatelský</w:t>
            </w:r>
            <w:r w:rsidRPr="00A6419D">
              <w:t xml:space="preserve"> průmysl a</w:t>
            </w:r>
            <w:r>
              <w:t xml:space="preserve"> sektor</w:t>
            </w:r>
            <w:r w:rsidRPr="00A6419D">
              <w:t xml:space="preserve"> s</w:t>
            </w:r>
            <w:r>
              <w:t>lužeb</w:t>
            </w:r>
            <w:r w:rsidRPr="00A6419D">
              <w:t xml:space="preserve">. Hrubá přidaná hodnota </w:t>
            </w:r>
            <w:r>
              <w:t>průmyslu jako celku</w:t>
            </w:r>
            <w:r w:rsidRPr="00A6419D">
              <w:t xml:space="preserve"> vzrostla</w:t>
            </w:r>
            <w:r>
              <w:t xml:space="preserve"> v loňském roce</w:t>
            </w:r>
            <w:r w:rsidRPr="00A6419D">
              <w:t xml:space="preserve"> o </w:t>
            </w:r>
            <w:r>
              <w:t>5,6</w:t>
            </w:r>
            <w:r w:rsidRPr="00A6419D">
              <w:t xml:space="preserve"> % a podílela se na růstu ekonomiky +</w:t>
            </w:r>
            <w:r>
              <w:t>1,8</w:t>
            </w:r>
            <w:r w:rsidRPr="00A6419D">
              <w:t xml:space="preserve"> p</w:t>
            </w:r>
            <w:r w:rsidR="00D41281">
              <w:t>.</w:t>
            </w:r>
            <w:r w:rsidRPr="00A6419D">
              <w:t xml:space="preserve">b., </w:t>
            </w:r>
            <w:r>
              <w:t>samotný zpracovatelský průmysl si připsal +7,3 % a přidal +1,9 p</w:t>
            </w:r>
            <w:r w:rsidR="00D41281">
              <w:t>.</w:t>
            </w:r>
            <w:r>
              <w:t xml:space="preserve">b. Ostatní průmyslová odvětví </w:t>
            </w:r>
            <w:r w:rsidR="005F26CE">
              <w:t>– těžba a dobývání, energetika,</w:t>
            </w:r>
            <w:r>
              <w:t xml:space="preserve"> zásobování vodou – byla v</w:t>
            </w:r>
            <w:r w:rsidR="005F26CE">
              <w:t> </w:t>
            </w:r>
            <w:r>
              <w:t>poklesu</w:t>
            </w:r>
            <w:r w:rsidR="005F26CE">
              <w:t xml:space="preserve"> (-0,1 p</w:t>
            </w:r>
            <w:r w:rsidR="00D41281">
              <w:t>.</w:t>
            </w:r>
            <w:r w:rsidR="005F26CE">
              <w:t>b.)</w:t>
            </w:r>
            <w:r>
              <w:t>. Služby stouply o 3</w:t>
            </w:r>
            <w:r w:rsidRPr="00A6419D">
              <w:t xml:space="preserve"> % a </w:t>
            </w:r>
            <w:r>
              <w:t>přispěly k růstu</w:t>
            </w:r>
            <w:r w:rsidR="00883A67">
              <w:t xml:space="preserve"> +</w:t>
            </w:r>
            <w:r w:rsidRPr="00A6419D">
              <w:t>1,8 p</w:t>
            </w:r>
            <w:r w:rsidR="00D41281">
              <w:t>.</w:t>
            </w:r>
            <w:r w:rsidRPr="00A6419D">
              <w:t>b.</w:t>
            </w:r>
            <w:r>
              <w:t xml:space="preserve">, důležité </w:t>
            </w:r>
            <w:r w:rsidRPr="005F26CE">
              <w:rPr>
                <w:spacing w:val="-2"/>
              </w:rPr>
              <w:t>přitom bylo, že se dařilo širšímu spektru odvětví než v roce 2014. Obchod</w:t>
            </w:r>
            <w:r>
              <w:t>, doprava, ubytování a pohostinství přidal</w:t>
            </w:r>
            <w:r w:rsidR="00343474">
              <w:t>y</w:t>
            </w:r>
            <w:r>
              <w:t xml:space="preserve"> celkově +0,4 p</w:t>
            </w:r>
            <w:r w:rsidR="00D41281">
              <w:t>.</w:t>
            </w:r>
            <w:r>
              <w:t>b</w:t>
            </w:r>
            <w:r w:rsidR="00893648">
              <w:t>.</w:t>
            </w:r>
            <w:r>
              <w:t>, totožným dílem se na růstu ekonomiky podílela i odvětví s převahou veřejného sektoru (CZ-NACE O až Q). Rychle rostoucí informační a komunikační služby (+7 %) přispěly +0,3 p</w:t>
            </w:r>
            <w:r w:rsidR="00D41281">
              <w:t>.</w:t>
            </w:r>
            <w:r>
              <w:t>b., stejně jako váhově významnější profesní, vědecké, technické a administrativní činnosti.</w:t>
            </w:r>
          </w:p>
          <w:p w:rsidR="00960769" w:rsidRPr="004502C0" w:rsidRDefault="00960769" w:rsidP="00960769">
            <w:pPr>
              <w:pStyle w:val="Textpoznpodarou"/>
              <w:jc w:val="both"/>
              <w:rPr>
                <w:sz w:val="18"/>
                <w:szCs w:val="18"/>
              </w:rPr>
            </w:pPr>
          </w:p>
        </w:tc>
      </w:tr>
      <w:tr w:rsidR="00960769" w:rsidRPr="002A7D6D" w:rsidTr="00960769">
        <w:tc>
          <w:tcPr>
            <w:tcW w:w="1054" w:type="pct"/>
          </w:tcPr>
          <w:p w:rsidR="00960769" w:rsidRPr="002A7D6D" w:rsidRDefault="00960769" w:rsidP="00960769">
            <w:pPr>
              <w:spacing w:line="240" w:lineRule="auto"/>
              <w:rPr>
                <w:sz w:val="16"/>
                <w:szCs w:val="16"/>
              </w:rPr>
            </w:pPr>
            <w:r>
              <w:rPr>
                <w:sz w:val="16"/>
                <w:szCs w:val="16"/>
              </w:rPr>
              <w:t>… příspěvek stavebnictví zůstal stejný jako před rokem (+0,2 p</w:t>
            </w:r>
            <w:r w:rsidR="00D41281">
              <w:rPr>
                <w:sz w:val="16"/>
                <w:szCs w:val="16"/>
              </w:rPr>
              <w:t>.</w:t>
            </w:r>
            <w:r>
              <w:rPr>
                <w:sz w:val="16"/>
                <w:szCs w:val="16"/>
              </w:rPr>
              <w:t>b.)</w:t>
            </w:r>
          </w:p>
        </w:tc>
        <w:tc>
          <w:tcPr>
            <w:tcW w:w="143" w:type="pct"/>
          </w:tcPr>
          <w:p w:rsidR="00960769" w:rsidRPr="002A7D6D" w:rsidRDefault="00960769" w:rsidP="00960769">
            <w:pPr>
              <w:pStyle w:val="Textpoznpodarou"/>
              <w:jc w:val="both"/>
            </w:pPr>
          </w:p>
        </w:tc>
        <w:tc>
          <w:tcPr>
            <w:tcW w:w="3803" w:type="pct"/>
          </w:tcPr>
          <w:p w:rsidR="00960769" w:rsidRPr="001C0EB9" w:rsidRDefault="00960769" w:rsidP="00ED40F0">
            <w:pPr>
              <w:pStyle w:val="Textpoznpodarou"/>
              <w:jc w:val="both"/>
            </w:pPr>
            <w:r w:rsidRPr="001C0EB9">
              <w:t xml:space="preserve">Přísun peněz do stavebnictví z fondů EU zajistil, že </w:t>
            </w:r>
            <w:r w:rsidR="001C0EB9" w:rsidRPr="001C0EB9">
              <w:t>toto odvětví</w:t>
            </w:r>
            <w:r w:rsidRPr="001C0EB9">
              <w:t xml:space="preserve"> rostlo solidním tempem i </w:t>
            </w:r>
            <w:r w:rsidR="00ED40F0">
              <w:t>loni</w:t>
            </w:r>
            <w:r w:rsidRPr="001C0EB9">
              <w:t>. Jeho příspěvek k</w:t>
            </w:r>
            <w:r w:rsidR="00ED40F0">
              <w:t xml:space="preserve"> celkovému</w:t>
            </w:r>
            <w:r w:rsidRPr="001C0EB9">
              <w:t> růstu se nezměnil a zůstal stejný jako v roce 2014 (+0,2 p</w:t>
            </w:r>
            <w:r w:rsidR="00D41281">
              <w:t>.</w:t>
            </w:r>
            <w:r w:rsidRPr="001C0EB9">
              <w:t>b.). Zemědělství, lesnictví a rybářství vlivem vysoké základny související s velmi dobrou sklizní ovšem zpomalilo a na růstu se nepodílelo.</w:t>
            </w:r>
          </w:p>
        </w:tc>
      </w:tr>
    </w:tbl>
    <w:p w:rsidR="00960769" w:rsidRPr="00960769" w:rsidRDefault="00960769" w:rsidP="00960769">
      <w:pPr>
        <w:pStyle w:val="Textpoznpodarou"/>
        <w:jc w:val="both"/>
        <w:rPr>
          <w:sz w:val="16"/>
          <w:szCs w:val="16"/>
        </w:rPr>
      </w:pPr>
    </w:p>
    <w:tbl>
      <w:tblPr>
        <w:tblW w:w="5000" w:type="pct"/>
        <w:tblLook w:val="04A0"/>
      </w:tblPr>
      <w:tblGrid>
        <w:gridCol w:w="1060"/>
        <w:gridCol w:w="3879"/>
        <w:gridCol w:w="621"/>
        <w:gridCol w:w="4294"/>
      </w:tblGrid>
      <w:tr w:rsidR="00960769" w:rsidRPr="006133A2" w:rsidTr="00960769">
        <w:tc>
          <w:tcPr>
            <w:tcW w:w="536" w:type="pct"/>
          </w:tcPr>
          <w:p w:rsidR="00960769" w:rsidRPr="00FF314F" w:rsidRDefault="00960769" w:rsidP="00960769">
            <w:pPr>
              <w:pStyle w:val="Textpoznpodarou"/>
              <w:rPr>
                <w:lang w:eastAsia="en-US"/>
              </w:rPr>
            </w:pPr>
            <w:r w:rsidRPr="00FF314F">
              <w:rPr>
                <w:lang w:eastAsia="en-US"/>
              </w:rPr>
              <w:t>Graf č. 1</w:t>
            </w:r>
          </w:p>
        </w:tc>
        <w:tc>
          <w:tcPr>
            <w:tcW w:w="1965" w:type="pct"/>
          </w:tcPr>
          <w:p w:rsidR="00960769" w:rsidRPr="00FF314F" w:rsidRDefault="00960769" w:rsidP="00960769">
            <w:pPr>
              <w:pStyle w:val="Textpoznpodarou"/>
              <w:rPr>
                <w:lang w:eastAsia="en-US"/>
              </w:rPr>
            </w:pPr>
            <w:r w:rsidRPr="00960769">
              <w:rPr>
                <w:b/>
                <w:lang w:eastAsia="en-US"/>
              </w:rPr>
              <w:t xml:space="preserve">HDP </w:t>
            </w:r>
            <w:r w:rsidRPr="00FF314F">
              <w:rPr>
                <w:lang w:eastAsia="en-US"/>
              </w:rPr>
              <w:t>(stálé ceny, očištěno o sezónní a kalendářní vlivy, v %)</w:t>
            </w:r>
          </w:p>
        </w:tc>
        <w:tc>
          <w:tcPr>
            <w:tcW w:w="315" w:type="pct"/>
          </w:tcPr>
          <w:p w:rsidR="00960769" w:rsidRPr="00FF314F" w:rsidRDefault="00960769" w:rsidP="00960769">
            <w:pPr>
              <w:pStyle w:val="Textpoznpodarou"/>
              <w:rPr>
                <w:lang w:eastAsia="en-US"/>
              </w:rPr>
            </w:pPr>
            <w:r w:rsidRPr="00FF314F">
              <w:rPr>
                <w:lang w:eastAsia="en-US"/>
              </w:rPr>
              <w:t>Graf č. 2</w:t>
            </w:r>
          </w:p>
        </w:tc>
        <w:tc>
          <w:tcPr>
            <w:tcW w:w="2185" w:type="pct"/>
          </w:tcPr>
          <w:p w:rsidR="00960769" w:rsidRPr="00960769" w:rsidRDefault="00960769" w:rsidP="00960769">
            <w:pPr>
              <w:pStyle w:val="Textpoznpodarou"/>
              <w:rPr>
                <w:spacing w:val="-2"/>
                <w:lang w:eastAsia="en-US"/>
              </w:rPr>
            </w:pPr>
            <w:r w:rsidRPr="00960769">
              <w:rPr>
                <w:b/>
                <w:spacing w:val="-2"/>
                <w:lang w:eastAsia="en-US"/>
              </w:rPr>
              <w:t xml:space="preserve">HDP </w:t>
            </w:r>
            <w:r w:rsidRPr="00960769">
              <w:rPr>
                <w:spacing w:val="-2"/>
                <w:lang w:eastAsia="en-US"/>
              </w:rPr>
              <w:t xml:space="preserve">(stálé ceny, očištěno o sezónní a kalendářní vlivy, y/y v %, pravá osa) </w:t>
            </w:r>
            <w:r w:rsidRPr="00960769">
              <w:rPr>
                <w:b/>
                <w:spacing w:val="-2"/>
                <w:lang w:eastAsia="en-US"/>
              </w:rPr>
              <w:t>a indikátory důvěry</w:t>
            </w:r>
            <w:r w:rsidRPr="00960769">
              <w:rPr>
                <w:spacing w:val="-2"/>
                <w:lang w:eastAsia="en-US"/>
              </w:rPr>
              <w:t xml:space="preserve"> (2005=100, levá osa)</w:t>
            </w:r>
          </w:p>
        </w:tc>
      </w:tr>
      <w:tr w:rsidR="00960769" w:rsidRPr="006133A2" w:rsidTr="00960769">
        <w:tc>
          <w:tcPr>
            <w:tcW w:w="2501" w:type="pct"/>
            <w:gridSpan w:val="2"/>
          </w:tcPr>
          <w:p w:rsidR="00960769" w:rsidRPr="00960769" w:rsidRDefault="009256C5" w:rsidP="00960769">
            <w:pPr>
              <w:pStyle w:val="Textpoznpodarou"/>
              <w:jc w:val="both"/>
              <w:rPr>
                <w:color w:val="FF0000"/>
                <w:lang w:eastAsia="en-US"/>
              </w:rPr>
            </w:pPr>
            <w:r w:rsidRPr="00D3006B">
              <w:rPr>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9pt;height:187.2pt;visibility:visible;mso-wrap-style:square">
                  <v:imagedata r:id="rId12" o:title=""/>
                </v:shape>
              </w:pict>
            </w:r>
          </w:p>
        </w:tc>
        <w:tc>
          <w:tcPr>
            <w:tcW w:w="2499" w:type="pct"/>
            <w:gridSpan w:val="2"/>
          </w:tcPr>
          <w:p w:rsidR="00960769" w:rsidRPr="00960769" w:rsidRDefault="009256C5" w:rsidP="00960769">
            <w:pPr>
              <w:pStyle w:val="Textpoznpodarou"/>
              <w:jc w:val="both"/>
              <w:rPr>
                <w:color w:val="FF0000"/>
                <w:lang w:eastAsia="en-US"/>
              </w:rPr>
            </w:pPr>
            <w:r w:rsidRPr="00D3006B">
              <w:rPr>
                <w:noProof/>
                <w:color w:val="FF0000"/>
              </w:rPr>
              <w:pict>
                <v:shape id="_x0000_i1026" type="#_x0000_t75" style="width:236.65pt;height:187.2pt;visibility:visible;mso-wrap-style:square">
                  <v:imagedata r:id="rId13" o:title=""/>
                </v:shape>
              </w:pict>
            </w:r>
          </w:p>
        </w:tc>
      </w:tr>
      <w:tr w:rsidR="00960769" w:rsidRPr="006133A2" w:rsidTr="00960769">
        <w:tc>
          <w:tcPr>
            <w:tcW w:w="5000" w:type="pct"/>
            <w:gridSpan w:val="4"/>
          </w:tcPr>
          <w:p w:rsidR="00960769" w:rsidRPr="00960769" w:rsidRDefault="00960769" w:rsidP="00960769">
            <w:pPr>
              <w:pStyle w:val="Textpoznpodarou"/>
              <w:jc w:val="right"/>
              <w:rPr>
                <w:sz w:val="18"/>
                <w:szCs w:val="18"/>
                <w:lang w:eastAsia="en-US"/>
              </w:rPr>
            </w:pPr>
            <w:r w:rsidRPr="00960769">
              <w:rPr>
                <w:sz w:val="18"/>
                <w:szCs w:val="18"/>
                <w:lang w:eastAsia="en-US"/>
              </w:rPr>
              <w:t>Zdroj: ČSÚ, Eurostat</w:t>
            </w:r>
          </w:p>
        </w:tc>
      </w:tr>
    </w:tbl>
    <w:p w:rsidR="00960769" w:rsidRPr="00960769" w:rsidRDefault="00960769" w:rsidP="00960769">
      <w:pPr>
        <w:pStyle w:val="Textpoznpodarou"/>
        <w:jc w:val="both"/>
        <w:rPr>
          <w:sz w:val="16"/>
          <w:szCs w:val="16"/>
        </w:rPr>
      </w:pPr>
    </w:p>
    <w:tbl>
      <w:tblPr>
        <w:tblW w:w="5000" w:type="pct"/>
        <w:tblLook w:val="04A0"/>
      </w:tblPr>
      <w:tblGrid>
        <w:gridCol w:w="632"/>
        <w:gridCol w:w="4282"/>
        <w:gridCol w:w="1008"/>
        <w:gridCol w:w="1397"/>
        <w:gridCol w:w="2535"/>
      </w:tblGrid>
      <w:tr w:rsidR="00960769" w:rsidRPr="006133A2" w:rsidTr="00960769">
        <w:tc>
          <w:tcPr>
            <w:tcW w:w="320" w:type="pct"/>
          </w:tcPr>
          <w:p w:rsidR="00960769" w:rsidRPr="00FF314F" w:rsidRDefault="00960769" w:rsidP="00960769">
            <w:pPr>
              <w:pStyle w:val="Textpoznpodarou"/>
              <w:rPr>
                <w:lang w:eastAsia="en-US"/>
              </w:rPr>
            </w:pPr>
            <w:r w:rsidRPr="00FF314F">
              <w:rPr>
                <w:lang w:eastAsia="en-US"/>
              </w:rPr>
              <w:t>Graf č. 3</w:t>
            </w:r>
          </w:p>
        </w:tc>
        <w:tc>
          <w:tcPr>
            <w:tcW w:w="2175" w:type="pct"/>
          </w:tcPr>
          <w:p w:rsidR="00960769" w:rsidRPr="00960769" w:rsidRDefault="00960769" w:rsidP="00960769">
            <w:pPr>
              <w:pStyle w:val="Textpoznpodarou"/>
              <w:rPr>
                <w:spacing w:val="-6"/>
                <w:lang w:eastAsia="en-US"/>
              </w:rPr>
            </w:pPr>
            <w:r w:rsidRPr="00960769">
              <w:rPr>
                <w:b/>
                <w:spacing w:val="-6"/>
                <w:lang w:eastAsia="en-US"/>
              </w:rPr>
              <w:t>Příspěvky výdajových složek ke změně HDP*</w:t>
            </w:r>
            <w:r w:rsidRPr="00960769">
              <w:rPr>
                <w:spacing w:val="-6"/>
                <w:lang w:eastAsia="en-US"/>
              </w:rPr>
              <w:t xml:space="preserve"> (stálé ceny, y/y, příspěvky v</w:t>
            </w:r>
            <w:r w:rsidR="00EB522B">
              <w:rPr>
                <w:spacing w:val="-6"/>
                <w:lang w:eastAsia="en-US"/>
              </w:rPr>
              <w:t> </w:t>
            </w:r>
            <w:r w:rsidRPr="00960769">
              <w:rPr>
                <w:spacing w:val="-6"/>
                <w:lang w:eastAsia="en-US"/>
              </w:rPr>
              <w:t>p</w:t>
            </w:r>
            <w:r w:rsidR="00EB522B">
              <w:rPr>
                <w:spacing w:val="-6"/>
                <w:lang w:eastAsia="en-US"/>
              </w:rPr>
              <w:t>.</w:t>
            </w:r>
            <w:r w:rsidRPr="00960769">
              <w:rPr>
                <w:spacing w:val="-6"/>
                <w:lang w:eastAsia="en-US"/>
              </w:rPr>
              <w:t>b., HDP v %)</w:t>
            </w:r>
          </w:p>
        </w:tc>
        <w:tc>
          <w:tcPr>
            <w:tcW w:w="511" w:type="pct"/>
          </w:tcPr>
          <w:p w:rsidR="00960769" w:rsidRPr="00FF314F" w:rsidRDefault="00960769" w:rsidP="00960769">
            <w:pPr>
              <w:pStyle w:val="Textpoznpodarou"/>
              <w:rPr>
                <w:lang w:eastAsia="en-US"/>
              </w:rPr>
            </w:pPr>
            <w:r w:rsidRPr="00FF314F">
              <w:rPr>
                <w:lang w:eastAsia="en-US"/>
              </w:rPr>
              <w:t>Graf č. 4</w:t>
            </w:r>
          </w:p>
        </w:tc>
        <w:tc>
          <w:tcPr>
            <w:tcW w:w="1994" w:type="pct"/>
            <w:gridSpan w:val="2"/>
          </w:tcPr>
          <w:p w:rsidR="00960769" w:rsidRPr="00FF314F" w:rsidRDefault="00960769" w:rsidP="00960769">
            <w:pPr>
              <w:pStyle w:val="Textpoznpodarou"/>
              <w:rPr>
                <w:lang w:eastAsia="en-US"/>
              </w:rPr>
            </w:pPr>
            <w:r w:rsidRPr="00960769">
              <w:rPr>
                <w:b/>
                <w:lang w:eastAsia="en-US"/>
              </w:rPr>
              <w:t>Příspěvky odvětví ke změně HPH</w:t>
            </w:r>
            <w:r w:rsidRPr="00FF314F">
              <w:rPr>
                <w:lang w:eastAsia="en-US"/>
              </w:rPr>
              <w:t xml:space="preserve"> (stálé ceny, y/y, příspěvky v</w:t>
            </w:r>
            <w:r w:rsidR="00EB522B">
              <w:rPr>
                <w:lang w:eastAsia="en-US"/>
              </w:rPr>
              <w:t> </w:t>
            </w:r>
            <w:r w:rsidRPr="00FF314F">
              <w:rPr>
                <w:lang w:eastAsia="en-US"/>
              </w:rPr>
              <w:t>p</w:t>
            </w:r>
            <w:r w:rsidR="00EB522B">
              <w:rPr>
                <w:lang w:eastAsia="en-US"/>
              </w:rPr>
              <w:t>.</w:t>
            </w:r>
            <w:r w:rsidRPr="00FF314F">
              <w:rPr>
                <w:lang w:eastAsia="en-US"/>
              </w:rPr>
              <w:t>b., HPH v %)</w:t>
            </w:r>
          </w:p>
        </w:tc>
      </w:tr>
      <w:tr w:rsidR="00960769" w:rsidRPr="006133A2" w:rsidTr="00960769">
        <w:tc>
          <w:tcPr>
            <w:tcW w:w="2495" w:type="pct"/>
            <w:gridSpan w:val="2"/>
          </w:tcPr>
          <w:p w:rsidR="00960769" w:rsidRPr="00960769" w:rsidRDefault="009256C5" w:rsidP="00960769">
            <w:pPr>
              <w:pStyle w:val="Textpoznpodarou"/>
              <w:jc w:val="both"/>
              <w:rPr>
                <w:color w:val="FF0000"/>
                <w:sz w:val="22"/>
                <w:lang w:eastAsia="en-US"/>
              </w:rPr>
            </w:pPr>
            <w:r w:rsidRPr="00D3006B">
              <w:rPr>
                <w:noProof/>
                <w:color w:val="FF0000"/>
                <w:sz w:val="22"/>
              </w:rPr>
              <w:pict>
                <v:shape id="_x0000_i1027" type="#_x0000_t75" style="width:236.65pt;height:187.2pt;visibility:visible;mso-wrap-style:square">
                  <v:imagedata r:id="rId14" o:title=""/>
                </v:shape>
              </w:pict>
            </w:r>
          </w:p>
        </w:tc>
        <w:tc>
          <w:tcPr>
            <w:tcW w:w="2505" w:type="pct"/>
            <w:gridSpan w:val="3"/>
          </w:tcPr>
          <w:p w:rsidR="00960769" w:rsidRPr="00960769" w:rsidRDefault="009256C5" w:rsidP="00960769">
            <w:pPr>
              <w:pStyle w:val="Textpoznpodarou"/>
              <w:jc w:val="both"/>
              <w:rPr>
                <w:color w:val="FF0000"/>
                <w:sz w:val="22"/>
                <w:lang w:eastAsia="en-US"/>
              </w:rPr>
            </w:pPr>
            <w:r w:rsidRPr="00D3006B">
              <w:rPr>
                <w:noProof/>
                <w:color w:val="FF0000"/>
                <w:sz w:val="22"/>
              </w:rPr>
              <w:pict>
                <v:shape id="_x0000_i1028" type="#_x0000_t75" style="width:237.9pt;height:187.2pt;visibility:visible;mso-wrap-style:square">
                  <v:imagedata r:id="rId15" o:title=""/>
                </v:shape>
              </w:pict>
            </w:r>
          </w:p>
        </w:tc>
      </w:tr>
      <w:tr w:rsidR="00960769" w:rsidRPr="006133A2" w:rsidTr="00960769">
        <w:tc>
          <w:tcPr>
            <w:tcW w:w="3714" w:type="pct"/>
            <w:gridSpan w:val="4"/>
          </w:tcPr>
          <w:p w:rsidR="00960769" w:rsidRPr="00960769" w:rsidRDefault="00960769" w:rsidP="00960769">
            <w:pPr>
              <w:pStyle w:val="Textpoznpodarou"/>
              <w:rPr>
                <w:sz w:val="18"/>
                <w:szCs w:val="18"/>
                <w:lang w:eastAsia="en-US"/>
              </w:rPr>
            </w:pPr>
            <w:r w:rsidRPr="00960769">
              <w:rPr>
                <w:sz w:val="18"/>
                <w:szCs w:val="18"/>
                <w:lang w:eastAsia="en-US"/>
              </w:rPr>
              <w:t>*příspěvky ke změně HDP bez vyloučení dovozu pro konečné užití</w:t>
            </w:r>
          </w:p>
        </w:tc>
        <w:tc>
          <w:tcPr>
            <w:tcW w:w="1286" w:type="pct"/>
          </w:tcPr>
          <w:p w:rsidR="00960769" w:rsidRPr="00960769" w:rsidRDefault="00960769" w:rsidP="00960769">
            <w:pPr>
              <w:pStyle w:val="Textpoznpodarou"/>
              <w:jc w:val="right"/>
              <w:rPr>
                <w:sz w:val="18"/>
                <w:szCs w:val="18"/>
                <w:lang w:eastAsia="en-US"/>
              </w:rPr>
            </w:pPr>
            <w:r w:rsidRPr="00960769">
              <w:rPr>
                <w:sz w:val="18"/>
                <w:szCs w:val="18"/>
                <w:lang w:eastAsia="en-US"/>
              </w:rPr>
              <w:t>Zdroj: ČSÚ</w:t>
            </w:r>
          </w:p>
        </w:tc>
      </w:tr>
    </w:tbl>
    <w:p w:rsidR="00960769" w:rsidRPr="00960769" w:rsidRDefault="00960769" w:rsidP="00960769">
      <w:pPr>
        <w:pStyle w:val="Textpoznpodarou"/>
        <w:jc w:val="both"/>
        <w:rPr>
          <w:sz w:val="2"/>
          <w:szCs w:val="2"/>
        </w:rPr>
      </w:pPr>
    </w:p>
    <w:p w:rsidR="00576A3E" w:rsidRPr="00F4591F" w:rsidRDefault="00576A3E" w:rsidP="00FC3C84">
      <w:pPr>
        <w:pStyle w:val="Nadpis1"/>
        <w:numPr>
          <w:ilvl w:val="0"/>
          <w:numId w:val="3"/>
        </w:numPr>
        <w:jc w:val="both"/>
      </w:pPr>
      <w:bookmarkStart w:id="5" w:name="_Toc446341882"/>
      <w:r>
        <w:lastRenderedPageBreak/>
        <w:t>Výkonnost odvětví</w:t>
      </w:r>
      <w:bookmarkEnd w:id="5"/>
    </w:p>
    <w:tbl>
      <w:tblPr>
        <w:tblW w:w="4999" w:type="pct"/>
        <w:tblCellMar>
          <w:left w:w="28" w:type="dxa"/>
          <w:right w:w="28" w:type="dxa"/>
        </w:tblCellMar>
        <w:tblLook w:val="04A0"/>
      </w:tblPr>
      <w:tblGrid>
        <w:gridCol w:w="2113"/>
        <w:gridCol w:w="281"/>
        <w:gridCol w:w="7298"/>
      </w:tblGrid>
      <w:tr w:rsidR="00905A11" w:rsidRPr="007E61CB" w:rsidTr="00611531">
        <w:tc>
          <w:tcPr>
            <w:tcW w:w="1090" w:type="pct"/>
          </w:tcPr>
          <w:p w:rsidR="00905A11" w:rsidRDefault="00905A11" w:rsidP="00611531">
            <w:pPr>
              <w:spacing w:line="240" w:lineRule="auto"/>
              <w:rPr>
                <w:color w:val="0D0D0D" w:themeColor="text1" w:themeTint="F2"/>
                <w:sz w:val="16"/>
                <w:szCs w:val="16"/>
              </w:rPr>
            </w:pPr>
            <w:r>
              <w:rPr>
                <w:color w:val="0D0D0D" w:themeColor="text1" w:themeTint="F2"/>
                <w:sz w:val="16"/>
                <w:szCs w:val="16"/>
              </w:rPr>
              <w:t>Meziroční dynamika HPH byla v roce 2015 nejvyšší za posledních osm let</w:t>
            </w:r>
          </w:p>
          <w:p w:rsidR="00905A11" w:rsidRDefault="00905A11" w:rsidP="00611531">
            <w:pPr>
              <w:spacing w:line="240" w:lineRule="auto"/>
              <w:rPr>
                <w:color w:val="0D0D0D" w:themeColor="text1" w:themeTint="F2"/>
                <w:sz w:val="16"/>
                <w:szCs w:val="16"/>
              </w:rPr>
            </w:pPr>
          </w:p>
          <w:p w:rsidR="00905A11" w:rsidRDefault="00905A11" w:rsidP="00611531">
            <w:pPr>
              <w:spacing w:line="240" w:lineRule="auto"/>
              <w:rPr>
                <w:color w:val="0D0D0D" w:themeColor="text1" w:themeTint="F2"/>
                <w:sz w:val="16"/>
                <w:szCs w:val="16"/>
              </w:rPr>
            </w:pPr>
            <w:r>
              <w:rPr>
                <w:color w:val="0D0D0D" w:themeColor="text1" w:themeTint="F2"/>
                <w:sz w:val="16"/>
                <w:szCs w:val="16"/>
              </w:rPr>
              <w:t>Růst HPH v ČR táhl zpracovatelský průmysl, v celé EU ale tu</w:t>
            </w:r>
            <w:r w:rsidR="00690A25">
              <w:rPr>
                <w:color w:val="0D0D0D" w:themeColor="text1" w:themeTint="F2"/>
                <w:sz w:val="16"/>
                <w:szCs w:val="16"/>
              </w:rPr>
              <w:t>to</w:t>
            </w:r>
            <w:r>
              <w:rPr>
                <w:color w:val="0D0D0D" w:themeColor="text1" w:themeTint="F2"/>
                <w:sz w:val="16"/>
                <w:szCs w:val="16"/>
              </w:rPr>
              <w:t xml:space="preserve"> roli plní seskupení odvětví o</w:t>
            </w:r>
            <w:r w:rsidRPr="00F5731D">
              <w:rPr>
                <w:color w:val="0D0D0D" w:themeColor="text1" w:themeTint="F2"/>
                <w:sz w:val="16"/>
                <w:szCs w:val="16"/>
              </w:rPr>
              <w:t xml:space="preserve">bchod, doprava, ubytování </w:t>
            </w:r>
          </w:p>
          <w:p w:rsidR="00905A11" w:rsidRDefault="00905A11" w:rsidP="00611531">
            <w:pPr>
              <w:spacing w:line="240" w:lineRule="auto"/>
              <w:rPr>
                <w:color w:val="0D0D0D" w:themeColor="text1" w:themeTint="F2"/>
                <w:sz w:val="16"/>
                <w:szCs w:val="16"/>
              </w:rPr>
            </w:pPr>
            <w:r w:rsidRPr="00F5731D">
              <w:rPr>
                <w:color w:val="0D0D0D" w:themeColor="text1" w:themeTint="F2"/>
                <w:sz w:val="16"/>
                <w:szCs w:val="16"/>
              </w:rPr>
              <w:t>a pohostinství</w:t>
            </w:r>
          </w:p>
          <w:p w:rsidR="00905A11" w:rsidRPr="000B1183" w:rsidRDefault="00905A11" w:rsidP="00611531">
            <w:pPr>
              <w:spacing w:line="240" w:lineRule="auto"/>
              <w:rPr>
                <w:color w:val="0D0D0D" w:themeColor="text1" w:themeTint="F2"/>
                <w:sz w:val="12"/>
                <w:szCs w:val="12"/>
              </w:rPr>
            </w:pPr>
          </w:p>
        </w:tc>
        <w:tc>
          <w:tcPr>
            <w:tcW w:w="145" w:type="pct"/>
          </w:tcPr>
          <w:p w:rsidR="00905A11" w:rsidRDefault="00905A11" w:rsidP="00611531">
            <w:pPr>
              <w:pStyle w:val="Textpoznpodarou"/>
              <w:jc w:val="both"/>
            </w:pPr>
          </w:p>
        </w:tc>
        <w:tc>
          <w:tcPr>
            <w:tcW w:w="3765" w:type="pct"/>
          </w:tcPr>
          <w:p w:rsidR="00905A11" w:rsidRPr="00114FC0" w:rsidRDefault="00905A11" w:rsidP="00611531">
            <w:pPr>
              <w:pStyle w:val="Textpoznpodarou"/>
              <w:jc w:val="both"/>
              <w:rPr>
                <w:color w:val="0D0D0D" w:themeColor="text1" w:themeTint="F2"/>
              </w:rPr>
            </w:pPr>
            <w:r w:rsidRPr="00114FC0">
              <w:rPr>
                <w:color w:val="0D0D0D" w:themeColor="text1" w:themeTint="F2"/>
              </w:rPr>
              <w:t>Velmi dobrá kondice ekonomiky ČR se v roce 2015 prolínala do</w:t>
            </w:r>
            <w:r w:rsidRPr="00114FC0">
              <w:t xml:space="preserve"> všech klíčových odvětví. </w:t>
            </w:r>
            <w:r w:rsidRPr="00114FC0">
              <w:rPr>
                <w:color w:val="0D0D0D" w:themeColor="text1" w:themeTint="F2"/>
              </w:rPr>
              <w:t>Hrubá přidaná hodnota (HPH)</w:t>
            </w:r>
            <w:r w:rsidRPr="00114FC0">
              <w:rPr>
                <w:rStyle w:val="Znakapoznpodarou"/>
                <w:color w:val="0D0D0D" w:themeColor="text1" w:themeTint="F2"/>
              </w:rPr>
              <w:footnoteReference w:id="9"/>
            </w:r>
            <w:r w:rsidRPr="00114FC0">
              <w:rPr>
                <w:color w:val="0D0D0D" w:themeColor="text1" w:themeTint="F2"/>
              </w:rPr>
              <w:t xml:space="preserve"> pokračovala v</w:t>
            </w:r>
            <w:r w:rsidRPr="00114FC0">
              <w:t> </w:t>
            </w:r>
            <w:r w:rsidRPr="00114FC0">
              <w:rPr>
                <w:color w:val="0D0D0D" w:themeColor="text1" w:themeTint="F2"/>
              </w:rPr>
              <w:t xml:space="preserve">mezičtvrtletním růstu již pojedenácté v řadě (déle než v období krátkodobého oživení po hluboké recesi v roce 2009). Meziroční dynamika HPH (+3,8 %) byla nejvyšší po roce 2007. Podobně jako v předešlém roce si klíčovou roli udržel zpracovatelský průmysl, který přispěl k růstu HPH v celé ekonomice celou polovinou, vcelku rovnoměrně dále přidala všechna hlavní uskupení služeb (s mírnou převahou váhově dominantního shluku odvětví obchod, doprava, ubytování a stravování). </w:t>
            </w:r>
          </w:p>
          <w:p w:rsidR="00905A11" w:rsidRPr="00114FC0" w:rsidRDefault="00905A11" w:rsidP="00611531">
            <w:pPr>
              <w:pStyle w:val="Textpoznpodarou"/>
              <w:jc w:val="both"/>
              <w:rPr>
                <w:spacing w:val="-4"/>
                <w:sz w:val="18"/>
                <w:szCs w:val="18"/>
              </w:rPr>
            </w:pPr>
          </w:p>
        </w:tc>
      </w:tr>
      <w:tr w:rsidR="00905A11" w:rsidRPr="00A51B62" w:rsidTr="00611531">
        <w:tc>
          <w:tcPr>
            <w:tcW w:w="1090" w:type="pct"/>
          </w:tcPr>
          <w:p w:rsidR="00905A11" w:rsidRDefault="00905A11" w:rsidP="00611531">
            <w:pPr>
              <w:spacing w:line="240" w:lineRule="auto"/>
              <w:rPr>
                <w:color w:val="0D0D0D" w:themeColor="text1" w:themeTint="F2"/>
                <w:sz w:val="16"/>
                <w:szCs w:val="16"/>
              </w:rPr>
            </w:pPr>
            <w:r w:rsidRPr="009213B7">
              <w:rPr>
                <w:color w:val="0D0D0D" w:themeColor="text1" w:themeTint="F2"/>
                <w:sz w:val="16"/>
                <w:szCs w:val="16"/>
              </w:rPr>
              <w:t>Přidaná hodnota v převážně exportně orientovaném zpracovatelském průmyslu rostla</w:t>
            </w:r>
            <w:r>
              <w:rPr>
                <w:color w:val="0D0D0D" w:themeColor="text1" w:themeTint="F2"/>
                <w:sz w:val="16"/>
                <w:szCs w:val="16"/>
              </w:rPr>
              <w:t xml:space="preserve"> (podobně jako loni</w:t>
            </w:r>
            <w:r w:rsidRPr="009213B7">
              <w:rPr>
                <w:color w:val="0D0D0D" w:themeColor="text1" w:themeTint="F2"/>
                <w:sz w:val="16"/>
                <w:szCs w:val="16"/>
              </w:rPr>
              <w:t>) oproti celé ekonomice téměř dvojnásobným tempem</w:t>
            </w:r>
          </w:p>
          <w:p w:rsidR="00905A11" w:rsidRPr="000A4ACC" w:rsidRDefault="00905A11" w:rsidP="00611531">
            <w:pPr>
              <w:spacing w:line="240" w:lineRule="auto"/>
              <w:rPr>
                <w:spacing w:val="-2"/>
                <w:sz w:val="16"/>
                <w:szCs w:val="16"/>
              </w:rPr>
            </w:pPr>
          </w:p>
        </w:tc>
        <w:tc>
          <w:tcPr>
            <w:tcW w:w="145" w:type="pct"/>
          </w:tcPr>
          <w:p w:rsidR="00905A11" w:rsidRDefault="00905A11" w:rsidP="00611531">
            <w:pPr>
              <w:pStyle w:val="Textpoznpodarou"/>
              <w:jc w:val="both"/>
            </w:pPr>
          </w:p>
        </w:tc>
        <w:tc>
          <w:tcPr>
            <w:tcW w:w="3765" w:type="pct"/>
          </w:tcPr>
          <w:p w:rsidR="00905A11" w:rsidRPr="00114FC0" w:rsidRDefault="00905A11" w:rsidP="00611531">
            <w:pPr>
              <w:pStyle w:val="Textpoznpodarou"/>
              <w:jc w:val="both"/>
            </w:pPr>
            <w:r w:rsidRPr="00114FC0">
              <w:t xml:space="preserve">Ve zpracovatelském průmyslu přidaná hodnota v prvních třech čtvrtletích roku nadále zrychlovala až na 8,9 %, na konci roku rostla (proti vysoké loňské základně) o 6,6 %. Celková zaměstnanost byla </w:t>
            </w:r>
            <w:r w:rsidR="00377200">
              <w:t>v roce 2015</w:t>
            </w:r>
            <w:r w:rsidR="007C010B">
              <w:t xml:space="preserve">, </w:t>
            </w:r>
            <w:r w:rsidR="007C010B" w:rsidRPr="00114FC0">
              <w:t>podobně jak</w:t>
            </w:r>
            <w:r w:rsidR="007C010B">
              <w:t>o</w:t>
            </w:r>
            <w:r w:rsidR="007C010B" w:rsidRPr="00114FC0">
              <w:t xml:space="preserve"> v předchozím roce</w:t>
            </w:r>
            <w:r w:rsidR="007C010B">
              <w:t>,</w:t>
            </w:r>
            <w:r w:rsidR="00377200">
              <w:t xml:space="preserve"> o téměř 2</w:t>
            </w:r>
            <w:r w:rsidR="00377200" w:rsidRPr="00114FC0">
              <w:rPr>
                <w:color w:val="0D0D0D" w:themeColor="text1" w:themeTint="F2"/>
              </w:rPr>
              <w:t> </w:t>
            </w:r>
            <w:r w:rsidR="007C010B">
              <w:t>% vyšší</w:t>
            </w:r>
            <w:r w:rsidR="00445CDD">
              <w:t>. R</w:t>
            </w:r>
            <w:r w:rsidRPr="00114FC0">
              <w:t>ůstové tempo odpracov</w:t>
            </w:r>
            <w:r w:rsidR="00377200">
              <w:t>ané doby se však zdvojnásobilo - na 4 % (v samotném</w:t>
            </w:r>
            <w:r w:rsidRPr="00114FC0">
              <w:t xml:space="preserve"> 4. čtvrtletí </w:t>
            </w:r>
            <w:r w:rsidR="00445CDD">
              <w:t xml:space="preserve">pak </w:t>
            </w:r>
            <w:r w:rsidRPr="00114FC0">
              <w:t xml:space="preserve">bylo meziročně odpracováno </w:t>
            </w:r>
            <w:r w:rsidR="00377200">
              <w:t xml:space="preserve">dokonce </w:t>
            </w:r>
            <w:r w:rsidRPr="00114FC0">
              <w:t>o 8,2 % hodin více). Na úspěšný předešlý rok navázalo i stavebnictví, jehož HPH v průběhu roku 2015</w:t>
            </w:r>
            <w:r w:rsidR="009867BC" w:rsidRPr="00114FC0">
              <w:t xml:space="preserve"> zrychlovala (až na 4,7 % ve 4.</w:t>
            </w:r>
            <w:r w:rsidR="009867BC" w:rsidRPr="00114FC0">
              <w:rPr>
                <w:color w:val="0D0D0D" w:themeColor="text1" w:themeTint="F2"/>
              </w:rPr>
              <w:t> </w:t>
            </w:r>
            <w:r w:rsidRPr="00114FC0">
              <w:t xml:space="preserve">čtvrtletí), podobně jako odpracovaná doba jeho zaměstnanci. V seskupení odvětví zemědělství, lesnictví a rybářství HPH po vysokém loňském růstu (+5,9 %) fakticky stagnovala. Dlouhotrvající sucha snížila hlavně úrodu pícnin, brambor či zeleniny. </w:t>
            </w:r>
          </w:p>
          <w:p w:rsidR="00905A11" w:rsidRPr="00114FC0" w:rsidRDefault="00905A11" w:rsidP="00611531">
            <w:pPr>
              <w:pStyle w:val="Textpoznpodarou"/>
              <w:jc w:val="both"/>
              <w:rPr>
                <w:spacing w:val="-4"/>
                <w:sz w:val="18"/>
                <w:szCs w:val="18"/>
              </w:rPr>
            </w:pPr>
          </w:p>
        </w:tc>
      </w:tr>
      <w:tr w:rsidR="00905A11" w:rsidTr="00611531">
        <w:tc>
          <w:tcPr>
            <w:tcW w:w="1090" w:type="pct"/>
          </w:tcPr>
          <w:p w:rsidR="00905A11" w:rsidRDefault="00905A11" w:rsidP="00611531">
            <w:pPr>
              <w:spacing w:line="240" w:lineRule="auto"/>
              <w:rPr>
                <w:sz w:val="16"/>
                <w:szCs w:val="16"/>
              </w:rPr>
            </w:pPr>
            <w:r>
              <w:rPr>
                <w:sz w:val="16"/>
                <w:szCs w:val="16"/>
              </w:rPr>
              <w:t>Ze služeb rostla přidaná hodnota nejvíce v informač</w:t>
            </w:r>
            <w:r w:rsidR="00AC219A">
              <w:rPr>
                <w:sz w:val="16"/>
                <w:szCs w:val="16"/>
              </w:rPr>
              <w:t>ních a komunikačních činnostech</w:t>
            </w:r>
          </w:p>
          <w:p w:rsidR="00905A11" w:rsidRDefault="00905A11" w:rsidP="00611531">
            <w:pPr>
              <w:spacing w:line="240" w:lineRule="auto"/>
              <w:rPr>
                <w:sz w:val="16"/>
                <w:szCs w:val="16"/>
              </w:rPr>
            </w:pPr>
          </w:p>
          <w:p w:rsidR="00905A11" w:rsidRDefault="00905A11" w:rsidP="00611531">
            <w:pPr>
              <w:spacing w:line="240" w:lineRule="auto"/>
              <w:rPr>
                <w:sz w:val="16"/>
                <w:szCs w:val="16"/>
              </w:rPr>
            </w:pPr>
          </w:p>
          <w:p w:rsidR="00905A11" w:rsidRDefault="00905A11" w:rsidP="00611531">
            <w:pPr>
              <w:spacing w:line="240" w:lineRule="auto"/>
              <w:rPr>
                <w:sz w:val="16"/>
                <w:szCs w:val="16"/>
              </w:rPr>
            </w:pPr>
          </w:p>
          <w:p w:rsidR="00905A11" w:rsidRDefault="00905A11" w:rsidP="00611531">
            <w:pPr>
              <w:spacing w:line="240" w:lineRule="auto"/>
              <w:rPr>
                <w:color w:val="000000" w:themeColor="text1"/>
                <w:sz w:val="16"/>
                <w:szCs w:val="16"/>
              </w:rPr>
            </w:pPr>
            <w:r>
              <w:rPr>
                <w:color w:val="000000" w:themeColor="text1"/>
                <w:sz w:val="16"/>
                <w:szCs w:val="16"/>
              </w:rPr>
              <w:t xml:space="preserve">Významnějšímu růstu nových pracovních míst ve finančním sektoru zřejmě brání nákladové tlaky vlivem silné konkurence </w:t>
            </w:r>
          </w:p>
          <w:p w:rsidR="00905A11" w:rsidRPr="00DA1318" w:rsidRDefault="00905A11" w:rsidP="00611531">
            <w:pPr>
              <w:spacing w:line="240" w:lineRule="auto"/>
              <w:rPr>
                <w:sz w:val="16"/>
                <w:szCs w:val="16"/>
              </w:rPr>
            </w:pPr>
            <w:r>
              <w:rPr>
                <w:sz w:val="16"/>
                <w:szCs w:val="16"/>
              </w:rPr>
              <w:t xml:space="preserve"> </w:t>
            </w:r>
          </w:p>
        </w:tc>
        <w:tc>
          <w:tcPr>
            <w:tcW w:w="145" w:type="pct"/>
          </w:tcPr>
          <w:p w:rsidR="00905A11" w:rsidRDefault="00905A11" w:rsidP="00611531">
            <w:pPr>
              <w:pStyle w:val="Textpoznpodarou"/>
              <w:jc w:val="both"/>
              <w:rPr>
                <w:spacing w:val="-2"/>
              </w:rPr>
            </w:pPr>
          </w:p>
        </w:tc>
        <w:tc>
          <w:tcPr>
            <w:tcW w:w="3765" w:type="pct"/>
          </w:tcPr>
          <w:p w:rsidR="00905A11" w:rsidRPr="00114FC0" w:rsidRDefault="00905A11" w:rsidP="00611531">
            <w:pPr>
              <w:pStyle w:val="Textpoznpodarou"/>
              <w:jc w:val="both"/>
              <w:rPr>
                <w:color w:val="0D0D0D" w:themeColor="text1" w:themeTint="F2"/>
                <w:spacing w:val="-2"/>
              </w:rPr>
            </w:pPr>
            <w:r w:rsidRPr="00114FC0">
              <w:rPr>
                <w:color w:val="0D0D0D" w:themeColor="text1" w:themeTint="F2"/>
                <w:spacing w:val="-2"/>
              </w:rPr>
              <w:t>V odvětví obchod, doprava, ubytování a pohostinství se HPH v roce 2015 navýšila o skromnějších 2,5 %, přesto šlo o nejlepší výsledek za posledních pět let. Odvětví profitovalo z pozitivních nálad spotřebitelů podpořených vysokým růstem zaměstnanosti i reálných mezd, četnějších příjezdů domácích i zahraničn</w:t>
            </w:r>
            <w:r w:rsidR="009867BC" w:rsidRPr="00114FC0">
              <w:rPr>
                <w:color w:val="0D0D0D" w:themeColor="text1" w:themeTint="F2"/>
                <w:spacing w:val="-2"/>
              </w:rPr>
              <w:t>ích hostů i z </w:t>
            </w:r>
            <w:r w:rsidRPr="00114FC0">
              <w:rPr>
                <w:color w:val="0D0D0D" w:themeColor="text1" w:themeTint="F2"/>
                <w:spacing w:val="-2"/>
              </w:rPr>
              <w:t>vyšší poptávky po nákladní dopravě. Již pět let naopak trval růst profesních, vědeckých, technických a administrativních činností (naposledy o 4,3 %) podpořený vyššími výkony pracovních agentur i rostoucí poptávkou po projektových činnostech. Dlouhodobě se daří také informačním a komunikačním činnostem, kde HPH akcelerovala na nejvyšší tempo po roce 2007. O 4 % se zvýšila HPH ve finančnictví, celková zaměstnanost se však již druhý rok po sobě snížila. Po třech letech faktické stagnace zrychlila HPH ve veřejných službách</w:t>
            </w:r>
            <w:r w:rsidRPr="00114FC0">
              <w:rPr>
                <w:rStyle w:val="Znakapoznpodarou"/>
                <w:color w:val="0D0D0D" w:themeColor="text1" w:themeTint="F2"/>
                <w:spacing w:val="-2"/>
              </w:rPr>
              <w:footnoteReference w:id="10"/>
            </w:r>
            <w:r w:rsidRPr="00114FC0">
              <w:rPr>
                <w:color w:val="0D0D0D" w:themeColor="text1" w:themeTint="F2"/>
                <w:spacing w:val="-2"/>
              </w:rPr>
              <w:t xml:space="preserve"> na 2,6 % (nejvíce od roku 2002). Přispěly k tomu pozvolna rostoucí zaměstnanost napříč všemi dílčími odvětvími v kombinaci s navýšením platových tarifů na konci roku 2014.</w:t>
            </w:r>
          </w:p>
          <w:p w:rsidR="00905A11" w:rsidRPr="00114FC0" w:rsidRDefault="00905A11" w:rsidP="00611531">
            <w:pPr>
              <w:pStyle w:val="Textpoznpodarou"/>
              <w:jc w:val="both"/>
              <w:rPr>
                <w:spacing w:val="-4"/>
                <w:sz w:val="18"/>
                <w:szCs w:val="18"/>
              </w:rPr>
            </w:pPr>
          </w:p>
        </w:tc>
      </w:tr>
      <w:tr w:rsidR="00905A11" w:rsidTr="00611531">
        <w:tc>
          <w:tcPr>
            <w:tcW w:w="1090" w:type="pct"/>
          </w:tcPr>
          <w:p w:rsidR="00905A11" w:rsidRDefault="00905A11" w:rsidP="00611531">
            <w:pPr>
              <w:spacing w:line="240" w:lineRule="auto"/>
              <w:rPr>
                <w:color w:val="000000" w:themeColor="text1"/>
                <w:sz w:val="16"/>
                <w:szCs w:val="16"/>
              </w:rPr>
            </w:pPr>
            <w:r w:rsidRPr="00D778A9">
              <w:rPr>
                <w:color w:val="000000" w:themeColor="text1"/>
                <w:sz w:val="16"/>
                <w:szCs w:val="16"/>
              </w:rPr>
              <w:t xml:space="preserve">Průmyslová produkce si udržela vysoká růstová tempa zásluhou dominantního zpracovatelského průmyslu profitujícího především z dosud silné domácí </w:t>
            </w:r>
          </w:p>
          <w:p w:rsidR="00905A11" w:rsidRDefault="00905A11" w:rsidP="00611531">
            <w:pPr>
              <w:spacing w:line="240" w:lineRule="auto"/>
              <w:rPr>
                <w:color w:val="000000" w:themeColor="text1"/>
                <w:sz w:val="16"/>
                <w:szCs w:val="16"/>
              </w:rPr>
            </w:pPr>
            <w:r w:rsidRPr="00D778A9">
              <w:rPr>
                <w:color w:val="000000" w:themeColor="text1"/>
                <w:sz w:val="16"/>
                <w:szCs w:val="16"/>
              </w:rPr>
              <w:t xml:space="preserve">i zahraniční poptávky po dopravních prostředcích </w:t>
            </w:r>
          </w:p>
          <w:p w:rsidR="00905A11" w:rsidRPr="00D778A9" w:rsidRDefault="00AC219A" w:rsidP="00611531">
            <w:pPr>
              <w:spacing w:line="240" w:lineRule="auto"/>
              <w:rPr>
                <w:color w:val="000000" w:themeColor="text1"/>
                <w:sz w:val="16"/>
                <w:szCs w:val="16"/>
              </w:rPr>
            </w:pPr>
            <w:r>
              <w:rPr>
                <w:color w:val="000000" w:themeColor="text1"/>
                <w:sz w:val="16"/>
                <w:szCs w:val="16"/>
              </w:rPr>
              <w:t>a jejich komponentech</w:t>
            </w:r>
          </w:p>
          <w:p w:rsidR="00905A11" w:rsidRPr="000F401E" w:rsidRDefault="00905A11" w:rsidP="00611531">
            <w:pPr>
              <w:spacing w:line="240" w:lineRule="auto"/>
              <w:rPr>
                <w:sz w:val="16"/>
                <w:szCs w:val="16"/>
              </w:rPr>
            </w:pPr>
          </w:p>
        </w:tc>
        <w:tc>
          <w:tcPr>
            <w:tcW w:w="145" w:type="pct"/>
          </w:tcPr>
          <w:p w:rsidR="00905A11" w:rsidRPr="005A16AE" w:rsidRDefault="00905A11" w:rsidP="00611531">
            <w:pPr>
              <w:rPr>
                <w:color w:val="000000" w:themeColor="text1"/>
                <w:szCs w:val="16"/>
              </w:rPr>
            </w:pPr>
          </w:p>
        </w:tc>
        <w:tc>
          <w:tcPr>
            <w:tcW w:w="3765" w:type="pct"/>
          </w:tcPr>
          <w:p w:rsidR="00905A11" w:rsidRPr="00114FC0" w:rsidRDefault="00905A11" w:rsidP="00611531">
            <w:pPr>
              <w:pStyle w:val="Textpoznpodarou"/>
              <w:jc w:val="both"/>
              <w:rPr>
                <w:color w:val="000000" w:themeColor="text1"/>
              </w:rPr>
            </w:pPr>
            <w:r w:rsidRPr="00114FC0">
              <w:rPr>
                <w:color w:val="000000" w:themeColor="text1"/>
              </w:rPr>
              <w:t>Průmysl svým výkonem (měřeným indexem</w:t>
            </w:r>
            <w:r w:rsidR="00FF45A2" w:rsidRPr="00114FC0">
              <w:rPr>
                <w:color w:val="000000" w:themeColor="text1"/>
              </w:rPr>
              <w:t xml:space="preserve"> </w:t>
            </w:r>
            <w:r w:rsidR="00D77F8D">
              <w:rPr>
                <w:color w:val="000000" w:themeColor="text1"/>
              </w:rPr>
              <w:t xml:space="preserve">průmyslové </w:t>
            </w:r>
            <w:r w:rsidR="00FF45A2" w:rsidRPr="00114FC0">
              <w:rPr>
                <w:color w:val="000000" w:themeColor="text1"/>
              </w:rPr>
              <w:t>produkce</w:t>
            </w:r>
            <w:r w:rsidRPr="00114FC0">
              <w:rPr>
                <w:color w:val="000000" w:themeColor="text1"/>
              </w:rPr>
              <w:t>)</w:t>
            </w:r>
            <w:r w:rsidRPr="00114FC0">
              <w:rPr>
                <w:color w:val="000000" w:themeColor="text1"/>
                <w:vertAlign w:val="superscript"/>
              </w:rPr>
              <w:footnoteReference w:id="11"/>
            </w:r>
            <w:r w:rsidRPr="00114FC0">
              <w:rPr>
                <w:color w:val="000000" w:themeColor="text1"/>
              </w:rPr>
              <w:t xml:space="preserve"> navázal v roce 2015 na úspěšný loňský rok, když posílil o 4,6 %. V samotném 4. čtvrtletí ale již jeho meziroční růst polevil na 2,7 % (po očištění o počet pracovních dní) a</w:t>
            </w:r>
            <w:r w:rsidR="009867BC" w:rsidRPr="00114FC0">
              <w:rPr>
                <w:color w:val="0D0D0D" w:themeColor="text1" w:themeTint="F2"/>
              </w:rPr>
              <w:t> </w:t>
            </w:r>
            <w:r w:rsidRPr="00114FC0">
              <w:rPr>
                <w:color w:val="000000" w:themeColor="text1"/>
              </w:rPr>
              <w:t>v mezičtvrtletním vyjá</w:t>
            </w:r>
            <w:r w:rsidR="00690A25">
              <w:rPr>
                <w:color w:val="000000" w:themeColor="text1"/>
              </w:rPr>
              <w:t>dření de facto stagnoval již po</w:t>
            </w:r>
            <w:r w:rsidRPr="00114FC0">
              <w:rPr>
                <w:color w:val="000000" w:themeColor="text1"/>
              </w:rPr>
              <w:t>druhé v řadě. Celé odvětví táhl obdobně jako v předchozích dvou letech výhradně zpracovatelský průmysl. Produkce v těžbě a dobývání poznamenané dlouhodobým útlumem těžby zejména černého uhlí nadále klesala, byť mírnějšími tempy (o 1,7 %, oproti více n</w:t>
            </w:r>
            <w:r w:rsidR="00690A25">
              <w:rPr>
                <w:color w:val="000000" w:themeColor="text1"/>
              </w:rPr>
              <w:t>ež 6 % v průměru za období 2012</w:t>
            </w:r>
            <w:r w:rsidR="00690A25">
              <w:t>–</w:t>
            </w:r>
            <w:r w:rsidRPr="00114FC0">
              <w:rPr>
                <w:color w:val="000000" w:themeColor="text1"/>
              </w:rPr>
              <w:t>14). Neplánované snížení výrobních kapacit v jaderných elektrárnách se pak citelně odrazilo v nižší produkci v energetice (v</w:t>
            </w:r>
            <w:r w:rsidR="00114FC0">
              <w:rPr>
                <w:color w:val="000000" w:themeColor="text1"/>
              </w:rPr>
              <w:t> </w:t>
            </w:r>
            <w:r w:rsidRPr="00114FC0">
              <w:rPr>
                <w:color w:val="000000" w:themeColor="text1"/>
              </w:rPr>
              <w:t>2.</w:t>
            </w:r>
            <w:r w:rsidR="00114FC0">
              <w:rPr>
                <w:color w:val="000000" w:themeColor="text1"/>
              </w:rPr>
              <w:t> </w:t>
            </w:r>
            <w:r w:rsidRPr="00114FC0">
              <w:rPr>
                <w:color w:val="000000" w:themeColor="text1"/>
              </w:rPr>
              <w:t>pololetí meziročně slabší o bezmála 6 %), s mírnými poklesy produkce se však toto odvětví potýká dlouhodobě.</w:t>
            </w:r>
          </w:p>
          <w:p w:rsidR="00905A11" w:rsidRPr="00114FC0" w:rsidRDefault="00905A11" w:rsidP="00611531">
            <w:pPr>
              <w:pStyle w:val="Textpoznpodarou"/>
              <w:jc w:val="both"/>
              <w:rPr>
                <w:color w:val="000000" w:themeColor="text1"/>
                <w:spacing w:val="-4"/>
                <w:sz w:val="18"/>
                <w:szCs w:val="18"/>
              </w:rPr>
            </w:pPr>
          </w:p>
        </w:tc>
      </w:tr>
      <w:tr w:rsidR="00905A11" w:rsidTr="00611531">
        <w:tc>
          <w:tcPr>
            <w:tcW w:w="1090" w:type="pct"/>
          </w:tcPr>
          <w:p w:rsidR="00905A11" w:rsidRDefault="00905A11" w:rsidP="00611531">
            <w:pPr>
              <w:spacing w:line="240" w:lineRule="auto"/>
              <w:rPr>
                <w:spacing w:val="-2"/>
                <w:sz w:val="16"/>
                <w:szCs w:val="16"/>
              </w:rPr>
            </w:pPr>
            <w:r>
              <w:rPr>
                <w:spacing w:val="-2"/>
                <w:sz w:val="16"/>
                <w:szCs w:val="16"/>
              </w:rPr>
              <w:t>Do pozice nejsilněji rostoucího zpracovatelského oboru se vrátila výroba motorových vozidel. Na vlně silné zahraniční i domácí poptávky se pohybovalo i gumárenství a plastikářství, jehož produkce meziročně posílila nejvíce od roku 2007</w:t>
            </w:r>
          </w:p>
          <w:p w:rsidR="00905A11" w:rsidRDefault="00905A11" w:rsidP="00611531">
            <w:pPr>
              <w:spacing w:line="240" w:lineRule="auto"/>
              <w:rPr>
                <w:spacing w:val="-2"/>
                <w:sz w:val="16"/>
                <w:szCs w:val="16"/>
              </w:rPr>
            </w:pPr>
          </w:p>
          <w:p w:rsidR="00905A11" w:rsidRDefault="00905A11" w:rsidP="00611531">
            <w:pPr>
              <w:spacing w:line="240" w:lineRule="auto"/>
              <w:rPr>
                <w:spacing w:val="-4"/>
                <w:sz w:val="16"/>
                <w:szCs w:val="16"/>
              </w:rPr>
            </w:pPr>
            <w:r w:rsidRPr="00B507F7">
              <w:rPr>
                <w:spacing w:val="-4"/>
                <w:sz w:val="16"/>
                <w:szCs w:val="16"/>
              </w:rPr>
              <w:t xml:space="preserve">Z významnějších zpracovatelských oborů </w:t>
            </w:r>
            <w:r w:rsidRPr="00B507F7">
              <w:rPr>
                <w:spacing w:val="-4"/>
                <w:sz w:val="16"/>
                <w:szCs w:val="16"/>
              </w:rPr>
              <w:lastRenderedPageBreak/>
              <w:t>klesala celo</w:t>
            </w:r>
            <w:r>
              <w:rPr>
                <w:spacing w:val="-4"/>
                <w:sz w:val="16"/>
                <w:szCs w:val="16"/>
              </w:rPr>
              <w:t xml:space="preserve">roční produkce jen v hutnictví (vlivem přebytku oceli na evropských trzích) </w:t>
            </w:r>
          </w:p>
          <w:p w:rsidR="00905A11" w:rsidRPr="0036070D" w:rsidRDefault="00905A11" w:rsidP="00611531">
            <w:pPr>
              <w:spacing w:line="240" w:lineRule="auto"/>
              <w:rPr>
                <w:spacing w:val="-4"/>
                <w:sz w:val="16"/>
                <w:szCs w:val="16"/>
              </w:rPr>
            </w:pPr>
            <w:r w:rsidRPr="00B507F7">
              <w:rPr>
                <w:spacing w:val="-4"/>
                <w:sz w:val="16"/>
                <w:szCs w:val="16"/>
              </w:rPr>
              <w:t xml:space="preserve">a </w:t>
            </w:r>
            <w:r>
              <w:rPr>
                <w:spacing w:val="-4"/>
                <w:sz w:val="16"/>
                <w:szCs w:val="16"/>
              </w:rPr>
              <w:t>chemickém průmyslu (vlivem</w:t>
            </w:r>
            <w:r w:rsidRPr="00B507F7">
              <w:rPr>
                <w:spacing w:val="-4"/>
                <w:sz w:val="16"/>
                <w:szCs w:val="16"/>
              </w:rPr>
              <w:t xml:space="preserve"> havárií výrobních zařízení) </w:t>
            </w:r>
          </w:p>
          <w:p w:rsidR="00905A11" w:rsidRPr="00F3262E" w:rsidRDefault="00905A11" w:rsidP="00611531">
            <w:pPr>
              <w:spacing w:line="240" w:lineRule="auto"/>
              <w:rPr>
                <w:color w:val="000000" w:themeColor="text1"/>
                <w:sz w:val="16"/>
                <w:szCs w:val="16"/>
              </w:rPr>
            </w:pPr>
          </w:p>
        </w:tc>
        <w:tc>
          <w:tcPr>
            <w:tcW w:w="145" w:type="pct"/>
          </w:tcPr>
          <w:p w:rsidR="00905A11" w:rsidRPr="00F3262E" w:rsidRDefault="00905A11" w:rsidP="00611531">
            <w:pPr>
              <w:pStyle w:val="Textpoznpodarou"/>
              <w:jc w:val="both"/>
              <w:rPr>
                <w:color w:val="000000" w:themeColor="text1"/>
                <w:spacing w:val="-2"/>
              </w:rPr>
            </w:pPr>
          </w:p>
        </w:tc>
        <w:tc>
          <w:tcPr>
            <w:tcW w:w="3765" w:type="pct"/>
          </w:tcPr>
          <w:p w:rsidR="00905A11" w:rsidRPr="00114FC0" w:rsidRDefault="00905A11" w:rsidP="00611531">
            <w:pPr>
              <w:pStyle w:val="Textpoznpodarou"/>
              <w:jc w:val="both"/>
              <w:rPr>
                <w:color w:val="000000"/>
                <w:spacing w:val="-2"/>
              </w:rPr>
            </w:pPr>
            <w:r w:rsidRPr="00114FC0">
              <w:rPr>
                <w:color w:val="000000"/>
                <w:spacing w:val="-2"/>
              </w:rPr>
              <w:t>Dominantní roli sehrála (podobně jako v letech nejsilnější konjunktury) výroba dopravních prostředků, když v roce 2015 přispěla k meziročnímu růstu v celém průmyslu téměř z poloviny (čtvrtinu dále v úhrnu přidal</w:t>
            </w:r>
            <w:r w:rsidR="00690A25">
              <w:rPr>
                <w:color w:val="000000"/>
                <w:spacing w:val="-2"/>
              </w:rPr>
              <w:t xml:space="preserve">y hlavní subdodavatelské obory </w:t>
            </w:r>
            <w:r w:rsidR="00690A25">
              <w:t>–</w:t>
            </w:r>
            <w:r w:rsidRPr="00114FC0">
              <w:rPr>
                <w:color w:val="000000"/>
                <w:spacing w:val="-2"/>
              </w:rPr>
              <w:t xml:space="preserve"> výroba elektrických zařízení a</w:t>
            </w:r>
            <w:r w:rsidR="00A81094">
              <w:rPr>
                <w:color w:val="000000" w:themeColor="text1"/>
                <w:spacing w:val="-4"/>
              </w:rPr>
              <w:t xml:space="preserve"> výrob</w:t>
            </w:r>
            <w:r w:rsidR="007C010B">
              <w:rPr>
                <w:color w:val="000000" w:themeColor="text1"/>
                <w:spacing w:val="-4"/>
              </w:rPr>
              <w:t>a</w:t>
            </w:r>
            <w:r w:rsidR="00A81094" w:rsidRPr="00BD254C">
              <w:rPr>
                <w:color w:val="000000" w:themeColor="text1"/>
                <w:spacing w:val="-4"/>
              </w:rPr>
              <w:t xml:space="preserve"> pryžových a plastových výrobků</w:t>
            </w:r>
            <w:r w:rsidRPr="00114FC0">
              <w:rPr>
                <w:color w:val="000000"/>
                <w:spacing w:val="-2"/>
              </w:rPr>
              <w:t>). Produkce výrobců motorových vozidel rostla ze všech zpracovatelských oborů nejdynamičtěji (+11,5 %). Byl překonán dosavadní rekord v počtu vyrobených osobních automobilů, dařilo se ale i výrobcům auto</w:t>
            </w:r>
            <w:r w:rsidR="00690A25">
              <w:rPr>
                <w:color w:val="000000"/>
                <w:spacing w:val="-2"/>
              </w:rPr>
              <w:t xml:space="preserve">busů a nákladních vozů. Naopak </w:t>
            </w:r>
            <w:r w:rsidRPr="00114FC0">
              <w:rPr>
                <w:color w:val="000000"/>
                <w:spacing w:val="-2"/>
              </w:rPr>
              <w:t>produkce počítačů, elektronických a optických přístrojů, která byla v předchozích dvou letech nejdynamičtějším oborem, v průběhu roku zpomalovala (z 8,4 % v 1.</w:t>
            </w:r>
            <w:r w:rsidR="009867BC" w:rsidRPr="00114FC0">
              <w:rPr>
                <w:color w:val="0D0D0D" w:themeColor="text1" w:themeTint="F2"/>
                <w:spacing w:val="-2"/>
              </w:rPr>
              <w:t> </w:t>
            </w:r>
            <w:r w:rsidRPr="00114FC0">
              <w:rPr>
                <w:color w:val="000000"/>
                <w:spacing w:val="-2"/>
              </w:rPr>
              <w:t xml:space="preserve">čtvrtletí k faktické stagnaci na konci roku). S nepříznivými tendencemi </w:t>
            </w:r>
            <w:r w:rsidRPr="00114FC0">
              <w:rPr>
                <w:color w:val="000000"/>
                <w:spacing w:val="-2"/>
              </w:rPr>
              <w:lastRenderedPageBreak/>
              <w:t xml:space="preserve">se v průběhu roku 2015 potýkaly také hutnictví a zejména chemický </w:t>
            </w:r>
            <w:r w:rsidRPr="001A4C0D">
              <w:rPr>
                <w:color w:val="000000"/>
                <w:spacing w:val="-6"/>
              </w:rPr>
              <w:t>průmysl, jejichž produkce ve 2. pololetí mezir</w:t>
            </w:r>
            <w:r w:rsidR="006B23A9" w:rsidRPr="001A4C0D">
              <w:rPr>
                <w:color w:val="000000"/>
                <w:spacing w:val="-6"/>
              </w:rPr>
              <w:t>očně oslabila o více než 4 %</w:t>
            </w:r>
            <w:r w:rsidR="00690A25" w:rsidRPr="001A4C0D">
              <w:rPr>
                <w:color w:val="000000"/>
                <w:spacing w:val="-6"/>
              </w:rPr>
              <w:t>,</w:t>
            </w:r>
            <w:r w:rsidR="006B23A9" w:rsidRPr="001A4C0D">
              <w:rPr>
                <w:color w:val="000000"/>
                <w:spacing w:val="-2"/>
              </w:rPr>
              <w:t xml:space="preserve"> re</w:t>
            </w:r>
            <w:r w:rsidRPr="001A4C0D">
              <w:rPr>
                <w:color w:val="000000"/>
                <w:spacing w:val="-2"/>
              </w:rPr>
              <w:t>s</w:t>
            </w:r>
            <w:r w:rsidR="006B23A9" w:rsidRPr="001A4C0D">
              <w:rPr>
                <w:color w:val="000000"/>
                <w:spacing w:val="-2"/>
              </w:rPr>
              <w:t>p</w:t>
            </w:r>
            <w:r w:rsidRPr="001A4C0D">
              <w:rPr>
                <w:color w:val="000000"/>
                <w:spacing w:val="-2"/>
              </w:rPr>
              <w:t>.</w:t>
            </w:r>
            <w:r w:rsidR="00690A25" w:rsidRPr="001A4C0D">
              <w:rPr>
                <w:color w:val="000000"/>
                <w:spacing w:val="-2"/>
              </w:rPr>
              <w:t> </w:t>
            </w:r>
            <w:r w:rsidRPr="001A4C0D">
              <w:rPr>
                <w:color w:val="000000"/>
                <w:spacing w:val="-2"/>
              </w:rPr>
              <w:t>13</w:t>
            </w:r>
            <w:r w:rsidR="001A4C0D" w:rsidRPr="001A4C0D">
              <w:rPr>
                <w:color w:val="000000"/>
                <w:spacing w:val="-2"/>
              </w:rPr>
              <w:t> </w:t>
            </w:r>
            <w:r w:rsidRPr="001A4C0D">
              <w:rPr>
                <w:color w:val="000000"/>
                <w:spacing w:val="-2"/>
              </w:rPr>
              <w:t>%. Mírnými, ale stabilními tempy se v posledních letech navyšovala produkce ve</w:t>
            </w:r>
            <w:r w:rsidR="00114FC0" w:rsidRPr="001A4C0D">
              <w:rPr>
                <w:color w:val="000000"/>
                <w:spacing w:val="-2"/>
              </w:rPr>
              <w:t> </w:t>
            </w:r>
            <w:r w:rsidRPr="001A4C0D">
              <w:rPr>
                <w:color w:val="000000"/>
                <w:spacing w:val="-2"/>
              </w:rPr>
              <w:t>váhově významných a vnitřně diverzifikovaných odvětvích – strojírenství a</w:t>
            </w:r>
            <w:r w:rsidR="007C010B">
              <w:rPr>
                <w:color w:val="000000"/>
                <w:spacing w:val="-2"/>
              </w:rPr>
              <w:t xml:space="preserve"> </w:t>
            </w:r>
            <w:r w:rsidRPr="001A4C0D">
              <w:rPr>
                <w:color w:val="000000"/>
                <w:spacing w:val="-2"/>
              </w:rPr>
              <w:t>také</w:t>
            </w:r>
            <w:r w:rsidR="007C010B">
              <w:rPr>
                <w:color w:val="000000"/>
                <w:spacing w:val="-2"/>
              </w:rPr>
              <w:t xml:space="preserve"> </w:t>
            </w:r>
            <w:r w:rsidRPr="001A4C0D">
              <w:rPr>
                <w:color w:val="000000"/>
                <w:spacing w:val="-2"/>
              </w:rPr>
              <w:t xml:space="preserve">potravinářství (kde růst </w:t>
            </w:r>
            <w:r w:rsidR="001D7C6F" w:rsidRPr="001A4C0D">
              <w:rPr>
                <w:color w:val="000000"/>
                <w:spacing w:val="-2"/>
              </w:rPr>
              <w:t>o</w:t>
            </w:r>
            <w:r w:rsidR="009867BC" w:rsidRPr="001A4C0D">
              <w:rPr>
                <w:color w:val="0D0D0D" w:themeColor="text1" w:themeTint="F2"/>
                <w:spacing w:val="-2"/>
              </w:rPr>
              <w:t> </w:t>
            </w:r>
            <w:r w:rsidRPr="001A4C0D">
              <w:rPr>
                <w:color w:val="000000"/>
                <w:spacing w:val="-2"/>
              </w:rPr>
              <w:t>4,6 % znamenal nejvyšší dynamiku po roce 2001</w:t>
            </w:r>
            <w:r w:rsidRPr="00114FC0">
              <w:rPr>
                <w:color w:val="000000"/>
                <w:spacing w:val="-2"/>
              </w:rPr>
              <w:t>).</w:t>
            </w:r>
          </w:p>
          <w:p w:rsidR="00905A11" w:rsidRPr="00114FC0" w:rsidRDefault="00905A11" w:rsidP="00611531">
            <w:pPr>
              <w:pStyle w:val="Textpoznpodarou"/>
              <w:jc w:val="both"/>
              <w:rPr>
                <w:color w:val="000000" w:themeColor="text1"/>
                <w:spacing w:val="-4"/>
                <w:sz w:val="16"/>
                <w:szCs w:val="16"/>
              </w:rPr>
            </w:pPr>
          </w:p>
        </w:tc>
      </w:tr>
      <w:tr w:rsidR="00905A11" w:rsidTr="00611531">
        <w:tc>
          <w:tcPr>
            <w:tcW w:w="1090" w:type="pct"/>
          </w:tcPr>
          <w:p w:rsidR="00905A11" w:rsidRDefault="00905A11" w:rsidP="00611531">
            <w:pPr>
              <w:spacing w:line="240" w:lineRule="auto"/>
              <w:rPr>
                <w:sz w:val="16"/>
                <w:szCs w:val="16"/>
              </w:rPr>
            </w:pPr>
            <w:r>
              <w:rPr>
                <w:sz w:val="16"/>
                <w:szCs w:val="16"/>
              </w:rPr>
              <w:lastRenderedPageBreak/>
              <w:t>Vyšší poptávka ze zahraniční napomohla k prvnímu oživení oděvního průmyslu po deseti letech</w:t>
            </w:r>
          </w:p>
          <w:p w:rsidR="00905A11" w:rsidRDefault="00905A11" w:rsidP="00611531">
            <w:pPr>
              <w:spacing w:line="240" w:lineRule="auto"/>
              <w:rPr>
                <w:sz w:val="16"/>
                <w:szCs w:val="16"/>
              </w:rPr>
            </w:pPr>
          </w:p>
          <w:p w:rsidR="00905A11" w:rsidRDefault="00905A11" w:rsidP="00611531">
            <w:pPr>
              <w:spacing w:line="240" w:lineRule="auto"/>
              <w:rPr>
                <w:sz w:val="16"/>
                <w:szCs w:val="16"/>
              </w:rPr>
            </w:pPr>
          </w:p>
          <w:p w:rsidR="00905A11" w:rsidRDefault="00323CF7" w:rsidP="00611531">
            <w:pPr>
              <w:spacing w:line="240" w:lineRule="auto"/>
              <w:rPr>
                <w:sz w:val="16"/>
                <w:szCs w:val="16"/>
              </w:rPr>
            </w:pPr>
            <w:r>
              <w:rPr>
                <w:sz w:val="16"/>
                <w:szCs w:val="16"/>
              </w:rPr>
              <w:t>Úrovně</w:t>
            </w:r>
            <w:r w:rsidR="00905A11">
              <w:rPr>
                <w:sz w:val="16"/>
                <w:szCs w:val="16"/>
              </w:rPr>
              <w:t xml:space="preserve"> reálné produkce z vrcholu konjunktury stále nedosáhla téměř polovina zpracovatelských oborů,</w:t>
            </w:r>
          </w:p>
          <w:p w:rsidR="00905A11" w:rsidRPr="00DA1318" w:rsidRDefault="00905A11" w:rsidP="00611531">
            <w:pPr>
              <w:spacing w:line="240" w:lineRule="auto"/>
              <w:rPr>
                <w:sz w:val="16"/>
                <w:szCs w:val="16"/>
              </w:rPr>
            </w:pPr>
            <w:r>
              <w:rPr>
                <w:sz w:val="16"/>
                <w:szCs w:val="16"/>
              </w:rPr>
              <w:t>u producentů motorových vozidel již však byla o téměř dvě třetiny vyšší</w:t>
            </w:r>
          </w:p>
        </w:tc>
        <w:tc>
          <w:tcPr>
            <w:tcW w:w="145" w:type="pct"/>
          </w:tcPr>
          <w:p w:rsidR="00905A11" w:rsidRDefault="00905A11" w:rsidP="00611531">
            <w:pPr>
              <w:pStyle w:val="Textpoznpodarou"/>
              <w:jc w:val="both"/>
              <w:rPr>
                <w:spacing w:val="-2"/>
              </w:rPr>
            </w:pPr>
          </w:p>
        </w:tc>
        <w:tc>
          <w:tcPr>
            <w:tcW w:w="3765" w:type="pct"/>
          </w:tcPr>
          <w:p w:rsidR="00905A11" w:rsidRPr="000239E8" w:rsidRDefault="00905A11" w:rsidP="00611531">
            <w:pPr>
              <w:pStyle w:val="Textpoznpodarou"/>
              <w:jc w:val="both"/>
              <w:rPr>
                <w:color w:val="000000" w:themeColor="text1"/>
                <w:spacing w:val="-4"/>
              </w:rPr>
            </w:pPr>
            <w:r>
              <w:rPr>
                <w:color w:val="000000"/>
                <w:spacing w:val="-4"/>
              </w:rPr>
              <w:t>Meziročně vyšší produkce dosáhla v roce 2015 i většina menších</w:t>
            </w:r>
            <w:r w:rsidR="00323CF7">
              <w:rPr>
                <w:color w:val="000000"/>
                <w:spacing w:val="-4"/>
              </w:rPr>
              <w:t>,</w:t>
            </w:r>
            <w:r>
              <w:rPr>
                <w:color w:val="000000"/>
                <w:spacing w:val="-4"/>
              </w:rPr>
              <w:t xml:space="preserve"> </w:t>
            </w:r>
            <w:r w:rsidRPr="007D58A5">
              <w:rPr>
                <w:color w:val="000000"/>
                <w:spacing w:val="-4"/>
              </w:rPr>
              <w:t>dlouh</w:t>
            </w:r>
            <w:r>
              <w:rPr>
                <w:color w:val="000000"/>
                <w:spacing w:val="-4"/>
              </w:rPr>
              <w:t>odobě spíše útlumových odvětví</w:t>
            </w:r>
            <w:r w:rsidRPr="007D58A5">
              <w:rPr>
                <w:color w:val="000000"/>
                <w:spacing w:val="-4"/>
              </w:rPr>
              <w:t>.</w:t>
            </w:r>
            <w:r>
              <w:rPr>
                <w:color w:val="000000"/>
                <w:spacing w:val="-4"/>
              </w:rPr>
              <w:t xml:space="preserve"> U výrobců oděvů profitujících ze zahraniční poptávky šlo přitom o první růst (o 10,7 %) po d</w:t>
            </w:r>
            <w:r w:rsidR="00A504C0">
              <w:rPr>
                <w:color w:val="000000"/>
                <w:spacing w:val="-4"/>
              </w:rPr>
              <w:t>eseti letech. K tomuto obratu</w:t>
            </w:r>
            <w:r>
              <w:rPr>
                <w:color w:val="000000"/>
                <w:spacing w:val="-4"/>
              </w:rPr>
              <w:t xml:space="preserve"> mohl přispět vývoj některých specializovaných segmentů oboru (např. pracovních či sportovních oděvů). O</w:t>
            </w:r>
            <w:r>
              <w:rPr>
                <w:color w:val="000000" w:themeColor="text1"/>
                <w:spacing w:val="-4"/>
              </w:rPr>
              <w:t>živení v textilním, papírenském či nábytkářském průmyslu trvá již bezmála tři roky. Naopak produkce v tiskárenství a dřevozpracujícím průmyslu se jako u jediných zpracovatelských oborů od doby ukončení poslední recese ekonomiky nezvýšila, (proti roku 2013 byla shodně o téměř 5 % nižší). Přestože produkce celého průmyslu převyšovala v roce 2015 úroveň dosaženou před sedmi lety bezmála o 8 %, téměř polovina zpracovatelský</w:t>
            </w:r>
            <w:r w:rsidR="00A504C0">
              <w:rPr>
                <w:color w:val="000000" w:themeColor="text1"/>
                <w:spacing w:val="-4"/>
              </w:rPr>
              <w:t>ch</w:t>
            </w:r>
            <w:r>
              <w:rPr>
                <w:color w:val="000000" w:themeColor="text1"/>
                <w:spacing w:val="-4"/>
              </w:rPr>
              <w:t xml:space="preserve"> oborů úrovně vrcholu konjunktury stále nedosáhla (výrobci nápojů, oděvů a tiskárenský průmysl byli čtvrtinu pod ní, z větších oborů šlo o</w:t>
            </w:r>
            <w:r w:rsidR="009867BC">
              <w:rPr>
                <w:color w:val="0D0D0D" w:themeColor="text1" w:themeTint="F2"/>
                <w:spacing w:val="-4"/>
              </w:rPr>
              <w:t> </w:t>
            </w:r>
            <w:r>
              <w:rPr>
                <w:color w:val="000000" w:themeColor="text1"/>
                <w:spacing w:val="-4"/>
              </w:rPr>
              <w:t>chemický průmysl, hutnictví a výrobu ostatních nekovových minerálních výrobků).</w:t>
            </w:r>
          </w:p>
          <w:p w:rsidR="00905A11" w:rsidRPr="00114FC0" w:rsidRDefault="00905A11" w:rsidP="00611531">
            <w:pPr>
              <w:pStyle w:val="Textpoznpodarou"/>
              <w:jc w:val="both"/>
              <w:rPr>
                <w:spacing w:val="-4"/>
                <w:sz w:val="16"/>
                <w:szCs w:val="16"/>
              </w:rPr>
            </w:pPr>
          </w:p>
        </w:tc>
      </w:tr>
      <w:tr w:rsidR="00905A11" w:rsidTr="00611531">
        <w:trPr>
          <w:trHeight w:val="269"/>
        </w:trPr>
        <w:tc>
          <w:tcPr>
            <w:tcW w:w="1090" w:type="pct"/>
          </w:tcPr>
          <w:p w:rsidR="00905A11" w:rsidRPr="000B1183" w:rsidRDefault="00905A11" w:rsidP="00611531">
            <w:pPr>
              <w:spacing w:line="240" w:lineRule="auto"/>
              <w:rPr>
                <w:sz w:val="16"/>
                <w:szCs w:val="16"/>
              </w:rPr>
            </w:pPr>
            <w:r w:rsidRPr="000B1183">
              <w:rPr>
                <w:sz w:val="16"/>
                <w:szCs w:val="16"/>
              </w:rPr>
              <w:t>Vysoká meziroční dynamika zahraničních průmyslových zakázek přetrvávala i na sklonku roku, zejména u výrobců motorových vozidel</w:t>
            </w:r>
          </w:p>
          <w:p w:rsidR="00905A11" w:rsidRPr="000B1183" w:rsidRDefault="00905A11" w:rsidP="00611531">
            <w:pPr>
              <w:spacing w:line="240" w:lineRule="auto"/>
              <w:rPr>
                <w:sz w:val="16"/>
                <w:szCs w:val="16"/>
              </w:rPr>
            </w:pPr>
          </w:p>
          <w:p w:rsidR="00905A11" w:rsidRPr="000B1183" w:rsidRDefault="00905A11" w:rsidP="00611531">
            <w:pPr>
              <w:spacing w:line="240" w:lineRule="auto"/>
              <w:rPr>
                <w:sz w:val="16"/>
                <w:szCs w:val="16"/>
              </w:rPr>
            </w:pPr>
          </w:p>
          <w:p w:rsidR="00905A11" w:rsidRPr="000B1183" w:rsidRDefault="00905A11" w:rsidP="00611531">
            <w:pPr>
              <w:spacing w:line="240" w:lineRule="auto"/>
              <w:rPr>
                <w:sz w:val="16"/>
                <w:szCs w:val="16"/>
              </w:rPr>
            </w:pPr>
          </w:p>
          <w:p w:rsidR="00905A11" w:rsidRDefault="00905A11" w:rsidP="00611531">
            <w:pPr>
              <w:spacing w:line="240" w:lineRule="auto"/>
              <w:rPr>
                <w:sz w:val="16"/>
                <w:szCs w:val="16"/>
              </w:rPr>
            </w:pPr>
            <w:r w:rsidRPr="000B1183">
              <w:rPr>
                <w:spacing w:val="-2"/>
                <w:sz w:val="16"/>
                <w:szCs w:val="16"/>
              </w:rPr>
              <w:t>Podíl podniků, které uvádí jako bariéru růstu nedostatek zaměstnanců, byl na sklonku roku 2015 nejvyšší za poslední 4,5 roku</w:t>
            </w:r>
          </w:p>
        </w:tc>
        <w:tc>
          <w:tcPr>
            <w:tcW w:w="145" w:type="pct"/>
          </w:tcPr>
          <w:p w:rsidR="00905A11" w:rsidRPr="00636F97" w:rsidRDefault="00905A11" w:rsidP="00611531">
            <w:pPr>
              <w:rPr>
                <w:spacing w:val="-4"/>
                <w:szCs w:val="20"/>
              </w:rPr>
            </w:pPr>
          </w:p>
        </w:tc>
        <w:tc>
          <w:tcPr>
            <w:tcW w:w="3765" w:type="pct"/>
          </w:tcPr>
          <w:p w:rsidR="00905A11" w:rsidRPr="00FE16E6" w:rsidRDefault="00905A11" w:rsidP="00611531">
            <w:pPr>
              <w:pStyle w:val="Textpoznpodarou"/>
              <w:jc w:val="both"/>
              <w:rPr>
                <w:color w:val="000000"/>
                <w:spacing w:val="-4"/>
              </w:rPr>
            </w:pPr>
            <w:r>
              <w:rPr>
                <w:color w:val="000000"/>
                <w:spacing w:val="-4"/>
              </w:rPr>
              <w:t>Stabilní růst zahraničních zakázek, jakož i výsledky konjunkturálních průzkumů naznačují minimálně v krátkodobém horizontu pokračující příznivé vyhlídky průmyslu. Hodnota nových zakázek byla meziročně vyšší ve všech měsících roku, přestože jejich tempa již většinou nedosahovala loňských dvouciferných hodnot. Dynamika pro většinu oborů klíčových zahraničních zakázek nepolevovala ani ve 4. čtvrtletí (+9,2</w:t>
            </w:r>
            <w:r w:rsidR="009867BC">
              <w:rPr>
                <w:color w:val="0D0D0D" w:themeColor="text1" w:themeTint="F2"/>
                <w:spacing w:val="-4"/>
              </w:rPr>
              <w:t> </w:t>
            </w:r>
            <w:r>
              <w:rPr>
                <w:color w:val="000000"/>
                <w:spacing w:val="-4"/>
              </w:rPr>
              <w:t>%, u výrobců motorových vozidel dokonce posílila na 21,5 %). Ve 2. pololetí naopak mírně klesala hodnota domácích zakázek, vlivem vývoje v hutnictví, strojírenství a především prudkých propadů v chemickém průmyslu.</w:t>
            </w:r>
            <w:r>
              <w:rPr>
                <w:color w:val="000000" w:themeColor="text1"/>
                <w:spacing w:val="-4"/>
              </w:rPr>
              <w:t xml:space="preserve"> Přetrvává</w:t>
            </w:r>
            <w:r w:rsidRPr="00D13397">
              <w:rPr>
                <w:color w:val="000000" w:themeColor="text1"/>
                <w:spacing w:val="-4"/>
              </w:rPr>
              <w:t xml:space="preserve"> mírně poziti</w:t>
            </w:r>
            <w:r>
              <w:rPr>
                <w:color w:val="000000" w:themeColor="text1"/>
                <w:spacing w:val="-4"/>
              </w:rPr>
              <w:t xml:space="preserve">vní důvěra podnikatelů v průmyslu, sezóně očištěná salda indikátorů důvěry dosahují stabilních hodnot již dva roky (po mírném poklesu ve 4. čtvrtletí se na počátku roku 2016 opět vrátily na úroveň typickou pro většinu předchozího roku). </w:t>
            </w:r>
            <w:r w:rsidR="00FE16E6">
              <w:rPr>
                <w:color w:val="000000"/>
                <w:spacing w:val="-4"/>
              </w:rPr>
              <w:t xml:space="preserve"> </w:t>
            </w:r>
            <w:r>
              <w:rPr>
                <w:color w:val="000000" w:themeColor="text1"/>
                <w:spacing w:val="-4"/>
              </w:rPr>
              <w:t>Mezi bariérami růstu podniků mírně klesá význam vlivu nedostatečné poptávky, roste role nedostatku materiálu či zařízení a zejména zaměstnanců (na počátku roku 2016 již u 15,4 % podniků, o rok dříve jen u 6,7 %</w:t>
            </w:r>
            <w:r w:rsidR="0066796E">
              <w:rPr>
                <w:color w:val="000000" w:themeColor="text1"/>
                <w:spacing w:val="-4"/>
              </w:rPr>
              <w:t xml:space="preserve">). </w:t>
            </w:r>
            <w:r>
              <w:rPr>
                <w:color w:val="000000" w:themeColor="text1"/>
                <w:spacing w:val="-4"/>
              </w:rPr>
              <w:t>P</w:t>
            </w:r>
            <w:r w:rsidRPr="00D46F47">
              <w:rPr>
                <w:color w:val="000000" w:themeColor="text1"/>
                <w:spacing w:val="-4"/>
              </w:rPr>
              <w:t>řízn</w:t>
            </w:r>
            <w:r>
              <w:rPr>
                <w:color w:val="000000" w:themeColor="text1"/>
                <w:spacing w:val="-4"/>
              </w:rPr>
              <w:t>ivý vývoj zahraniční poptávky</w:t>
            </w:r>
            <w:r w:rsidRPr="00D46F47">
              <w:rPr>
                <w:color w:val="000000" w:themeColor="text1"/>
                <w:spacing w:val="-4"/>
              </w:rPr>
              <w:t xml:space="preserve"> </w:t>
            </w:r>
            <w:r>
              <w:rPr>
                <w:color w:val="000000" w:themeColor="text1"/>
                <w:spacing w:val="-4"/>
              </w:rPr>
              <w:t>v celém průmyslu ale prosakuje</w:t>
            </w:r>
            <w:r w:rsidRPr="00D46F47">
              <w:rPr>
                <w:color w:val="000000" w:themeColor="text1"/>
                <w:spacing w:val="-4"/>
              </w:rPr>
              <w:t xml:space="preserve"> do sílících růstových temp zaměstnanosti i mezd</w:t>
            </w:r>
            <w:r>
              <w:rPr>
                <w:color w:val="000000" w:themeColor="text1"/>
                <w:spacing w:val="-4"/>
              </w:rPr>
              <w:t>. V samotném 4. čtvrtletí vzrostl průměrný evidenční počet zaměstnanců v průmyslu (u</w:t>
            </w:r>
            <w:r w:rsidR="009867BC">
              <w:rPr>
                <w:color w:val="0D0D0D" w:themeColor="text1" w:themeTint="F2"/>
                <w:spacing w:val="-4"/>
              </w:rPr>
              <w:t> </w:t>
            </w:r>
            <w:r>
              <w:rPr>
                <w:color w:val="000000" w:themeColor="text1"/>
                <w:spacing w:val="-4"/>
              </w:rPr>
              <w:t>podniků s 50 a víc</w:t>
            </w:r>
            <w:r w:rsidR="00A81094">
              <w:rPr>
                <w:color w:val="000000" w:themeColor="text1"/>
                <w:spacing w:val="-4"/>
              </w:rPr>
              <w:t>e zaměstnanci) meziročně již 3</w:t>
            </w:r>
            <w:r>
              <w:rPr>
                <w:color w:val="000000" w:themeColor="text1"/>
                <w:spacing w:val="-4"/>
              </w:rPr>
              <w:t xml:space="preserve"> % (s nejvyšší dynamik</w:t>
            </w:r>
            <w:r w:rsidR="00BD254C">
              <w:rPr>
                <w:color w:val="000000" w:themeColor="text1"/>
                <w:spacing w:val="-4"/>
              </w:rPr>
              <w:t>ou ve výrobě</w:t>
            </w:r>
            <w:r w:rsidR="00BD254C" w:rsidRPr="00BD254C">
              <w:rPr>
                <w:color w:val="000000" w:themeColor="text1"/>
                <w:spacing w:val="-4"/>
              </w:rPr>
              <w:t xml:space="preserve"> pryžových a plastových výrobků</w:t>
            </w:r>
            <w:r w:rsidR="0058366F">
              <w:rPr>
                <w:color w:val="000000" w:themeColor="text1"/>
                <w:spacing w:val="-4"/>
              </w:rPr>
              <w:t>, výrobě počítačů</w:t>
            </w:r>
            <w:r w:rsidR="00A81094">
              <w:rPr>
                <w:color w:val="000000" w:themeColor="text1"/>
                <w:spacing w:val="-4"/>
              </w:rPr>
              <w:t xml:space="preserve"> </w:t>
            </w:r>
            <w:r>
              <w:rPr>
                <w:color w:val="000000" w:themeColor="text1"/>
                <w:spacing w:val="-4"/>
              </w:rPr>
              <w:t>a automobi</w:t>
            </w:r>
            <w:r w:rsidR="0066796E">
              <w:rPr>
                <w:color w:val="000000" w:themeColor="text1"/>
                <w:spacing w:val="-4"/>
              </w:rPr>
              <w:t xml:space="preserve">lovém průmyslu). Podniky </w:t>
            </w:r>
            <w:r>
              <w:rPr>
                <w:color w:val="000000" w:themeColor="text1"/>
                <w:spacing w:val="-4"/>
              </w:rPr>
              <w:t>ve větší míře převáděly „osvědčené“ agenturní pracovníky do svých kmenových stavů.</w:t>
            </w:r>
          </w:p>
          <w:p w:rsidR="00905A11" w:rsidRPr="00114FC0" w:rsidRDefault="00905A11" w:rsidP="00611531">
            <w:pPr>
              <w:pStyle w:val="Textpoznpodarou"/>
              <w:jc w:val="both"/>
              <w:rPr>
                <w:spacing w:val="-4"/>
                <w:sz w:val="16"/>
                <w:szCs w:val="16"/>
              </w:rPr>
            </w:pPr>
          </w:p>
        </w:tc>
      </w:tr>
      <w:tr w:rsidR="00905A11" w:rsidTr="00611531">
        <w:tc>
          <w:tcPr>
            <w:tcW w:w="1090" w:type="pct"/>
          </w:tcPr>
          <w:p w:rsidR="00905A11" w:rsidRPr="00CC67DF" w:rsidRDefault="00905A11" w:rsidP="00611531">
            <w:pPr>
              <w:spacing w:line="240" w:lineRule="auto"/>
              <w:rPr>
                <w:spacing w:val="-4"/>
                <w:sz w:val="16"/>
                <w:szCs w:val="16"/>
              </w:rPr>
            </w:pPr>
            <w:r w:rsidRPr="00CC67DF">
              <w:rPr>
                <w:spacing w:val="-4"/>
                <w:sz w:val="16"/>
                <w:szCs w:val="16"/>
              </w:rPr>
              <w:t>Těžiště růstu průmyslové produkce v EU je dlouhodobě soustředěno do strategicky položených konvergujících (především středoevropských) ekonomik, a to</w:t>
            </w:r>
            <w:r w:rsidRPr="00CC67DF">
              <w:rPr>
                <w:color w:val="000000" w:themeColor="text1"/>
                <w:spacing w:val="-4"/>
                <w:sz w:val="16"/>
                <w:szCs w:val="16"/>
              </w:rPr>
              <w:t xml:space="preserve"> především zásluhou odvětví vyrábějících investiční produkty</w:t>
            </w:r>
          </w:p>
        </w:tc>
        <w:tc>
          <w:tcPr>
            <w:tcW w:w="145" w:type="pct"/>
          </w:tcPr>
          <w:p w:rsidR="00905A11" w:rsidRDefault="00905A11" w:rsidP="00611531">
            <w:pPr>
              <w:pStyle w:val="Textpoznpodarou"/>
              <w:jc w:val="both"/>
            </w:pPr>
          </w:p>
        </w:tc>
        <w:tc>
          <w:tcPr>
            <w:tcW w:w="3765" w:type="pct"/>
          </w:tcPr>
          <w:p w:rsidR="00905A11" w:rsidRDefault="00905A11" w:rsidP="00611531">
            <w:pPr>
              <w:pStyle w:val="Textpoznpodarou"/>
              <w:jc w:val="both"/>
              <w:rPr>
                <w:color w:val="000000" w:themeColor="text1"/>
                <w:spacing w:val="-4"/>
              </w:rPr>
            </w:pPr>
            <w:r>
              <w:rPr>
                <w:color w:val="000000" w:themeColor="text1"/>
                <w:spacing w:val="-4"/>
              </w:rPr>
              <w:t xml:space="preserve">Česko patří v kontextu celé EU dlouhodobě k zemím s nadprůměrnou dynamikou průmyslové produkce. Ta se v roce 2015 zvyšovala pátým nejrychlejším tempem ze </w:t>
            </w:r>
            <w:r w:rsidRPr="00BB4D26">
              <w:rPr>
                <w:color w:val="000000" w:themeColor="text1"/>
                <w:spacing w:val="-6"/>
              </w:rPr>
              <w:t xml:space="preserve">všech zemí EU (o rok dříve čtvrtým). Vyšší dynamiky docílilo </w:t>
            </w:r>
            <w:r w:rsidR="00BB4D26" w:rsidRPr="00BB4D26">
              <w:rPr>
                <w:color w:val="000000" w:themeColor="text1"/>
                <w:spacing w:val="-6"/>
              </w:rPr>
              <w:t>např.</w:t>
            </w:r>
            <w:r w:rsidRPr="00BB4D26">
              <w:rPr>
                <w:color w:val="000000" w:themeColor="text1"/>
                <w:spacing w:val="-6"/>
              </w:rPr>
              <w:t xml:space="preserve"> Maďarsko (+7,3</w:t>
            </w:r>
            <w:r>
              <w:rPr>
                <w:color w:val="000000" w:themeColor="text1"/>
                <w:spacing w:val="-4"/>
              </w:rPr>
              <w:t xml:space="preserve"> %) a Slovensko (+5,9 %). Irsko (s méně významným a odvětvově velmi specializovaným průmys</w:t>
            </w:r>
            <w:r w:rsidR="00A504C0">
              <w:rPr>
                <w:color w:val="000000" w:themeColor="text1"/>
                <w:spacing w:val="-4"/>
              </w:rPr>
              <w:t>lem) si již druhý rok po sobě</w:t>
            </w:r>
            <w:r>
              <w:rPr>
                <w:color w:val="000000" w:themeColor="text1"/>
                <w:spacing w:val="-4"/>
              </w:rPr>
              <w:t xml:space="preserve"> připsalo </w:t>
            </w:r>
            <w:r w:rsidR="005A77E4">
              <w:rPr>
                <w:color w:val="000000" w:themeColor="text1"/>
                <w:spacing w:val="-4"/>
              </w:rPr>
              <w:t>značný</w:t>
            </w:r>
            <w:r>
              <w:rPr>
                <w:color w:val="000000" w:themeColor="text1"/>
                <w:spacing w:val="-4"/>
              </w:rPr>
              <w:t xml:space="preserve"> růst (v rozmezí 18 až 21 %), naopak</w:t>
            </w:r>
            <w:r w:rsidR="005A77E4">
              <w:rPr>
                <w:color w:val="000000" w:themeColor="text1"/>
                <w:spacing w:val="-4"/>
              </w:rPr>
              <w:t xml:space="preserve"> např. v Německu v</w:t>
            </w:r>
            <w:r>
              <w:rPr>
                <w:color w:val="000000" w:themeColor="text1"/>
                <w:spacing w:val="-4"/>
              </w:rPr>
              <w:t xml:space="preserve"> </w:t>
            </w:r>
            <w:r w:rsidR="005A77E4">
              <w:rPr>
                <w:color w:val="000000" w:themeColor="text1"/>
                <w:spacing w:val="-4"/>
              </w:rPr>
              <w:t>tutéž</w:t>
            </w:r>
            <w:r>
              <w:rPr>
                <w:color w:val="000000" w:themeColor="text1"/>
                <w:spacing w:val="-4"/>
              </w:rPr>
              <w:t xml:space="preserve"> dobu osciloval</w:t>
            </w:r>
            <w:r w:rsidR="005A77E4">
              <w:rPr>
                <w:color w:val="000000" w:themeColor="text1"/>
                <w:spacing w:val="-4"/>
              </w:rPr>
              <w:t xml:space="preserve"> jen</w:t>
            </w:r>
            <w:r>
              <w:rPr>
                <w:color w:val="000000" w:themeColor="text1"/>
                <w:spacing w:val="-4"/>
              </w:rPr>
              <w:t xml:space="preserve"> kolem 1 %. V EU (2,2 %) podobně jako v ČR (6,7 %) nejvíce posílila odvětví zaměřená na produkci výrobků investiční povahy. Česko patří do skupiny dvanácti zemí, které již překonaly předkrizovou úroveň (rok 2008) průmyslové produkce. Jde převážně o konvergující ekonomiky (vč. ČR), tuto metu překonalo také Irsko (o 40 %) a těšně též Rakousko či Německo. Čtvrtinu pod touto hladinou stále setrvávají Itálie, Španělsko či Finsko.</w:t>
            </w:r>
          </w:p>
          <w:p w:rsidR="00905A11" w:rsidRPr="00114FC0" w:rsidRDefault="00905A11" w:rsidP="00611531">
            <w:pPr>
              <w:pStyle w:val="Textpoznpodarou"/>
              <w:jc w:val="both"/>
              <w:rPr>
                <w:color w:val="000000" w:themeColor="text1"/>
                <w:spacing w:val="-4"/>
                <w:sz w:val="16"/>
                <w:szCs w:val="16"/>
              </w:rPr>
            </w:pPr>
          </w:p>
        </w:tc>
      </w:tr>
      <w:tr w:rsidR="00905A11" w:rsidTr="00611531">
        <w:tc>
          <w:tcPr>
            <w:tcW w:w="1090" w:type="pct"/>
          </w:tcPr>
          <w:p w:rsidR="00905A11" w:rsidRDefault="00905A11" w:rsidP="00611531">
            <w:pPr>
              <w:spacing w:line="240" w:lineRule="auto"/>
              <w:rPr>
                <w:sz w:val="16"/>
                <w:szCs w:val="16"/>
              </w:rPr>
            </w:pPr>
            <w:r>
              <w:rPr>
                <w:sz w:val="16"/>
                <w:szCs w:val="16"/>
              </w:rPr>
              <w:t>Ráz stavebnictví v roce 2015 z velké části určovalo dočepování evropských prostředků na dopravní stavby</w:t>
            </w:r>
          </w:p>
        </w:tc>
        <w:tc>
          <w:tcPr>
            <w:tcW w:w="145" w:type="pct"/>
          </w:tcPr>
          <w:p w:rsidR="00905A11" w:rsidRDefault="00905A11" w:rsidP="00611531">
            <w:pPr>
              <w:pStyle w:val="Textpoznpodarou"/>
              <w:jc w:val="both"/>
              <w:rPr>
                <w:spacing w:val="-2"/>
              </w:rPr>
            </w:pPr>
          </w:p>
        </w:tc>
        <w:tc>
          <w:tcPr>
            <w:tcW w:w="3765" w:type="pct"/>
          </w:tcPr>
          <w:p w:rsidR="00905A11" w:rsidRPr="00114FC0" w:rsidRDefault="00905A11" w:rsidP="00611531">
            <w:pPr>
              <w:pStyle w:val="Textpoznpodarou"/>
              <w:jc w:val="both"/>
            </w:pPr>
            <w:r w:rsidRPr="00114FC0">
              <w:t xml:space="preserve">Klíčový rámec pro výsledky stavebnictví v roce 2015 představovala akcelerace veřejných investic do inženýrských staveb v souvislosti s dočerpáváním financí z rozpočtu EU v končícím programovacím období. Poněkud nezřetelně se naopak dosud projevuje vliv výrazného oživení ekonomiky, když např. produkce pozemního stavitelství proti svému </w:t>
            </w:r>
            <w:r w:rsidR="00250E0D">
              <w:t>dnu z roku 2013 vzrostla jen o 6</w:t>
            </w:r>
            <w:r w:rsidRPr="00114FC0">
              <w:t xml:space="preserve"> %. Ze zkušeností z dřívější vleklé recese odvětví a přetrvávající nejistoty v souvislosti </w:t>
            </w:r>
            <w:r w:rsidR="00EB03D4">
              <w:t>s </w:t>
            </w:r>
            <w:r w:rsidRPr="00114FC0">
              <w:t xml:space="preserve">odezněním „dopingového“ efektu silného čerpání evropských dotací přistupují stavební firmy opatrně také k tvorbě nových pracovních míst. </w:t>
            </w:r>
          </w:p>
          <w:p w:rsidR="00905A11" w:rsidRPr="00114FC0" w:rsidRDefault="00905A11" w:rsidP="00611531">
            <w:pPr>
              <w:pStyle w:val="Textpoznpodarou"/>
              <w:jc w:val="both"/>
              <w:rPr>
                <w:spacing w:val="-4"/>
                <w:sz w:val="16"/>
                <w:szCs w:val="16"/>
              </w:rPr>
            </w:pPr>
          </w:p>
        </w:tc>
      </w:tr>
      <w:tr w:rsidR="00905A11" w:rsidTr="00611531">
        <w:tc>
          <w:tcPr>
            <w:tcW w:w="1090" w:type="pct"/>
          </w:tcPr>
          <w:p w:rsidR="00905A11" w:rsidRPr="000B1183" w:rsidRDefault="00905A11" w:rsidP="00611531">
            <w:pPr>
              <w:spacing w:line="240" w:lineRule="auto"/>
              <w:rPr>
                <w:sz w:val="16"/>
                <w:szCs w:val="16"/>
              </w:rPr>
            </w:pPr>
            <w:r w:rsidRPr="000B1183">
              <w:rPr>
                <w:sz w:val="16"/>
                <w:szCs w:val="16"/>
              </w:rPr>
              <w:t xml:space="preserve">Sílící tlak na dočerpání prostředků z rozpočtu EU </w:t>
            </w:r>
            <w:r w:rsidRPr="000B1183">
              <w:rPr>
                <w:sz w:val="16"/>
                <w:szCs w:val="16"/>
              </w:rPr>
              <w:lastRenderedPageBreak/>
              <w:t xml:space="preserve">alokovaných na rozvoj dopravní infrastruktury vyústil v prudký meziroční růst produkce inženýrského stavebnictví, nejvyšší za posledních dvanáct let </w:t>
            </w:r>
          </w:p>
        </w:tc>
        <w:tc>
          <w:tcPr>
            <w:tcW w:w="145" w:type="pct"/>
          </w:tcPr>
          <w:p w:rsidR="00905A11" w:rsidRDefault="00905A11" w:rsidP="00611531">
            <w:pPr>
              <w:pStyle w:val="Textpoznpodarou"/>
              <w:jc w:val="both"/>
              <w:rPr>
                <w:spacing w:val="-2"/>
              </w:rPr>
            </w:pPr>
          </w:p>
        </w:tc>
        <w:tc>
          <w:tcPr>
            <w:tcW w:w="3765" w:type="pct"/>
          </w:tcPr>
          <w:p w:rsidR="00905A11" w:rsidRPr="00114FC0" w:rsidRDefault="00905A11" w:rsidP="00611531">
            <w:pPr>
              <w:pStyle w:val="Textpoznpodarou"/>
              <w:jc w:val="both"/>
              <w:rPr>
                <w:spacing w:val="-2"/>
              </w:rPr>
            </w:pPr>
            <w:r w:rsidRPr="00114FC0">
              <w:rPr>
                <w:spacing w:val="-2"/>
              </w:rPr>
              <w:t xml:space="preserve">Meziroční tempo stavební produkce </w:t>
            </w:r>
            <w:r w:rsidR="00250E0D">
              <w:rPr>
                <w:spacing w:val="-2"/>
              </w:rPr>
              <w:t>v roce 2015 mírně zrychlilo na 7,1</w:t>
            </w:r>
            <w:r w:rsidRPr="00114FC0">
              <w:rPr>
                <w:spacing w:val="-2"/>
              </w:rPr>
              <w:t xml:space="preserve"> % (z 4,3 % z roku 2014). K</w:t>
            </w:r>
            <w:r w:rsidR="00250E0D">
              <w:rPr>
                <w:spacing w:val="-2"/>
              </w:rPr>
              <w:t> růstu celého odvětví ze tří čtvrtin</w:t>
            </w:r>
            <w:r w:rsidRPr="00114FC0">
              <w:rPr>
                <w:spacing w:val="-2"/>
              </w:rPr>
              <w:t xml:space="preserve"> přispělo váhově méně významné </w:t>
            </w:r>
            <w:r w:rsidRPr="00114FC0">
              <w:rPr>
                <w:spacing w:val="-2"/>
              </w:rPr>
              <w:lastRenderedPageBreak/>
              <w:t>inženýrské stavitelství (jehož výkon byl meziročně o šestinu vyšší). V druhé polovině roku však celé stavebnictví ztrácelo dynamiku, když ve 4. čtvrtletí (po odstranění kalendářní</w:t>
            </w:r>
            <w:r w:rsidR="00250E0D">
              <w:rPr>
                <w:spacing w:val="-2"/>
              </w:rPr>
              <w:t>ch vlivů) meziročně posílilo o 1,1</w:t>
            </w:r>
            <w:r w:rsidRPr="00114FC0">
              <w:rPr>
                <w:spacing w:val="-2"/>
              </w:rPr>
              <w:t xml:space="preserve"> % (a současně zaznamenalo již druhý mezičtvrtletní pokles v řadě). Přestože za celý rok se produkce</w:t>
            </w:r>
            <w:r w:rsidR="00250E0D">
              <w:rPr>
                <w:spacing w:val="-2"/>
              </w:rPr>
              <w:t xml:space="preserve"> stavebnictví navýšila nejvíce po roce</w:t>
            </w:r>
            <w:r w:rsidRPr="00114FC0">
              <w:rPr>
                <w:spacing w:val="-2"/>
              </w:rPr>
              <w:t xml:space="preserve"> 2007, proti úrovni konjunkturního roku</w:t>
            </w:r>
            <w:r w:rsidR="00250E0D">
              <w:rPr>
                <w:spacing w:val="-2"/>
              </w:rPr>
              <w:t xml:space="preserve"> 2008 byla stále téměř o 15 % nižší</w:t>
            </w:r>
            <w:r w:rsidRPr="00114FC0">
              <w:rPr>
                <w:spacing w:val="-2"/>
              </w:rPr>
              <w:t>.</w:t>
            </w:r>
          </w:p>
          <w:p w:rsidR="00905A11" w:rsidRPr="000B1183" w:rsidRDefault="00905A11" w:rsidP="00611531">
            <w:pPr>
              <w:pStyle w:val="Textpoznpodarou"/>
              <w:jc w:val="both"/>
              <w:rPr>
                <w:spacing w:val="-4"/>
                <w:sz w:val="12"/>
                <w:szCs w:val="12"/>
              </w:rPr>
            </w:pPr>
          </w:p>
        </w:tc>
      </w:tr>
      <w:tr w:rsidR="00905A11" w:rsidTr="00611531">
        <w:tc>
          <w:tcPr>
            <w:tcW w:w="1090" w:type="pct"/>
          </w:tcPr>
          <w:p w:rsidR="00905A11" w:rsidRPr="00FD73C6" w:rsidRDefault="00905A11" w:rsidP="00611531">
            <w:pPr>
              <w:spacing w:line="240" w:lineRule="auto"/>
              <w:rPr>
                <w:sz w:val="16"/>
                <w:szCs w:val="16"/>
              </w:rPr>
            </w:pPr>
            <w:r>
              <w:rPr>
                <w:sz w:val="16"/>
                <w:szCs w:val="16"/>
              </w:rPr>
              <w:lastRenderedPageBreak/>
              <w:t>Během roku 2015 se</w:t>
            </w:r>
            <w:r w:rsidRPr="00FD73C6">
              <w:rPr>
                <w:sz w:val="16"/>
                <w:szCs w:val="16"/>
              </w:rPr>
              <w:t xml:space="preserve"> celkov</w:t>
            </w:r>
            <w:r>
              <w:rPr>
                <w:sz w:val="16"/>
                <w:szCs w:val="16"/>
              </w:rPr>
              <w:t>á</w:t>
            </w:r>
            <w:r w:rsidRPr="00FD73C6">
              <w:rPr>
                <w:sz w:val="16"/>
                <w:szCs w:val="16"/>
              </w:rPr>
              <w:t xml:space="preserve"> zásob</w:t>
            </w:r>
            <w:r>
              <w:rPr>
                <w:sz w:val="16"/>
                <w:szCs w:val="16"/>
              </w:rPr>
              <w:t>a</w:t>
            </w:r>
            <w:r w:rsidRPr="00FD73C6">
              <w:rPr>
                <w:sz w:val="16"/>
                <w:szCs w:val="16"/>
              </w:rPr>
              <w:t xml:space="preserve"> dosud nerealizovaných</w:t>
            </w:r>
            <w:r>
              <w:rPr>
                <w:sz w:val="16"/>
                <w:szCs w:val="16"/>
              </w:rPr>
              <w:t xml:space="preserve"> stavebních</w:t>
            </w:r>
            <w:r w:rsidRPr="00FD73C6">
              <w:rPr>
                <w:sz w:val="16"/>
                <w:szCs w:val="16"/>
              </w:rPr>
              <w:t xml:space="preserve"> zakázek</w:t>
            </w:r>
            <w:r>
              <w:rPr>
                <w:sz w:val="16"/>
                <w:szCs w:val="16"/>
              </w:rPr>
              <w:t xml:space="preserve"> ztenčila o celou čtvrtinu</w:t>
            </w:r>
          </w:p>
          <w:p w:rsidR="00905A11" w:rsidRDefault="00905A11" w:rsidP="00611531">
            <w:pPr>
              <w:spacing w:line="240" w:lineRule="auto"/>
              <w:rPr>
                <w:sz w:val="16"/>
                <w:szCs w:val="16"/>
              </w:rPr>
            </w:pPr>
          </w:p>
          <w:p w:rsidR="00905A11" w:rsidRDefault="00905A11" w:rsidP="00611531">
            <w:pPr>
              <w:spacing w:line="240" w:lineRule="auto"/>
              <w:rPr>
                <w:sz w:val="16"/>
                <w:szCs w:val="16"/>
              </w:rPr>
            </w:pPr>
          </w:p>
          <w:p w:rsidR="00905A11" w:rsidRDefault="00905A11" w:rsidP="00611531">
            <w:pPr>
              <w:spacing w:line="240" w:lineRule="auto"/>
              <w:rPr>
                <w:sz w:val="16"/>
                <w:szCs w:val="16"/>
              </w:rPr>
            </w:pPr>
          </w:p>
          <w:p w:rsidR="00905A11" w:rsidRPr="00FD73C6" w:rsidRDefault="00905A11" w:rsidP="00611531">
            <w:pPr>
              <w:spacing w:line="240" w:lineRule="auto"/>
              <w:rPr>
                <w:sz w:val="16"/>
                <w:szCs w:val="16"/>
              </w:rPr>
            </w:pPr>
          </w:p>
          <w:p w:rsidR="00905A11" w:rsidRPr="007D42A4" w:rsidRDefault="00905A11" w:rsidP="00611531">
            <w:pPr>
              <w:spacing w:line="240" w:lineRule="auto"/>
              <w:rPr>
                <w:color w:val="000000" w:themeColor="text1"/>
                <w:sz w:val="16"/>
                <w:szCs w:val="16"/>
              </w:rPr>
            </w:pPr>
          </w:p>
          <w:p w:rsidR="00905A11" w:rsidRPr="0032604E" w:rsidRDefault="00905A11" w:rsidP="00611531">
            <w:pPr>
              <w:spacing w:line="240" w:lineRule="auto"/>
              <w:rPr>
                <w:color w:val="000000" w:themeColor="text1"/>
                <w:sz w:val="16"/>
                <w:szCs w:val="16"/>
              </w:rPr>
            </w:pPr>
            <w:r w:rsidRPr="007D42A4">
              <w:rPr>
                <w:color w:val="000000" w:themeColor="text1"/>
                <w:sz w:val="16"/>
                <w:szCs w:val="16"/>
              </w:rPr>
              <w:t>Výrazný růst plošné velikosti nově povolených nebytových budov</w:t>
            </w:r>
          </w:p>
        </w:tc>
        <w:tc>
          <w:tcPr>
            <w:tcW w:w="145" w:type="pct"/>
          </w:tcPr>
          <w:p w:rsidR="00905A11" w:rsidRDefault="00905A11" w:rsidP="00611531">
            <w:pPr>
              <w:pStyle w:val="Textpoznpodarou"/>
              <w:jc w:val="both"/>
              <w:rPr>
                <w:spacing w:val="-2"/>
              </w:rPr>
            </w:pPr>
          </w:p>
        </w:tc>
        <w:tc>
          <w:tcPr>
            <w:tcW w:w="3765" w:type="pct"/>
          </w:tcPr>
          <w:p w:rsidR="00905A11" w:rsidRPr="00114FC0" w:rsidRDefault="00905A11" w:rsidP="00611531">
            <w:pPr>
              <w:pStyle w:val="Textpoznpodarou"/>
              <w:jc w:val="both"/>
            </w:pPr>
            <w:r w:rsidRPr="00114FC0">
              <w:t xml:space="preserve">Dobré výsledky stavebnictví po většinu roku 2015 byly zčásti odrazem realizace vysoké zásoby loňských nových zakázek na inženýrské stavby (v hodnotě 117 mld. korun, nejvyšší po roce 2008). V 2. pololetí hodnota nových zakázek (v podnicích </w:t>
            </w:r>
            <w:r w:rsidR="009867BC" w:rsidRPr="00114FC0">
              <w:t>s</w:t>
            </w:r>
            <w:r w:rsidR="009867BC" w:rsidRPr="00114FC0">
              <w:rPr>
                <w:color w:val="0D0D0D" w:themeColor="text1" w:themeTint="F2"/>
              </w:rPr>
              <w:t> </w:t>
            </w:r>
            <w:r w:rsidRPr="00114FC0">
              <w:t>50 a více zam</w:t>
            </w:r>
            <w:r w:rsidR="00124DA1">
              <w:t xml:space="preserve">ěstnanci) meziročně poklesla o 1,7 %. </w:t>
            </w:r>
            <w:r w:rsidRPr="00114FC0">
              <w:t>Zvýšený tlak na dokončení zejména dopravních staveb se na konci roku projevil citelným poklesem zásoby všech dosud nereali</w:t>
            </w:r>
            <w:r w:rsidR="00124DA1">
              <w:t>zovaných zakázek (meziročně o 38,3</w:t>
            </w:r>
            <w:r w:rsidRPr="00114FC0">
              <w:t xml:space="preserve"> mld. korun), především vlivem čerpání veřejných zakázek z tuzemska a též objednávek ze zahraničí. Zároveň se zvyšovala orientační hodnota u vydaných stavebních povolení (ve</w:t>
            </w:r>
            <w:r w:rsidR="00114FC0">
              <w:t> </w:t>
            </w:r>
            <w:r w:rsidRPr="00114FC0">
              <w:t>4.</w:t>
            </w:r>
            <w:r w:rsidR="00114FC0">
              <w:t> </w:t>
            </w:r>
            <w:r w:rsidRPr="00114FC0">
              <w:t>čtvrtletí meziročně o</w:t>
            </w:r>
            <w:r w:rsidR="009867BC" w:rsidRPr="00114FC0">
              <w:rPr>
                <w:color w:val="0D0D0D" w:themeColor="text1" w:themeTint="F2"/>
              </w:rPr>
              <w:t> </w:t>
            </w:r>
            <w:r w:rsidR="00676AFC">
              <w:t>14,9</w:t>
            </w:r>
            <w:r w:rsidRPr="00114FC0">
              <w:t> %), nikoliv však na nov</w:t>
            </w:r>
            <w:r w:rsidR="00EB03D4">
              <w:t>o</w:t>
            </w:r>
            <w:r w:rsidRPr="00114FC0">
              <w:t xml:space="preserve">u výstavbu, ale na změny dokončených staveb. Poprvé od roku 2008 meziročně vzrostla plocha u nových budov (povolených v roce 2015), především zásluhou nebytových staveb. Může jít o signál, že zrychlený růst ekonomiky začíná vést podniky (v průmyslu či službách) k rozšiřování </w:t>
            </w:r>
            <w:r w:rsidR="00EB03D4">
              <w:t>jejich</w:t>
            </w:r>
            <w:r w:rsidRPr="00114FC0">
              <w:t xml:space="preserve"> kapacit.</w:t>
            </w:r>
          </w:p>
          <w:p w:rsidR="00905A11" w:rsidRPr="000B1183" w:rsidRDefault="00905A11" w:rsidP="00611531">
            <w:pPr>
              <w:pStyle w:val="Textpoznpodarou"/>
              <w:jc w:val="both"/>
              <w:rPr>
                <w:spacing w:val="-4"/>
                <w:sz w:val="12"/>
                <w:szCs w:val="12"/>
              </w:rPr>
            </w:pPr>
          </w:p>
        </w:tc>
      </w:tr>
      <w:tr w:rsidR="00905A11" w:rsidTr="00611531">
        <w:tc>
          <w:tcPr>
            <w:tcW w:w="1090" w:type="pct"/>
          </w:tcPr>
          <w:p w:rsidR="00905A11" w:rsidRPr="00FD73C6" w:rsidRDefault="00905A11" w:rsidP="00611531">
            <w:pPr>
              <w:spacing w:line="240" w:lineRule="auto"/>
              <w:rPr>
                <w:spacing w:val="-4"/>
                <w:sz w:val="16"/>
                <w:szCs w:val="16"/>
              </w:rPr>
            </w:pPr>
            <w:r w:rsidRPr="00FD73C6">
              <w:rPr>
                <w:spacing w:val="-4"/>
                <w:sz w:val="16"/>
                <w:szCs w:val="16"/>
              </w:rPr>
              <w:t xml:space="preserve">Počet zahájených bytů v bytových domech (BD) rostl již tři roky po sobě, proti vrcholu z období konjunktury (rok 2007) byl ale slabší o 55 % </w:t>
            </w:r>
          </w:p>
          <w:p w:rsidR="00905A11" w:rsidRPr="00166385" w:rsidRDefault="00905A11" w:rsidP="00611531">
            <w:pPr>
              <w:spacing w:line="240" w:lineRule="auto"/>
              <w:rPr>
                <w:color w:val="000000" w:themeColor="text1"/>
                <w:spacing w:val="-4"/>
                <w:sz w:val="16"/>
                <w:szCs w:val="16"/>
              </w:rPr>
            </w:pPr>
          </w:p>
          <w:p w:rsidR="00905A11" w:rsidRPr="0032604E" w:rsidRDefault="00905A11" w:rsidP="00611531">
            <w:pPr>
              <w:spacing w:line="240" w:lineRule="auto"/>
              <w:rPr>
                <w:color w:val="000000" w:themeColor="text1"/>
                <w:sz w:val="16"/>
                <w:szCs w:val="16"/>
              </w:rPr>
            </w:pPr>
            <w:r w:rsidRPr="00166385">
              <w:rPr>
                <w:color w:val="000000" w:themeColor="text1"/>
                <w:spacing w:val="-4"/>
                <w:sz w:val="16"/>
                <w:szCs w:val="16"/>
              </w:rPr>
              <w:t>Územní nerovnoměrnost v zahájené bytové výstavbě se prohlubuje</w:t>
            </w:r>
          </w:p>
        </w:tc>
        <w:tc>
          <w:tcPr>
            <w:tcW w:w="145" w:type="pct"/>
          </w:tcPr>
          <w:p w:rsidR="00905A11" w:rsidRDefault="00905A11" w:rsidP="00611531">
            <w:pPr>
              <w:pStyle w:val="Textpoznpodarou"/>
              <w:jc w:val="both"/>
              <w:rPr>
                <w:spacing w:val="-2"/>
              </w:rPr>
            </w:pPr>
          </w:p>
        </w:tc>
        <w:tc>
          <w:tcPr>
            <w:tcW w:w="3765" w:type="pct"/>
          </w:tcPr>
          <w:p w:rsidR="00905A11" w:rsidRDefault="00905A11" w:rsidP="00611531">
            <w:pPr>
              <w:pStyle w:val="Textpoznpodarou"/>
              <w:jc w:val="both"/>
              <w:rPr>
                <w:spacing w:val="-4"/>
              </w:rPr>
            </w:pPr>
            <w:r>
              <w:rPr>
                <w:spacing w:val="-4"/>
              </w:rPr>
              <w:t>I přes růst disponibilních příjmů domácností a přetrvávání historicky nízkých úrokových sazeb se bytová výstavba od svého dna (rok 2013) odráží jen zvolna. Počet zahájených bytů vzrostl v roce 2015 o 8</w:t>
            </w:r>
            <w:r w:rsidR="00676AFC">
              <w:rPr>
                <w:spacing w:val="-4"/>
              </w:rPr>
              <w:t>,3</w:t>
            </w:r>
            <w:r>
              <w:rPr>
                <w:spacing w:val="-4"/>
              </w:rPr>
              <w:t xml:space="preserve"> % (podobným tempem jako předchozí rok), meziročně bylo více bytů ve všech formách výstavby, vyjma domovů pro seniory, kde pouhých 476 bytů znamenalo druhou nejnižší hodnotu v novodobé historii. </w:t>
            </w:r>
            <w:r w:rsidR="00676AFC">
              <w:rPr>
                <w:spacing w:val="-4"/>
              </w:rPr>
              <w:t>Na Prahu připadalo rekordních 57,7</w:t>
            </w:r>
            <w:r>
              <w:rPr>
                <w:spacing w:val="-4"/>
              </w:rPr>
              <w:t xml:space="preserve"> % celorepublikového počtu zahájených bytů v bytových domech (v období vrcholné konjunktury však necelých 40 %).</w:t>
            </w:r>
          </w:p>
          <w:p w:rsidR="00905A11" w:rsidRPr="000240BC" w:rsidRDefault="00905A11" w:rsidP="00611531">
            <w:pPr>
              <w:pStyle w:val="Textpoznpodarou"/>
              <w:jc w:val="both"/>
              <w:rPr>
                <w:spacing w:val="-4"/>
                <w:sz w:val="14"/>
                <w:szCs w:val="14"/>
              </w:rPr>
            </w:pPr>
            <w:r>
              <w:rPr>
                <w:spacing w:val="-4"/>
              </w:rPr>
              <w:t xml:space="preserve"> </w:t>
            </w:r>
          </w:p>
        </w:tc>
      </w:tr>
      <w:tr w:rsidR="00905A11" w:rsidTr="00611531">
        <w:trPr>
          <w:cantSplit/>
          <w:trHeight w:val="203"/>
        </w:trPr>
        <w:tc>
          <w:tcPr>
            <w:tcW w:w="1090" w:type="pct"/>
          </w:tcPr>
          <w:p w:rsidR="00905A11" w:rsidRPr="00FD73C6" w:rsidRDefault="00905A11" w:rsidP="00611531">
            <w:pPr>
              <w:spacing w:line="240" w:lineRule="auto"/>
              <w:rPr>
                <w:sz w:val="16"/>
                <w:szCs w:val="16"/>
              </w:rPr>
            </w:pPr>
            <w:r w:rsidRPr="00FD73C6">
              <w:rPr>
                <w:sz w:val="16"/>
                <w:szCs w:val="16"/>
              </w:rPr>
              <w:t xml:space="preserve">Zlepšení konjunkturálních ukazatelů ve stavebnictví, krátkodobé vyhlídky příznivější zejména u největších firem, na jejichž bedrech ležela rozhodující část odpovědnosti za realizaci investic do dopravní infrastruktury </w:t>
            </w:r>
          </w:p>
        </w:tc>
        <w:tc>
          <w:tcPr>
            <w:tcW w:w="145" w:type="pct"/>
          </w:tcPr>
          <w:p w:rsidR="00905A11" w:rsidRDefault="00905A11" w:rsidP="00611531">
            <w:pPr>
              <w:pStyle w:val="Textpoznpodarou"/>
              <w:jc w:val="both"/>
              <w:rPr>
                <w:spacing w:val="-2"/>
              </w:rPr>
            </w:pPr>
          </w:p>
        </w:tc>
        <w:tc>
          <w:tcPr>
            <w:tcW w:w="3765" w:type="pct"/>
          </w:tcPr>
          <w:p w:rsidR="00905A11" w:rsidRPr="000B1183" w:rsidRDefault="00905A11" w:rsidP="00611531">
            <w:pPr>
              <w:pStyle w:val="Textpoznpodarou"/>
              <w:jc w:val="both"/>
              <w:rPr>
                <w:spacing w:val="-4"/>
              </w:rPr>
            </w:pPr>
            <w:r w:rsidRPr="00CF6FBA">
              <w:rPr>
                <w:color w:val="000000" w:themeColor="text1"/>
                <w:spacing w:val="-4"/>
              </w:rPr>
              <w:t>Souhrnné saldo důvěry podnikatelů ve stavebnictví</w:t>
            </w:r>
            <w:r>
              <w:rPr>
                <w:color w:val="000000" w:themeColor="text1"/>
                <w:spacing w:val="-4"/>
              </w:rPr>
              <w:t xml:space="preserve"> </w:t>
            </w:r>
            <w:r w:rsidRPr="00123FDC">
              <w:rPr>
                <w:color w:val="000000" w:themeColor="text1"/>
                <w:spacing w:val="-4"/>
              </w:rPr>
              <w:t>se v trendu z</w:t>
            </w:r>
            <w:r>
              <w:rPr>
                <w:color w:val="000000" w:themeColor="text1"/>
                <w:spacing w:val="-4"/>
              </w:rPr>
              <w:t>lepšuje již od počátku roku 2014 a v listopadu 2015 bylo nejvyšší od ledna</w:t>
            </w:r>
            <w:r w:rsidRPr="00123FDC">
              <w:rPr>
                <w:color w:val="000000" w:themeColor="text1"/>
                <w:spacing w:val="-4"/>
              </w:rPr>
              <w:t xml:space="preserve"> 2009</w:t>
            </w:r>
            <w:r>
              <w:rPr>
                <w:color w:val="000000" w:themeColor="text1"/>
                <w:spacing w:val="-4"/>
              </w:rPr>
              <w:t xml:space="preserve">. Podíl podniků považujících nedostatečnou poptávku za bariéru </w:t>
            </w:r>
            <w:r w:rsidRPr="00C01BF8">
              <w:rPr>
                <w:color w:val="000000" w:themeColor="text1"/>
                <w:spacing w:val="-4"/>
              </w:rPr>
              <w:t>vyšší produkce</w:t>
            </w:r>
            <w:r>
              <w:rPr>
                <w:color w:val="000000" w:themeColor="text1"/>
                <w:spacing w:val="-4"/>
              </w:rPr>
              <w:t xml:space="preserve"> se v rámci roku 2015 snížil o více než 10 p</w:t>
            </w:r>
            <w:r w:rsidR="004E7007">
              <w:rPr>
                <w:color w:val="000000" w:themeColor="text1"/>
                <w:spacing w:val="-4"/>
              </w:rPr>
              <w:t>.</w:t>
            </w:r>
            <w:r>
              <w:rPr>
                <w:color w:val="000000" w:themeColor="text1"/>
                <w:spacing w:val="-4"/>
              </w:rPr>
              <w:t>b. (na 56 %), přesto šlo v evropském kontextu o vysokou hodnotu (EU 35 %, Německo 17 %). Během první poloviny roku se naopak zvýšil podíl podniků v ČR, jimž v růstu brání nedostatek pracovní síly (až na 8,5 % v červnu 2015, což bylo nejvíce od prosince 2008</w:t>
            </w:r>
            <w:r w:rsidRPr="000B1183">
              <w:rPr>
                <w:spacing w:val="-4"/>
              </w:rPr>
              <w:t>). Na vyšší poptávku reagovaly letos stavební firmy intenzivnějším využitím stávající pracovní síly (např. formou přesčasové práce). Při stále nižším evidenčním počtu zaměstnanců tak vzrostla průměrná mzda ve 4. čtvrtletí o vysokých 5,3 %, což bylo podstatně více než ve zpracovatelském průmyslu (3,7 %) či celé ekonomice (3,8 %)</w:t>
            </w:r>
            <w:r w:rsidR="00800073">
              <w:rPr>
                <w:spacing w:val="-4"/>
              </w:rPr>
              <w:t>.</w:t>
            </w:r>
          </w:p>
          <w:p w:rsidR="00905A11" w:rsidRPr="000240BC" w:rsidRDefault="00905A11" w:rsidP="00611531">
            <w:pPr>
              <w:pStyle w:val="Textpoznpodarou"/>
              <w:jc w:val="both"/>
              <w:rPr>
                <w:spacing w:val="-4"/>
                <w:sz w:val="14"/>
                <w:szCs w:val="14"/>
              </w:rPr>
            </w:pPr>
          </w:p>
        </w:tc>
      </w:tr>
      <w:tr w:rsidR="00905A11" w:rsidRPr="00A51B62" w:rsidTr="00611531">
        <w:trPr>
          <w:cantSplit/>
          <w:trHeight w:val="250"/>
        </w:trPr>
        <w:tc>
          <w:tcPr>
            <w:tcW w:w="1090" w:type="pct"/>
          </w:tcPr>
          <w:p w:rsidR="00905A11" w:rsidRDefault="00905A11" w:rsidP="00611531">
            <w:pPr>
              <w:spacing w:line="240" w:lineRule="auto"/>
              <w:rPr>
                <w:color w:val="000000" w:themeColor="text1"/>
                <w:sz w:val="16"/>
                <w:szCs w:val="16"/>
              </w:rPr>
            </w:pPr>
            <w:r w:rsidRPr="0032604E">
              <w:rPr>
                <w:color w:val="000000" w:themeColor="text1"/>
                <w:sz w:val="16"/>
                <w:szCs w:val="16"/>
              </w:rPr>
              <w:t xml:space="preserve">Tržby ve službách zrychlily dynamiku (při současném poklesu cen), meziročně rostly nejvíce </w:t>
            </w:r>
            <w:r>
              <w:rPr>
                <w:color w:val="000000" w:themeColor="text1"/>
                <w:sz w:val="16"/>
                <w:szCs w:val="16"/>
              </w:rPr>
              <w:t>po roce 2007</w:t>
            </w:r>
          </w:p>
          <w:p w:rsidR="00905A11" w:rsidRDefault="00905A11" w:rsidP="00611531">
            <w:pPr>
              <w:spacing w:line="240" w:lineRule="auto"/>
              <w:rPr>
                <w:color w:val="000000" w:themeColor="text1"/>
                <w:sz w:val="14"/>
                <w:szCs w:val="14"/>
              </w:rPr>
            </w:pPr>
          </w:p>
          <w:p w:rsidR="00905A11" w:rsidRDefault="00905A11" w:rsidP="00611531">
            <w:pPr>
              <w:spacing w:line="240" w:lineRule="auto"/>
              <w:rPr>
                <w:color w:val="000000" w:themeColor="text1"/>
                <w:sz w:val="14"/>
                <w:szCs w:val="14"/>
              </w:rPr>
            </w:pPr>
          </w:p>
          <w:p w:rsidR="00905A11" w:rsidRDefault="00905A11" w:rsidP="00611531">
            <w:pPr>
              <w:spacing w:line="240" w:lineRule="auto"/>
              <w:rPr>
                <w:color w:val="000000" w:themeColor="text1"/>
                <w:sz w:val="14"/>
                <w:szCs w:val="14"/>
              </w:rPr>
            </w:pPr>
          </w:p>
          <w:p w:rsidR="00905A11" w:rsidRPr="004B28B8" w:rsidRDefault="00905A11" w:rsidP="00611531">
            <w:pPr>
              <w:spacing w:line="240" w:lineRule="auto"/>
              <w:rPr>
                <w:color w:val="000000" w:themeColor="text1"/>
                <w:sz w:val="16"/>
                <w:szCs w:val="16"/>
              </w:rPr>
            </w:pPr>
            <w:r w:rsidRPr="004B28B8">
              <w:rPr>
                <w:color w:val="000000" w:themeColor="text1"/>
                <w:sz w:val="16"/>
                <w:szCs w:val="16"/>
              </w:rPr>
              <w:t xml:space="preserve">Silný růst průmyslu i zahraničního obchodu </w:t>
            </w:r>
            <w:r>
              <w:rPr>
                <w:color w:val="000000" w:themeColor="text1"/>
                <w:sz w:val="16"/>
                <w:szCs w:val="16"/>
              </w:rPr>
              <w:t>se odrazily i ve vy</w:t>
            </w:r>
            <w:r w:rsidR="00AC219A">
              <w:rPr>
                <w:color w:val="000000" w:themeColor="text1"/>
                <w:sz w:val="16"/>
                <w:szCs w:val="16"/>
              </w:rPr>
              <w:t>šších tržbách v pozemní dopravě</w:t>
            </w:r>
          </w:p>
          <w:p w:rsidR="00905A11" w:rsidRDefault="00905A11" w:rsidP="00611531">
            <w:pPr>
              <w:spacing w:line="240" w:lineRule="auto"/>
              <w:rPr>
                <w:color w:val="000000" w:themeColor="text1"/>
                <w:sz w:val="14"/>
                <w:szCs w:val="14"/>
              </w:rPr>
            </w:pPr>
          </w:p>
          <w:p w:rsidR="00905A11" w:rsidRDefault="00905A11" w:rsidP="00611531">
            <w:pPr>
              <w:spacing w:line="240" w:lineRule="auto"/>
              <w:rPr>
                <w:color w:val="000000" w:themeColor="text1"/>
                <w:sz w:val="14"/>
                <w:szCs w:val="14"/>
              </w:rPr>
            </w:pPr>
          </w:p>
          <w:p w:rsidR="00905A11" w:rsidRPr="009D0B10" w:rsidRDefault="00905A11" w:rsidP="00611531">
            <w:pPr>
              <w:spacing w:line="240" w:lineRule="auto"/>
              <w:rPr>
                <w:color w:val="000000" w:themeColor="text1"/>
                <w:sz w:val="14"/>
                <w:szCs w:val="14"/>
              </w:rPr>
            </w:pPr>
          </w:p>
          <w:p w:rsidR="00905A11" w:rsidRDefault="00905A11" w:rsidP="00611531">
            <w:pPr>
              <w:spacing w:line="240" w:lineRule="auto"/>
              <w:rPr>
                <w:color w:val="000000" w:themeColor="text1"/>
                <w:sz w:val="16"/>
                <w:szCs w:val="16"/>
              </w:rPr>
            </w:pPr>
            <w:r>
              <w:rPr>
                <w:color w:val="000000" w:themeColor="text1"/>
                <w:sz w:val="16"/>
                <w:szCs w:val="16"/>
              </w:rPr>
              <w:t>Útlum tržeb cestovní</w:t>
            </w:r>
            <w:r w:rsidR="008B16DE">
              <w:rPr>
                <w:color w:val="000000" w:themeColor="text1"/>
                <w:sz w:val="16"/>
                <w:szCs w:val="16"/>
              </w:rPr>
              <w:t>ch kanceláří pokračoval již třin</w:t>
            </w:r>
            <w:r>
              <w:rPr>
                <w:color w:val="000000" w:themeColor="text1"/>
                <w:sz w:val="16"/>
                <w:szCs w:val="16"/>
              </w:rPr>
              <w:t>áct čtvrtletí v řadě</w:t>
            </w:r>
          </w:p>
          <w:p w:rsidR="00905A11" w:rsidRDefault="00905A11" w:rsidP="00611531">
            <w:pPr>
              <w:spacing w:line="240" w:lineRule="auto"/>
              <w:rPr>
                <w:sz w:val="14"/>
                <w:szCs w:val="14"/>
              </w:rPr>
            </w:pPr>
          </w:p>
          <w:p w:rsidR="00905A11" w:rsidRPr="009D0B10" w:rsidRDefault="00905A11" w:rsidP="00611531">
            <w:pPr>
              <w:spacing w:line="240" w:lineRule="auto"/>
              <w:rPr>
                <w:sz w:val="6"/>
                <w:szCs w:val="6"/>
              </w:rPr>
            </w:pPr>
          </w:p>
        </w:tc>
        <w:tc>
          <w:tcPr>
            <w:tcW w:w="145" w:type="pct"/>
          </w:tcPr>
          <w:p w:rsidR="00905A11" w:rsidRDefault="00905A11" w:rsidP="00611531">
            <w:pPr>
              <w:pStyle w:val="Textpoznpodarou"/>
              <w:jc w:val="both"/>
              <w:rPr>
                <w:spacing w:val="-2"/>
              </w:rPr>
            </w:pPr>
          </w:p>
        </w:tc>
        <w:tc>
          <w:tcPr>
            <w:tcW w:w="3765" w:type="pct"/>
          </w:tcPr>
          <w:p w:rsidR="00905A11" w:rsidRDefault="00905A11" w:rsidP="00611531">
            <w:pPr>
              <w:pStyle w:val="Textpoznpodarou"/>
              <w:jc w:val="both"/>
              <w:rPr>
                <w:spacing w:val="-4"/>
              </w:rPr>
            </w:pPr>
            <w:r w:rsidRPr="001E0AEC">
              <w:rPr>
                <w:color w:val="000000" w:themeColor="text1"/>
                <w:spacing w:val="-4"/>
              </w:rPr>
              <w:t>Tržby ve vybraných službách</w:t>
            </w:r>
            <w:r w:rsidRPr="001E0AEC">
              <w:rPr>
                <w:color w:val="000000" w:themeColor="text1"/>
                <w:spacing w:val="-4"/>
                <w:vertAlign w:val="superscript"/>
              </w:rPr>
              <w:footnoteReference w:id="12"/>
            </w:r>
            <w:r>
              <w:rPr>
                <w:color w:val="000000" w:themeColor="text1"/>
                <w:spacing w:val="-4"/>
              </w:rPr>
              <w:t xml:space="preserve"> se v roce 2015 zvýšily podruhé v řadě, když meziročně zrychlily na 2,6 %. </w:t>
            </w:r>
            <w:r w:rsidRPr="0060521A">
              <w:rPr>
                <w:color w:val="000000" w:themeColor="text1"/>
                <w:spacing w:val="-4"/>
              </w:rPr>
              <w:t>V dopravě a skladování tržby</w:t>
            </w:r>
            <w:r>
              <w:rPr>
                <w:color w:val="000000" w:themeColor="text1"/>
                <w:spacing w:val="-4"/>
              </w:rPr>
              <w:t xml:space="preserve"> fakticky stagnovaly, když </w:t>
            </w:r>
            <w:r>
              <w:rPr>
                <w:spacing w:val="-4"/>
              </w:rPr>
              <w:t>váhově dominantní pozemní a potrubní doprava (+3,9 %) stačila pouze vyrovnat citelný pokles reálných tržeb v letecké dopravě (-3,6 %) a skladování (jehož výsledek byl ovlivněn také vysokou meziroční základnou). P</w:t>
            </w:r>
            <w:r w:rsidRPr="002B161C">
              <w:rPr>
                <w:spacing w:val="-4"/>
              </w:rPr>
              <w:t xml:space="preserve">rofesní, vědecké a </w:t>
            </w:r>
            <w:r>
              <w:rPr>
                <w:color w:val="000000" w:themeColor="text1"/>
                <w:spacing w:val="-4"/>
              </w:rPr>
              <w:t>technické činnosti zažily první růst (o 2,1 %) po šesti letech, když k obratu došlo v roce 2015 ve</w:t>
            </w:r>
            <w:r w:rsidR="00114FC0">
              <w:rPr>
                <w:color w:val="000000" w:themeColor="text1"/>
                <w:spacing w:val="-4"/>
              </w:rPr>
              <w:t> </w:t>
            </w:r>
            <w:r>
              <w:rPr>
                <w:color w:val="000000" w:themeColor="text1"/>
                <w:spacing w:val="-4"/>
              </w:rPr>
              <w:t>všech dílčích oborech (pouze u reklamy trval mírný růst dokonce již dva roky po</w:t>
            </w:r>
            <w:r w:rsidR="00114FC0">
              <w:rPr>
                <w:color w:val="000000" w:themeColor="text1"/>
                <w:spacing w:val="-4"/>
              </w:rPr>
              <w:t> </w:t>
            </w:r>
            <w:r>
              <w:rPr>
                <w:color w:val="000000" w:themeColor="text1"/>
                <w:spacing w:val="-4"/>
              </w:rPr>
              <w:t>sobě). Zrychlený růst ekonomiky se odrazil také v i</w:t>
            </w:r>
            <w:r w:rsidRPr="000213F4">
              <w:rPr>
                <w:color w:val="000000" w:themeColor="text1"/>
                <w:spacing w:val="-4"/>
              </w:rPr>
              <w:t>nformační</w:t>
            </w:r>
            <w:r>
              <w:rPr>
                <w:color w:val="000000" w:themeColor="text1"/>
                <w:spacing w:val="-4"/>
              </w:rPr>
              <w:t>ch</w:t>
            </w:r>
            <w:r w:rsidRPr="000213F4">
              <w:rPr>
                <w:color w:val="000000" w:themeColor="text1"/>
                <w:spacing w:val="-4"/>
              </w:rPr>
              <w:t xml:space="preserve"> a komunikační</w:t>
            </w:r>
            <w:r>
              <w:rPr>
                <w:color w:val="000000" w:themeColor="text1"/>
                <w:spacing w:val="-4"/>
              </w:rPr>
              <w:t>ch činnostech (+5,5 %).</w:t>
            </w:r>
            <w:r w:rsidRPr="000213F4">
              <w:rPr>
                <w:color w:val="000000" w:themeColor="text1"/>
                <w:spacing w:val="-4"/>
              </w:rPr>
              <w:t xml:space="preserve"> </w:t>
            </w:r>
            <w:r>
              <w:rPr>
                <w:color w:val="000000" w:themeColor="text1"/>
                <w:spacing w:val="-4"/>
              </w:rPr>
              <w:t xml:space="preserve">Shodným tempem se tržby zvyšovaly v i </w:t>
            </w:r>
            <w:r w:rsidRPr="004963E7">
              <w:rPr>
                <w:color w:val="000000" w:themeColor="text1"/>
                <w:spacing w:val="-4"/>
              </w:rPr>
              <w:t>administrat</w:t>
            </w:r>
            <w:r>
              <w:rPr>
                <w:color w:val="000000" w:themeColor="text1"/>
                <w:spacing w:val="-4"/>
              </w:rPr>
              <w:t>ivních a podpůrných činnostech, jejichž vývoj z velké části ovlivněn pracovními agenturami (u n</w:t>
            </w:r>
            <w:r w:rsidR="00D37689">
              <w:rPr>
                <w:color w:val="000000" w:themeColor="text1"/>
                <w:spacing w:val="-4"/>
              </w:rPr>
              <w:t>ichž růst tržeb zrychlil o pětinu</w:t>
            </w:r>
            <w:r>
              <w:rPr>
                <w:color w:val="000000" w:themeColor="text1"/>
                <w:spacing w:val="-4"/>
              </w:rPr>
              <w:t xml:space="preserve">). Dařilo se však oborům napříč celému odvětví, vyjma cestovních kanceláří (-7,9 %), jejichž tržby klesaly již třetí rok po sobě. </w:t>
            </w:r>
            <w:r w:rsidR="00CE442A" w:rsidRPr="00CE442A">
              <w:rPr>
                <w:color w:val="000000" w:themeColor="text1"/>
                <w:spacing w:val="-4"/>
              </w:rPr>
              <w:t>Č</w:t>
            </w:r>
            <w:r w:rsidR="00CE442A">
              <w:rPr>
                <w:color w:val="000000" w:themeColor="text1"/>
                <w:spacing w:val="-4"/>
              </w:rPr>
              <w:t>etnější</w:t>
            </w:r>
            <w:r w:rsidR="00114FC0">
              <w:rPr>
                <w:color w:val="000000" w:themeColor="text1"/>
                <w:spacing w:val="-4"/>
              </w:rPr>
              <w:t> </w:t>
            </w:r>
            <w:r w:rsidR="00CE442A">
              <w:rPr>
                <w:spacing w:val="-4"/>
              </w:rPr>
              <w:t>příjezdy</w:t>
            </w:r>
            <w:r>
              <w:rPr>
                <w:spacing w:val="-4"/>
              </w:rPr>
              <w:t xml:space="preserve"> domácích i zahraničních hostů (především v letním období) katapultoval</w:t>
            </w:r>
            <w:r w:rsidR="00CE442A">
              <w:rPr>
                <w:spacing w:val="-4"/>
              </w:rPr>
              <w:t>y</w:t>
            </w:r>
            <w:r>
              <w:rPr>
                <w:spacing w:val="-4"/>
              </w:rPr>
              <w:t xml:space="preserve"> tržby v </w:t>
            </w:r>
            <w:r w:rsidR="008B16DE">
              <w:rPr>
                <w:spacing w:val="-4"/>
              </w:rPr>
              <w:t xml:space="preserve">ubytování (+7,5 %) na nejvyšší </w:t>
            </w:r>
            <w:r w:rsidR="008B16DE" w:rsidRPr="00240C76">
              <w:rPr>
                <w:spacing w:val="-4"/>
              </w:rPr>
              <w:t>meziroční</w:t>
            </w:r>
            <w:r w:rsidRPr="00240C76">
              <w:rPr>
                <w:spacing w:val="-4"/>
              </w:rPr>
              <w:t xml:space="preserve"> </w:t>
            </w:r>
            <w:r w:rsidR="00CE442A" w:rsidRPr="00CE442A">
              <w:rPr>
                <w:spacing w:val="-4"/>
              </w:rPr>
              <w:t>růst</w:t>
            </w:r>
            <w:r w:rsidR="008B16DE" w:rsidRPr="00CE442A">
              <w:rPr>
                <w:spacing w:val="-4"/>
              </w:rPr>
              <w:t xml:space="preserve"> </w:t>
            </w:r>
            <w:r>
              <w:rPr>
                <w:spacing w:val="-4"/>
              </w:rPr>
              <w:t>po roce 2005. Rekordní byly i</w:t>
            </w:r>
            <w:r w:rsidR="009867BC">
              <w:rPr>
                <w:color w:val="0D0D0D" w:themeColor="text1" w:themeTint="F2"/>
                <w:spacing w:val="-4"/>
              </w:rPr>
              <w:t> </w:t>
            </w:r>
            <w:r>
              <w:rPr>
                <w:spacing w:val="-4"/>
              </w:rPr>
              <w:t>tržby ve s</w:t>
            </w:r>
            <w:r w:rsidRPr="00313AE5">
              <w:rPr>
                <w:spacing w:val="-4"/>
              </w:rPr>
              <w:t>travování a pohostinství</w:t>
            </w:r>
            <w:r>
              <w:rPr>
                <w:spacing w:val="-4"/>
              </w:rPr>
              <w:t xml:space="preserve"> (+4,1 %), ty však na rozdíl od</w:t>
            </w:r>
            <w:r w:rsidR="00114FC0">
              <w:rPr>
                <w:spacing w:val="-4"/>
              </w:rPr>
              <w:t> </w:t>
            </w:r>
            <w:r>
              <w:rPr>
                <w:spacing w:val="-4"/>
              </w:rPr>
              <w:t>ubytování zatím nepřekonaly úroveň konjunkturního roku 2008.</w:t>
            </w:r>
          </w:p>
          <w:p w:rsidR="00905A11" w:rsidRPr="00092C9A" w:rsidRDefault="00905A11" w:rsidP="00611531">
            <w:pPr>
              <w:pStyle w:val="Textpoznpodarou"/>
              <w:jc w:val="both"/>
              <w:rPr>
                <w:spacing w:val="-4"/>
                <w:sz w:val="14"/>
                <w:szCs w:val="14"/>
              </w:rPr>
            </w:pPr>
          </w:p>
        </w:tc>
      </w:tr>
      <w:tr w:rsidR="00905A11" w:rsidRPr="00BE4405" w:rsidTr="00FF45A2">
        <w:trPr>
          <w:trHeight w:val="250"/>
        </w:trPr>
        <w:tc>
          <w:tcPr>
            <w:tcW w:w="1090" w:type="pct"/>
          </w:tcPr>
          <w:p w:rsidR="00905A11" w:rsidRDefault="00905A11" w:rsidP="00611531">
            <w:pPr>
              <w:spacing w:line="240" w:lineRule="auto"/>
              <w:rPr>
                <w:color w:val="000000" w:themeColor="text1"/>
                <w:sz w:val="16"/>
                <w:szCs w:val="16"/>
              </w:rPr>
            </w:pPr>
            <w:r>
              <w:rPr>
                <w:color w:val="000000" w:themeColor="text1"/>
                <w:sz w:val="16"/>
                <w:szCs w:val="16"/>
              </w:rPr>
              <w:t xml:space="preserve">Stabilní důvěra spotřebitelů podpořená velmi příznivým vývojem na trhu práce </w:t>
            </w:r>
            <w:r>
              <w:rPr>
                <w:color w:val="000000" w:themeColor="text1"/>
                <w:sz w:val="16"/>
                <w:szCs w:val="16"/>
              </w:rPr>
              <w:lastRenderedPageBreak/>
              <w:t>vyústila v nejvyšší růst maloobchodních tržeb po roce 2007</w:t>
            </w:r>
          </w:p>
          <w:p w:rsidR="00905A11" w:rsidRDefault="00905A11" w:rsidP="00611531">
            <w:pPr>
              <w:spacing w:line="240" w:lineRule="auto"/>
              <w:rPr>
                <w:color w:val="000000" w:themeColor="text1"/>
                <w:sz w:val="16"/>
                <w:szCs w:val="16"/>
              </w:rPr>
            </w:pPr>
          </w:p>
          <w:p w:rsidR="00905A11" w:rsidRDefault="00905A11" w:rsidP="00611531">
            <w:pPr>
              <w:spacing w:line="240" w:lineRule="auto"/>
              <w:rPr>
                <w:color w:val="000000" w:themeColor="text1"/>
                <w:sz w:val="16"/>
                <w:szCs w:val="16"/>
              </w:rPr>
            </w:pPr>
          </w:p>
          <w:p w:rsidR="00905A11" w:rsidRPr="005C666D" w:rsidRDefault="00905A11" w:rsidP="00611531">
            <w:pPr>
              <w:spacing w:line="240" w:lineRule="auto"/>
              <w:rPr>
                <w:color w:val="000000" w:themeColor="text1"/>
                <w:spacing w:val="-4"/>
                <w:sz w:val="16"/>
                <w:szCs w:val="16"/>
              </w:rPr>
            </w:pPr>
            <w:r w:rsidRPr="005C666D">
              <w:rPr>
                <w:color w:val="000000" w:themeColor="text1"/>
                <w:spacing w:val="-4"/>
                <w:sz w:val="16"/>
                <w:szCs w:val="16"/>
              </w:rPr>
              <w:t xml:space="preserve">Příznivý cenový vývoj stimuloval poptávku zejména u prodeje PHM a také počítačových </w:t>
            </w:r>
            <w:r>
              <w:rPr>
                <w:color w:val="000000" w:themeColor="text1"/>
                <w:spacing w:val="-4"/>
                <w:sz w:val="16"/>
                <w:szCs w:val="16"/>
              </w:rPr>
              <w:t>I</w:t>
            </w:r>
            <w:r w:rsidRPr="005C666D">
              <w:rPr>
                <w:color w:val="000000" w:themeColor="text1"/>
                <w:spacing w:val="-4"/>
                <w:sz w:val="16"/>
                <w:szCs w:val="16"/>
              </w:rPr>
              <w:t xml:space="preserve"> komunikačních zařízení, pomáhal udržet vysoká tempa </w:t>
            </w:r>
            <w:r>
              <w:rPr>
                <w:color w:val="000000" w:themeColor="text1"/>
                <w:spacing w:val="-4"/>
                <w:sz w:val="16"/>
                <w:szCs w:val="16"/>
              </w:rPr>
              <w:t>tržeb internetovým</w:t>
            </w:r>
            <w:r w:rsidRPr="005C666D">
              <w:rPr>
                <w:color w:val="000000" w:themeColor="text1"/>
                <w:spacing w:val="-4"/>
                <w:sz w:val="16"/>
                <w:szCs w:val="16"/>
              </w:rPr>
              <w:t xml:space="preserve"> prodejců</w:t>
            </w:r>
            <w:r>
              <w:rPr>
                <w:color w:val="000000" w:themeColor="text1"/>
                <w:spacing w:val="-4"/>
                <w:sz w:val="16"/>
                <w:szCs w:val="16"/>
              </w:rPr>
              <w:t>m</w:t>
            </w:r>
          </w:p>
          <w:p w:rsidR="00905A11" w:rsidRPr="00F3262E" w:rsidRDefault="00905A11" w:rsidP="00611531">
            <w:pPr>
              <w:spacing w:line="240" w:lineRule="auto"/>
              <w:rPr>
                <w:color w:val="000000" w:themeColor="text1"/>
                <w:sz w:val="16"/>
                <w:szCs w:val="16"/>
              </w:rPr>
            </w:pPr>
          </w:p>
        </w:tc>
        <w:tc>
          <w:tcPr>
            <w:tcW w:w="145" w:type="pct"/>
          </w:tcPr>
          <w:p w:rsidR="00905A11" w:rsidRPr="00F3262E" w:rsidRDefault="00905A11" w:rsidP="00611531">
            <w:pPr>
              <w:pStyle w:val="Textpoznpodarou"/>
              <w:jc w:val="both"/>
              <w:rPr>
                <w:color w:val="000000" w:themeColor="text1"/>
                <w:spacing w:val="-2"/>
              </w:rPr>
            </w:pPr>
          </w:p>
        </w:tc>
        <w:tc>
          <w:tcPr>
            <w:tcW w:w="3765" w:type="pct"/>
          </w:tcPr>
          <w:p w:rsidR="00905A11" w:rsidRPr="00114FC0" w:rsidRDefault="00905A11" w:rsidP="00611531">
            <w:pPr>
              <w:pStyle w:val="Textpoznpodarou"/>
              <w:jc w:val="both"/>
              <w:rPr>
                <w:color w:val="000000" w:themeColor="text1"/>
                <w:spacing w:val="-2"/>
              </w:rPr>
            </w:pPr>
            <w:r w:rsidRPr="00114FC0">
              <w:rPr>
                <w:color w:val="000000" w:themeColor="text1"/>
                <w:spacing w:val="-2"/>
              </w:rPr>
              <w:t>Ve shodě s trendy ve službách i v samotném maloobchodu meziroční růst tržeb</w:t>
            </w:r>
            <w:r w:rsidRPr="00114FC0">
              <w:rPr>
                <w:rStyle w:val="Znakapoznpodarou"/>
                <w:color w:val="000000" w:themeColor="text1"/>
                <w:spacing w:val="-2"/>
              </w:rPr>
              <w:footnoteReference w:id="13"/>
            </w:r>
            <w:r w:rsidRPr="00114FC0">
              <w:rPr>
                <w:color w:val="000000" w:themeColor="text1"/>
                <w:spacing w:val="-2"/>
              </w:rPr>
              <w:t xml:space="preserve"> v roce 2015 akceleroval až na 5,9 % a přiblížil se tak hodnotám z období vrcholnýc</w:t>
            </w:r>
            <w:r w:rsidR="00800073">
              <w:rPr>
                <w:color w:val="000000" w:themeColor="text1"/>
                <w:spacing w:val="-2"/>
              </w:rPr>
              <w:t>h konjunkturních let 2005</w:t>
            </w:r>
            <w:r w:rsidR="00800073">
              <w:t>–</w:t>
            </w:r>
            <w:r w:rsidR="008B16DE" w:rsidRPr="00114FC0">
              <w:rPr>
                <w:color w:val="000000" w:themeColor="text1"/>
                <w:spacing w:val="-2"/>
              </w:rPr>
              <w:t>2007</w:t>
            </w:r>
            <w:r w:rsidRPr="00114FC0">
              <w:rPr>
                <w:color w:val="000000" w:themeColor="text1"/>
                <w:spacing w:val="-2"/>
              </w:rPr>
              <w:t xml:space="preserve"> V průběhu roku 2015 nedoznala </w:t>
            </w:r>
            <w:r w:rsidRPr="00114FC0">
              <w:rPr>
                <w:color w:val="000000" w:themeColor="text1"/>
                <w:spacing w:val="-2"/>
              </w:rPr>
              <w:lastRenderedPageBreak/>
              <w:t>dynamika tržeb významných změn, podobně jako příznivé nálady spotřebitelů. Celé odvětví tradičně táhl prodej nepotravinářského zboží (+6,8 %). Dařilo se však i prodeji potravin (3,9</w:t>
            </w:r>
            <w:r w:rsidR="009867BC" w:rsidRPr="00114FC0">
              <w:rPr>
                <w:color w:val="0D0D0D" w:themeColor="text1" w:themeTint="F2"/>
                <w:spacing w:val="-2"/>
              </w:rPr>
              <w:t> </w:t>
            </w:r>
            <w:r w:rsidRPr="00114FC0">
              <w:rPr>
                <w:color w:val="000000" w:themeColor="text1"/>
                <w:spacing w:val="-2"/>
              </w:rPr>
              <w:t>%), a to i ve specializovaných prodejnách (+3 %), které tak zastavily devět let trvající pokles reálných tržeb. Z ostatních specializovaných prodejen pokračoval silný rozvoj prodejů počítačových a komunikačních zařízení (+10 %), tempo růstu tržeb za výrobky pro kulturu a rekreaci se proti roku 2014 téměř zdvojnásobilo. Již třináct měsíců trval dynamický růst tržeb u čerpacích stanic, které byly ve 4. čtvrtletí 2015 meziročně vyšší o 10</w:t>
            </w:r>
            <w:r w:rsidR="00800073">
              <w:rPr>
                <w:color w:val="000000" w:themeColor="text1"/>
                <w:spacing w:val="-2"/>
              </w:rPr>
              <w:t>,6 % (</w:t>
            </w:r>
            <w:r w:rsidRPr="00114FC0">
              <w:rPr>
                <w:color w:val="000000" w:themeColor="text1"/>
                <w:spacing w:val="-2"/>
              </w:rPr>
              <w:t>p</w:t>
            </w:r>
            <w:r w:rsidR="001D5E1B">
              <w:rPr>
                <w:color w:val="000000" w:themeColor="text1"/>
                <w:spacing w:val="-2"/>
              </w:rPr>
              <w:t>řesto zůstaly reálně stále o 5 %</w:t>
            </w:r>
            <w:r w:rsidRPr="00114FC0">
              <w:rPr>
                <w:color w:val="000000" w:themeColor="text1"/>
                <w:spacing w:val="-2"/>
              </w:rPr>
              <w:t xml:space="preserve"> pod úrovní konce roku 2008). Poptávku stimulovaly nízké ceny PHM (i ve srovnání se sousedními státy), zčásti i</w:t>
            </w:r>
            <w:r w:rsidR="009867BC" w:rsidRPr="00114FC0">
              <w:rPr>
                <w:color w:val="0D0D0D" w:themeColor="text1" w:themeTint="F2"/>
                <w:spacing w:val="-2"/>
              </w:rPr>
              <w:t> </w:t>
            </w:r>
            <w:r w:rsidRPr="00114FC0">
              <w:rPr>
                <w:color w:val="000000" w:themeColor="text1"/>
                <w:spacing w:val="-2"/>
              </w:rPr>
              <w:t>vyšší přepravní nároky v</w:t>
            </w:r>
            <w:r w:rsidR="001D5E1B">
              <w:rPr>
                <w:color w:val="000000" w:themeColor="text1"/>
                <w:spacing w:val="-2"/>
              </w:rPr>
              <w:t> </w:t>
            </w:r>
            <w:r w:rsidRPr="00114FC0">
              <w:rPr>
                <w:color w:val="000000" w:themeColor="text1"/>
                <w:spacing w:val="-2"/>
              </w:rPr>
              <w:t>souvislosti</w:t>
            </w:r>
            <w:r w:rsidR="001D5E1B">
              <w:rPr>
                <w:color w:val="000000" w:themeColor="text1"/>
                <w:spacing w:val="-2"/>
              </w:rPr>
              <w:t xml:space="preserve"> s</w:t>
            </w:r>
            <w:r w:rsidRPr="00114FC0">
              <w:rPr>
                <w:color w:val="000000" w:themeColor="text1"/>
                <w:spacing w:val="-2"/>
              </w:rPr>
              <w:t xml:space="preserve"> růstem ekonomiky i zahraničního obchodu. O</w:t>
            </w:r>
            <w:r w:rsidR="009867BC" w:rsidRPr="00114FC0">
              <w:rPr>
                <w:color w:val="0D0D0D" w:themeColor="text1" w:themeTint="F2"/>
                <w:spacing w:val="-2"/>
              </w:rPr>
              <w:t> </w:t>
            </w:r>
            <w:r w:rsidRPr="00114FC0">
              <w:rPr>
                <w:color w:val="000000" w:themeColor="text1"/>
                <w:spacing w:val="-2"/>
              </w:rPr>
              <w:t>osminu se (podobně jako v předchozím roce) zvýšily tržby v obchodu s motorovými vozidly.</w:t>
            </w:r>
          </w:p>
          <w:p w:rsidR="00905A11" w:rsidRPr="00114FC0" w:rsidRDefault="00905A11" w:rsidP="00611531">
            <w:pPr>
              <w:pStyle w:val="Textpoznpodarou"/>
              <w:jc w:val="both"/>
              <w:rPr>
                <w:color w:val="000000" w:themeColor="text1"/>
                <w:spacing w:val="-2"/>
                <w:sz w:val="16"/>
                <w:szCs w:val="16"/>
              </w:rPr>
            </w:pPr>
          </w:p>
        </w:tc>
      </w:tr>
      <w:tr w:rsidR="00905A11" w:rsidRPr="00BE4405" w:rsidTr="00611531">
        <w:trPr>
          <w:cantSplit/>
          <w:trHeight w:val="250"/>
        </w:trPr>
        <w:tc>
          <w:tcPr>
            <w:tcW w:w="1090" w:type="pct"/>
          </w:tcPr>
          <w:p w:rsidR="00905A11" w:rsidRPr="00114531" w:rsidRDefault="00905A11" w:rsidP="00611531">
            <w:pPr>
              <w:spacing w:line="240" w:lineRule="auto"/>
              <w:rPr>
                <w:color w:val="000000" w:themeColor="text1"/>
                <w:spacing w:val="-4"/>
                <w:sz w:val="16"/>
                <w:szCs w:val="16"/>
              </w:rPr>
            </w:pPr>
            <w:r w:rsidRPr="00114531">
              <w:rPr>
                <w:color w:val="000000" w:themeColor="text1"/>
                <w:spacing w:val="-4"/>
                <w:sz w:val="16"/>
                <w:szCs w:val="16"/>
              </w:rPr>
              <w:lastRenderedPageBreak/>
              <w:t>Růst maloobchodních tržeb ČR byl v roce 2015 mezi zeměmi EU čtvrtý nejvyšší, dynamiku EU</w:t>
            </w:r>
            <w:r>
              <w:rPr>
                <w:color w:val="000000" w:themeColor="text1"/>
                <w:spacing w:val="-4"/>
                <w:sz w:val="16"/>
                <w:szCs w:val="16"/>
              </w:rPr>
              <w:t xml:space="preserve"> převyšovala</w:t>
            </w:r>
            <w:r w:rsidRPr="00114531">
              <w:rPr>
                <w:color w:val="000000" w:themeColor="text1"/>
                <w:spacing w:val="-4"/>
                <w:sz w:val="16"/>
                <w:szCs w:val="16"/>
              </w:rPr>
              <w:t xml:space="preserve"> ČR dlouhodobě (vyjma roku 2010)</w:t>
            </w:r>
          </w:p>
          <w:p w:rsidR="00905A11" w:rsidRPr="00BF497A" w:rsidRDefault="00905A11" w:rsidP="00611531">
            <w:pPr>
              <w:spacing w:line="240" w:lineRule="auto"/>
              <w:rPr>
                <w:color w:val="000000" w:themeColor="text1"/>
                <w:sz w:val="16"/>
                <w:szCs w:val="16"/>
              </w:rPr>
            </w:pPr>
          </w:p>
        </w:tc>
        <w:tc>
          <w:tcPr>
            <w:tcW w:w="145" w:type="pct"/>
          </w:tcPr>
          <w:p w:rsidR="00905A11" w:rsidRPr="005A16AE" w:rsidRDefault="00905A11" w:rsidP="00611531">
            <w:pPr>
              <w:rPr>
                <w:color w:val="000000" w:themeColor="text1"/>
                <w:szCs w:val="16"/>
              </w:rPr>
            </w:pPr>
          </w:p>
        </w:tc>
        <w:tc>
          <w:tcPr>
            <w:tcW w:w="3765" w:type="pct"/>
          </w:tcPr>
          <w:p w:rsidR="00240C76" w:rsidRPr="00CE442A" w:rsidRDefault="00905A11" w:rsidP="00611531">
            <w:pPr>
              <w:spacing w:line="240" w:lineRule="auto"/>
              <w:jc w:val="both"/>
              <w:rPr>
                <w:color w:val="000000" w:themeColor="text1"/>
                <w:spacing w:val="-4"/>
              </w:rPr>
            </w:pPr>
            <w:r>
              <w:rPr>
                <w:color w:val="000000" w:themeColor="text1"/>
                <w:spacing w:val="-4"/>
                <w:szCs w:val="20"/>
              </w:rPr>
              <w:t xml:space="preserve">Dynamika </w:t>
            </w:r>
            <w:r w:rsidRPr="00707A42">
              <w:rPr>
                <w:color w:val="000000" w:themeColor="text1"/>
                <w:spacing w:val="-4"/>
                <w:szCs w:val="20"/>
              </w:rPr>
              <w:t>maloobchodních tržeb</w:t>
            </w:r>
            <w:r w:rsidR="000E0ECB">
              <w:rPr>
                <w:rStyle w:val="Znakapoznpodarou"/>
                <w:color w:val="000000" w:themeColor="text1"/>
                <w:spacing w:val="-4"/>
                <w:szCs w:val="20"/>
              </w:rPr>
              <w:footnoteReference w:id="14"/>
            </w:r>
            <w:r w:rsidRPr="00707A42">
              <w:rPr>
                <w:color w:val="000000" w:themeColor="text1"/>
                <w:spacing w:val="-4"/>
                <w:szCs w:val="20"/>
              </w:rPr>
              <w:t xml:space="preserve"> ČR</w:t>
            </w:r>
            <w:r>
              <w:rPr>
                <w:color w:val="000000" w:themeColor="text1"/>
                <w:spacing w:val="-4"/>
                <w:szCs w:val="20"/>
              </w:rPr>
              <w:t xml:space="preserve"> byla v roce 2015 ve srovnání s EU dvojnásobná. Lepších výsledků dosáhly pouze </w:t>
            </w:r>
            <w:r>
              <w:rPr>
                <w:color w:val="000000" w:themeColor="text1"/>
                <w:spacing w:val="-4"/>
              </w:rPr>
              <w:t>Rumunsko (+8,8 %), Polsko (+6,6 %) a Irsko (+6,3 %). Předkrizovou úrov</w:t>
            </w:r>
            <w:r w:rsidR="000E0ECB">
              <w:rPr>
                <w:color w:val="000000" w:themeColor="text1"/>
                <w:spacing w:val="-4"/>
              </w:rPr>
              <w:t>eň tržeb (rok 2008) překonalo 16</w:t>
            </w:r>
            <w:r>
              <w:rPr>
                <w:color w:val="000000" w:themeColor="text1"/>
                <w:spacing w:val="-4"/>
              </w:rPr>
              <w:t xml:space="preserve"> členských států, z větších ekonomik nejvýrazněji Polsko (o pětinu), Velká Británie a Francie (shodně o</w:t>
            </w:r>
            <w:r w:rsidR="009867BC">
              <w:rPr>
                <w:color w:val="0D0D0D" w:themeColor="text1" w:themeTint="F2"/>
                <w:spacing w:val="-4"/>
              </w:rPr>
              <w:t> </w:t>
            </w:r>
            <w:r>
              <w:rPr>
                <w:color w:val="000000" w:themeColor="text1"/>
                <w:spacing w:val="-4"/>
              </w:rPr>
              <w:t>desetinu),</w:t>
            </w:r>
            <w:r w:rsidR="001D5E1B">
              <w:rPr>
                <w:color w:val="000000" w:themeColor="text1"/>
                <w:spacing w:val="-4"/>
              </w:rPr>
              <w:t xml:space="preserve"> s</w:t>
            </w:r>
            <w:r>
              <w:rPr>
                <w:color w:val="000000" w:themeColor="text1"/>
                <w:spacing w:val="-4"/>
              </w:rPr>
              <w:t xml:space="preserve"> odstu</w:t>
            </w:r>
            <w:r w:rsidR="00744D00">
              <w:rPr>
                <w:color w:val="000000" w:themeColor="text1"/>
                <w:spacing w:val="-4"/>
              </w:rPr>
              <w:t>pem také ČR (</w:t>
            </w:r>
            <w:r w:rsidR="00744D00" w:rsidRPr="00CE442A">
              <w:rPr>
                <w:color w:val="000000" w:themeColor="text1"/>
                <w:spacing w:val="-4"/>
              </w:rPr>
              <w:t>6</w:t>
            </w:r>
            <w:r w:rsidR="00CE442A" w:rsidRPr="00CE442A">
              <w:rPr>
                <w:color w:val="000000" w:themeColor="text1"/>
                <w:spacing w:val="-4"/>
              </w:rPr>
              <w:t>,3</w:t>
            </w:r>
            <w:r w:rsidR="00744D00" w:rsidRPr="00CE442A">
              <w:rPr>
                <w:color w:val="000000" w:themeColor="text1"/>
                <w:spacing w:val="-4"/>
              </w:rPr>
              <w:t xml:space="preserve"> </w:t>
            </w:r>
            <w:r w:rsidR="00744D00">
              <w:rPr>
                <w:color w:val="000000" w:themeColor="text1"/>
                <w:spacing w:val="-4"/>
              </w:rPr>
              <w:t>%) či Německo</w:t>
            </w:r>
            <w:r w:rsidR="00CE442A">
              <w:rPr>
                <w:color w:val="000000" w:themeColor="text1"/>
                <w:spacing w:val="-4"/>
              </w:rPr>
              <w:t xml:space="preserve"> (4,1 %)</w:t>
            </w:r>
            <w:r w:rsidR="00744D00">
              <w:rPr>
                <w:color w:val="000000" w:themeColor="text1"/>
                <w:spacing w:val="-4"/>
              </w:rPr>
              <w:t xml:space="preserve"> a</w:t>
            </w:r>
            <w:r>
              <w:rPr>
                <w:color w:val="000000" w:themeColor="text1"/>
                <w:spacing w:val="-4"/>
              </w:rPr>
              <w:t xml:space="preserve"> Rakousko (</w:t>
            </w:r>
            <w:r w:rsidR="00CE442A">
              <w:rPr>
                <w:color w:val="000000" w:themeColor="text1"/>
                <w:spacing w:val="-4"/>
              </w:rPr>
              <w:t>3,7</w:t>
            </w:r>
            <w:r>
              <w:rPr>
                <w:color w:val="000000" w:themeColor="text1"/>
                <w:spacing w:val="-4"/>
              </w:rPr>
              <w:t xml:space="preserve"> %).</w:t>
            </w:r>
          </w:p>
        </w:tc>
      </w:tr>
    </w:tbl>
    <w:p w:rsidR="00CE442A" w:rsidRPr="00D8439B" w:rsidRDefault="00CE442A" w:rsidP="00FE16E6">
      <w:pPr>
        <w:pStyle w:val="Textpoznpodarou"/>
        <w:jc w:val="both"/>
      </w:pPr>
    </w:p>
    <w:tbl>
      <w:tblPr>
        <w:tblW w:w="5059" w:type="pct"/>
        <w:tblLayout w:type="fixed"/>
        <w:tblCellMar>
          <w:left w:w="28" w:type="dxa"/>
          <w:right w:w="28" w:type="dxa"/>
        </w:tblCellMar>
        <w:tblLook w:val="04A0"/>
      </w:tblPr>
      <w:tblGrid>
        <w:gridCol w:w="735"/>
        <w:gridCol w:w="4180"/>
        <w:gridCol w:w="45"/>
        <w:gridCol w:w="738"/>
        <w:gridCol w:w="4110"/>
      </w:tblGrid>
      <w:tr w:rsidR="00905A11" w:rsidTr="00611531">
        <w:tc>
          <w:tcPr>
            <w:tcW w:w="375" w:type="pct"/>
          </w:tcPr>
          <w:p w:rsidR="00905A11" w:rsidRDefault="00905A11" w:rsidP="00611531">
            <w:pPr>
              <w:spacing w:line="240" w:lineRule="auto"/>
            </w:pPr>
            <w:r>
              <w:t>Graf č. 5</w:t>
            </w:r>
          </w:p>
        </w:tc>
        <w:tc>
          <w:tcPr>
            <w:tcW w:w="2131" w:type="pct"/>
          </w:tcPr>
          <w:p w:rsidR="00905A11" w:rsidRPr="001D04BA" w:rsidRDefault="00905A11" w:rsidP="00611531">
            <w:pPr>
              <w:pStyle w:val="Textpoznpodarou"/>
              <w:rPr>
                <w:b/>
              </w:rPr>
            </w:pPr>
            <w:r w:rsidRPr="001D04BA">
              <w:rPr>
                <w:b/>
              </w:rPr>
              <w:t>Produkce v průmyslu a</w:t>
            </w:r>
            <w:r>
              <w:rPr>
                <w:b/>
              </w:rPr>
              <w:t xml:space="preserve"> ve</w:t>
            </w:r>
            <w:r w:rsidRPr="001D04BA">
              <w:rPr>
                <w:b/>
              </w:rPr>
              <w:t xml:space="preserve"> vyb</w:t>
            </w:r>
            <w:r>
              <w:rPr>
                <w:b/>
              </w:rPr>
              <w:t>raných zpracovatelských odvětvích</w:t>
            </w:r>
          </w:p>
          <w:p w:rsidR="00905A11" w:rsidRDefault="00905A11" w:rsidP="00611531">
            <w:pPr>
              <w:pStyle w:val="Textpoznpodarou"/>
              <w:rPr>
                <w:b/>
              </w:rPr>
            </w:pPr>
            <w:r w:rsidRPr="001D04BA">
              <w:t>(reálně, y/y, v %)</w:t>
            </w:r>
          </w:p>
        </w:tc>
        <w:tc>
          <w:tcPr>
            <w:tcW w:w="399" w:type="pct"/>
            <w:gridSpan w:val="2"/>
          </w:tcPr>
          <w:p w:rsidR="00905A11" w:rsidRDefault="00905A11" w:rsidP="00611531">
            <w:pPr>
              <w:spacing w:line="240" w:lineRule="auto"/>
            </w:pPr>
            <w:r>
              <w:t>Graf č. 6</w:t>
            </w:r>
          </w:p>
        </w:tc>
        <w:tc>
          <w:tcPr>
            <w:tcW w:w="2095" w:type="pct"/>
          </w:tcPr>
          <w:p w:rsidR="00905A11" w:rsidRDefault="00905A11" w:rsidP="00611531">
            <w:pPr>
              <w:spacing w:line="240" w:lineRule="auto"/>
              <w:rPr>
                <w:b/>
              </w:rPr>
            </w:pPr>
            <w:r w:rsidRPr="004B22DA">
              <w:rPr>
                <w:b/>
                <w:spacing w:val="-2"/>
              </w:rPr>
              <w:t>Nové zakázky v automobilovém průmyslu</w:t>
            </w:r>
            <w:r>
              <w:rPr>
                <w:b/>
              </w:rPr>
              <w:t xml:space="preserve">, v průmyslu celkem </w:t>
            </w:r>
            <w:r>
              <w:rPr>
                <w:bCs/>
              </w:rPr>
              <w:t xml:space="preserve">(b.c., y/y, v %) </w:t>
            </w:r>
            <w:r w:rsidRPr="004B22DA">
              <w:t>a</w:t>
            </w:r>
            <w:r>
              <w:rPr>
                <w:b/>
              </w:rPr>
              <w:t xml:space="preserve"> saldo indikátoru důvěry v průmyslu </w:t>
            </w:r>
            <w:r w:rsidRPr="00C1711F">
              <w:t>(pravá osa)</w:t>
            </w:r>
          </w:p>
        </w:tc>
      </w:tr>
      <w:tr w:rsidR="00905A11" w:rsidTr="00611531">
        <w:tc>
          <w:tcPr>
            <w:tcW w:w="2506" w:type="pct"/>
            <w:gridSpan w:val="2"/>
          </w:tcPr>
          <w:p w:rsidR="00905A11" w:rsidRDefault="009256C5" w:rsidP="00611531">
            <w:pPr>
              <w:pStyle w:val="Textpoznpodarou"/>
              <w:jc w:val="both"/>
            </w:pPr>
            <w:r>
              <w:pict>
                <v:shape id="_x0000_i1029" type="#_x0000_t75" style="width:244.8pt;height:183.45pt">
                  <v:imagedata r:id="rId16" o:title=""/>
                </v:shape>
              </w:pict>
            </w:r>
          </w:p>
        </w:tc>
        <w:tc>
          <w:tcPr>
            <w:tcW w:w="2494" w:type="pct"/>
            <w:gridSpan w:val="3"/>
          </w:tcPr>
          <w:p w:rsidR="00905A11" w:rsidRDefault="009256C5" w:rsidP="00611531">
            <w:pPr>
              <w:pStyle w:val="Textpoznpodarou"/>
              <w:jc w:val="both"/>
            </w:pPr>
            <w:r>
              <w:pict>
                <v:shape id="_x0000_i1030" type="#_x0000_t75" style="width:241.65pt;height:182.8pt">
                  <v:imagedata r:id="rId17" o:title=""/>
                </v:shape>
              </w:pict>
            </w:r>
          </w:p>
        </w:tc>
      </w:tr>
      <w:tr w:rsidR="00905A11" w:rsidTr="00611531">
        <w:trPr>
          <w:trHeight w:val="58"/>
        </w:trPr>
        <w:tc>
          <w:tcPr>
            <w:tcW w:w="2529" w:type="pct"/>
            <w:gridSpan w:val="3"/>
          </w:tcPr>
          <w:p w:rsidR="00905A11" w:rsidRDefault="00905A11" w:rsidP="00611531">
            <w:pPr>
              <w:pStyle w:val="Zhlav"/>
              <w:jc w:val="right"/>
              <w:rPr>
                <w:rFonts w:ascii="Arial" w:eastAsia="Times New Roman" w:hAnsi="Arial" w:cs="Arial"/>
                <w:sz w:val="18"/>
                <w:szCs w:val="18"/>
              </w:rPr>
            </w:pPr>
          </w:p>
        </w:tc>
        <w:tc>
          <w:tcPr>
            <w:tcW w:w="2471" w:type="pct"/>
            <w:gridSpan w:val="2"/>
          </w:tcPr>
          <w:p w:rsidR="00905A11" w:rsidRDefault="00905A11" w:rsidP="00611531">
            <w:pPr>
              <w:pStyle w:val="Zhlav"/>
              <w:spacing w:line="240" w:lineRule="auto"/>
              <w:jc w:val="right"/>
              <w:rPr>
                <w:rFonts w:ascii="Arial" w:eastAsia="Times New Roman" w:hAnsi="Arial" w:cs="Arial"/>
                <w:sz w:val="18"/>
                <w:szCs w:val="18"/>
              </w:rPr>
            </w:pPr>
            <w:r w:rsidRPr="000F401E">
              <w:rPr>
                <w:rFonts w:ascii="Arial" w:hAnsi="Arial" w:cs="Arial"/>
                <w:sz w:val="18"/>
                <w:szCs w:val="18"/>
                <w:lang w:eastAsia="cs-CZ"/>
              </w:rPr>
              <w:t>Zdroj: ČSÚ</w:t>
            </w:r>
          </w:p>
        </w:tc>
      </w:tr>
    </w:tbl>
    <w:p w:rsidR="00FE16E6" w:rsidRPr="00C10D62" w:rsidRDefault="00FE16E6" w:rsidP="00FE16E6">
      <w:pPr>
        <w:pStyle w:val="Textpoznpodarou"/>
        <w:jc w:val="both"/>
        <w:rPr>
          <w:sz w:val="16"/>
          <w:szCs w:val="16"/>
        </w:rPr>
      </w:pPr>
    </w:p>
    <w:tbl>
      <w:tblPr>
        <w:tblW w:w="5059" w:type="pct"/>
        <w:tblLayout w:type="fixed"/>
        <w:tblCellMar>
          <w:left w:w="28" w:type="dxa"/>
          <w:right w:w="28" w:type="dxa"/>
        </w:tblCellMar>
        <w:tblLook w:val="04A0"/>
      </w:tblPr>
      <w:tblGrid>
        <w:gridCol w:w="735"/>
        <w:gridCol w:w="4180"/>
        <w:gridCol w:w="45"/>
        <w:gridCol w:w="738"/>
        <w:gridCol w:w="4110"/>
      </w:tblGrid>
      <w:tr w:rsidR="00905A11" w:rsidTr="00611531">
        <w:tc>
          <w:tcPr>
            <w:tcW w:w="375" w:type="pct"/>
          </w:tcPr>
          <w:p w:rsidR="00905A11" w:rsidRDefault="00905A11" w:rsidP="00611531">
            <w:pPr>
              <w:spacing w:line="240" w:lineRule="auto"/>
            </w:pPr>
            <w:r>
              <w:t>Graf č. 7</w:t>
            </w:r>
          </w:p>
        </w:tc>
        <w:tc>
          <w:tcPr>
            <w:tcW w:w="2131" w:type="pct"/>
          </w:tcPr>
          <w:p w:rsidR="00FB16AD" w:rsidRDefault="00905A11" w:rsidP="00611531">
            <w:pPr>
              <w:spacing w:line="240" w:lineRule="auto"/>
              <w:rPr>
                <w:b/>
              </w:rPr>
            </w:pPr>
            <w:r>
              <w:rPr>
                <w:b/>
              </w:rPr>
              <w:t xml:space="preserve">Stavební produkce, hodnota nových zakázek </w:t>
            </w:r>
            <w:r>
              <w:rPr>
                <w:bCs/>
              </w:rPr>
              <w:t xml:space="preserve">(y/y, v %) </w:t>
            </w:r>
            <w:r w:rsidRPr="004B22DA">
              <w:t>a</w:t>
            </w:r>
            <w:r>
              <w:rPr>
                <w:b/>
              </w:rPr>
              <w:t xml:space="preserve"> saldo indikátoru </w:t>
            </w:r>
          </w:p>
          <w:p w:rsidR="00905A11" w:rsidRDefault="00905A11" w:rsidP="00611531">
            <w:pPr>
              <w:spacing w:line="240" w:lineRule="auto"/>
              <w:rPr>
                <w:b/>
              </w:rPr>
            </w:pPr>
            <w:r>
              <w:rPr>
                <w:b/>
              </w:rPr>
              <w:t xml:space="preserve">důvěry ve stavebnictví </w:t>
            </w:r>
            <w:r w:rsidRPr="00C1711F">
              <w:t>(pravá osa)</w:t>
            </w:r>
          </w:p>
        </w:tc>
        <w:tc>
          <w:tcPr>
            <w:tcW w:w="399" w:type="pct"/>
            <w:gridSpan w:val="2"/>
          </w:tcPr>
          <w:p w:rsidR="00905A11" w:rsidRDefault="00905A11" w:rsidP="00611531">
            <w:pPr>
              <w:spacing w:line="240" w:lineRule="auto"/>
            </w:pPr>
            <w:r>
              <w:t>Graf č. 8</w:t>
            </w:r>
          </w:p>
        </w:tc>
        <w:tc>
          <w:tcPr>
            <w:tcW w:w="2095" w:type="pct"/>
          </w:tcPr>
          <w:p w:rsidR="00905A11" w:rsidRDefault="00905A11" w:rsidP="00611531">
            <w:pPr>
              <w:spacing w:line="240" w:lineRule="auto"/>
              <w:rPr>
                <w:b/>
              </w:rPr>
            </w:pPr>
            <w:r>
              <w:rPr>
                <w:b/>
              </w:rPr>
              <w:t xml:space="preserve">Tržby v maloobchodě vč. motoristického segmentu </w:t>
            </w:r>
            <w:r>
              <w:rPr>
                <w:bCs/>
              </w:rPr>
              <w:t xml:space="preserve">(reálně, y/y v %) </w:t>
            </w:r>
            <w:r>
              <w:rPr>
                <w:b/>
              </w:rPr>
              <w:t xml:space="preserve">saldo indikátoru důvěry spotřebitelů </w:t>
            </w:r>
            <w:r w:rsidRPr="00C1711F">
              <w:t>(pravá osa)</w:t>
            </w:r>
          </w:p>
        </w:tc>
      </w:tr>
      <w:tr w:rsidR="00905A11" w:rsidTr="00611531">
        <w:tc>
          <w:tcPr>
            <w:tcW w:w="2506" w:type="pct"/>
            <w:gridSpan w:val="2"/>
          </w:tcPr>
          <w:p w:rsidR="00905A11" w:rsidRDefault="009256C5" w:rsidP="00611531">
            <w:pPr>
              <w:pStyle w:val="Textpoznpodarou"/>
              <w:jc w:val="both"/>
            </w:pPr>
            <w:r>
              <w:pict>
                <v:shape id="_x0000_i1031" type="#_x0000_t75" style="width:242.9pt;height:182.2pt">
                  <v:imagedata r:id="rId18" o:title=""/>
                </v:shape>
              </w:pict>
            </w:r>
          </w:p>
        </w:tc>
        <w:tc>
          <w:tcPr>
            <w:tcW w:w="2494" w:type="pct"/>
            <w:gridSpan w:val="3"/>
          </w:tcPr>
          <w:p w:rsidR="00905A11" w:rsidRDefault="009256C5" w:rsidP="00611531">
            <w:pPr>
              <w:pStyle w:val="Textpoznpodarou"/>
              <w:jc w:val="both"/>
            </w:pPr>
            <w:r>
              <w:pict>
                <v:shape id="_x0000_i1032" type="#_x0000_t75" style="width:239.15pt;height:182.2pt">
                  <v:imagedata r:id="rId19" o:title=""/>
                </v:shape>
              </w:pict>
            </w:r>
          </w:p>
        </w:tc>
      </w:tr>
      <w:tr w:rsidR="00905A11" w:rsidTr="00611531">
        <w:trPr>
          <w:trHeight w:val="58"/>
        </w:trPr>
        <w:tc>
          <w:tcPr>
            <w:tcW w:w="2529" w:type="pct"/>
            <w:gridSpan w:val="3"/>
          </w:tcPr>
          <w:p w:rsidR="00905A11" w:rsidRDefault="00905A11" w:rsidP="00611531">
            <w:pPr>
              <w:pStyle w:val="Zhlav"/>
              <w:jc w:val="right"/>
              <w:rPr>
                <w:rFonts w:ascii="Arial" w:eastAsia="Times New Roman" w:hAnsi="Arial" w:cs="Arial"/>
                <w:sz w:val="18"/>
                <w:szCs w:val="18"/>
              </w:rPr>
            </w:pPr>
          </w:p>
        </w:tc>
        <w:tc>
          <w:tcPr>
            <w:tcW w:w="2471" w:type="pct"/>
            <w:gridSpan w:val="2"/>
          </w:tcPr>
          <w:p w:rsidR="00905A11" w:rsidRDefault="00905A11" w:rsidP="00611531">
            <w:pPr>
              <w:pStyle w:val="Zhlav"/>
              <w:spacing w:line="240" w:lineRule="auto"/>
              <w:jc w:val="right"/>
              <w:rPr>
                <w:rFonts w:ascii="Arial" w:eastAsia="Times New Roman" w:hAnsi="Arial" w:cs="Arial"/>
                <w:sz w:val="18"/>
                <w:szCs w:val="18"/>
              </w:rPr>
            </w:pPr>
            <w:r w:rsidRPr="000F401E">
              <w:rPr>
                <w:rFonts w:ascii="Arial" w:hAnsi="Arial" w:cs="Arial"/>
                <w:sz w:val="18"/>
                <w:szCs w:val="18"/>
                <w:lang w:eastAsia="cs-CZ"/>
              </w:rPr>
              <w:t>Zdroj: ČSÚ</w:t>
            </w:r>
          </w:p>
        </w:tc>
      </w:tr>
    </w:tbl>
    <w:p w:rsidR="00114FC0" w:rsidRPr="00114FC0" w:rsidRDefault="00114FC0" w:rsidP="006D142E">
      <w:pPr>
        <w:pStyle w:val="Textpoznpodarou"/>
        <w:jc w:val="both"/>
        <w:rPr>
          <w:sz w:val="2"/>
          <w:szCs w:val="2"/>
        </w:rPr>
      </w:pPr>
    </w:p>
    <w:p w:rsidR="00576A3E" w:rsidRDefault="00576A3E" w:rsidP="00FC3C84">
      <w:pPr>
        <w:pStyle w:val="Nadpis1"/>
        <w:numPr>
          <w:ilvl w:val="0"/>
          <w:numId w:val="3"/>
        </w:numPr>
        <w:jc w:val="both"/>
      </w:pPr>
      <w:bookmarkStart w:id="6" w:name="_Toc446341883"/>
      <w:r>
        <w:lastRenderedPageBreak/>
        <w:t>Vnější ekonomické vztahy</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77"/>
        <w:gridCol w:w="282"/>
        <w:gridCol w:w="7495"/>
      </w:tblGrid>
      <w:tr w:rsidR="00960769" w:rsidRPr="008F2F8F" w:rsidTr="00960769">
        <w:tc>
          <w:tcPr>
            <w:tcW w:w="1054" w:type="pct"/>
            <w:tcBorders>
              <w:top w:val="nil"/>
              <w:left w:val="nil"/>
              <w:bottom w:val="nil"/>
              <w:right w:val="nil"/>
            </w:tcBorders>
          </w:tcPr>
          <w:p w:rsidR="00960769" w:rsidRPr="00592854" w:rsidRDefault="00960769" w:rsidP="00835991">
            <w:pPr>
              <w:spacing w:line="240" w:lineRule="auto"/>
              <w:rPr>
                <w:sz w:val="16"/>
                <w:szCs w:val="16"/>
              </w:rPr>
            </w:pPr>
            <w:r w:rsidRPr="00592854">
              <w:rPr>
                <w:sz w:val="16"/>
                <w:szCs w:val="16"/>
              </w:rPr>
              <w:t>Přebytek běžného účtu se v loňském roce</w:t>
            </w:r>
            <w:r w:rsidR="00835991" w:rsidRPr="00592854">
              <w:rPr>
                <w:sz w:val="16"/>
                <w:szCs w:val="16"/>
              </w:rPr>
              <w:t xml:space="preserve"> více než </w:t>
            </w:r>
            <w:r w:rsidRPr="00592854">
              <w:rPr>
                <w:sz w:val="16"/>
                <w:szCs w:val="16"/>
              </w:rPr>
              <w:t>z</w:t>
            </w:r>
            <w:r w:rsidR="00835991" w:rsidRPr="00592854">
              <w:rPr>
                <w:sz w:val="16"/>
                <w:szCs w:val="16"/>
              </w:rPr>
              <w:t>pětinásobil</w:t>
            </w:r>
            <w:r w:rsidRPr="00592854">
              <w:rPr>
                <w:sz w:val="16"/>
                <w:szCs w:val="16"/>
              </w:rPr>
              <w:t xml:space="preserve"> a byl historicky nejvyšší, …</w:t>
            </w:r>
          </w:p>
        </w:tc>
        <w:tc>
          <w:tcPr>
            <w:tcW w:w="143" w:type="pct"/>
            <w:tcBorders>
              <w:top w:val="nil"/>
              <w:left w:val="nil"/>
              <w:bottom w:val="nil"/>
              <w:right w:val="nil"/>
            </w:tcBorders>
          </w:tcPr>
          <w:p w:rsidR="00960769" w:rsidRPr="00592854" w:rsidRDefault="00960769" w:rsidP="00960769">
            <w:pPr>
              <w:pStyle w:val="Textpoznpodarou"/>
              <w:jc w:val="both"/>
            </w:pPr>
          </w:p>
        </w:tc>
        <w:tc>
          <w:tcPr>
            <w:tcW w:w="3803" w:type="pct"/>
            <w:tcBorders>
              <w:top w:val="nil"/>
              <w:left w:val="nil"/>
              <w:bottom w:val="nil"/>
              <w:right w:val="nil"/>
            </w:tcBorders>
          </w:tcPr>
          <w:p w:rsidR="00960769" w:rsidRPr="00592854" w:rsidRDefault="00960769" w:rsidP="00960769">
            <w:pPr>
              <w:pStyle w:val="Textpoznpodarou"/>
              <w:jc w:val="both"/>
            </w:pPr>
            <w:r w:rsidRPr="00592854">
              <w:t>Běžný účet platební bilance skončil v přebytku druhý rok za sebou. Převaha příjmů nad výdaji na tomto účtu se proti roku 2014 na</w:t>
            </w:r>
            <w:r w:rsidR="009010A7">
              <w:t>dto</w:t>
            </w:r>
            <w:r w:rsidR="008F7721" w:rsidRPr="00592854">
              <w:t xml:space="preserve"> více než</w:t>
            </w:r>
            <w:r w:rsidRPr="00592854">
              <w:t xml:space="preserve"> </w:t>
            </w:r>
            <w:r w:rsidR="008F7721" w:rsidRPr="00592854">
              <w:t>zpětinásobila</w:t>
            </w:r>
            <w:r w:rsidRPr="00592854">
              <w:t xml:space="preserve"> a</w:t>
            </w:r>
            <w:r w:rsidR="008F7721" w:rsidRPr="00592854">
              <w:t> </w:t>
            </w:r>
            <w:r w:rsidRPr="00592854">
              <w:t xml:space="preserve">byla rekordní. V roce 2014 činil přebytek běžného </w:t>
            </w:r>
            <w:r w:rsidR="008F7721" w:rsidRPr="00592854">
              <w:t>účtu 7,5</w:t>
            </w:r>
            <w:r w:rsidRPr="00592854">
              <w:t xml:space="preserve"> mld. korun</w:t>
            </w:r>
            <w:r w:rsidR="008F7721" w:rsidRPr="00592854">
              <w:t xml:space="preserve"> (0,2 % HDP), loni </w:t>
            </w:r>
            <w:r w:rsidRPr="00592854">
              <w:t>4</w:t>
            </w:r>
            <w:r w:rsidR="008F7721" w:rsidRPr="00592854">
              <w:t>1,4</w:t>
            </w:r>
            <w:r w:rsidRPr="00592854">
              <w:t xml:space="preserve"> mld.</w:t>
            </w:r>
            <w:r w:rsidR="008F7721" w:rsidRPr="00592854">
              <w:t xml:space="preserve"> (0,9</w:t>
            </w:r>
            <w:r w:rsidRPr="00592854">
              <w:t xml:space="preserve"> % HDP). Historicky nejvyšší byl i přebytek kapitálového účtu, díky dočerpávání peněz z fondů EU popr</w:t>
            </w:r>
            <w:r w:rsidR="006379E0">
              <w:t>vé přesáhl 100</w:t>
            </w:r>
            <w:r w:rsidR="008F7721" w:rsidRPr="00592854">
              <w:t>mld. hranici (106,1 </w:t>
            </w:r>
            <w:r w:rsidRPr="00592854">
              <w:t xml:space="preserve">mld. korun). Také některé transakce na finančním účtu se vymykaly historickým </w:t>
            </w:r>
            <w:r w:rsidRPr="00592854">
              <w:rPr>
                <w:spacing w:val="-2"/>
              </w:rPr>
              <w:t>kontextům – čistý odliv přímých investic, převaha</w:t>
            </w:r>
            <w:r w:rsidRPr="00592854">
              <w:t xml:space="preserve"> přílivu portfoliových investic nad jejich odlivem či nárůst rezervních aktiv, to jsou další rekordy zachycené ve výkazu platební bilance.</w:t>
            </w:r>
          </w:p>
          <w:p w:rsidR="00960769" w:rsidRPr="00592854" w:rsidRDefault="00960769" w:rsidP="00960769">
            <w:pPr>
              <w:pStyle w:val="Textpoznpodarou"/>
              <w:jc w:val="both"/>
              <w:rPr>
                <w:sz w:val="16"/>
                <w:szCs w:val="16"/>
              </w:rPr>
            </w:pPr>
          </w:p>
        </w:tc>
      </w:tr>
      <w:tr w:rsidR="00960769" w:rsidRPr="008F2F8F" w:rsidTr="00960769">
        <w:tc>
          <w:tcPr>
            <w:tcW w:w="1054" w:type="pct"/>
            <w:tcBorders>
              <w:top w:val="nil"/>
              <w:left w:val="nil"/>
              <w:bottom w:val="nil"/>
              <w:right w:val="nil"/>
            </w:tcBorders>
          </w:tcPr>
          <w:p w:rsidR="00960769" w:rsidRPr="00592854" w:rsidRDefault="00960769" w:rsidP="00960769">
            <w:pPr>
              <w:spacing w:line="240" w:lineRule="auto"/>
              <w:rPr>
                <w:sz w:val="16"/>
                <w:szCs w:val="16"/>
              </w:rPr>
            </w:pPr>
            <w:r w:rsidRPr="00592854">
              <w:rPr>
                <w:sz w:val="16"/>
                <w:szCs w:val="16"/>
              </w:rPr>
              <w:t>…na jeho zlepšení se podílela všechna dílčí salda s výjimkou obchodní bilance</w:t>
            </w:r>
          </w:p>
        </w:tc>
        <w:tc>
          <w:tcPr>
            <w:tcW w:w="143" w:type="pct"/>
            <w:tcBorders>
              <w:top w:val="nil"/>
              <w:left w:val="nil"/>
              <w:bottom w:val="nil"/>
              <w:right w:val="nil"/>
            </w:tcBorders>
          </w:tcPr>
          <w:p w:rsidR="00960769" w:rsidRPr="00592854" w:rsidRDefault="00960769" w:rsidP="00960769">
            <w:pPr>
              <w:pStyle w:val="Textpoznpodarou"/>
              <w:jc w:val="both"/>
            </w:pPr>
          </w:p>
        </w:tc>
        <w:tc>
          <w:tcPr>
            <w:tcW w:w="3803" w:type="pct"/>
            <w:tcBorders>
              <w:top w:val="nil"/>
              <w:left w:val="nil"/>
              <w:bottom w:val="nil"/>
              <w:right w:val="nil"/>
            </w:tcBorders>
          </w:tcPr>
          <w:p w:rsidR="00960769" w:rsidRPr="00592854" w:rsidRDefault="00960769" w:rsidP="00960769">
            <w:pPr>
              <w:pStyle w:val="Textpoznpodarou"/>
              <w:jc w:val="both"/>
            </w:pPr>
            <w:r w:rsidRPr="00592854">
              <w:rPr>
                <w:spacing w:val="-4"/>
              </w:rPr>
              <w:t>Ve směru dalšího zlepšení běžného účtu působil nižší deficit prvotních i</w:t>
            </w:r>
            <w:r w:rsidR="00427193" w:rsidRPr="00592854">
              <w:t xml:space="preserve"> druhotných důchodů (+17,3 mld. korun</w:t>
            </w:r>
            <w:r w:rsidR="00956F23">
              <w:t>, resp.</w:t>
            </w:r>
            <w:r w:rsidR="00427193" w:rsidRPr="00592854">
              <w:t xml:space="preserve"> +6</w:t>
            </w:r>
            <w:r w:rsidRPr="00592854">
              <w:t xml:space="preserve"> mld.) a také v</w:t>
            </w:r>
            <w:r w:rsidR="00427193" w:rsidRPr="00592854">
              <w:t xml:space="preserve">ýraznější přebytek zahraničního </w:t>
            </w:r>
            <w:r w:rsidR="00B95566" w:rsidRPr="00592854">
              <w:t>obchodu se službami (+19,4</w:t>
            </w:r>
            <w:r w:rsidRPr="00592854">
              <w:t xml:space="preserve"> mld.). Obchodní bilance se však v loňském roce zhoršila, vlivem rychle</w:t>
            </w:r>
            <w:r w:rsidR="00B95566" w:rsidRPr="00592854">
              <w:t>jšího nárůstu dovozu zboží (+193</w:t>
            </w:r>
            <w:r w:rsidRPr="00592854">
              <w:t xml:space="preserve"> mld.</w:t>
            </w:r>
            <w:r w:rsidR="00B95566" w:rsidRPr="00592854">
              <w:t xml:space="preserve"> korun) oproti jeho vývozu (+184,2 mld.), o 8</w:t>
            </w:r>
            <w:r w:rsidRPr="00592854">
              <w:t>,8 mld. Trendy typické pro roky 2012, 2013 a 2014 – tj. kontinuální narůstání deficitu prvotních důchodů a snižovaní přebytku zahraničního obchodu se službami při současném nárůstu přebytku obchodní bilance – se tak v loňském roce zcela obrátily.</w:t>
            </w:r>
          </w:p>
          <w:p w:rsidR="00960769" w:rsidRPr="00592854" w:rsidRDefault="00960769" w:rsidP="00960769">
            <w:pPr>
              <w:pStyle w:val="Textpoznpodarou"/>
              <w:jc w:val="both"/>
              <w:rPr>
                <w:sz w:val="18"/>
                <w:szCs w:val="18"/>
              </w:rPr>
            </w:pPr>
          </w:p>
        </w:tc>
      </w:tr>
      <w:tr w:rsidR="00960769" w:rsidRPr="008F2F8F" w:rsidTr="00960769">
        <w:tc>
          <w:tcPr>
            <w:tcW w:w="1054" w:type="pct"/>
            <w:tcBorders>
              <w:top w:val="nil"/>
              <w:left w:val="nil"/>
              <w:bottom w:val="nil"/>
              <w:right w:val="nil"/>
            </w:tcBorders>
          </w:tcPr>
          <w:p w:rsidR="00960769" w:rsidRPr="007A45B1" w:rsidRDefault="00960769" w:rsidP="00960769">
            <w:pPr>
              <w:spacing w:line="240" w:lineRule="auto"/>
              <w:rPr>
                <w:sz w:val="16"/>
                <w:szCs w:val="16"/>
              </w:rPr>
            </w:pPr>
            <w:r w:rsidRPr="007A45B1">
              <w:rPr>
                <w:sz w:val="16"/>
                <w:szCs w:val="16"/>
              </w:rPr>
              <w:t xml:space="preserve">Příliv přímých investic </w:t>
            </w:r>
            <w:r w:rsidR="00592854" w:rsidRPr="007A45B1">
              <w:rPr>
                <w:sz w:val="16"/>
                <w:szCs w:val="16"/>
              </w:rPr>
              <w:t>do ČR byl nejslabší od roku 2003</w:t>
            </w:r>
            <w:r w:rsidRPr="007A45B1">
              <w:rPr>
                <w:sz w:val="16"/>
                <w:szCs w:val="16"/>
              </w:rPr>
              <w:t>, v trendu navíc oslabuje už deset let</w:t>
            </w:r>
          </w:p>
        </w:tc>
        <w:tc>
          <w:tcPr>
            <w:tcW w:w="143" w:type="pct"/>
            <w:tcBorders>
              <w:top w:val="nil"/>
              <w:left w:val="nil"/>
              <w:bottom w:val="nil"/>
              <w:right w:val="nil"/>
            </w:tcBorders>
          </w:tcPr>
          <w:p w:rsidR="00960769" w:rsidRPr="00111502" w:rsidRDefault="00960769" w:rsidP="00960769">
            <w:pPr>
              <w:pStyle w:val="Textpoznpodarou"/>
              <w:jc w:val="both"/>
              <w:rPr>
                <w:color w:val="FF0000"/>
              </w:rPr>
            </w:pPr>
          </w:p>
        </w:tc>
        <w:tc>
          <w:tcPr>
            <w:tcW w:w="3803" w:type="pct"/>
            <w:tcBorders>
              <w:top w:val="nil"/>
              <w:left w:val="nil"/>
              <w:bottom w:val="nil"/>
              <w:right w:val="nil"/>
            </w:tcBorders>
          </w:tcPr>
          <w:p w:rsidR="00960769" w:rsidRPr="00592854" w:rsidRDefault="00960769" w:rsidP="00960769">
            <w:pPr>
              <w:pStyle w:val="Textpoznpodarou"/>
              <w:jc w:val="both"/>
            </w:pPr>
            <w:r w:rsidRPr="00592854">
              <w:t>Transakce se zahraničím vykazované na finančním účtu vedly k deficitu, stej</w:t>
            </w:r>
            <w:r w:rsidR="005A563B">
              <w:t>ně jako v letech 2012–2014. V</w:t>
            </w:r>
            <w:r w:rsidRPr="00592854">
              <w:t>elikost</w:t>
            </w:r>
            <w:r w:rsidR="005A563B">
              <w:t xml:space="preserve"> tohoto schodku</w:t>
            </w:r>
            <w:r w:rsidRPr="00592854">
              <w:t xml:space="preserve"> </w:t>
            </w:r>
            <w:r w:rsidR="005A563B" w:rsidRPr="00592854">
              <w:t xml:space="preserve">ale </w:t>
            </w:r>
            <w:r w:rsidRPr="00592854">
              <w:t>byla zc</w:t>
            </w:r>
            <w:r w:rsidR="00592854" w:rsidRPr="00592854">
              <w:t>ela mimořádná, dosáhla totiž 193,8</w:t>
            </w:r>
            <w:r w:rsidRPr="00592854">
              <w:t xml:space="preserve"> mld. korun. České společnosti posílily v loňském roce své</w:t>
            </w:r>
            <w:r w:rsidR="00592854" w:rsidRPr="00592854">
              <w:t xml:space="preserve"> přímé investice v zahraničí o </w:t>
            </w:r>
            <w:r w:rsidRPr="00592854">
              <w:t>8</w:t>
            </w:r>
            <w:r w:rsidR="00592854" w:rsidRPr="00592854">
              <w:t>7,3</w:t>
            </w:r>
            <w:r w:rsidRPr="00592854">
              <w:t xml:space="preserve"> mld., investice v ČR </w:t>
            </w:r>
            <w:r w:rsidR="00A1456C">
              <w:t>však byly méně atraktivní</w:t>
            </w:r>
            <w:r w:rsidRPr="00592854">
              <w:t>, neboť přímí zahraniční investo</w:t>
            </w:r>
            <w:r w:rsidR="00592854" w:rsidRPr="00592854">
              <w:t>ři proinvestovali v Česku jen 60</w:t>
            </w:r>
            <w:r w:rsidRPr="00592854">
              <w:t>,7 mld. Přírůstek kapitálu zahraničních investor</w:t>
            </w:r>
            <w:r w:rsidR="00592854" w:rsidRPr="00592854">
              <w:t>ů v ČR byl nejmenší od roku 2003</w:t>
            </w:r>
            <w:r w:rsidRPr="00592854">
              <w:t>, v trendu navíc oslabuje už od roku 2006. Deficit finančního účtu byl</w:t>
            </w:r>
            <w:r w:rsidR="00592854" w:rsidRPr="00592854">
              <w:t xml:space="preserve"> tedy způsoben</w:t>
            </w:r>
            <w:r w:rsidRPr="00592854">
              <w:t xml:space="preserve"> čistým odlivem </w:t>
            </w:r>
            <w:r w:rsidR="00592854" w:rsidRPr="00592854">
              <w:t>přímých</w:t>
            </w:r>
            <w:r w:rsidRPr="00592854">
              <w:t xml:space="preserve"> investic, především však dramatickým nárůstem rezervních aktiv v rozsahu 351,3 mld. korun. Ta se zvýšila jednak vlivem pokračujících intervencí ČNB proti posilující koruně, jednak následkem dočerpání peněz z fondů EU, které byly směňovány do korun mimo trh a zvyšovaly tak devizové rezervy ČNB.</w:t>
            </w:r>
          </w:p>
          <w:p w:rsidR="00960769" w:rsidRPr="00111502" w:rsidRDefault="00960769" w:rsidP="00960769">
            <w:pPr>
              <w:pStyle w:val="Textpoznpodarou"/>
              <w:jc w:val="both"/>
              <w:rPr>
                <w:color w:val="FF0000"/>
                <w:sz w:val="18"/>
                <w:szCs w:val="18"/>
              </w:rPr>
            </w:pPr>
          </w:p>
        </w:tc>
      </w:tr>
      <w:tr w:rsidR="00960769" w:rsidRPr="008F2F8F" w:rsidTr="00960769">
        <w:tc>
          <w:tcPr>
            <w:tcW w:w="1054" w:type="pct"/>
            <w:tcBorders>
              <w:top w:val="nil"/>
              <w:left w:val="nil"/>
              <w:bottom w:val="nil"/>
              <w:right w:val="nil"/>
            </w:tcBorders>
          </w:tcPr>
          <w:p w:rsidR="00960769" w:rsidRPr="007A45B1" w:rsidRDefault="00960769" w:rsidP="00960769">
            <w:pPr>
              <w:spacing w:line="240" w:lineRule="auto"/>
              <w:rPr>
                <w:sz w:val="16"/>
                <w:szCs w:val="16"/>
              </w:rPr>
            </w:pPr>
            <w:r w:rsidRPr="007A45B1">
              <w:rPr>
                <w:sz w:val="16"/>
                <w:szCs w:val="16"/>
              </w:rPr>
              <w:t>Zahraniční investoři nakoupili v loňském</w:t>
            </w:r>
            <w:r w:rsidR="007A45B1" w:rsidRPr="007A45B1">
              <w:rPr>
                <w:sz w:val="16"/>
                <w:szCs w:val="16"/>
              </w:rPr>
              <w:t xml:space="preserve"> roce v ČR cenné papíry za 236,4</w:t>
            </w:r>
            <w:r w:rsidRPr="007A45B1">
              <w:rPr>
                <w:sz w:val="16"/>
                <w:szCs w:val="16"/>
              </w:rPr>
              <w:t xml:space="preserve"> mld. korun. Z toho 117,7 mld. připadlo na pořízení vládních dluhopisů</w:t>
            </w:r>
          </w:p>
        </w:tc>
        <w:tc>
          <w:tcPr>
            <w:tcW w:w="143" w:type="pct"/>
            <w:tcBorders>
              <w:top w:val="nil"/>
              <w:left w:val="nil"/>
              <w:bottom w:val="nil"/>
              <w:right w:val="nil"/>
            </w:tcBorders>
          </w:tcPr>
          <w:p w:rsidR="00960769" w:rsidRPr="007A45B1" w:rsidRDefault="00960769" w:rsidP="00960769">
            <w:pPr>
              <w:pStyle w:val="Textpoznpodarou"/>
              <w:jc w:val="both"/>
            </w:pPr>
          </w:p>
        </w:tc>
        <w:tc>
          <w:tcPr>
            <w:tcW w:w="3803" w:type="pct"/>
            <w:tcBorders>
              <w:top w:val="nil"/>
              <w:left w:val="nil"/>
              <w:bottom w:val="nil"/>
              <w:right w:val="nil"/>
            </w:tcBorders>
          </w:tcPr>
          <w:p w:rsidR="00960769" w:rsidRPr="007A45B1" w:rsidRDefault="00960769" w:rsidP="00960769">
            <w:pPr>
              <w:pStyle w:val="Textpoznpodarou"/>
              <w:jc w:val="both"/>
            </w:pPr>
            <w:r w:rsidRPr="007A45B1">
              <w:t xml:space="preserve">Česká ekonomika přijala v roce 2015 v podobě </w:t>
            </w:r>
            <w:r w:rsidR="00592854" w:rsidRPr="007A45B1">
              <w:t>salda portfoliových investic 164,1</w:t>
            </w:r>
            <w:r w:rsidRPr="007A45B1">
              <w:t xml:space="preserve"> mld. korun. Rezidenti navýšili držbu </w:t>
            </w:r>
            <w:r w:rsidR="00484874" w:rsidRPr="007A45B1">
              <w:t>zahraničních cenných papírů o 72,2</w:t>
            </w:r>
            <w:r w:rsidRPr="007A45B1">
              <w:t xml:space="preserve"> mld. korun, expozice zahraničních investorů v portfoliových investicích vůči ČR</w:t>
            </w:r>
            <w:r w:rsidR="00484874" w:rsidRPr="007A45B1">
              <w:t xml:space="preserve"> narostla o 236,4</w:t>
            </w:r>
            <w:r w:rsidRPr="007A45B1">
              <w:t xml:space="preserve"> mld. Snaha tuzemských bank optimalizovat strukturu bilancí na konci roku se promítla v investicích zahraničních inve</w:t>
            </w:r>
            <w:r w:rsidR="007A45B1" w:rsidRPr="007A45B1">
              <w:t>storů do jejich dluhopisů za 148,7</w:t>
            </w:r>
            <w:r w:rsidRPr="007A45B1">
              <w:t xml:space="preserve"> mld. korun, zahraniční investoři nakupovali v masivním rozsahu ale i vládní dluhopisy (za 117,7 mld.). Preferovali nízké riziko, spekulovali zřejmě i </w:t>
            </w:r>
            <w:r w:rsidRPr="007A45B1">
              <w:rPr>
                <w:spacing w:val="-2"/>
              </w:rPr>
              <w:t>na budoucí posilování české koruny, které by jim mohlo přinést dodatečné</w:t>
            </w:r>
            <w:r w:rsidRPr="007A45B1">
              <w:t xml:space="preserve"> výnosy.</w:t>
            </w:r>
          </w:p>
          <w:p w:rsidR="00960769" w:rsidRPr="007A45B1" w:rsidRDefault="00960769" w:rsidP="00960769">
            <w:pPr>
              <w:pStyle w:val="Textpoznpodarou"/>
              <w:jc w:val="both"/>
              <w:rPr>
                <w:sz w:val="16"/>
                <w:szCs w:val="16"/>
              </w:rPr>
            </w:pPr>
          </w:p>
        </w:tc>
      </w:tr>
      <w:tr w:rsidR="00960769" w:rsidRPr="008F2F8F" w:rsidTr="00960769">
        <w:tc>
          <w:tcPr>
            <w:tcW w:w="1054" w:type="pct"/>
            <w:tcBorders>
              <w:top w:val="nil"/>
              <w:left w:val="nil"/>
              <w:bottom w:val="nil"/>
              <w:right w:val="nil"/>
            </w:tcBorders>
          </w:tcPr>
          <w:p w:rsidR="00960769" w:rsidRPr="00D05D91" w:rsidRDefault="00960769" w:rsidP="00960769">
            <w:pPr>
              <w:spacing w:line="240" w:lineRule="auto"/>
              <w:rPr>
                <w:sz w:val="16"/>
                <w:szCs w:val="16"/>
              </w:rPr>
            </w:pPr>
            <w:r w:rsidRPr="00D05D91">
              <w:rPr>
                <w:sz w:val="16"/>
                <w:szCs w:val="16"/>
              </w:rPr>
              <w:t>Vývoz zboží stoupl v loňském roce podle údajů národního pojetí o 5,9 %. Pokles zbožových vývozů do Ruské federace o třetinu však snížil i celkový vývoz do zemí mimo EU (-0,4 %)</w:t>
            </w:r>
          </w:p>
        </w:tc>
        <w:tc>
          <w:tcPr>
            <w:tcW w:w="143" w:type="pct"/>
            <w:tcBorders>
              <w:top w:val="nil"/>
              <w:left w:val="nil"/>
              <w:bottom w:val="nil"/>
              <w:right w:val="nil"/>
            </w:tcBorders>
          </w:tcPr>
          <w:p w:rsidR="00960769" w:rsidRPr="00D05D91" w:rsidRDefault="00960769" w:rsidP="00960769">
            <w:pPr>
              <w:pStyle w:val="Textpoznpodarou"/>
              <w:jc w:val="both"/>
            </w:pPr>
          </w:p>
        </w:tc>
        <w:tc>
          <w:tcPr>
            <w:tcW w:w="3803" w:type="pct"/>
            <w:tcBorders>
              <w:top w:val="nil"/>
              <w:left w:val="nil"/>
              <w:bottom w:val="nil"/>
              <w:right w:val="nil"/>
            </w:tcBorders>
          </w:tcPr>
          <w:p w:rsidR="00960769" w:rsidRPr="00D05D91" w:rsidRDefault="00960769" w:rsidP="00960769">
            <w:pPr>
              <w:pStyle w:val="Textpoznpodarou"/>
              <w:jc w:val="both"/>
            </w:pPr>
            <w:r w:rsidRPr="00D05D91">
              <w:t>Vývoz zboží se podle údajů národního pojetí</w:t>
            </w:r>
            <w:r w:rsidRPr="00D05D91">
              <w:rPr>
                <w:rStyle w:val="Znakapoznpodarou"/>
              </w:rPr>
              <w:footnoteReference w:id="15"/>
            </w:r>
            <w:r w:rsidRPr="00D05D91">
              <w:t xml:space="preserve"> v roce 2015 zvýšil o 5,9 % a dosáhl hodnoty 3 336 mld. korun. Jeho dynamika byla silnější v 1. polovině roku, kdy stoupl o 7,1 %, než ve 2. pololetí, </w:t>
            </w:r>
            <w:r w:rsidRPr="00D05D91">
              <w:rPr>
                <w:spacing w:val="-2"/>
              </w:rPr>
              <w:t>kdy byl meziročně vyšší o 4,7 %. Exportérům se v loňském roce dařilo</w:t>
            </w:r>
            <w:r w:rsidRPr="00D05D91">
              <w:t xml:space="preserve"> expandovat především na trhy EU, podobně jako </w:t>
            </w:r>
            <w:r>
              <w:t>v letech 2013 a 2014</w:t>
            </w:r>
            <w:r w:rsidRPr="00D05D91">
              <w:t xml:space="preserve">. Vývoz zboží do Unie stoupl o 7,2 %, do samotného Německa o 7,4 % a na Slovensko dokonce o 14,4 %. Co se týče hodnoty vývozu zboží do zemí mimo EU, ta se snížila (-0,4 %), poprvé od roku 2009. Tento pokles </w:t>
            </w:r>
            <w:r w:rsidRPr="00D05D91">
              <w:rPr>
                <w:spacing w:val="-2"/>
              </w:rPr>
              <w:t>souvisel jednak s restrikcemi na vývoz do Ruské federace, jednak s</w:t>
            </w:r>
            <w:r w:rsidRPr="00D05D91">
              <w:t xml:space="preserve"> hospodářskými problémy této země. Vývoz zboží do Ruska </w:t>
            </w:r>
            <w:r w:rsidRPr="00D05D91">
              <w:rPr>
                <w:spacing w:val="-2"/>
              </w:rPr>
              <w:t xml:space="preserve">propadl v loňském roce </w:t>
            </w:r>
            <w:r w:rsidR="00175F60">
              <w:rPr>
                <w:spacing w:val="-2"/>
              </w:rPr>
              <w:t xml:space="preserve">meziročně </w:t>
            </w:r>
            <w:r w:rsidRPr="00D05D91">
              <w:rPr>
                <w:spacing w:val="-2"/>
              </w:rPr>
              <w:t>o</w:t>
            </w:r>
            <w:r w:rsidR="00175F60">
              <w:rPr>
                <w:spacing w:val="-2"/>
              </w:rPr>
              <w:t> </w:t>
            </w:r>
            <w:r w:rsidRPr="00D05D91">
              <w:rPr>
                <w:spacing w:val="-2"/>
              </w:rPr>
              <w:t>32,8 % a proti roku 2012 byl nižší už o 37,</w:t>
            </w:r>
            <w:r w:rsidRPr="00D05D91">
              <w:t>3 %.</w:t>
            </w:r>
          </w:p>
          <w:p w:rsidR="00960769" w:rsidRPr="00D05D91" w:rsidRDefault="00960769" w:rsidP="00960769">
            <w:pPr>
              <w:pStyle w:val="Textpoznpodarou"/>
              <w:jc w:val="both"/>
              <w:rPr>
                <w:spacing w:val="-2"/>
                <w:sz w:val="18"/>
                <w:szCs w:val="18"/>
              </w:rPr>
            </w:pPr>
          </w:p>
        </w:tc>
      </w:tr>
      <w:tr w:rsidR="00960769" w:rsidRPr="008F2F8F" w:rsidTr="00960769">
        <w:tc>
          <w:tcPr>
            <w:tcW w:w="1054" w:type="pct"/>
            <w:tcBorders>
              <w:top w:val="nil"/>
              <w:left w:val="nil"/>
              <w:bottom w:val="nil"/>
              <w:right w:val="nil"/>
            </w:tcBorders>
          </w:tcPr>
          <w:p w:rsidR="00960769" w:rsidRPr="00D05D91" w:rsidRDefault="00960769" w:rsidP="00960769">
            <w:pPr>
              <w:spacing w:line="240" w:lineRule="auto"/>
              <w:rPr>
                <w:sz w:val="16"/>
                <w:szCs w:val="16"/>
              </w:rPr>
            </w:pPr>
            <w:r w:rsidRPr="00D05D91">
              <w:rPr>
                <w:sz w:val="16"/>
                <w:szCs w:val="16"/>
              </w:rPr>
              <w:t>Tempo růstu vývozu do Číny v letech 2009–2013 vyšší než dynamika celkového vývozu, v posledních dvou letech bylo ale již podprůměrné</w:t>
            </w:r>
          </w:p>
        </w:tc>
        <w:tc>
          <w:tcPr>
            <w:tcW w:w="143" w:type="pct"/>
            <w:tcBorders>
              <w:top w:val="nil"/>
              <w:left w:val="nil"/>
              <w:bottom w:val="nil"/>
              <w:right w:val="nil"/>
            </w:tcBorders>
          </w:tcPr>
          <w:p w:rsidR="00960769" w:rsidRPr="00D05D91" w:rsidRDefault="00960769" w:rsidP="00960769">
            <w:pPr>
              <w:pStyle w:val="Textpoznpodarou"/>
              <w:jc w:val="both"/>
            </w:pPr>
          </w:p>
        </w:tc>
        <w:tc>
          <w:tcPr>
            <w:tcW w:w="3803" w:type="pct"/>
            <w:tcBorders>
              <w:top w:val="nil"/>
              <w:left w:val="nil"/>
              <w:bottom w:val="nil"/>
              <w:right w:val="nil"/>
            </w:tcBorders>
          </w:tcPr>
          <w:p w:rsidR="00960769" w:rsidRPr="008D2671" w:rsidRDefault="00960769" w:rsidP="008D2671">
            <w:pPr>
              <w:pStyle w:val="Textpoznpodarou"/>
              <w:jc w:val="both"/>
              <w:rPr>
                <w:sz w:val="16"/>
                <w:szCs w:val="16"/>
              </w:rPr>
            </w:pPr>
            <w:r w:rsidRPr="008D2671">
              <w:t>Vývoz zboží směřující do Číny se v roce 2009 i přes všeobecně slabou poptávku navýšil o 20,6 %. Také v letech 2010–2013 se vyvíjel příznivě, neboť rostl mnohem rychleji než vývoz zboží z ČR celkem. V posledních dvou letech se ale českým exportérům</w:t>
            </w:r>
            <w:r w:rsidR="008D2671" w:rsidRPr="008D2671">
              <w:t xml:space="preserve"> na čínském</w:t>
            </w:r>
            <w:r w:rsidRPr="008D2671">
              <w:t xml:space="preserve"> trh</w:t>
            </w:r>
            <w:r w:rsidR="008D2671" w:rsidRPr="008D2671">
              <w:t>u</w:t>
            </w:r>
            <w:r w:rsidRPr="008D2671">
              <w:t xml:space="preserve"> už příliš </w:t>
            </w:r>
            <w:r w:rsidR="008D2671" w:rsidRPr="008D2671">
              <w:t>prosazovat</w:t>
            </w:r>
            <w:r w:rsidRPr="008D2671">
              <w:t xml:space="preserve"> nedařilo – vývoz do Číny se v roce 2014 zvýšil o 8,7 % a v roce 2015 o 4,4 %, v obou letech méně než odpovídalo přírůstku celkového vývozu zboží.</w:t>
            </w:r>
          </w:p>
        </w:tc>
      </w:tr>
      <w:tr w:rsidR="00960769" w:rsidRPr="008F2F8F" w:rsidTr="00960769">
        <w:tc>
          <w:tcPr>
            <w:tcW w:w="1054" w:type="pct"/>
            <w:tcBorders>
              <w:top w:val="nil"/>
              <w:left w:val="nil"/>
              <w:bottom w:val="nil"/>
              <w:right w:val="nil"/>
            </w:tcBorders>
          </w:tcPr>
          <w:p w:rsidR="00960769" w:rsidRPr="00D05D91" w:rsidRDefault="00960769" w:rsidP="00960769">
            <w:pPr>
              <w:spacing w:line="240" w:lineRule="auto"/>
              <w:rPr>
                <w:sz w:val="16"/>
                <w:szCs w:val="16"/>
              </w:rPr>
            </w:pPr>
            <w:r w:rsidRPr="00D05D91">
              <w:rPr>
                <w:sz w:val="16"/>
                <w:szCs w:val="16"/>
              </w:rPr>
              <w:lastRenderedPageBreak/>
              <w:t>Vývoz motorových vozidel vzrostl o 12,7 % a v kumulaci za roky 2014 a 2015 o 38 %. Proti roku 2007 byl téměř dvojnásobný (+87,3 %)</w:t>
            </w:r>
          </w:p>
        </w:tc>
        <w:tc>
          <w:tcPr>
            <w:tcW w:w="143" w:type="pct"/>
            <w:tcBorders>
              <w:top w:val="nil"/>
              <w:left w:val="nil"/>
              <w:bottom w:val="nil"/>
              <w:right w:val="nil"/>
            </w:tcBorders>
          </w:tcPr>
          <w:p w:rsidR="00960769" w:rsidRPr="00D05D91" w:rsidRDefault="00960769" w:rsidP="00960769">
            <w:pPr>
              <w:pStyle w:val="Textpoznpodarou"/>
              <w:jc w:val="both"/>
            </w:pPr>
          </w:p>
        </w:tc>
        <w:tc>
          <w:tcPr>
            <w:tcW w:w="3803" w:type="pct"/>
            <w:tcBorders>
              <w:top w:val="nil"/>
              <w:left w:val="nil"/>
              <w:bottom w:val="nil"/>
              <w:right w:val="nil"/>
            </w:tcBorders>
          </w:tcPr>
          <w:p w:rsidR="00960769" w:rsidRPr="00D05D91" w:rsidRDefault="00960769" w:rsidP="00960769">
            <w:pPr>
              <w:pStyle w:val="Textpoznpodarou"/>
              <w:jc w:val="both"/>
            </w:pPr>
            <w:r w:rsidRPr="00D05D91">
              <w:t>Dynamický nárůst vývozu motorových vozidel z roku 2014 (+22,5 %) se už loni neopakoval. Zůstal ale silný (+12,7 %) a zhruba dvojnásobný oproti celkovému navýšení vývozu zboží. Rok 2015 byl příznivý i pro exportéry kovodělných výrobků (+9,4 %), elektrických zařízení (+6,9 %) a pryžových a plastových výrobků (+6,6 %)</w:t>
            </w:r>
            <w:r w:rsidR="003302DA">
              <w:t>.</w:t>
            </w:r>
            <w:r w:rsidRPr="00D05D91">
              <w:t xml:space="preserve"> Ze zbývajících </w:t>
            </w:r>
            <w:r w:rsidR="00E32BC2">
              <w:t>oddílů</w:t>
            </w:r>
            <w:r w:rsidRPr="00D05D91">
              <w:t xml:space="preserve">, jejichž hodnota vývozu dlouhodobě překračuje hranici 100 mld. korun ročně, se v loňském roce vyvezlo méně jen chemických látek (-6,8 %) a základních kovů (-5,5 %). V případě chemických látek došlo k poklesu hodnoty vývozu </w:t>
            </w:r>
            <w:r w:rsidR="00C54748">
              <w:t>vlivem nucené odstávky části výrobních kapacit, přispěly k ní ale</w:t>
            </w:r>
            <w:r w:rsidRPr="00D05D91">
              <w:t xml:space="preserve"> i </w:t>
            </w:r>
            <w:r w:rsidR="00C54748">
              <w:t>nižší</w:t>
            </w:r>
            <w:r w:rsidRPr="00D05D91">
              <w:t xml:space="preserve"> cen</w:t>
            </w:r>
            <w:r w:rsidR="00C54748">
              <w:t>y ropy. J</w:t>
            </w:r>
            <w:r w:rsidRPr="00D05D91">
              <w:t xml:space="preserve">e </w:t>
            </w:r>
            <w:r w:rsidR="00C54748">
              <w:t>nicméně</w:t>
            </w:r>
            <w:r w:rsidRPr="00D05D91">
              <w:t xml:space="preserve"> zajímavé, že vývoz samotné ropy a zemního plynu se zdvojnásobil (+126,1 %).</w:t>
            </w:r>
          </w:p>
          <w:p w:rsidR="00960769" w:rsidRPr="00D05D91" w:rsidRDefault="00960769" w:rsidP="00960769">
            <w:pPr>
              <w:pStyle w:val="Textpoznpodarou"/>
              <w:jc w:val="both"/>
              <w:rPr>
                <w:sz w:val="14"/>
                <w:szCs w:val="14"/>
              </w:rPr>
            </w:pPr>
          </w:p>
        </w:tc>
      </w:tr>
      <w:tr w:rsidR="00960769" w:rsidRPr="008F2F8F" w:rsidTr="00960769">
        <w:tc>
          <w:tcPr>
            <w:tcW w:w="1054" w:type="pct"/>
            <w:tcBorders>
              <w:top w:val="nil"/>
              <w:left w:val="nil"/>
              <w:bottom w:val="nil"/>
              <w:right w:val="nil"/>
            </w:tcBorders>
          </w:tcPr>
          <w:p w:rsidR="00960769" w:rsidRPr="00D05D91" w:rsidRDefault="00960769" w:rsidP="00CB4DF1">
            <w:pPr>
              <w:spacing w:line="240" w:lineRule="auto"/>
              <w:rPr>
                <w:sz w:val="16"/>
                <w:szCs w:val="16"/>
              </w:rPr>
            </w:pPr>
            <w:r w:rsidRPr="00D05D91">
              <w:rPr>
                <w:sz w:val="16"/>
                <w:szCs w:val="16"/>
              </w:rPr>
              <w:t>Siln</w:t>
            </w:r>
            <w:r w:rsidR="00CB4DF1">
              <w:rPr>
                <w:sz w:val="16"/>
                <w:szCs w:val="16"/>
              </w:rPr>
              <w:t xml:space="preserve">á domácí poptávka se promítla ve výraznějším </w:t>
            </w:r>
            <w:r w:rsidRPr="00D05D91">
              <w:rPr>
                <w:sz w:val="16"/>
                <w:szCs w:val="16"/>
              </w:rPr>
              <w:t>nárůstu dovozu oproti vývozu</w:t>
            </w:r>
          </w:p>
        </w:tc>
        <w:tc>
          <w:tcPr>
            <w:tcW w:w="143" w:type="pct"/>
            <w:tcBorders>
              <w:top w:val="nil"/>
              <w:left w:val="nil"/>
              <w:bottom w:val="nil"/>
              <w:right w:val="nil"/>
            </w:tcBorders>
          </w:tcPr>
          <w:p w:rsidR="00960769" w:rsidRPr="00D05D91" w:rsidRDefault="00960769" w:rsidP="00960769">
            <w:pPr>
              <w:pStyle w:val="Textpoznpodarou"/>
              <w:jc w:val="both"/>
            </w:pPr>
          </w:p>
        </w:tc>
        <w:tc>
          <w:tcPr>
            <w:tcW w:w="3803" w:type="pct"/>
            <w:tcBorders>
              <w:top w:val="nil"/>
              <w:left w:val="nil"/>
              <w:bottom w:val="nil"/>
              <w:right w:val="nil"/>
            </w:tcBorders>
          </w:tcPr>
          <w:p w:rsidR="00960769" w:rsidRPr="00D05D91" w:rsidRDefault="00960769" w:rsidP="00960769">
            <w:pPr>
              <w:pStyle w:val="Textpoznpodarou"/>
              <w:jc w:val="both"/>
            </w:pPr>
            <w:r w:rsidRPr="00D05D91">
              <w:t xml:space="preserve">Ceny ropy a zemního plynu na světovém trhu v roce 2015 poklesly a promítly se významně do hodnoty dovozu tohoto zboží do České republiky (-20,3 %). I tak ale celkový dovoz zboží do Česka stoupl o 6,5 </w:t>
            </w:r>
            <w:r w:rsidR="00CB4DF1">
              <w:t>%. Zvýšil se rychleji než vývoz. Z</w:t>
            </w:r>
            <w:r w:rsidRPr="00D05D91">
              <w:t>e</w:t>
            </w:r>
            <w:r w:rsidR="00CB4DF1">
              <w:t> </w:t>
            </w:r>
            <w:r w:rsidRPr="00D05D91">
              <w:t>čtvrtletních dat je přitom patrné, že šlo o důsledek vývoje v 1. až 3. čtvrtletí, protože ve 4. kvartále již tempo růstu dovozu zaostávalo. Silná domácí poptávka, daná rychle rostoucí spotřebou a investicemi, navyšovala hlavně dovozy z Polska (+11,4 %), Číny (+11,1 %) a Německa (+8,3 %). Hodnota zboží pocházejícího ze zemí mimo EU se zvýšila o 2,9 %, dovoz z Ruska o 18,4 % poklesl.</w:t>
            </w:r>
          </w:p>
          <w:p w:rsidR="00960769" w:rsidRPr="00D05D91" w:rsidRDefault="00960769" w:rsidP="00960769">
            <w:pPr>
              <w:pStyle w:val="Textpoznpodarou"/>
              <w:jc w:val="both"/>
              <w:rPr>
                <w:sz w:val="14"/>
                <w:szCs w:val="14"/>
              </w:rPr>
            </w:pPr>
          </w:p>
        </w:tc>
      </w:tr>
      <w:tr w:rsidR="00960769" w:rsidRPr="008F2F8F" w:rsidTr="00960769">
        <w:tc>
          <w:tcPr>
            <w:tcW w:w="1054" w:type="pct"/>
            <w:tcBorders>
              <w:top w:val="nil"/>
              <w:left w:val="nil"/>
              <w:bottom w:val="nil"/>
              <w:right w:val="nil"/>
            </w:tcBorders>
          </w:tcPr>
          <w:p w:rsidR="00960769" w:rsidRPr="00D05D91" w:rsidRDefault="00960769" w:rsidP="00960769">
            <w:pPr>
              <w:spacing w:line="240" w:lineRule="auto"/>
              <w:rPr>
                <w:sz w:val="16"/>
                <w:szCs w:val="16"/>
              </w:rPr>
            </w:pPr>
            <w:r w:rsidRPr="00D05D91">
              <w:rPr>
                <w:sz w:val="16"/>
                <w:szCs w:val="16"/>
              </w:rPr>
              <w:t>Propojenost české ekonomiky s EU se loni dále zvětšila</w:t>
            </w:r>
          </w:p>
        </w:tc>
        <w:tc>
          <w:tcPr>
            <w:tcW w:w="143" w:type="pct"/>
            <w:tcBorders>
              <w:top w:val="nil"/>
              <w:left w:val="nil"/>
              <w:bottom w:val="nil"/>
              <w:right w:val="nil"/>
            </w:tcBorders>
          </w:tcPr>
          <w:p w:rsidR="00960769" w:rsidRPr="00D05D91" w:rsidRDefault="00960769" w:rsidP="00960769">
            <w:pPr>
              <w:pStyle w:val="Textpoznpodarou"/>
              <w:jc w:val="both"/>
            </w:pPr>
          </w:p>
        </w:tc>
        <w:tc>
          <w:tcPr>
            <w:tcW w:w="3803" w:type="pct"/>
            <w:tcBorders>
              <w:top w:val="nil"/>
              <w:left w:val="nil"/>
              <w:bottom w:val="nil"/>
              <w:right w:val="nil"/>
            </w:tcBorders>
          </w:tcPr>
          <w:p w:rsidR="00960769" w:rsidRPr="00D05D91" w:rsidRDefault="00C54748" w:rsidP="00960769">
            <w:pPr>
              <w:pStyle w:val="Textpoznpodarou"/>
              <w:jc w:val="both"/>
            </w:pPr>
            <w:r>
              <w:t>O</w:t>
            </w:r>
            <w:r w:rsidR="00960769" w:rsidRPr="00D05D91">
              <w:t>rientace e</w:t>
            </w:r>
            <w:r w:rsidR="002A267F">
              <w:t>konomiky</w:t>
            </w:r>
            <w:r>
              <w:t xml:space="preserve"> ČR</w:t>
            </w:r>
            <w:r w:rsidR="002A267F">
              <w:t xml:space="preserve"> na EU</w:t>
            </w:r>
            <w:r>
              <w:t xml:space="preserve"> se v </w:t>
            </w:r>
            <w:r w:rsidR="00960769" w:rsidRPr="00D05D91">
              <w:t>roce</w:t>
            </w:r>
            <w:r>
              <w:t xml:space="preserve"> 2015</w:t>
            </w:r>
            <w:r w:rsidR="00960769" w:rsidRPr="00D05D91">
              <w:t xml:space="preserve"> </w:t>
            </w:r>
            <w:r w:rsidR="0068437D">
              <w:t>posílila</w:t>
            </w:r>
            <w:r w:rsidR="00960769" w:rsidRPr="00D05D91">
              <w:t xml:space="preserve">. Zatímco v roce 2014 skončilo v zemích Unie 83 % celkového vývozu zboží z ČR, loni už 84 %. Váha </w:t>
            </w:r>
            <w:r w:rsidR="00CC6CA2">
              <w:rPr>
                <w:spacing w:val="-2"/>
              </w:rPr>
              <w:t>dovozu</w:t>
            </w:r>
            <w:r w:rsidR="00960769" w:rsidRPr="00C54748">
              <w:rPr>
                <w:spacing w:val="-2"/>
              </w:rPr>
              <w:t xml:space="preserve"> zboží z EU na celkových zbožových dovozech narostla z 68,1 % na 68,9</w:t>
            </w:r>
            <w:r w:rsidR="00960769" w:rsidRPr="00D05D91">
              <w:t xml:space="preserve"> %.</w:t>
            </w:r>
          </w:p>
          <w:p w:rsidR="00960769" w:rsidRPr="00D05D91" w:rsidRDefault="00960769" w:rsidP="00960769">
            <w:pPr>
              <w:pStyle w:val="Textpoznpodarou"/>
              <w:jc w:val="both"/>
              <w:rPr>
                <w:sz w:val="14"/>
                <w:szCs w:val="14"/>
              </w:rPr>
            </w:pPr>
          </w:p>
        </w:tc>
      </w:tr>
      <w:tr w:rsidR="00960769" w:rsidRPr="008F2F8F" w:rsidTr="00960769">
        <w:tc>
          <w:tcPr>
            <w:tcW w:w="1054" w:type="pct"/>
            <w:tcBorders>
              <w:top w:val="nil"/>
              <w:left w:val="nil"/>
              <w:bottom w:val="nil"/>
              <w:right w:val="nil"/>
            </w:tcBorders>
          </w:tcPr>
          <w:p w:rsidR="00960769" w:rsidRPr="00D05D91" w:rsidRDefault="00960769" w:rsidP="00960769">
            <w:pPr>
              <w:spacing w:line="240" w:lineRule="auto"/>
              <w:rPr>
                <w:sz w:val="16"/>
                <w:szCs w:val="16"/>
              </w:rPr>
            </w:pPr>
            <w:r w:rsidRPr="00D05D91">
              <w:rPr>
                <w:sz w:val="16"/>
                <w:szCs w:val="16"/>
              </w:rPr>
              <w:t>Přebytek zahraničního obchodu se zbožím v národním pojetí se v roce 2015 snížil o 7,3 mld. korun. Přitom deficit obchodu s ropou a zemním plynem se o 55,5 mld. zmenšil</w:t>
            </w:r>
          </w:p>
        </w:tc>
        <w:tc>
          <w:tcPr>
            <w:tcW w:w="143" w:type="pct"/>
            <w:tcBorders>
              <w:top w:val="nil"/>
              <w:left w:val="nil"/>
              <w:bottom w:val="nil"/>
              <w:right w:val="nil"/>
            </w:tcBorders>
          </w:tcPr>
          <w:p w:rsidR="00960769" w:rsidRPr="00D05D91" w:rsidRDefault="00960769" w:rsidP="00960769">
            <w:pPr>
              <w:pStyle w:val="Textpoznpodarou"/>
              <w:jc w:val="both"/>
            </w:pPr>
          </w:p>
        </w:tc>
        <w:tc>
          <w:tcPr>
            <w:tcW w:w="3803" w:type="pct"/>
            <w:tcBorders>
              <w:top w:val="nil"/>
              <w:left w:val="nil"/>
              <w:bottom w:val="nil"/>
              <w:right w:val="nil"/>
            </w:tcBorders>
          </w:tcPr>
          <w:p w:rsidR="00960769" w:rsidRPr="00D05D91" w:rsidRDefault="00960769" w:rsidP="009256C5">
            <w:pPr>
              <w:pStyle w:val="Textpoznpodarou"/>
              <w:jc w:val="both"/>
            </w:pPr>
            <w:r w:rsidRPr="00D05D91">
              <w:t>Přebytek zahraničního obchodu se zbožím v národním pojetí, tj. rozdíl mezi vývozem v cenách FOB a dovozem v cenách CIF, činil v loňském roce 138,7 mld. korun. Převaha vývozu nad dovozem se zmenšila o 7,3 mld. korun a trend kontinuálního nárůstu přebytku z let 2011–2014 se zastavil. Přebytek obchodu s Unií narostl na 597,1 mld. korun (o 28,6 mld.), deficit se zeměmi mimo EU se zvětšil na 437,7 mld. (o 29,3 mld.).</w:t>
            </w:r>
            <w:r w:rsidRPr="00D05D91">
              <w:rPr>
                <w:rStyle w:val="Znakapoznpodarou"/>
              </w:rPr>
              <w:footnoteReference w:id="16"/>
            </w:r>
            <w:r w:rsidRPr="00D05D91">
              <w:t xml:space="preserve"> K nejvýznamnějšímu zlepšení bilance došlo u ropy a zemního plynu (deficit se zmenšil o 55,5 mld.), motorových vozidel (růst přebytku o 27,9 mld.) a ostatních dopravních prostředků a zařízení (nárůst přebytku o 10,8 mld.). Horší výsledek než v roce 2014 vykázal především obchod s tabákovými výrobky, který přešel z přebytku do deficitu. V případě chemických látek a základních kovů došlo ke zhoršení deficitu o 26,8 mld. a 15 mld., přebytek ve strojích a zařízení poklesl o 10,1 mld.</w:t>
            </w:r>
          </w:p>
        </w:tc>
      </w:tr>
    </w:tbl>
    <w:p w:rsidR="006A18AE" w:rsidRPr="00960769" w:rsidRDefault="006A18AE" w:rsidP="002E0DB9">
      <w:pPr>
        <w:rPr>
          <w:sz w:val="16"/>
          <w:szCs w:val="16"/>
        </w:rPr>
      </w:pPr>
    </w:p>
    <w:tbl>
      <w:tblPr>
        <w:tblW w:w="5000" w:type="pct"/>
        <w:tblLook w:val="04A0"/>
      </w:tblPr>
      <w:tblGrid>
        <w:gridCol w:w="1120"/>
        <w:gridCol w:w="3806"/>
        <w:gridCol w:w="714"/>
        <w:gridCol w:w="1117"/>
        <w:gridCol w:w="3097"/>
      </w:tblGrid>
      <w:tr w:rsidR="00960769" w:rsidRPr="00083224" w:rsidTr="00960769">
        <w:tc>
          <w:tcPr>
            <w:tcW w:w="568" w:type="pct"/>
          </w:tcPr>
          <w:p w:rsidR="00960769" w:rsidRPr="00AD7D49" w:rsidRDefault="00960769" w:rsidP="00960769">
            <w:pPr>
              <w:pStyle w:val="Textpoznpodarou"/>
            </w:pPr>
            <w:r w:rsidRPr="00AD7D49">
              <w:t>Graf č. 9</w:t>
            </w:r>
          </w:p>
        </w:tc>
        <w:tc>
          <w:tcPr>
            <w:tcW w:w="1930" w:type="pct"/>
          </w:tcPr>
          <w:p w:rsidR="00960769" w:rsidRPr="00AD7D49" w:rsidRDefault="00960769" w:rsidP="00960769">
            <w:pPr>
              <w:pStyle w:val="Textpoznpodarou"/>
              <w:rPr>
                <w:b/>
              </w:rPr>
            </w:pPr>
            <w:r w:rsidRPr="00AD7D49">
              <w:rPr>
                <w:b/>
              </w:rPr>
              <w:t>Běžný účet platební bilance</w:t>
            </w:r>
          </w:p>
          <w:p w:rsidR="00960769" w:rsidRPr="00AD7D49" w:rsidRDefault="00960769" w:rsidP="00960769">
            <w:pPr>
              <w:pStyle w:val="Textpoznpodarou"/>
            </w:pPr>
            <w:r w:rsidRPr="00AD7D49">
              <w:t>(v mld. korun)</w:t>
            </w:r>
          </w:p>
        </w:tc>
        <w:tc>
          <w:tcPr>
            <w:tcW w:w="362" w:type="pct"/>
          </w:tcPr>
          <w:p w:rsidR="00960769" w:rsidRPr="00083224" w:rsidRDefault="00960769" w:rsidP="00960769">
            <w:pPr>
              <w:pStyle w:val="Textpoznpodarou"/>
            </w:pPr>
            <w:r w:rsidRPr="00083224">
              <w:t>Graf č. 10</w:t>
            </w:r>
          </w:p>
        </w:tc>
        <w:tc>
          <w:tcPr>
            <w:tcW w:w="2140" w:type="pct"/>
            <w:gridSpan w:val="2"/>
          </w:tcPr>
          <w:p w:rsidR="00960769" w:rsidRPr="00083224" w:rsidRDefault="00960769" w:rsidP="00960769">
            <w:pPr>
              <w:pStyle w:val="Textpoznpodarou"/>
              <w:rPr>
                <w:b/>
              </w:rPr>
            </w:pPr>
            <w:r w:rsidRPr="00083224">
              <w:rPr>
                <w:b/>
              </w:rPr>
              <w:t xml:space="preserve">Bilance zahraničního obchodu se zbožím v národním pojetí v roce 2015 </w:t>
            </w:r>
            <w:r w:rsidR="00E47CB8">
              <w:t>(y</w:t>
            </w:r>
            <w:r w:rsidR="00E47CB8" w:rsidRPr="00D05D91">
              <w:t>–</w:t>
            </w:r>
            <w:r w:rsidRPr="00083224">
              <w:t>y v mld. korun, v cenách FOB/CIF, nominálně)</w:t>
            </w:r>
          </w:p>
        </w:tc>
      </w:tr>
      <w:tr w:rsidR="00960769" w:rsidRPr="00083224" w:rsidTr="00960769">
        <w:tc>
          <w:tcPr>
            <w:tcW w:w="2498" w:type="pct"/>
            <w:gridSpan w:val="2"/>
          </w:tcPr>
          <w:p w:rsidR="00960769" w:rsidRPr="00083224" w:rsidRDefault="009256C5" w:rsidP="00960769">
            <w:pPr>
              <w:pStyle w:val="Textpoznpodarou"/>
              <w:jc w:val="both"/>
            </w:pPr>
            <w:r w:rsidRPr="00D3006B">
              <w:rPr>
                <w:noProof/>
                <w:sz w:val="2"/>
                <w:szCs w:val="2"/>
              </w:rPr>
              <w:pict>
                <v:shape id="_x0000_i1033" type="#_x0000_t75" style="width:236.65pt;height:186.55pt;visibility:visible;mso-wrap-style:square">
                  <v:imagedata r:id="rId20" o:title=""/>
                </v:shape>
              </w:pict>
            </w:r>
          </w:p>
        </w:tc>
        <w:tc>
          <w:tcPr>
            <w:tcW w:w="2502" w:type="pct"/>
            <w:gridSpan w:val="3"/>
          </w:tcPr>
          <w:p w:rsidR="00960769" w:rsidRPr="00083224" w:rsidRDefault="009256C5" w:rsidP="00960769">
            <w:pPr>
              <w:pStyle w:val="Textpoznpodarou"/>
              <w:jc w:val="both"/>
            </w:pPr>
            <w:r>
              <w:rPr>
                <w:noProof/>
              </w:rPr>
              <w:pict>
                <v:shape id="_x0000_i1034" type="#_x0000_t75" style="width:236.65pt;height:185.95pt;visibility:visible;mso-wrap-style:square">
                  <v:imagedata r:id="rId21" o:title=""/>
                </v:shape>
              </w:pict>
            </w:r>
          </w:p>
        </w:tc>
      </w:tr>
      <w:tr w:rsidR="00960769" w:rsidRPr="00083224" w:rsidTr="00960769">
        <w:tc>
          <w:tcPr>
            <w:tcW w:w="3427" w:type="pct"/>
            <w:gridSpan w:val="4"/>
          </w:tcPr>
          <w:p w:rsidR="00960769" w:rsidRPr="00083224" w:rsidRDefault="00960769" w:rsidP="00960769">
            <w:pPr>
              <w:pStyle w:val="Textpoznpodarou"/>
              <w:rPr>
                <w:noProof/>
                <w:sz w:val="18"/>
                <w:szCs w:val="18"/>
              </w:rPr>
            </w:pPr>
          </w:p>
        </w:tc>
        <w:tc>
          <w:tcPr>
            <w:tcW w:w="1573" w:type="pct"/>
          </w:tcPr>
          <w:p w:rsidR="00960769" w:rsidRPr="00083224" w:rsidRDefault="00960769" w:rsidP="00960769">
            <w:pPr>
              <w:pStyle w:val="Textpoznpodarou"/>
              <w:jc w:val="right"/>
              <w:rPr>
                <w:noProof/>
              </w:rPr>
            </w:pPr>
            <w:r w:rsidRPr="00083224">
              <w:rPr>
                <w:sz w:val="18"/>
                <w:szCs w:val="18"/>
              </w:rPr>
              <w:t>Zdroj: ČSÚ, ČNB</w:t>
            </w:r>
          </w:p>
        </w:tc>
      </w:tr>
    </w:tbl>
    <w:p w:rsidR="00886A8F" w:rsidRDefault="00886A8F" w:rsidP="002E0DB9">
      <w:pPr>
        <w:rPr>
          <w:sz w:val="2"/>
          <w:szCs w:val="2"/>
        </w:rPr>
      </w:pPr>
    </w:p>
    <w:p w:rsidR="007D4281" w:rsidRDefault="007D4281" w:rsidP="006D142E">
      <w:pPr>
        <w:pStyle w:val="Nadpis1"/>
        <w:numPr>
          <w:ilvl w:val="0"/>
          <w:numId w:val="3"/>
        </w:numPr>
        <w:jc w:val="both"/>
      </w:pPr>
      <w:bookmarkStart w:id="7" w:name="_Toc446341884"/>
      <w:r>
        <w:lastRenderedPageBreak/>
        <w:t>Ceny</w:t>
      </w:r>
      <w:bookmarkEnd w:id="7"/>
    </w:p>
    <w:tbl>
      <w:tblPr>
        <w:tblW w:w="5000" w:type="pct"/>
        <w:tblLayout w:type="fixed"/>
        <w:tblLook w:val="00A0"/>
      </w:tblPr>
      <w:tblGrid>
        <w:gridCol w:w="2077"/>
        <w:gridCol w:w="282"/>
        <w:gridCol w:w="7495"/>
      </w:tblGrid>
      <w:tr w:rsidR="00960769" w:rsidRPr="007D44C3" w:rsidTr="00960769">
        <w:tc>
          <w:tcPr>
            <w:tcW w:w="1054" w:type="pct"/>
          </w:tcPr>
          <w:p w:rsidR="00960769" w:rsidRPr="00FD2CDB" w:rsidRDefault="00960769" w:rsidP="008B6B67">
            <w:pPr>
              <w:spacing w:line="240" w:lineRule="auto"/>
              <w:rPr>
                <w:sz w:val="16"/>
                <w:szCs w:val="16"/>
                <w:vertAlign w:val="superscript"/>
              </w:rPr>
            </w:pPr>
            <w:r w:rsidRPr="00FD2CDB">
              <w:rPr>
                <w:sz w:val="16"/>
                <w:szCs w:val="16"/>
              </w:rPr>
              <w:t>Celková cenová</w:t>
            </w:r>
            <w:r w:rsidR="008B6B67">
              <w:rPr>
                <w:sz w:val="16"/>
                <w:szCs w:val="16"/>
              </w:rPr>
              <w:t xml:space="preserve"> hladina vzrostla v roce 2015 jen o </w:t>
            </w:r>
            <w:r w:rsidRPr="00FD2CDB">
              <w:rPr>
                <w:sz w:val="16"/>
                <w:szCs w:val="16"/>
              </w:rPr>
              <w:t>0,7 %. Snížila se dynamika všech složek poptávky</w:t>
            </w:r>
          </w:p>
        </w:tc>
        <w:tc>
          <w:tcPr>
            <w:tcW w:w="143" w:type="pct"/>
          </w:tcPr>
          <w:p w:rsidR="00960769" w:rsidRPr="00FD2CDB" w:rsidRDefault="00960769" w:rsidP="00960769">
            <w:pPr>
              <w:pStyle w:val="Textpoznpodarou"/>
              <w:jc w:val="both"/>
            </w:pPr>
          </w:p>
        </w:tc>
        <w:tc>
          <w:tcPr>
            <w:tcW w:w="3803" w:type="pct"/>
          </w:tcPr>
          <w:p w:rsidR="00960769" w:rsidRPr="00FD2CDB" w:rsidRDefault="00960769" w:rsidP="00960769">
            <w:pPr>
              <w:pStyle w:val="Textpoznpodarou"/>
              <w:jc w:val="both"/>
            </w:pPr>
            <w:r w:rsidRPr="00FD2CDB">
              <w:t>Celková cenová hladina vzrostla v roce 2015 podle implicitního deflátoru HDP</w:t>
            </w:r>
            <w:r w:rsidRPr="00FD2CDB">
              <w:rPr>
                <w:rStyle w:val="Znakapoznpodarou"/>
              </w:rPr>
              <w:footnoteReference w:id="17"/>
            </w:r>
            <w:r w:rsidRPr="00FD2CDB">
              <w:t xml:space="preserve"> jen o 0,7 %. Zřetelně zpomalila, neboť v roce 2014 stoupla o 2,5 %. Snížila se dynamika všech složek domácí poptávky a nižší byly i směnné relace. Spotřeba byla z pohledu domácností dražší pouze o 0,1 %, zboží a služby placené vládními institucemi o 1,2 %. Přitom ještě v roce 2014 rostly ceny těchto statků o 0,5 % a 1,5 %. Přírůstek cen investic se zmenšil o 1 p</w:t>
            </w:r>
            <w:r w:rsidR="00494343">
              <w:t>.</w:t>
            </w:r>
            <w:r w:rsidRPr="00FD2CDB">
              <w:t>b. na +0,9 %. Směnné relace v zahraničním obchodě se zbožím a službami setrvaly pozitivní, již třetí rok v řadě, jejich hodnota se však zmenšila na 100,4 %. Byly pozitivní u zboží, v případě služeb nedosáhly hodnoty 100 % již čtyři roky.</w:t>
            </w:r>
          </w:p>
          <w:p w:rsidR="00960769" w:rsidRPr="00DB5792" w:rsidRDefault="00960769" w:rsidP="00960769">
            <w:pPr>
              <w:pStyle w:val="Textpoznpodarou"/>
              <w:jc w:val="both"/>
              <w:rPr>
                <w:spacing w:val="-2"/>
                <w:sz w:val="18"/>
                <w:szCs w:val="18"/>
              </w:rPr>
            </w:pPr>
          </w:p>
        </w:tc>
      </w:tr>
      <w:tr w:rsidR="00960769" w:rsidRPr="007D44C3" w:rsidTr="00960769">
        <w:tc>
          <w:tcPr>
            <w:tcW w:w="1054" w:type="pct"/>
          </w:tcPr>
          <w:p w:rsidR="00960769" w:rsidRPr="000546BE" w:rsidRDefault="00960769" w:rsidP="00960769">
            <w:pPr>
              <w:spacing w:line="240" w:lineRule="auto"/>
              <w:rPr>
                <w:sz w:val="16"/>
                <w:szCs w:val="16"/>
              </w:rPr>
            </w:pPr>
            <w:r w:rsidRPr="000546BE">
              <w:rPr>
                <w:sz w:val="16"/>
                <w:szCs w:val="16"/>
              </w:rPr>
              <w:t>Míra inflace klesla v loňském roce na +0,3 % a byla nejnižší za</w:t>
            </w:r>
            <w:r>
              <w:rPr>
                <w:sz w:val="16"/>
                <w:szCs w:val="16"/>
              </w:rPr>
              <w:t> </w:t>
            </w:r>
            <w:r w:rsidRPr="000546BE">
              <w:rPr>
                <w:sz w:val="16"/>
                <w:szCs w:val="16"/>
              </w:rPr>
              <w:t>posledních dvanáct let (v roce 2003 stouply ceny o 0,1 %), …</w:t>
            </w:r>
          </w:p>
        </w:tc>
        <w:tc>
          <w:tcPr>
            <w:tcW w:w="143" w:type="pct"/>
          </w:tcPr>
          <w:p w:rsidR="00960769" w:rsidRPr="000546BE" w:rsidRDefault="00960769" w:rsidP="00960769">
            <w:pPr>
              <w:pStyle w:val="Textpoznpodarou"/>
              <w:jc w:val="both"/>
            </w:pPr>
          </w:p>
        </w:tc>
        <w:tc>
          <w:tcPr>
            <w:tcW w:w="3803" w:type="pct"/>
          </w:tcPr>
          <w:p w:rsidR="00960769" w:rsidRPr="00B01749" w:rsidRDefault="00960769" w:rsidP="00960769">
            <w:pPr>
              <w:pStyle w:val="Textpoznpodarou"/>
              <w:jc w:val="both"/>
            </w:pPr>
            <w:r w:rsidRPr="000546BE">
              <w:t>Míra inflace</w:t>
            </w:r>
            <w:r w:rsidR="00DB5792">
              <w:t xml:space="preserve"> vyjádřená meziroční změnou indexu spotřebitelských cen</w:t>
            </w:r>
            <w:r w:rsidRPr="000546BE">
              <w:t xml:space="preserve"> klesla v roce 2015 na pouhá +0,3 % a byla nejnižší od roku 2003 (+0,1 %). </w:t>
            </w:r>
            <w:r>
              <w:t>Snižovala se</w:t>
            </w:r>
            <w:r w:rsidRPr="000546BE">
              <w:t xml:space="preserve"> již třetím rokem a její dlouhodobý vývoj byl tedy zřejmý. Cenová dynamika v průběhu samotného roku 2015, pokud jde o jednotlivá </w:t>
            </w:r>
            <w:r w:rsidRPr="00B01749">
              <w:t xml:space="preserve">čtvrtletí, byla však rozkolísaná. Zatímco ve 2. a 3. čtvrtletí vzrostly </w:t>
            </w:r>
            <w:r w:rsidRPr="00222606">
              <w:rPr>
                <w:spacing w:val="-4"/>
              </w:rPr>
              <w:t xml:space="preserve">spotřebitelské ceny v meziročním srovnání o 0,7 % a 0,4 %, v 1. a </w:t>
            </w:r>
            <w:r w:rsidR="008B6B67">
              <w:rPr>
                <w:spacing w:val="-4"/>
              </w:rPr>
              <w:t>4.</w:t>
            </w:r>
            <w:r w:rsidRPr="00B01749">
              <w:t xml:space="preserve"> čtvrtletí česká ekonomika balancovala na hraně deflace (ceny stouply shodně </w:t>
            </w:r>
            <w:r w:rsidR="0001519F">
              <w:t>jen o</w:t>
            </w:r>
            <w:r w:rsidRPr="00B01749">
              <w:t xml:space="preserve"> 0,1 %).</w:t>
            </w:r>
          </w:p>
          <w:p w:rsidR="00960769" w:rsidRPr="00DB5792" w:rsidRDefault="00960769" w:rsidP="00960769">
            <w:pPr>
              <w:pStyle w:val="Textpoznpodarou"/>
              <w:jc w:val="both"/>
              <w:rPr>
                <w:sz w:val="18"/>
                <w:szCs w:val="18"/>
              </w:rPr>
            </w:pPr>
          </w:p>
        </w:tc>
      </w:tr>
      <w:tr w:rsidR="00960769" w:rsidRPr="007D44C3" w:rsidTr="00960769">
        <w:tc>
          <w:tcPr>
            <w:tcW w:w="1054" w:type="pct"/>
          </w:tcPr>
          <w:p w:rsidR="00960769" w:rsidRPr="000546BE" w:rsidRDefault="00960769" w:rsidP="00960769">
            <w:pPr>
              <w:spacing w:line="240" w:lineRule="auto"/>
              <w:rPr>
                <w:sz w:val="16"/>
                <w:szCs w:val="16"/>
              </w:rPr>
            </w:pPr>
            <w:r w:rsidRPr="000546BE">
              <w:rPr>
                <w:sz w:val="16"/>
                <w:szCs w:val="16"/>
              </w:rPr>
              <w:t>… na vině byly hlavně nabídkové faktory</w:t>
            </w:r>
          </w:p>
        </w:tc>
        <w:tc>
          <w:tcPr>
            <w:tcW w:w="143" w:type="pct"/>
          </w:tcPr>
          <w:p w:rsidR="00960769" w:rsidRPr="000546BE" w:rsidRDefault="00960769" w:rsidP="00960769">
            <w:pPr>
              <w:pStyle w:val="Textpoznpodarou"/>
              <w:jc w:val="both"/>
            </w:pPr>
          </w:p>
        </w:tc>
        <w:tc>
          <w:tcPr>
            <w:tcW w:w="3803" w:type="pct"/>
          </w:tcPr>
          <w:p w:rsidR="00960769" w:rsidRPr="000546BE" w:rsidRDefault="00960769" w:rsidP="00960769">
            <w:pPr>
              <w:pStyle w:val="Textpoznpodarou"/>
              <w:jc w:val="both"/>
            </w:pPr>
            <w:r w:rsidRPr="000546BE">
              <w:t>Utlumený cenový vývoj v roce 2015 byl způsoben zejména nabídkovými faktory. Tím klíčovým byl pokles ceny ropy na světovém komoditním trhu, kdy se průměrná cena barelu ropy Brent snížila z 99 amerických dolarů v roce 2014 na</w:t>
            </w:r>
            <w:r>
              <w:t> </w:t>
            </w:r>
            <w:r w:rsidRPr="000546BE">
              <w:t>52,3 dolaru v roce 2015.</w:t>
            </w:r>
            <w:r>
              <w:t xml:space="preserve"> K dezinflaci přispívaly</w:t>
            </w:r>
            <w:r w:rsidRPr="000546BE">
              <w:t xml:space="preserve"> nicméně </w:t>
            </w:r>
            <w:r>
              <w:t>i snižující se ceny</w:t>
            </w:r>
            <w:r w:rsidRPr="000546BE">
              <w:t xml:space="preserve"> ve zpracovatelském průmyslu v eurozóně ovlivňující ceny dovozu do ČR a také </w:t>
            </w:r>
            <w:r>
              <w:t>klesající ceny</w:t>
            </w:r>
            <w:r w:rsidRPr="000546BE">
              <w:t xml:space="preserve"> živočišné výroby </w:t>
            </w:r>
            <w:r>
              <w:t>dopadající do cen</w:t>
            </w:r>
            <w:r w:rsidRPr="000546BE">
              <w:t xml:space="preserve"> potravin. Dramaticky oslabující koruna k americkému dolaru a rostoucí poptávka domácností po zboží a službách nastolený trend tlumily, zvrátit jej však nedokázaly.</w:t>
            </w:r>
          </w:p>
          <w:p w:rsidR="00960769" w:rsidRPr="00DB5792" w:rsidRDefault="00960769" w:rsidP="00960769">
            <w:pPr>
              <w:pStyle w:val="Textpoznpodarou"/>
              <w:jc w:val="both"/>
              <w:rPr>
                <w:sz w:val="18"/>
                <w:szCs w:val="18"/>
              </w:rPr>
            </w:pPr>
          </w:p>
        </w:tc>
      </w:tr>
      <w:tr w:rsidR="00960769" w:rsidRPr="007D44C3" w:rsidTr="00960769">
        <w:tc>
          <w:tcPr>
            <w:tcW w:w="1054" w:type="pct"/>
          </w:tcPr>
          <w:p w:rsidR="00960769" w:rsidRPr="000546BE" w:rsidRDefault="00960769" w:rsidP="00960769">
            <w:pPr>
              <w:spacing w:line="240" w:lineRule="auto"/>
              <w:rPr>
                <w:sz w:val="16"/>
                <w:szCs w:val="16"/>
              </w:rPr>
            </w:pPr>
            <w:r w:rsidRPr="000546BE">
              <w:rPr>
                <w:sz w:val="16"/>
                <w:szCs w:val="16"/>
              </w:rPr>
              <w:t>Ceny tabáku stouply v loňském roce o 7,6 % a zajistily, že česká ekonomika nesestoupila do deflace</w:t>
            </w:r>
          </w:p>
        </w:tc>
        <w:tc>
          <w:tcPr>
            <w:tcW w:w="143" w:type="pct"/>
          </w:tcPr>
          <w:p w:rsidR="00960769" w:rsidRPr="000546BE" w:rsidRDefault="00960769" w:rsidP="00960769">
            <w:pPr>
              <w:pStyle w:val="Textpoznpodarou"/>
              <w:jc w:val="both"/>
            </w:pPr>
          </w:p>
        </w:tc>
        <w:tc>
          <w:tcPr>
            <w:tcW w:w="3803" w:type="pct"/>
          </w:tcPr>
          <w:p w:rsidR="00960769" w:rsidRPr="000546BE" w:rsidRDefault="00960769" w:rsidP="00960769">
            <w:pPr>
              <w:pStyle w:val="Textpoznpodarou"/>
              <w:jc w:val="both"/>
            </w:pPr>
            <w:r w:rsidRPr="000546BE">
              <w:t xml:space="preserve">Z váhově významnějších oddílů spotřebního koše se cenová dynamika v loňském roce zhoršila v případě potravin </w:t>
            </w:r>
            <w:r w:rsidR="008E0367">
              <w:t>a nealkoholických nápojů (z +2</w:t>
            </w:r>
            <w:r w:rsidRPr="000546BE">
              <w:t xml:space="preserve"> % na -1,1 %) a výdajů za dopravu (z +0,2 % na -4,2 %). Ke zpomalení cenového vývoje přispěl </w:t>
            </w:r>
            <w:r w:rsidRPr="000546BE">
              <w:rPr>
                <w:spacing w:val="-2"/>
              </w:rPr>
              <w:t>ale i hluboký pokles cen výdajů za zdraví (prohloubil</w:t>
            </w:r>
            <w:r w:rsidR="00447E36">
              <w:rPr>
                <w:spacing w:val="-2"/>
              </w:rPr>
              <w:t xml:space="preserve"> se</w:t>
            </w:r>
            <w:r w:rsidRPr="000546BE">
              <w:rPr>
                <w:spacing w:val="-2"/>
              </w:rPr>
              <w:t xml:space="preserve"> z -1,8 % na -7,1</w:t>
            </w:r>
            <w:r w:rsidRPr="000546BE">
              <w:t xml:space="preserve"> %), který souvisel se zrušením regulačních poplatků za výdej léků na recept a poplatků při návštěvě lékaře. Mírně se na něm podílel i slabší nárůst cen výdajů za stravování a ubytování a výdajů za vzdělávání. Ve směru nárůstu </w:t>
            </w:r>
            <w:r>
              <w:t>spotřebitelských cen</w:t>
            </w:r>
            <w:r w:rsidRPr="000546BE">
              <w:t xml:space="preserve"> působily v roce 2015 hlavně ceny tabáku. Stouply o 7,6 %, díky zvýšení spotřebních daní, a přispěly tak podstatnou měrou k tomu, že česká ekonomika zůstala v kladném inflačním pásmu a nesestoupila do deflace.</w:t>
            </w:r>
          </w:p>
          <w:p w:rsidR="00960769" w:rsidRPr="00DB5792" w:rsidRDefault="00960769" w:rsidP="00960769">
            <w:pPr>
              <w:pStyle w:val="Textpoznpodarou"/>
              <w:jc w:val="both"/>
              <w:rPr>
                <w:sz w:val="16"/>
                <w:szCs w:val="16"/>
              </w:rPr>
            </w:pPr>
          </w:p>
        </w:tc>
      </w:tr>
      <w:tr w:rsidR="00960769" w:rsidRPr="007D44C3" w:rsidTr="00960769">
        <w:tc>
          <w:tcPr>
            <w:tcW w:w="1054" w:type="pct"/>
          </w:tcPr>
          <w:p w:rsidR="00960769" w:rsidRPr="000546BE" w:rsidRDefault="00960769" w:rsidP="00960769">
            <w:pPr>
              <w:spacing w:line="240" w:lineRule="auto"/>
              <w:rPr>
                <w:sz w:val="16"/>
                <w:szCs w:val="16"/>
              </w:rPr>
            </w:pPr>
            <w:r w:rsidRPr="000546BE">
              <w:rPr>
                <w:sz w:val="16"/>
                <w:szCs w:val="16"/>
              </w:rPr>
              <w:t>Cenový vývoj v posledních dvou letech působil mírně ve směru narovnávání sociálních nerovností</w:t>
            </w:r>
          </w:p>
        </w:tc>
        <w:tc>
          <w:tcPr>
            <w:tcW w:w="143" w:type="pct"/>
          </w:tcPr>
          <w:p w:rsidR="00960769" w:rsidRPr="000546BE" w:rsidRDefault="00960769" w:rsidP="00960769">
            <w:pPr>
              <w:pStyle w:val="Textpoznpodarou"/>
              <w:jc w:val="both"/>
            </w:pPr>
          </w:p>
        </w:tc>
        <w:tc>
          <w:tcPr>
            <w:tcW w:w="3803" w:type="pct"/>
          </w:tcPr>
          <w:p w:rsidR="00960769" w:rsidRPr="000546BE" w:rsidRDefault="00960769" w:rsidP="00960769">
            <w:pPr>
              <w:pStyle w:val="Textpoznpodarou"/>
              <w:jc w:val="both"/>
            </w:pPr>
            <w:r w:rsidRPr="000546BE">
              <w:t>Z hlediska vývoje sociálních nerovností je pozitivem, že dynamika cen pro domácnosti důchodců (+0,1 %) byla v loňském roce slabší než pro domácnosti celkem (+0,3 %). Opakovala se situace z předchozího roku</w:t>
            </w:r>
            <w:r>
              <w:t>.</w:t>
            </w:r>
            <w:r w:rsidRPr="000546BE">
              <w:t xml:space="preserve"> </w:t>
            </w:r>
            <w:r w:rsidR="00457296">
              <w:t>V průběhu p</w:t>
            </w:r>
            <w:r w:rsidRPr="000546BE">
              <w:t>oslední</w:t>
            </w:r>
            <w:r w:rsidR="00457296">
              <w:t>ch dvou</w:t>
            </w:r>
            <w:r w:rsidRPr="000546BE">
              <w:t xml:space="preserve"> </w:t>
            </w:r>
            <w:r w:rsidR="00457296">
              <w:t>let se tak mírně napravoval</w:t>
            </w:r>
            <w:r w:rsidRPr="000546BE">
              <w:t xml:space="preserve"> dlouhodobý nárůst sociálních nerovno</w:t>
            </w:r>
            <w:r w:rsidR="00457296">
              <w:t>stí, které přesto</w:t>
            </w:r>
            <w:r w:rsidRPr="000546BE">
              <w:t xml:space="preserve"> zůstaly značné. Jestliže z pohledu domácností celkem stouply ceny za posledních deset let o 23,6 %, domácnostem důchodců se životní náklady v tomto období zvýšily o</w:t>
            </w:r>
            <w:r>
              <w:t> </w:t>
            </w:r>
            <w:r w:rsidRPr="000546BE">
              <w:t>32,4 %.</w:t>
            </w:r>
          </w:p>
          <w:p w:rsidR="00960769" w:rsidRPr="00DB5792" w:rsidRDefault="00960769" w:rsidP="00960769">
            <w:pPr>
              <w:pStyle w:val="Textpoznpodarou"/>
              <w:jc w:val="both"/>
              <w:rPr>
                <w:sz w:val="18"/>
                <w:szCs w:val="18"/>
              </w:rPr>
            </w:pPr>
          </w:p>
        </w:tc>
      </w:tr>
      <w:tr w:rsidR="00960769" w:rsidRPr="007D44C3" w:rsidTr="00960769">
        <w:tc>
          <w:tcPr>
            <w:tcW w:w="1054" w:type="pct"/>
          </w:tcPr>
          <w:p w:rsidR="00960769" w:rsidRPr="00F502F5" w:rsidRDefault="00960769" w:rsidP="00960769">
            <w:pPr>
              <w:spacing w:line="240" w:lineRule="auto"/>
              <w:rPr>
                <w:sz w:val="16"/>
                <w:szCs w:val="16"/>
              </w:rPr>
            </w:pPr>
            <w:r w:rsidRPr="00F502F5">
              <w:rPr>
                <w:sz w:val="16"/>
                <w:szCs w:val="16"/>
              </w:rPr>
              <w:t>Ceny nemovitostí se v prostředí nízkých úrokových sazeb dynamicky zvyšují. Nájemné se však příliš nemění</w:t>
            </w:r>
          </w:p>
        </w:tc>
        <w:tc>
          <w:tcPr>
            <w:tcW w:w="143" w:type="pct"/>
          </w:tcPr>
          <w:p w:rsidR="00960769" w:rsidRPr="00F502F5" w:rsidRDefault="00960769" w:rsidP="00960769">
            <w:pPr>
              <w:pStyle w:val="Textpoznpodarou"/>
              <w:jc w:val="both"/>
            </w:pPr>
          </w:p>
        </w:tc>
        <w:tc>
          <w:tcPr>
            <w:tcW w:w="3803" w:type="pct"/>
          </w:tcPr>
          <w:p w:rsidR="00960769" w:rsidRPr="00F502F5" w:rsidRDefault="00960769" w:rsidP="00960769">
            <w:pPr>
              <w:pStyle w:val="Textpoznpodarou"/>
              <w:jc w:val="both"/>
            </w:pPr>
            <w:r w:rsidRPr="00F502F5">
              <w:t xml:space="preserve">V české ekonomice dochází </w:t>
            </w:r>
            <w:r w:rsidR="007C0065">
              <w:t>k rychlému</w:t>
            </w:r>
            <w:r w:rsidRPr="00F502F5">
              <w:t xml:space="preserve"> růstu cen nemovitostí. Realizované ceny nových bytů v Praze st</w:t>
            </w:r>
            <w:r w:rsidR="000B48A2" w:rsidRPr="00F502F5">
              <w:t>ouply ve 4. čtvrtletí 2015 o 5,2 % meziročně, s</w:t>
            </w:r>
            <w:r w:rsidRPr="00F502F5">
              <w:t xml:space="preserve">tarší byty zdražily </w:t>
            </w:r>
            <w:r w:rsidR="000B48A2" w:rsidRPr="00F502F5">
              <w:t>o 4,6</w:t>
            </w:r>
            <w:r w:rsidRPr="00F502F5">
              <w:t xml:space="preserve"> %. </w:t>
            </w:r>
            <w:r w:rsidR="000B48A2" w:rsidRPr="00F502F5">
              <w:t>V</w:t>
            </w:r>
            <w:r w:rsidRPr="00F502F5">
              <w:t xml:space="preserve">ývoj cen v ostatních regionech </w:t>
            </w:r>
            <w:r w:rsidR="000B48A2" w:rsidRPr="00F502F5">
              <w:t>byl dokonce ještě rychlejší</w:t>
            </w:r>
            <w:r w:rsidRPr="00F502F5">
              <w:t xml:space="preserve">, realizované ceny starších bytů mimo Prahu narostly v posledním čtvrtletí 2015 </w:t>
            </w:r>
            <w:r w:rsidR="000B48A2" w:rsidRPr="00F502F5">
              <w:t>totiž o 7,4</w:t>
            </w:r>
            <w:r w:rsidRPr="00F502F5">
              <w:t xml:space="preserve"> %. Tento vývoj byl podporován nízkými úrokovými sazbami promítajícími se do nárůstu objemu úvěrů na bydlení. Je však překvapivé, že ceny nájmů na silný růst cen nemovitostí prozatím nereagují. </w:t>
            </w:r>
            <w:r w:rsidR="007C0065">
              <w:t>C</w:t>
            </w:r>
            <w:r w:rsidRPr="00F502F5">
              <w:t xml:space="preserve">eny nájemného z bytu stouply </w:t>
            </w:r>
            <w:r w:rsidRPr="00F502F5">
              <w:rPr>
                <w:spacing w:val="-2"/>
              </w:rPr>
              <w:t>v posledním čtvrtletí loňského roku jen o</w:t>
            </w:r>
            <w:r w:rsidR="000B48A2" w:rsidRPr="00F502F5">
              <w:rPr>
                <w:spacing w:val="-2"/>
              </w:rPr>
              <w:t> </w:t>
            </w:r>
            <w:r w:rsidR="007C0065">
              <w:rPr>
                <w:spacing w:val="-2"/>
              </w:rPr>
              <w:t>0,8 % meziročně a</w:t>
            </w:r>
            <w:r w:rsidRPr="00F502F5">
              <w:rPr>
                <w:spacing w:val="-2"/>
              </w:rPr>
              <w:t xml:space="preserve"> ceny imputovaného nájemného o 0,</w:t>
            </w:r>
            <w:r w:rsidRPr="00F502F5">
              <w:t>9 %.</w:t>
            </w:r>
          </w:p>
          <w:p w:rsidR="00960769" w:rsidRPr="00DB5792" w:rsidRDefault="00960769" w:rsidP="00960769">
            <w:pPr>
              <w:pStyle w:val="Textpoznpodarou"/>
              <w:jc w:val="both"/>
              <w:rPr>
                <w:sz w:val="18"/>
                <w:szCs w:val="18"/>
              </w:rPr>
            </w:pPr>
          </w:p>
        </w:tc>
      </w:tr>
      <w:tr w:rsidR="00960769" w:rsidRPr="007D44C3" w:rsidTr="00960769">
        <w:tc>
          <w:tcPr>
            <w:tcW w:w="1054" w:type="pct"/>
          </w:tcPr>
          <w:p w:rsidR="00960769" w:rsidRPr="000546BE" w:rsidRDefault="00960769" w:rsidP="00960769">
            <w:pPr>
              <w:spacing w:line="240" w:lineRule="auto"/>
              <w:rPr>
                <w:sz w:val="16"/>
                <w:szCs w:val="16"/>
              </w:rPr>
            </w:pPr>
            <w:r w:rsidRPr="000546BE">
              <w:rPr>
                <w:sz w:val="16"/>
                <w:szCs w:val="16"/>
              </w:rPr>
              <w:t xml:space="preserve">Spotřebitelské ceny klesají hlavně v méně </w:t>
            </w:r>
            <w:r w:rsidRPr="000546BE">
              <w:rPr>
                <w:sz w:val="16"/>
                <w:szCs w:val="16"/>
              </w:rPr>
              <w:lastRenderedPageBreak/>
              <w:t>vyspělých ekonomikách EU</w:t>
            </w:r>
          </w:p>
        </w:tc>
        <w:tc>
          <w:tcPr>
            <w:tcW w:w="143" w:type="pct"/>
          </w:tcPr>
          <w:p w:rsidR="00960769" w:rsidRPr="000546BE" w:rsidRDefault="00960769" w:rsidP="00960769">
            <w:pPr>
              <w:pStyle w:val="Textpoznpodarou"/>
              <w:jc w:val="both"/>
            </w:pPr>
          </w:p>
        </w:tc>
        <w:tc>
          <w:tcPr>
            <w:tcW w:w="3803" w:type="pct"/>
          </w:tcPr>
          <w:p w:rsidR="00960769" w:rsidRPr="00CA0883" w:rsidRDefault="00960769" w:rsidP="00960769">
            <w:pPr>
              <w:pStyle w:val="Textpoznpodarou"/>
              <w:jc w:val="both"/>
            </w:pPr>
            <w:r w:rsidRPr="00CA0883">
              <w:t xml:space="preserve">Propad cen ropy, který započal v létě 2014, ovlivňoval všechny země Evropské unie. V roce 2013 se harmonizovaný index spotřebitelských cen snížil pouze </w:t>
            </w:r>
            <w:r w:rsidRPr="00CA0883">
              <w:lastRenderedPageBreak/>
              <w:t xml:space="preserve">v Řecku. V roce 2014 se s deflací </w:t>
            </w:r>
            <w:r w:rsidR="001F3055" w:rsidRPr="00CA0883">
              <w:t xml:space="preserve">ale </w:t>
            </w:r>
            <w:r w:rsidRPr="00CA0883">
              <w:t>potýkalo už šest zemí Unie a loni dokonce jedenáct. Je přitom zajímavé, že</w:t>
            </w:r>
            <w:r w:rsidR="001F3055">
              <w:t xml:space="preserve"> deflace</w:t>
            </w:r>
            <w:r w:rsidRPr="00CA0883">
              <w:t xml:space="preserve"> byla patrná hlavně v méně vyspělých zemích </w:t>
            </w:r>
            <w:r w:rsidR="00B01436" w:rsidRPr="00CA0883">
              <w:t>EU</w:t>
            </w:r>
            <w:r w:rsidRPr="00CA0883">
              <w:t xml:space="preserve">. Z nadprůměrně vyspělých ekonomik </w:t>
            </w:r>
            <w:r w:rsidR="00B01436" w:rsidRPr="00CA0883">
              <w:t xml:space="preserve">podle HDP na obyvatele v PPS </w:t>
            </w:r>
            <w:r w:rsidR="001F3055" w:rsidRPr="00CA0883">
              <w:t xml:space="preserve">čelilo </w:t>
            </w:r>
            <w:r w:rsidR="00CA0883" w:rsidRPr="00CA0883">
              <w:t>deflaci</w:t>
            </w:r>
            <w:r w:rsidRPr="00CA0883">
              <w:t xml:space="preserve"> pouze Finsko (-0,2 %). V eurozóně přešly ceny i přes probíhající kvantitativní uvolňování z mírného růstu do stagnace, stejně tak v celé Unii.</w:t>
            </w:r>
          </w:p>
          <w:p w:rsidR="00960769" w:rsidRPr="003B2580" w:rsidRDefault="00960769" w:rsidP="00960769">
            <w:pPr>
              <w:pStyle w:val="Textpoznpodarou"/>
              <w:jc w:val="both"/>
              <w:rPr>
                <w:spacing w:val="-2"/>
                <w:sz w:val="18"/>
                <w:szCs w:val="18"/>
              </w:rPr>
            </w:pPr>
          </w:p>
        </w:tc>
      </w:tr>
      <w:tr w:rsidR="00960769" w:rsidRPr="007D44C3" w:rsidTr="00960769">
        <w:tc>
          <w:tcPr>
            <w:tcW w:w="1054" w:type="pct"/>
          </w:tcPr>
          <w:p w:rsidR="00960769" w:rsidRPr="000546BE" w:rsidRDefault="00960769" w:rsidP="00960769">
            <w:pPr>
              <w:spacing w:line="240" w:lineRule="auto"/>
              <w:rPr>
                <w:sz w:val="16"/>
                <w:szCs w:val="16"/>
              </w:rPr>
            </w:pPr>
            <w:r w:rsidRPr="000546BE">
              <w:rPr>
                <w:sz w:val="16"/>
                <w:szCs w:val="16"/>
              </w:rPr>
              <w:lastRenderedPageBreak/>
              <w:t>Ceny průmyslových výrobců klesly nejrychleji v historii. Snížily se o 3,2 %, …</w:t>
            </w:r>
          </w:p>
        </w:tc>
        <w:tc>
          <w:tcPr>
            <w:tcW w:w="143" w:type="pct"/>
          </w:tcPr>
          <w:p w:rsidR="00960769" w:rsidRPr="000546BE" w:rsidRDefault="00960769" w:rsidP="00960769">
            <w:pPr>
              <w:pStyle w:val="Textpoznpodarou"/>
              <w:jc w:val="both"/>
            </w:pPr>
          </w:p>
        </w:tc>
        <w:tc>
          <w:tcPr>
            <w:tcW w:w="3803" w:type="pct"/>
          </w:tcPr>
          <w:p w:rsidR="00960769" w:rsidRDefault="00960769" w:rsidP="00960769">
            <w:pPr>
              <w:pStyle w:val="Textpoznpodarou"/>
              <w:jc w:val="both"/>
            </w:pPr>
            <w:r w:rsidRPr="000546BE">
              <w:t>Ceny průmyslových výrobců klesly v roce 2015 o 3,2 %, ne</w:t>
            </w:r>
            <w:r>
              <w:t>j</w:t>
            </w:r>
            <w:r w:rsidRPr="000546BE">
              <w:t xml:space="preserve">rychleji v historii České republiky. Vzhledem k obnovenému poklesu ceny ropy od poloviny roku </w:t>
            </w:r>
            <w:r>
              <w:t>se ceny</w:t>
            </w:r>
            <w:r w:rsidRPr="000546BE">
              <w:t xml:space="preserve"> v</w:t>
            </w:r>
            <w:r>
              <w:t> </w:t>
            </w:r>
            <w:r w:rsidRPr="000546BE">
              <w:t>průmyslu</w:t>
            </w:r>
            <w:r>
              <w:t xml:space="preserve"> snižovaly rychleji</w:t>
            </w:r>
            <w:r w:rsidRPr="000546BE">
              <w:t xml:space="preserve"> ve 3. a 4. čtvrtletí. V 1. a 2. kvartále ceny klesly v meziročním srovnání o 3,3 % a 2,3 %, avšak ve 3. a 4. </w:t>
            </w:r>
            <w:r>
              <w:t>č</w:t>
            </w:r>
            <w:r w:rsidRPr="000546BE">
              <w:t>tvrtletí</w:t>
            </w:r>
            <w:r>
              <w:t xml:space="preserve"> již</w:t>
            </w:r>
            <w:r w:rsidRPr="000546BE">
              <w:t xml:space="preserve"> o 3,6 % a</w:t>
            </w:r>
            <w:r>
              <w:t> </w:t>
            </w:r>
            <w:r w:rsidRPr="000546BE">
              <w:t>3,5</w:t>
            </w:r>
            <w:r>
              <w:t> </w:t>
            </w:r>
            <w:r w:rsidRPr="000546BE">
              <w:t>%. Podobně se ceny průmyslových výrobců vyvíjely i v</w:t>
            </w:r>
            <w:r>
              <w:t> EU</w:t>
            </w:r>
            <w:r w:rsidRPr="000546BE">
              <w:t xml:space="preserve">. </w:t>
            </w:r>
            <w:r>
              <w:t>Pokles cen</w:t>
            </w:r>
            <w:r w:rsidRPr="000546BE">
              <w:t xml:space="preserve"> se v průběhu roku 2015 prohloub</w:t>
            </w:r>
            <w:r>
              <w:t>il</w:t>
            </w:r>
            <w:r w:rsidRPr="000546BE">
              <w:t xml:space="preserve"> ve všech</w:t>
            </w:r>
            <w:r>
              <w:t xml:space="preserve"> členských zemích</w:t>
            </w:r>
            <w:r w:rsidRPr="000546BE">
              <w:t xml:space="preserve"> s výjimkou Belgie, Polska, Velké Británie, Irska a Ma</w:t>
            </w:r>
            <w:r>
              <w:t>ďarska.</w:t>
            </w:r>
          </w:p>
          <w:p w:rsidR="00960769" w:rsidRPr="003B2580" w:rsidRDefault="00960769" w:rsidP="00960769">
            <w:pPr>
              <w:pStyle w:val="Textpoznpodarou"/>
              <w:jc w:val="both"/>
              <w:rPr>
                <w:sz w:val="18"/>
                <w:szCs w:val="18"/>
              </w:rPr>
            </w:pPr>
          </w:p>
        </w:tc>
      </w:tr>
      <w:tr w:rsidR="00960769" w:rsidRPr="007D44C3" w:rsidTr="00960769">
        <w:tc>
          <w:tcPr>
            <w:tcW w:w="1054" w:type="pct"/>
          </w:tcPr>
          <w:p w:rsidR="00960769" w:rsidRPr="000546BE" w:rsidRDefault="00960769" w:rsidP="003B2580">
            <w:pPr>
              <w:spacing w:line="240" w:lineRule="auto"/>
              <w:rPr>
                <w:sz w:val="16"/>
                <w:szCs w:val="16"/>
              </w:rPr>
            </w:pPr>
            <w:r w:rsidRPr="000546BE">
              <w:rPr>
                <w:sz w:val="16"/>
                <w:szCs w:val="16"/>
              </w:rPr>
              <w:t>… v samotném zpracovatelském průmyslu poklesly dokonce o 3,9 %</w:t>
            </w:r>
          </w:p>
        </w:tc>
        <w:tc>
          <w:tcPr>
            <w:tcW w:w="143" w:type="pct"/>
          </w:tcPr>
          <w:p w:rsidR="00960769" w:rsidRPr="000546BE" w:rsidRDefault="00960769" w:rsidP="00960769">
            <w:pPr>
              <w:pStyle w:val="Textpoznpodarou"/>
              <w:jc w:val="both"/>
            </w:pPr>
          </w:p>
        </w:tc>
        <w:tc>
          <w:tcPr>
            <w:tcW w:w="3803" w:type="pct"/>
          </w:tcPr>
          <w:p w:rsidR="00960769" w:rsidRPr="000546BE" w:rsidRDefault="00960769" w:rsidP="00960769">
            <w:pPr>
              <w:pStyle w:val="Textpoznpodarou"/>
              <w:jc w:val="both"/>
            </w:pPr>
            <w:r w:rsidRPr="000546BE">
              <w:t>Ve zpracovatelském průmyslu se ceny v loňském roce snížily o 3,9 %, tedy rychleji než v průmyslu jako celku. Deflace byla nejsilnější v případě výrobců koksu a rafinovaných ropných produktů a producentů chemických látek a výrobků. K vývoji cen průmyslových výrobců nepřispěla pozitivně ale ani těžba a dobývání (-0,6 %), kde ceny klesly v loňském roce již poč</w:t>
            </w:r>
            <w:r w:rsidR="003B2580">
              <w:t>tvrté, ani energetika (-0,8 %).</w:t>
            </w:r>
          </w:p>
          <w:p w:rsidR="00960769" w:rsidRPr="003B2580" w:rsidRDefault="00960769" w:rsidP="00960769">
            <w:pPr>
              <w:pStyle w:val="Textpoznpodarou"/>
              <w:jc w:val="both"/>
              <w:rPr>
                <w:sz w:val="18"/>
                <w:szCs w:val="18"/>
              </w:rPr>
            </w:pPr>
          </w:p>
        </w:tc>
      </w:tr>
      <w:tr w:rsidR="00960769" w:rsidRPr="007D44C3" w:rsidTr="00960769">
        <w:tc>
          <w:tcPr>
            <w:tcW w:w="1054" w:type="pct"/>
          </w:tcPr>
          <w:p w:rsidR="00960769" w:rsidRPr="000546BE" w:rsidRDefault="00960769" w:rsidP="00960769">
            <w:pPr>
              <w:spacing w:line="240" w:lineRule="auto"/>
              <w:rPr>
                <w:sz w:val="16"/>
                <w:szCs w:val="16"/>
              </w:rPr>
            </w:pPr>
            <w:r>
              <w:rPr>
                <w:sz w:val="16"/>
                <w:szCs w:val="16"/>
              </w:rPr>
              <w:t>Dobrá sklizeň</w:t>
            </w:r>
            <w:r w:rsidRPr="000546BE">
              <w:rPr>
                <w:sz w:val="16"/>
                <w:szCs w:val="16"/>
              </w:rPr>
              <w:t xml:space="preserve"> zdrojem poklesu cen rostlinné výroby, </w:t>
            </w:r>
            <w:r>
              <w:rPr>
                <w:sz w:val="16"/>
                <w:szCs w:val="16"/>
              </w:rPr>
              <w:t xml:space="preserve">restrikce </w:t>
            </w:r>
            <w:r w:rsidRPr="000546BE">
              <w:rPr>
                <w:sz w:val="16"/>
                <w:szCs w:val="16"/>
              </w:rPr>
              <w:t>na</w:t>
            </w:r>
            <w:r>
              <w:rPr>
                <w:sz w:val="16"/>
                <w:szCs w:val="16"/>
              </w:rPr>
              <w:t> </w:t>
            </w:r>
            <w:r w:rsidRPr="000546BE">
              <w:rPr>
                <w:sz w:val="16"/>
                <w:szCs w:val="16"/>
              </w:rPr>
              <w:t>dovozy do Ruska a zrušení mléčných kvót příčinou nižších cen živočišné produkce</w:t>
            </w:r>
          </w:p>
        </w:tc>
        <w:tc>
          <w:tcPr>
            <w:tcW w:w="143" w:type="pct"/>
          </w:tcPr>
          <w:p w:rsidR="00960769" w:rsidRPr="000546BE" w:rsidRDefault="00960769" w:rsidP="00960769">
            <w:pPr>
              <w:pStyle w:val="Textpoznpodarou"/>
              <w:jc w:val="both"/>
            </w:pPr>
          </w:p>
        </w:tc>
        <w:tc>
          <w:tcPr>
            <w:tcW w:w="3803" w:type="pct"/>
          </w:tcPr>
          <w:p w:rsidR="00960769" w:rsidRPr="00526DB6" w:rsidRDefault="00960769" w:rsidP="00960769">
            <w:pPr>
              <w:pStyle w:val="Textpoznpodarou"/>
              <w:jc w:val="both"/>
            </w:pPr>
            <w:r w:rsidRPr="00526DB6">
              <w:t>Ceny zemědělských výrobců (vč. ryb) v loňském roce poklesly o 6 % a navázaly tak na vývoj v roce 2014, kdy se snížily o 3,7 %. Změnily se však příčiny tohoto vývoje. V roce 2014 spadly ceny rostlinné výroby – díky velmi dobré sklizni – o</w:t>
            </w:r>
            <w:r w:rsidR="00526DB6">
              <w:t> </w:t>
            </w:r>
            <w:r w:rsidRPr="00526DB6">
              <w:t>10,3 %. Živočišná produkce naproti tomu mírně podražila (+4,9 %). Také v roce 2015 byla sklizeň zemědělských plodin dobrá (hlavně u obilovin), ceny rostlinné výroby se ale snížily už jen o 2,2 %. Výkupní ceny živočišné výroby</w:t>
            </w:r>
            <w:r w:rsidR="008B07EF" w:rsidRPr="00526DB6">
              <w:t xml:space="preserve"> se</w:t>
            </w:r>
            <w:r w:rsidRPr="00526DB6">
              <w:t xml:space="preserve"> však propadly o 10,5 %. Souviselo to jednak se zákazem dovozu zemědělských produktů a potravin do Ruské federace, jednak se zrušení</w:t>
            </w:r>
            <w:r w:rsidR="008B07EF" w:rsidRPr="00526DB6">
              <w:t>m mléčných kvót, které</w:t>
            </w:r>
            <w:r w:rsidR="00526DB6">
              <w:t> </w:t>
            </w:r>
            <w:r w:rsidR="008B07EF" w:rsidRPr="00526DB6">
              <w:t>nabylo</w:t>
            </w:r>
            <w:r w:rsidRPr="00526DB6">
              <w:t xml:space="preserve"> platnosti na</w:t>
            </w:r>
            <w:r w:rsidR="00DB19BD" w:rsidRPr="00526DB6">
              <w:t> </w:t>
            </w:r>
            <w:r w:rsidRPr="00526DB6">
              <w:t>začátku dubna. Ceny jatečných prasat poklesly v meziročním srovnání o</w:t>
            </w:r>
            <w:r w:rsidR="00DB19BD" w:rsidRPr="00526DB6">
              <w:t> </w:t>
            </w:r>
            <w:r w:rsidRPr="00526DB6">
              <w:t>12</w:t>
            </w:r>
            <w:r w:rsidR="00DB19BD" w:rsidRPr="00526DB6">
              <w:t> </w:t>
            </w:r>
            <w:r w:rsidRPr="00526DB6">
              <w:t>%,</w:t>
            </w:r>
            <w:r w:rsidR="00DB19BD" w:rsidRPr="00526DB6">
              <w:t> </w:t>
            </w:r>
            <w:r w:rsidRPr="00526DB6">
              <w:t>mléko se od zemědělců vykupovalo o 17,2 % levněji než před rokem.</w:t>
            </w:r>
          </w:p>
          <w:p w:rsidR="00960769" w:rsidRPr="003B2580" w:rsidRDefault="00960769" w:rsidP="00960769">
            <w:pPr>
              <w:pStyle w:val="Textpoznpodarou"/>
              <w:jc w:val="both"/>
              <w:rPr>
                <w:spacing w:val="-2"/>
                <w:sz w:val="16"/>
                <w:szCs w:val="16"/>
              </w:rPr>
            </w:pPr>
          </w:p>
        </w:tc>
      </w:tr>
      <w:tr w:rsidR="00960769" w:rsidRPr="007D44C3" w:rsidTr="00960769">
        <w:tc>
          <w:tcPr>
            <w:tcW w:w="1054" w:type="pct"/>
          </w:tcPr>
          <w:p w:rsidR="00960769" w:rsidRPr="000546BE" w:rsidRDefault="002A4F70" w:rsidP="00960769">
            <w:pPr>
              <w:spacing w:line="240" w:lineRule="auto"/>
              <w:rPr>
                <w:sz w:val="16"/>
                <w:szCs w:val="16"/>
              </w:rPr>
            </w:pPr>
            <w:r>
              <w:rPr>
                <w:sz w:val="16"/>
                <w:szCs w:val="16"/>
              </w:rPr>
              <w:t>Ceny stavebních prací stouply loni o 1,2 %</w:t>
            </w:r>
          </w:p>
        </w:tc>
        <w:tc>
          <w:tcPr>
            <w:tcW w:w="143" w:type="pct"/>
          </w:tcPr>
          <w:p w:rsidR="00960769" w:rsidRPr="000546BE" w:rsidRDefault="00960769" w:rsidP="00960769">
            <w:pPr>
              <w:pStyle w:val="Textpoznpodarou"/>
              <w:jc w:val="both"/>
            </w:pPr>
          </w:p>
        </w:tc>
        <w:tc>
          <w:tcPr>
            <w:tcW w:w="3803" w:type="pct"/>
          </w:tcPr>
          <w:p w:rsidR="00960769" w:rsidRPr="002A4F70" w:rsidRDefault="00960769" w:rsidP="00960769">
            <w:pPr>
              <w:pStyle w:val="Textpoznpodarou"/>
              <w:jc w:val="both"/>
            </w:pPr>
            <w:r w:rsidRPr="002A4F70">
              <w:t>Stavebnictví bylo v loňském roce podstatně ovlivněno dočerpáváním peněz z fondů EU. Jen prost</w:t>
            </w:r>
            <w:r w:rsidR="004B0803" w:rsidRPr="002A4F70">
              <w:t>řednictvím Operačního programu D</w:t>
            </w:r>
            <w:r w:rsidRPr="002A4F70">
              <w:t>oprava se ke stavebním firmám dostalo 41,4 mld. korun, o 27,9 mld. více než v roce 2014. Úzce zaměřená poptávka veřejného sektoru, hlavně po infrastrukturních stavbách, omezený počet firem schopných tuto poptávku uspokojovat a blížící se termín, do kterého mohly</w:t>
            </w:r>
            <w:r w:rsidR="002A4F70">
              <w:t> </w:t>
            </w:r>
            <w:r w:rsidRPr="002A4F70">
              <w:t>být peníze z programovacího období 2007–2013 čerpány – to byl</w:t>
            </w:r>
            <w:r w:rsidR="00C86127" w:rsidRPr="002A4F70">
              <w:t>a</w:t>
            </w:r>
            <w:r w:rsidRPr="002A4F70">
              <w:t xml:space="preserve"> </w:t>
            </w:r>
            <w:r w:rsidR="00C86127" w:rsidRPr="002A4F70">
              <w:t>kombinace, jejímž</w:t>
            </w:r>
            <w:r w:rsidRPr="002A4F70">
              <w:t xml:space="preserve"> výsledkem byl nárůst cen stavebních prací o 1,2 %. Šlo o</w:t>
            </w:r>
            <w:r w:rsidR="002A4F70">
              <w:t> </w:t>
            </w:r>
            <w:r w:rsidRPr="002A4F70">
              <w:t>nejrychlejší růst cen za posledních</w:t>
            </w:r>
            <w:r w:rsidR="002A4F70" w:rsidRPr="002A4F70">
              <w:t xml:space="preserve"> šest let.</w:t>
            </w:r>
          </w:p>
          <w:p w:rsidR="00960769" w:rsidRPr="003B2580" w:rsidRDefault="00960769" w:rsidP="00960769">
            <w:pPr>
              <w:pStyle w:val="Textpoznpodarou"/>
              <w:jc w:val="both"/>
              <w:rPr>
                <w:spacing w:val="-2"/>
                <w:sz w:val="16"/>
                <w:szCs w:val="16"/>
              </w:rPr>
            </w:pPr>
          </w:p>
        </w:tc>
      </w:tr>
      <w:tr w:rsidR="00960769" w:rsidRPr="007D44C3" w:rsidTr="00960769">
        <w:tc>
          <w:tcPr>
            <w:tcW w:w="1054" w:type="pct"/>
          </w:tcPr>
          <w:p w:rsidR="00960769" w:rsidRPr="000546BE" w:rsidRDefault="00960769" w:rsidP="00960769">
            <w:pPr>
              <w:spacing w:line="240" w:lineRule="auto"/>
              <w:rPr>
                <w:sz w:val="16"/>
                <w:szCs w:val="16"/>
              </w:rPr>
            </w:pPr>
            <w:r w:rsidRPr="000546BE">
              <w:rPr>
                <w:sz w:val="16"/>
                <w:szCs w:val="16"/>
              </w:rPr>
              <w:t>Pokles cen ropy snížil náklady dopravcům a ti zlevnili o 1,4 %</w:t>
            </w:r>
          </w:p>
        </w:tc>
        <w:tc>
          <w:tcPr>
            <w:tcW w:w="143" w:type="pct"/>
          </w:tcPr>
          <w:p w:rsidR="00960769" w:rsidRPr="000546BE" w:rsidRDefault="00960769" w:rsidP="00960769">
            <w:pPr>
              <w:pStyle w:val="Textpoznpodarou"/>
              <w:jc w:val="both"/>
            </w:pPr>
          </w:p>
        </w:tc>
        <w:tc>
          <w:tcPr>
            <w:tcW w:w="3803" w:type="pct"/>
          </w:tcPr>
          <w:p w:rsidR="00960769" w:rsidRPr="00526DB6" w:rsidRDefault="00960769" w:rsidP="00960769">
            <w:pPr>
              <w:pStyle w:val="Textpoznpodarou"/>
              <w:jc w:val="both"/>
            </w:pPr>
            <w:r w:rsidRPr="00526DB6">
              <w:t>Ceny tržních služeb se loni nezměnily, avšak vývoj v jednotlivých čtvrtletích naznačoval, že do deflace postupně směřuje i tento segment ekonomiky. V 1. a 2.</w:t>
            </w:r>
            <w:r w:rsidR="00C86127">
              <w:t> </w:t>
            </w:r>
            <w:r w:rsidRPr="00526DB6">
              <w:t>čtvrtletí 2015 byly ceny tržních služeb v meziročním srovnání vyšší o 0,3 % a</w:t>
            </w:r>
            <w:r w:rsidR="00526DB6">
              <w:t> </w:t>
            </w:r>
            <w:r w:rsidRPr="00526DB6">
              <w:t>0,2</w:t>
            </w:r>
            <w:r w:rsidR="00526DB6">
              <w:t> </w:t>
            </w:r>
            <w:r w:rsidRPr="00526DB6">
              <w:t>%, ve 3. a 4. kvartále ale již mírně klesaly (-0,2 %, -0,1 %). Zatímco vysoký nárůst cen poštovních a kurýrních služeb (+</w:t>
            </w:r>
            <w:r w:rsidR="007159D2">
              <w:t>6,4 %) a finančních služeb (+3</w:t>
            </w:r>
            <w:r w:rsidRPr="00526DB6">
              <w:t xml:space="preserve"> %) působil v loňském roce inflačně, ceny ve váhově významné pozemní a potrubní dopravě klesly o 1,4 %. Také obrat ve vývoji cen služeb v oblasti zaměstnání, </w:t>
            </w:r>
            <w:r w:rsidRPr="00526DB6">
              <w:rPr>
                <w:spacing w:val="-4"/>
              </w:rPr>
              <w:t>po</w:t>
            </w:r>
            <w:r w:rsidR="00526DB6" w:rsidRPr="00526DB6">
              <w:rPr>
                <w:spacing w:val="-4"/>
              </w:rPr>
              <w:t> </w:t>
            </w:r>
            <w:r w:rsidRPr="00526DB6">
              <w:rPr>
                <w:spacing w:val="-4"/>
              </w:rPr>
              <w:t>dva roky trvajícím růstu, přispěl negativně k cenovému vývoji. Snížily se o 7,5</w:t>
            </w:r>
            <w:r w:rsidRPr="00526DB6">
              <w:t xml:space="preserve"> %.</w:t>
            </w:r>
          </w:p>
          <w:p w:rsidR="00960769" w:rsidRPr="003B2580" w:rsidRDefault="00960769" w:rsidP="00960769">
            <w:pPr>
              <w:pStyle w:val="Textpoznpodarou"/>
              <w:jc w:val="both"/>
              <w:rPr>
                <w:spacing w:val="-2"/>
                <w:sz w:val="16"/>
                <w:szCs w:val="16"/>
              </w:rPr>
            </w:pPr>
          </w:p>
        </w:tc>
      </w:tr>
      <w:tr w:rsidR="00960769" w:rsidRPr="007D44C3" w:rsidTr="00960769">
        <w:tc>
          <w:tcPr>
            <w:tcW w:w="1054" w:type="pct"/>
          </w:tcPr>
          <w:p w:rsidR="00960769" w:rsidRPr="000546BE" w:rsidRDefault="00960769" w:rsidP="00960769">
            <w:pPr>
              <w:spacing w:line="240" w:lineRule="auto"/>
              <w:rPr>
                <w:sz w:val="16"/>
                <w:szCs w:val="16"/>
              </w:rPr>
            </w:pPr>
            <w:r>
              <w:rPr>
                <w:sz w:val="16"/>
                <w:szCs w:val="16"/>
              </w:rPr>
              <w:t>Ceny dovozu zboží se loni snížily o 1,9 % a poklesly tak již popáté za posledních deset let</w:t>
            </w:r>
          </w:p>
        </w:tc>
        <w:tc>
          <w:tcPr>
            <w:tcW w:w="143" w:type="pct"/>
          </w:tcPr>
          <w:p w:rsidR="00960769" w:rsidRPr="000546BE" w:rsidRDefault="00960769" w:rsidP="00960769">
            <w:pPr>
              <w:pStyle w:val="Textpoznpodarou"/>
              <w:jc w:val="both"/>
            </w:pPr>
          </w:p>
        </w:tc>
        <w:tc>
          <w:tcPr>
            <w:tcW w:w="3803" w:type="pct"/>
          </w:tcPr>
          <w:p w:rsidR="00960769" w:rsidRPr="000546BE" w:rsidRDefault="00960769" w:rsidP="003B2580">
            <w:pPr>
              <w:pStyle w:val="Textpoznpodarou"/>
              <w:jc w:val="both"/>
              <w:rPr>
                <w:spacing w:val="-2"/>
              </w:rPr>
            </w:pPr>
            <w:r w:rsidRPr="00802468">
              <w:t>Dovoz zboží zlevnil v roce 2015 o 1,9 %, kurzovému vývoji české koruny navzdory. K</w:t>
            </w:r>
            <w:r w:rsidR="00812386">
              <w:t> </w:t>
            </w:r>
            <w:r w:rsidRPr="00802468">
              <w:t>euru</w:t>
            </w:r>
            <w:r w:rsidR="00812386">
              <w:t xml:space="preserve"> koruna</w:t>
            </w:r>
            <w:r w:rsidRPr="00802468">
              <w:t xml:space="preserve"> sice mírně posílila (o 0,9 %), což působilo ve směru poklesu cen, k americkému dolaru však oslabila o ojedinělých 18,5 %. Pokles cen dovozu byl výsledkem nižší ceny ropy a klesajících cen ve zpracovatelském průmyslu v eurozóně. Ceny minerálních paliv se snížily téměř o čtvrtinu (-23,8 %), ostatních </w:t>
            </w:r>
            <w:r w:rsidRPr="00802468">
              <w:rPr>
                <w:spacing w:val="2"/>
              </w:rPr>
              <w:t>surovin o 9,2 % a chemikálií</w:t>
            </w:r>
            <w:r>
              <w:rPr>
                <w:spacing w:val="2"/>
              </w:rPr>
              <w:t xml:space="preserve"> o 3,1 %. Také</w:t>
            </w:r>
            <w:r w:rsidRPr="00802468">
              <w:rPr>
                <w:spacing w:val="2"/>
              </w:rPr>
              <w:t xml:space="preserve"> nápoje a tabák (-0,7 %) a</w:t>
            </w:r>
            <w:r w:rsidR="00812386">
              <w:rPr>
                <w:spacing w:val="2"/>
              </w:rPr>
              <w:t> </w:t>
            </w:r>
            <w:r w:rsidRPr="00802468">
              <w:rPr>
                <w:spacing w:val="2"/>
              </w:rPr>
              <w:t>polotovary (-</w:t>
            </w:r>
            <w:r w:rsidRPr="00802468">
              <w:t>0,4 %) se do ČR dovážely za nižší ceny než v roce 2014. Právě pokles cen dovozu byl primá</w:t>
            </w:r>
            <w:r w:rsidR="008E0367">
              <w:t>rním zdrojem deflace v průmyslu</w:t>
            </w:r>
            <w:r w:rsidRPr="00802468">
              <w:t xml:space="preserve"> </w:t>
            </w:r>
            <w:r w:rsidR="008E0367">
              <w:t>(a „prosakoval“ i</w:t>
            </w:r>
            <w:r w:rsidR="00812386">
              <w:t> </w:t>
            </w:r>
            <w:r w:rsidRPr="00802468">
              <w:t>do</w:t>
            </w:r>
            <w:r w:rsidR="00812386">
              <w:t> </w:t>
            </w:r>
            <w:r>
              <w:t>spotřebitelských cen</w:t>
            </w:r>
            <w:r w:rsidR="008E0367">
              <w:t>)</w:t>
            </w:r>
            <w:r w:rsidRPr="00802468">
              <w:t xml:space="preserve">. Také dynamika po jednotlivých čtvrtletích na to ukazuje, neboť byla horší ve </w:t>
            </w:r>
            <w:r w:rsidR="008E0367">
              <w:t>2. polovině roku, stejně jako u cen průmyslových výrobců. V </w:t>
            </w:r>
            <w:r w:rsidRPr="00802468">
              <w:t>1. kvartále 2015 se ceny dovozu zboží do Česka snížily meziročně o</w:t>
            </w:r>
            <w:r w:rsidR="00812386">
              <w:t> </w:t>
            </w:r>
            <w:r w:rsidRPr="00802468">
              <w:t>1,5 % a</w:t>
            </w:r>
            <w:r w:rsidR="003C03CC">
              <w:t> </w:t>
            </w:r>
            <w:r w:rsidRPr="00802468">
              <w:t>ve</w:t>
            </w:r>
            <w:r w:rsidR="003C03CC">
              <w:t> </w:t>
            </w:r>
            <w:r w:rsidRPr="00802468">
              <w:t>2. čtvrtletí stagnovaly. Ve 3. čtvrtletí se snížily ale o 2,6 % a ve 4.</w:t>
            </w:r>
            <w:r w:rsidR="00812386">
              <w:t> </w:t>
            </w:r>
            <w:r w:rsidRPr="00802468">
              <w:t>čtvrtletí dokonce o 3,8 %.</w:t>
            </w:r>
          </w:p>
        </w:tc>
      </w:tr>
      <w:tr w:rsidR="00960769" w:rsidRPr="007D44C3" w:rsidTr="00960769">
        <w:tc>
          <w:tcPr>
            <w:tcW w:w="1054" w:type="pct"/>
          </w:tcPr>
          <w:p w:rsidR="00960769" w:rsidRPr="000546BE" w:rsidRDefault="00960769" w:rsidP="00960769">
            <w:pPr>
              <w:spacing w:line="240" w:lineRule="auto"/>
              <w:rPr>
                <w:sz w:val="16"/>
                <w:szCs w:val="16"/>
              </w:rPr>
            </w:pPr>
            <w:r>
              <w:rPr>
                <w:sz w:val="16"/>
                <w:szCs w:val="16"/>
              </w:rPr>
              <w:lastRenderedPageBreak/>
              <w:t>Cenová hladina se snížila i na straně vývozu, v porovnání s dovozy však nepatrně pomaleji …</w:t>
            </w:r>
          </w:p>
        </w:tc>
        <w:tc>
          <w:tcPr>
            <w:tcW w:w="143" w:type="pct"/>
          </w:tcPr>
          <w:p w:rsidR="00960769" w:rsidRPr="000546BE" w:rsidRDefault="00960769" w:rsidP="00960769">
            <w:pPr>
              <w:pStyle w:val="Textpoznpodarou"/>
              <w:jc w:val="both"/>
            </w:pPr>
          </w:p>
        </w:tc>
        <w:tc>
          <w:tcPr>
            <w:tcW w:w="3803" w:type="pct"/>
          </w:tcPr>
          <w:p w:rsidR="00960769" w:rsidRPr="000546BE" w:rsidRDefault="00960769" w:rsidP="00960769">
            <w:pPr>
              <w:pStyle w:val="Textpoznpodarou"/>
              <w:jc w:val="both"/>
            </w:pPr>
            <w:r w:rsidRPr="000546BE">
              <w:t xml:space="preserve">Ceny vývozu zboží klesly v loňském roce o 1,7 %. Za nižší ceny se do zahraničí vyvážely všechny třídy SITC s výjimkou </w:t>
            </w:r>
            <w:r w:rsidR="00526DB6">
              <w:t xml:space="preserve">váhově </w:t>
            </w:r>
            <w:r w:rsidRPr="000546BE">
              <w:t>málo významných nápojů a</w:t>
            </w:r>
            <w:r w:rsidR="00944380">
              <w:t> </w:t>
            </w:r>
            <w:r w:rsidRPr="000546BE">
              <w:t>tabáku (+3,1 %). Ceny strojů a dopravních prostředků se snížily o 0,4 %, polotovary byly levnější o 1,6 % a průmyslové spotřební zboží o 0,3 %. Pokles cen minerálních paliv byl hluboký (-12,6 %), nikoliv ale tak, jako na straně dovozu. Je to logické, váha obchodu s ropou a ropnými produkty má na vývozu menší podíl než na</w:t>
            </w:r>
            <w:r>
              <w:t> </w:t>
            </w:r>
            <w:r w:rsidRPr="000546BE">
              <w:t>dovozu a proto pokles cen této komodity ovlivňoval více stranu dovozu.</w:t>
            </w:r>
          </w:p>
          <w:p w:rsidR="00960769" w:rsidRPr="000546BE" w:rsidRDefault="00960769" w:rsidP="00960769">
            <w:pPr>
              <w:pStyle w:val="Textpoznpodarou"/>
              <w:jc w:val="both"/>
            </w:pPr>
          </w:p>
        </w:tc>
      </w:tr>
      <w:tr w:rsidR="00960769" w:rsidRPr="007D44C3" w:rsidTr="00960769">
        <w:tc>
          <w:tcPr>
            <w:tcW w:w="1054" w:type="pct"/>
          </w:tcPr>
          <w:p w:rsidR="00960769" w:rsidRPr="000546BE" w:rsidRDefault="00960769" w:rsidP="00960769">
            <w:pPr>
              <w:spacing w:line="240" w:lineRule="auto"/>
              <w:rPr>
                <w:sz w:val="16"/>
                <w:szCs w:val="16"/>
              </w:rPr>
            </w:pPr>
            <w:r>
              <w:rPr>
                <w:sz w:val="16"/>
                <w:szCs w:val="16"/>
              </w:rPr>
              <w:t>… a směnné relace tak zůstaly pozitivní třetí rok v řadě</w:t>
            </w:r>
          </w:p>
        </w:tc>
        <w:tc>
          <w:tcPr>
            <w:tcW w:w="143" w:type="pct"/>
          </w:tcPr>
          <w:p w:rsidR="00960769" w:rsidRPr="000546BE" w:rsidRDefault="00960769" w:rsidP="00960769">
            <w:pPr>
              <w:pStyle w:val="Textpoznpodarou"/>
              <w:jc w:val="both"/>
            </w:pPr>
          </w:p>
        </w:tc>
        <w:tc>
          <w:tcPr>
            <w:tcW w:w="3803" w:type="pct"/>
          </w:tcPr>
          <w:p w:rsidR="00960769" w:rsidRPr="000546BE" w:rsidRDefault="00960769" w:rsidP="00960769">
            <w:pPr>
              <w:pStyle w:val="Textpoznpodarou"/>
              <w:jc w:val="both"/>
            </w:pPr>
            <w:r w:rsidRPr="000546BE">
              <w:t xml:space="preserve">Směnné relace v zahraničním obchodě se zbožím setrvaly pozitivní. Velikost dodatečných zisků české ekonomiky z příznivého vývoje cen se však proti rokům 2013 a 2014 podstatně zmenšila, neboť hodnota směnných relací poklesla z 101,4 % a 101,6 % na pouhých 100,2 %. Z jednotlivých tříd SITC byly směnné relace v loňském roce vysoce pozitivní u minerálních paliv (114,7 %), </w:t>
            </w:r>
            <w:r w:rsidRPr="000546BE">
              <w:rPr>
                <w:spacing w:val="-2"/>
              </w:rPr>
              <w:t>dále ale už jen v případě nápojů a tabáku (103,8 %) a ostatních surovin (101,5</w:t>
            </w:r>
            <w:r w:rsidRPr="000546BE">
              <w:t xml:space="preserve"> %).</w:t>
            </w:r>
          </w:p>
        </w:tc>
      </w:tr>
    </w:tbl>
    <w:p w:rsidR="00960769" w:rsidRDefault="00960769" w:rsidP="007C605B"/>
    <w:tbl>
      <w:tblPr>
        <w:tblW w:w="5000" w:type="pct"/>
        <w:tblLook w:val="04A0"/>
      </w:tblPr>
      <w:tblGrid>
        <w:gridCol w:w="1105"/>
        <w:gridCol w:w="3822"/>
        <w:gridCol w:w="1135"/>
        <w:gridCol w:w="3792"/>
      </w:tblGrid>
      <w:tr w:rsidR="00960769" w:rsidRPr="005819C0" w:rsidTr="00960769">
        <w:tc>
          <w:tcPr>
            <w:tcW w:w="560" w:type="pct"/>
          </w:tcPr>
          <w:p w:rsidR="00960769" w:rsidRPr="005819C0" w:rsidRDefault="00960769" w:rsidP="00960769">
            <w:pPr>
              <w:pStyle w:val="Textpoznpodarou"/>
            </w:pPr>
            <w:r w:rsidRPr="005819C0">
              <w:t>Graf č. 11</w:t>
            </w:r>
          </w:p>
        </w:tc>
        <w:tc>
          <w:tcPr>
            <w:tcW w:w="1940" w:type="pct"/>
          </w:tcPr>
          <w:p w:rsidR="00960769" w:rsidRPr="005819C0" w:rsidRDefault="00960769" w:rsidP="00960769">
            <w:pPr>
              <w:pStyle w:val="Textpoznpodarou"/>
            </w:pPr>
            <w:r w:rsidRPr="005819C0">
              <w:rPr>
                <w:b/>
              </w:rPr>
              <w:t>Spotřebitelské ceny jednotlivých typů domácností</w:t>
            </w:r>
            <w:r w:rsidRPr="005819C0">
              <w:t xml:space="preserve"> (y/y v %)</w:t>
            </w:r>
          </w:p>
        </w:tc>
        <w:tc>
          <w:tcPr>
            <w:tcW w:w="576" w:type="pct"/>
          </w:tcPr>
          <w:p w:rsidR="00960769" w:rsidRPr="005819C0" w:rsidRDefault="00960769" w:rsidP="00960769">
            <w:pPr>
              <w:pStyle w:val="Textpoznpodarou"/>
            </w:pPr>
            <w:r w:rsidRPr="005819C0">
              <w:t>Graf č. 12</w:t>
            </w:r>
          </w:p>
        </w:tc>
        <w:tc>
          <w:tcPr>
            <w:tcW w:w="1924" w:type="pct"/>
          </w:tcPr>
          <w:p w:rsidR="00960769" w:rsidRPr="005819C0" w:rsidRDefault="00960769" w:rsidP="00960769">
            <w:pPr>
              <w:pStyle w:val="Textpoznpodarou"/>
            </w:pPr>
            <w:r w:rsidRPr="005819C0">
              <w:rPr>
                <w:b/>
              </w:rPr>
              <w:t>Ceny ve vybraných oddílech indexu spotřebitelských cen</w:t>
            </w:r>
            <w:r w:rsidRPr="005819C0">
              <w:t xml:space="preserve"> (y/y v %)</w:t>
            </w:r>
          </w:p>
        </w:tc>
      </w:tr>
      <w:tr w:rsidR="00960769" w:rsidRPr="005819C0" w:rsidTr="00960769">
        <w:tc>
          <w:tcPr>
            <w:tcW w:w="2499" w:type="pct"/>
            <w:gridSpan w:val="2"/>
          </w:tcPr>
          <w:p w:rsidR="00960769" w:rsidRPr="005819C0" w:rsidRDefault="009256C5" w:rsidP="00960769">
            <w:pPr>
              <w:pStyle w:val="Textpoznpodarou"/>
              <w:jc w:val="both"/>
            </w:pPr>
            <w:r>
              <w:rPr>
                <w:noProof/>
              </w:rPr>
              <w:pict>
                <v:shape id="_x0000_i1035" type="#_x0000_t75" style="width:236.65pt;height:186.55pt;visibility:visible;mso-wrap-style:square">
                  <v:imagedata r:id="rId22" o:title=""/>
                </v:shape>
              </w:pict>
            </w:r>
          </w:p>
        </w:tc>
        <w:tc>
          <w:tcPr>
            <w:tcW w:w="2501" w:type="pct"/>
            <w:gridSpan w:val="2"/>
          </w:tcPr>
          <w:p w:rsidR="00960769" w:rsidRPr="005819C0" w:rsidRDefault="009256C5" w:rsidP="00960769">
            <w:pPr>
              <w:pStyle w:val="Textpoznpodarou"/>
              <w:jc w:val="both"/>
            </w:pPr>
            <w:r>
              <w:rPr>
                <w:noProof/>
              </w:rPr>
              <w:pict>
                <v:shape id="_x0000_i1036" type="#_x0000_t75" style="width:236.65pt;height:186.55pt;visibility:visible;mso-wrap-style:square">
                  <v:imagedata r:id="rId23" o:title=""/>
                </v:shape>
              </w:pict>
            </w:r>
          </w:p>
        </w:tc>
      </w:tr>
      <w:tr w:rsidR="00960769" w:rsidRPr="005819C0" w:rsidTr="00960769">
        <w:tc>
          <w:tcPr>
            <w:tcW w:w="5000" w:type="pct"/>
            <w:gridSpan w:val="4"/>
          </w:tcPr>
          <w:p w:rsidR="00960769" w:rsidRPr="005819C0" w:rsidRDefault="00960769" w:rsidP="00960769">
            <w:pPr>
              <w:pStyle w:val="Textpoznpodarou"/>
              <w:jc w:val="right"/>
              <w:rPr>
                <w:noProof/>
              </w:rPr>
            </w:pPr>
            <w:r w:rsidRPr="005819C0">
              <w:rPr>
                <w:sz w:val="18"/>
                <w:szCs w:val="18"/>
              </w:rPr>
              <w:t>Zdroj: ČSÚ</w:t>
            </w:r>
          </w:p>
        </w:tc>
      </w:tr>
    </w:tbl>
    <w:p w:rsidR="00960769" w:rsidRDefault="00960769" w:rsidP="007C605B"/>
    <w:tbl>
      <w:tblPr>
        <w:tblW w:w="5000" w:type="pct"/>
        <w:tblLook w:val="04A0"/>
      </w:tblPr>
      <w:tblGrid>
        <w:gridCol w:w="1105"/>
        <w:gridCol w:w="3822"/>
        <w:gridCol w:w="711"/>
        <w:gridCol w:w="4216"/>
      </w:tblGrid>
      <w:tr w:rsidR="00960769" w:rsidRPr="005819C0" w:rsidTr="00960769">
        <w:tc>
          <w:tcPr>
            <w:tcW w:w="560" w:type="pct"/>
          </w:tcPr>
          <w:p w:rsidR="00960769" w:rsidRPr="00C024DA" w:rsidRDefault="00960769" w:rsidP="00960769">
            <w:pPr>
              <w:pStyle w:val="Textpoznpodarou"/>
              <w:rPr>
                <w:lang w:eastAsia="en-US"/>
              </w:rPr>
            </w:pPr>
            <w:r w:rsidRPr="00C024DA">
              <w:rPr>
                <w:lang w:eastAsia="en-US"/>
              </w:rPr>
              <w:t>Graf č. 13</w:t>
            </w:r>
          </w:p>
        </w:tc>
        <w:tc>
          <w:tcPr>
            <w:tcW w:w="1940" w:type="pct"/>
          </w:tcPr>
          <w:p w:rsidR="00960769" w:rsidRPr="00C024DA" w:rsidRDefault="00960769" w:rsidP="00960769">
            <w:pPr>
              <w:pStyle w:val="Textpoznpodarou"/>
              <w:rPr>
                <w:lang w:eastAsia="en-US"/>
              </w:rPr>
            </w:pPr>
            <w:r w:rsidRPr="00960769">
              <w:rPr>
                <w:b/>
                <w:lang w:eastAsia="en-US"/>
              </w:rPr>
              <w:t>Deflátory</w:t>
            </w:r>
            <w:r w:rsidRPr="00C024DA">
              <w:rPr>
                <w:lang w:eastAsia="en-US"/>
              </w:rPr>
              <w:t xml:space="preserve"> (bez očištění o sezónní a kalendářní vlivy, y/y v %)</w:t>
            </w:r>
          </w:p>
        </w:tc>
        <w:tc>
          <w:tcPr>
            <w:tcW w:w="360" w:type="pct"/>
          </w:tcPr>
          <w:p w:rsidR="00960769" w:rsidRPr="005819C0" w:rsidRDefault="00960769" w:rsidP="00960769">
            <w:pPr>
              <w:pStyle w:val="Textpoznpodarou"/>
              <w:rPr>
                <w:lang w:eastAsia="en-US"/>
              </w:rPr>
            </w:pPr>
            <w:r w:rsidRPr="005819C0">
              <w:rPr>
                <w:lang w:eastAsia="en-US"/>
              </w:rPr>
              <w:t>Graf č. 14</w:t>
            </w:r>
          </w:p>
        </w:tc>
        <w:tc>
          <w:tcPr>
            <w:tcW w:w="2140" w:type="pct"/>
          </w:tcPr>
          <w:p w:rsidR="00960769" w:rsidRPr="005819C0" w:rsidRDefault="00960769" w:rsidP="00960769">
            <w:pPr>
              <w:pStyle w:val="Textpoznpodarou"/>
              <w:rPr>
                <w:lang w:eastAsia="en-US"/>
              </w:rPr>
            </w:pPr>
            <w:r w:rsidRPr="00960769">
              <w:rPr>
                <w:b/>
                <w:lang w:eastAsia="en-US"/>
              </w:rPr>
              <w:t>Ceny výrobců</w:t>
            </w:r>
            <w:r w:rsidRPr="005819C0">
              <w:rPr>
                <w:lang w:eastAsia="en-US"/>
              </w:rPr>
              <w:t xml:space="preserve"> (y/y v %, ceny v zemědělství na pravé ose, ostatní na levé ose)</w:t>
            </w:r>
          </w:p>
        </w:tc>
      </w:tr>
      <w:tr w:rsidR="00960769" w:rsidRPr="005819C0" w:rsidTr="00960769">
        <w:tc>
          <w:tcPr>
            <w:tcW w:w="2500" w:type="pct"/>
            <w:gridSpan w:val="2"/>
          </w:tcPr>
          <w:p w:rsidR="00960769" w:rsidRPr="005819C0" w:rsidRDefault="009256C5" w:rsidP="00960769">
            <w:pPr>
              <w:pStyle w:val="Textpoznpodarou"/>
              <w:jc w:val="both"/>
              <w:rPr>
                <w:lang w:eastAsia="en-US"/>
              </w:rPr>
            </w:pPr>
            <w:r>
              <w:rPr>
                <w:noProof/>
              </w:rPr>
              <w:pict>
                <v:shape id="_x0000_i1037" type="#_x0000_t75" style="width:236.65pt;height:186.55pt;visibility:visible;mso-wrap-style:square">
                  <v:imagedata r:id="rId24" o:title=""/>
                </v:shape>
              </w:pict>
            </w:r>
          </w:p>
        </w:tc>
        <w:tc>
          <w:tcPr>
            <w:tcW w:w="2500" w:type="pct"/>
            <w:gridSpan w:val="2"/>
          </w:tcPr>
          <w:p w:rsidR="00960769" w:rsidRPr="005819C0" w:rsidRDefault="009256C5" w:rsidP="00960769">
            <w:pPr>
              <w:pStyle w:val="Textpoznpodarou"/>
              <w:jc w:val="both"/>
              <w:rPr>
                <w:lang w:eastAsia="en-US"/>
              </w:rPr>
            </w:pPr>
            <w:r>
              <w:rPr>
                <w:noProof/>
              </w:rPr>
              <w:pict>
                <v:shape id="_x0000_i1038" type="#_x0000_t75" style="width:236.65pt;height:186.55pt;visibility:visible;mso-wrap-style:square">
                  <v:imagedata r:id="rId25" o:title=""/>
                </v:shape>
              </w:pict>
            </w:r>
          </w:p>
        </w:tc>
      </w:tr>
      <w:tr w:rsidR="00960769" w:rsidRPr="005819C0" w:rsidTr="00960769">
        <w:tc>
          <w:tcPr>
            <w:tcW w:w="5000" w:type="pct"/>
            <w:gridSpan w:val="4"/>
          </w:tcPr>
          <w:p w:rsidR="00960769" w:rsidRPr="00960769" w:rsidRDefault="00960769" w:rsidP="00960769">
            <w:pPr>
              <w:pStyle w:val="Textpoznpodarou"/>
              <w:jc w:val="right"/>
              <w:rPr>
                <w:sz w:val="18"/>
                <w:szCs w:val="18"/>
                <w:lang w:eastAsia="en-US"/>
              </w:rPr>
            </w:pPr>
            <w:r w:rsidRPr="00960769">
              <w:rPr>
                <w:sz w:val="18"/>
                <w:szCs w:val="18"/>
                <w:lang w:eastAsia="en-US"/>
              </w:rPr>
              <w:t>Zdroj: ČSÚ</w:t>
            </w:r>
          </w:p>
        </w:tc>
      </w:tr>
    </w:tbl>
    <w:p w:rsidR="00886A8F" w:rsidRDefault="00886A8F" w:rsidP="007C605B"/>
    <w:p w:rsidR="007D4281" w:rsidRPr="000732DB" w:rsidRDefault="007D4281" w:rsidP="006D142E">
      <w:pPr>
        <w:pStyle w:val="Nadpis1"/>
        <w:numPr>
          <w:ilvl w:val="0"/>
          <w:numId w:val="3"/>
        </w:numPr>
        <w:jc w:val="both"/>
      </w:pPr>
      <w:bookmarkStart w:id="8" w:name="_Toc446341885"/>
      <w:r>
        <w:lastRenderedPageBreak/>
        <w:t>Trh práce</w:t>
      </w:r>
      <w:bookmarkEnd w:id="8"/>
    </w:p>
    <w:tbl>
      <w:tblPr>
        <w:tblW w:w="5000" w:type="pct"/>
        <w:tblCellMar>
          <w:left w:w="28" w:type="dxa"/>
          <w:right w:w="28" w:type="dxa"/>
        </w:tblCellMar>
        <w:tblLook w:val="04A0"/>
      </w:tblPr>
      <w:tblGrid>
        <w:gridCol w:w="2044"/>
        <w:gridCol w:w="275"/>
        <w:gridCol w:w="7375"/>
      </w:tblGrid>
      <w:tr w:rsidR="00FE16E6" w:rsidTr="00611531">
        <w:tc>
          <w:tcPr>
            <w:tcW w:w="1054" w:type="pct"/>
          </w:tcPr>
          <w:p w:rsidR="00FE16E6" w:rsidRPr="00886A8F" w:rsidRDefault="00FE16E6" w:rsidP="00611531">
            <w:pPr>
              <w:spacing w:line="240" w:lineRule="auto"/>
              <w:rPr>
                <w:sz w:val="16"/>
                <w:szCs w:val="16"/>
              </w:rPr>
            </w:pPr>
            <w:r w:rsidRPr="00F851DD">
              <w:rPr>
                <w:color w:val="0D0D0D" w:themeColor="text1" w:themeTint="F2"/>
                <w:sz w:val="16"/>
                <w:szCs w:val="16"/>
              </w:rPr>
              <w:t>Obnovení důvěry v ekonomiku i nepolevující příliv zakázek v klíčových odvětvích vedly během roku 2015 k nejrychlejšímu meziročnímu růstu počtu pracovníků v celé ekonomice po roce 2008</w:t>
            </w:r>
          </w:p>
        </w:tc>
        <w:tc>
          <w:tcPr>
            <w:tcW w:w="142" w:type="pct"/>
          </w:tcPr>
          <w:p w:rsidR="00FE16E6" w:rsidRPr="00886A8F" w:rsidRDefault="00FE16E6" w:rsidP="00611531">
            <w:pPr>
              <w:pStyle w:val="Textpoznpodarou"/>
              <w:jc w:val="both"/>
            </w:pPr>
          </w:p>
        </w:tc>
        <w:tc>
          <w:tcPr>
            <w:tcW w:w="3804" w:type="pct"/>
          </w:tcPr>
          <w:p w:rsidR="00FE16E6" w:rsidRPr="00EC5488" w:rsidRDefault="00FE16E6" w:rsidP="00611531">
            <w:pPr>
              <w:pStyle w:val="Textpoznpodarou"/>
              <w:jc w:val="both"/>
              <w:rPr>
                <w:spacing w:val="-4"/>
              </w:rPr>
            </w:pPr>
            <w:r w:rsidRPr="00EC5488">
              <w:rPr>
                <w:spacing w:val="-4"/>
              </w:rPr>
              <w:t>Svižný růst ekonomiky se promítal do sílících temp celkové zaměstnanosti</w:t>
            </w:r>
            <w:r w:rsidR="001D7C6F">
              <w:rPr>
                <w:spacing w:val="-4"/>
              </w:rPr>
              <w:t>.</w:t>
            </w:r>
            <w:r w:rsidRPr="00EC5488">
              <w:rPr>
                <w:rStyle w:val="Znakapoznpodarou"/>
                <w:spacing w:val="-4"/>
              </w:rPr>
              <w:footnoteReference w:id="18"/>
            </w:r>
            <w:r w:rsidRPr="00EC5488">
              <w:rPr>
                <w:spacing w:val="-4"/>
              </w:rPr>
              <w:t xml:space="preserve"> Ta se v roce 2015 nacházela o</w:t>
            </w:r>
            <w:r w:rsidR="007159D2">
              <w:rPr>
                <w:spacing w:val="-4"/>
              </w:rPr>
              <w:t xml:space="preserve"> </w:t>
            </w:r>
            <w:r w:rsidRPr="00EC5488">
              <w:rPr>
                <w:spacing w:val="-4"/>
              </w:rPr>
              <w:t xml:space="preserve">1,2 % nad úrovní předchozího roku. Vysoké meziroční přírůstky zaměstnanosti se udržely ve všech čtvrtletích. V pozici zaměstnaných bylo na konci roku 5,2 mil. osob, což bylo společně s rokem 2008 nejvíce v historii samostatné ČR (vedle efektu ekonomického cyklu působí v dlouhodobějším horizontu na zaměstnanost i demografické vlivy, především zvyšující se věk odchodu </w:t>
            </w:r>
            <w:r w:rsidR="007159D2">
              <w:rPr>
                <w:spacing w:val="-4"/>
              </w:rPr>
              <w:t xml:space="preserve">do důchodu a větší participace </w:t>
            </w:r>
            <w:r w:rsidR="007159D2">
              <w:t>–</w:t>
            </w:r>
            <w:r w:rsidR="007159D2">
              <w:rPr>
                <w:spacing w:val="-4"/>
              </w:rPr>
              <w:t xml:space="preserve"> zejména žen </w:t>
            </w:r>
            <w:r w:rsidR="007159D2">
              <w:t>–</w:t>
            </w:r>
            <w:r w:rsidRPr="00EC5488">
              <w:rPr>
                <w:spacing w:val="-4"/>
              </w:rPr>
              <w:t xml:space="preserve"> na terciárním vzdělávání).</w:t>
            </w:r>
          </w:p>
          <w:p w:rsidR="00FE16E6" w:rsidRPr="004A22BD" w:rsidRDefault="00FE16E6" w:rsidP="00611531">
            <w:pPr>
              <w:pStyle w:val="Textpoznpodarou"/>
              <w:jc w:val="both"/>
              <w:rPr>
                <w:sz w:val="16"/>
                <w:szCs w:val="16"/>
              </w:rPr>
            </w:pPr>
          </w:p>
        </w:tc>
      </w:tr>
      <w:tr w:rsidR="00FE16E6" w:rsidTr="00611531">
        <w:tc>
          <w:tcPr>
            <w:tcW w:w="1054" w:type="pct"/>
          </w:tcPr>
          <w:p w:rsidR="00FE16E6" w:rsidRDefault="00FE16E6" w:rsidP="00611531">
            <w:pPr>
              <w:spacing w:line="240" w:lineRule="auto"/>
              <w:rPr>
                <w:color w:val="0D0D0D" w:themeColor="text1" w:themeTint="F2"/>
                <w:sz w:val="16"/>
                <w:szCs w:val="16"/>
              </w:rPr>
            </w:pPr>
            <w:r w:rsidRPr="00D46629">
              <w:rPr>
                <w:color w:val="0D0D0D" w:themeColor="text1" w:themeTint="F2"/>
                <w:sz w:val="16"/>
                <w:szCs w:val="16"/>
              </w:rPr>
              <w:t>Zatímco v roce 2014 vytvářel pracovní síla ve zvýšené míře zpracovatelský průmysl,</w:t>
            </w:r>
          </w:p>
          <w:p w:rsidR="00FE16E6" w:rsidRDefault="00FE16E6" w:rsidP="00611531">
            <w:pPr>
              <w:spacing w:line="240" w:lineRule="auto"/>
              <w:rPr>
                <w:color w:val="0D0D0D" w:themeColor="text1" w:themeTint="F2"/>
                <w:sz w:val="16"/>
                <w:szCs w:val="16"/>
              </w:rPr>
            </w:pPr>
            <w:r w:rsidRPr="00D46629">
              <w:rPr>
                <w:color w:val="0D0D0D" w:themeColor="text1" w:themeTint="F2"/>
                <w:sz w:val="16"/>
                <w:szCs w:val="16"/>
              </w:rPr>
              <w:t>o rok později</w:t>
            </w:r>
            <w:r>
              <w:rPr>
                <w:color w:val="0D0D0D" w:themeColor="text1" w:themeTint="F2"/>
                <w:sz w:val="16"/>
                <w:szCs w:val="16"/>
              </w:rPr>
              <w:t xml:space="preserve"> více přispěla </w:t>
            </w:r>
          </w:p>
          <w:p w:rsidR="00FE16E6" w:rsidRPr="009720D9" w:rsidRDefault="00FE16E6" w:rsidP="00611531">
            <w:pPr>
              <w:spacing w:line="240" w:lineRule="auto"/>
              <w:rPr>
                <w:rFonts w:cs="Arial"/>
                <w:bCs/>
                <w:iCs/>
                <w:color w:val="0D0D0D" w:themeColor="text1" w:themeTint="F2"/>
                <w:szCs w:val="20"/>
              </w:rPr>
            </w:pPr>
            <w:r>
              <w:rPr>
                <w:color w:val="0D0D0D" w:themeColor="text1" w:themeTint="F2"/>
                <w:sz w:val="16"/>
                <w:szCs w:val="16"/>
              </w:rPr>
              <w:t>i většina ostatních odvětví, především ve službách</w:t>
            </w:r>
          </w:p>
        </w:tc>
        <w:tc>
          <w:tcPr>
            <w:tcW w:w="142" w:type="pct"/>
          </w:tcPr>
          <w:p w:rsidR="00FE16E6" w:rsidRPr="009720D9" w:rsidRDefault="00FE16E6" w:rsidP="00611531">
            <w:pPr>
              <w:pStyle w:val="Textpoznpodarou"/>
              <w:jc w:val="both"/>
              <w:rPr>
                <w:color w:val="0D0D0D" w:themeColor="text1" w:themeTint="F2"/>
              </w:rPr>
            </w:pPr>
          </w:p>
        </w:tc>
        <w:tc>
          <w:tcPr>
            <w:tcW w:w="3804" w:type="pct"/>
          </w:tcPr>
          <w:p w:rsidR="00FE16E6" w:rsidRPr="00EC5488" w:rsidRDefault="00FE16E6" w:rsidP="00611531">
            <w:pPr>
              <w:pStyle w:val="Textpoznpodarou"/>
              <w:jc w:val="both"/>
              <w:rPr>
                <w:color w:val="0D0D0D" w:themeColor="text1" w:themeTint="F2"/>
                <w:spacing w:val="-4"/>
              </w:rPr>
            </w:pPr>
            <w:r w:rsidRPr="00EC5488">
              <w:rPr>
                <w:spacing w:val="-4"/>
              </w:rPr>
              <w:t>Zatímco v roce 2014 se přírůstek zaměstnanosti realizoval především ve zpracovatelském průmyslu, o rok později začaly ve větší míře generovat pracovní místa i</w:t>
            </w:r>
            <w:r w:rsidR="007159D2">
              <w:rPr>
                <w:spacing w:val="-4"/>
              </w:rPr>
              <w:t xml:space="preserve"> služby. Šlo především o váhově</w:t>
            </w:r>
            <w:r w:rsidRPr="00EC5488">
              <w:rPr>
                <w:spacing w:val="-4"/>
              </w:rPr>
              <w:t xml:space="preserve"> významnou skupinu odvětví zahrnující obchod, dopravu, ubytování a pohostinství, kde našlo uplatnění meziročně o 20 tis</w:t>
            </w:r>
            <w:r w:rsidR="00F45530">
              <w:rPr>
                <w:spacing w:val="-4"/>
              </w:rPr>
              <w:t>.</w:t>
            </w:r>
            <w:r w:rsidRPr="00EC5488">
              <w:rPr>
                <w:spacing w:val="-4"/>
              </w:rPr>
              <w:t xml:space="preserve"> osob více (ve srovnání s tím v průmyslu 25 tis. osob). Je však třeba vzít v úvahu, že krátkodobé výkyvy poptávky zejména větší firmy často vykrývají najímáním agenturních pracovníků. O tom, že je jejich role v současnosti stále významná</w:t>
            </w:r>
            <w:r w:rsidR="001F5C6A">
              <w:rPr>
                <w:spacing w:val="-4"/>
              </w:rPr>
              <w:t>,</w:t>
            </w:r>
            <w:r w:rsidRPr="00EC5488">
              <w:rPr>
                <w:spacing w:val="-4"/>
              </w:rPr>
              <w:t xml:space="preserve"> nepřímo vypovídá i vysoký růst počtu zaměstnanců v </w:t>
            </w:r>
            <w:r w:rsidRPr="00EC5488">
              <w:rPr>
                <w:color w:val="0D0D0D" w:themeColor="text1" w:themeTint="F2"/>
                <w:spacing w:val="-4"/>
              </w:rPr>
              <w:t>profesních, vědeckých, technických a administrativních činnostech (v roce 2015 o 3,9 %).</w:t>
            </w:r>
          </w:p>
          <w:p w:rsidR="00FE16E6" w:rsidRPr="004A22BD" w:rsidRDefault="00FE16E6" w:rsidP="00611531">
            <w:pPr>
              <w:pStyle w:val="Textpoznpodarou"/>
              <w:jc w:val="both"/>
              <w:rPr>
                <w:rFonts w:cs="Arial"/>
                <w:color w:val="0D0D0D" w:themeColor="text1" w:themeTint="F2"/>
                <w:spacing w:val="-4"/>
                <w:sz w:val="16"/>
                <w:szCs w:val="16"/>
              </w:rPr>
            </w:pPr>
          </w:p>
        </w:tc>
      </w:tr>
      <w:tr w:rsidR="00FE16E6" w:rsidTr="00611531">
        <w:tc>
          <w:tcPr>
            <w:tcW w:w="1054" w:type="pct"/>
          </w:tcPr>
          <w:p w:rsidR="00FE16E6" w:rsidRPr="003A34E8" w:rsidRDefault="00FE16E6" w:rsidP="00611531">
            <w:pPr>
              <w:spacing w:line="240" w:lineRule="auto"/>
              <w:rPr>
                <w:rFonts w:cs="Arial"/>
                <w:bCs/>
                <w:iCs/>
                <w:color w:val="0D0D0D" w:themeColor="text1" w:themeTint="F2"/>
                <w:spacing w:val="-2"/>
                <w:sz w:val="16"/>
                <w:szCs w:val="16"/>
              </w:rPr>
            </w:pPr>
            <w:r w:rsidRPr="003A34E8">
              <w:rPr>
                <w:rFonts w:cs="Arial"/>
                <w:bCs/>
                <w:iCs/>
                <w:color w:val="0D0D0D" w:themeColor="text1" w:themeTint="F2"/>
                <w:spacing w:val="-2"/>
                <w:sz w:val="16"/>
                <w:szCs w:val="16"/>
              </w:rPr>
              <w:t>Vleklý pokles zaměstnanosti v těžebním průmyslu pokračoval, ve stavebnictví pomáhalo vykrýt vyšší poptávku intenzivnější využití stávající pracovní síly formou přesčasové práce</w:t>
            </w:r>
          </w:p>
        </w:tc>
        <w:tc>
          <w:tcPr>
            <w:tcW w:w="142" w:type="pct"/>
          </w:tcPr>
          <w:p w:rsidR="00FE16E6" w:rsidRPr="009720D9" w:rsidRDefault="00FE16E6" w:rsidP="00611531">
            <w:pPr>
              <w:pStyle w:val="Textpoznpodarou"/>
              <w:jc w:val="both"/>
              <w:rPr>
                <w:color w:val="0D0D0D" w:themeColor="text1" w:themeTint="F2"/>
              </w:rPr>
            </w:pPr>
          </w:p>
        </w:tc>
        <w:tc>
          <w:tcPr>
            <w:tcW w:w="3804" w:type="pct"/>
          </w:tcPr>
          <w:p w:rsidR="00FE16E6" w:rsidRPr="00EC5488" w:rsidRDefault="00FE16E6" w:rsidP="00611531">
            <w:pPr>
              <w:pStyle w:val="Textpoznpodarou"/>
              <w:jc w:val="both"/>
              <w:rPr>
                <w:rFonts w:cs="Arial"/>
                <w:color w:val="0D0D0D" w:themeColor="text1" w:themeTint="F2"/>
                <w:spacing w:val="-4"/>
              </w:rPr>
            </w:pPr>
            <w:r w:rsidRPr="00EC5488">
              <w:rPr>
                <w:rFonts w:cs="Arial"/>
                <w:color w:val="0D0D0D" w:themeColor="text1" w:themeTint="F2"/>
                <w:spacing w:val="-4"/>
              </w:rPr>
              <w:t>Navzdory celkově příznivým tendencím existovala i v roce 2015 odvětví, která pracovní místa ztrácela. Šlo hlavně o stavebnictví, kde hluboké poklesy zaměstnanosti přetrvávaly již pátý rok v řadě (naposledy o 2,4 %). Obtížím čelí také nezpracovatelská průmyslová odvětví (-0,8 %), především dlouhodobě útlumové těžební aktiv</w:t>
            </w:r>
            <w:r w:rsidR="001D7C6F">
              <w:rPr>
                <w:rFonts w:cs="Arial"/>
                <w:color w:val="0D0D0D" w:themeColor="text1" w:themeTint="F2"/>
                <w:spacing w:val="-4"/>
              </w:rPr>
              <w:t>ity. Dva roky po sobě se sni</w:t>
            </w:r>
            <w:r w:rsidR="007159D2">
              <w:rPr>
                <w:rFonts w:cs="Arial"/>
                <w:color w:val="0D0D0D" w:themeColor="text1" w:themeTint="F2"/>
                <w:spacing w:val="-4"/>
              </w:rPr>
              <w:t>žovala zaměstnanost i v peněžnictví a</w:t>
            </w:r>
            <w:r w:rsidR="007159D2" w:rsidRPr="00EC5488">
              <w:rPr>
                <w:color w:val="0D0D0D" w:themeColor="text1" w:themeTint="F2"/>
                <w:spacing w:val="-4"/>
              </w:rPr>
              <w:t> </w:t>
            </w:r>
            <w:r w:rsidRPr="00EC5488">
              <w:rPr>
                <w:rFonts w:cs="Arial"/>
                <w:color w:val="0D0D0D" w:themeColor="text1" w:themeTint="F2"/>
                <w:spacing w:val="-4"/>
              </w:rPr>
              <w:t xml:space="preserve">pojišťovnictví. Úsporná opatření zde zřejmě byla motivovaná snahou o udržení vysoké ziskovosti ve vysoce konkurenčním prostředí. </w:t>
            </w:r>
          </w:p>
          <w:p w:rsidR="00FE16E6" w:rsidRPr="004A22BD" w:rsidRDefault="00FE16E6" w:rsidP="00611531">
            <w:pPr>
              <w:pStyle w:val="Textpoznpodarou"/>
              <w:jc w:val="both"/>
              <w:rPr>
                <w:rFonts w:cs="Arial"/>
                <w:color w:val="0D0D0D" w:themeColor="text1" w:themeTint="F2"/>
                <w:spacing w:val="-4"/>
                <w:sz w:val="16"/>
                <w:szCs w:val="16"/>
              </w:rPr>
            </w:pPr>
          </w:p>
        </w:tc>
      </w:tr>
      <w:tr w:rsidR="00FE16E6" w:rsidTr="00611531">
        <w:tc>
          <w:tcPr>
            <w:tcW w:w="1054" w:type="pct"/>
          </w:tcPr>
          <w:p w:rsidR="00FE16E6" w:rsidRPr="003A34E8" w:rsidRDefault="00FE16E6" w:rsidP="00611531">
            <w:pPr>
              <w:spacing w:line="240" w:lineRule="auto"/>
              <w:rPr>
                <w:rFonts w:cs="Arial"/>
                <w:bCs/>
                <w:iCs/>
                <w:color w:val="0D0D0D" w:themeColor="text1" w:themeTint="F2"/>
                <w:spacing w:val="-2"/>
                <w:sz w:val="6"/>
                <w:szCs w:val="6"/>
              </w:rPr>
            </w:pPr>
            <w:r w:rsidRPr="003A34E8">
              <w:rPr>
                <w:spacing w:val="-2"/>
                <w:sz w:val="16"/>
                <w:szCs w:val="16"/>
              </w:rPr>
              <w:t>Struktura zaměstnanosti se mění ve prospěch zaměstnanců. Jejich počty rostou, sebezaměstnaných ubývá</w:t>
            </w:r>
          </w:p>
        </w:tc>
        <w:tc>
          <w:tcPr>
            <w:tcW w:w="142" w:type="pct"/>
          </w:tcPr>
          <w:p w:rsidR="00FE16E6" w:rsidRPr="009720D9" w:rsidRDefault="00FE16E6" w:rsidP="00611531">
            <w:pPr>
              <w:pStyle w:val="Textpoznpodarou"/>
              <w:jc w:val="both"/>
              <w:rPr>
                <w:color w:val="0D0D0D" w:themeColor="text1" w:themeTint="F2"/>
              </w:rPr>
            </w:pPr>
          </w:p>
        </w:tc>
        <w:tc>
          <w:tcPr>
            <w:tcW w:w="3804" w:type="pct"/>
          </w:tcPr>
          <w:p w:rsidR="00FE16E6" w:rsidRPr="00EC5488" w:rsidRDefault="00FE16E6" w:rsidP="00611531">
            <w:pPr>
              <w:pStyle w:val="Textpoznpodarou"/>
              <w:jc w:val="both"/>
              <w:rPr>
                <w:spacing w:val="-4"/>
              </w:rPr>
            </w:pPr>
            <w:r w:rsidRPr="00EC5488">
              <w:rPr>
                <w:spacing w:val="-4"/>
              </w:rPr>
              <w:t xml:space="preserve">Mění se také skladba pracujících z hlediska postavení zaměstnání. Od 3. čtvrtletí 2014 se meziročně snižují počty sebezaměstnaných při souběžném růstu v kategorii zaměstnanců. Tato diskrepance se v průběhu roku 2015 ještě posílila a byla dobře patrná ve stavebnictví, zpracovatelském průmyslu či ve specializovanějších službách (informační komunikační činnosti, popř. </w:t>
            </w:r>
            <w:r w:rsidRPr="00EC5488">
              <w:rPr>
                <w:color w:val="0D0D0D" w:themeColor="text1" w:themeTint="F2"/>
                <w:spacing w:val="-4"/>
              </w:rPr>
              <w:t>profesní, vědecké, technické a administrativní činnosti). Přeliv části sebezaměstnaných osob do zaměstnaneckého postavení je pro trh práce v Česku charakteristický v obdobích konjunktury, kdy si firmy do svých kmenových stavů stahují pracovníky, které v „horších časech“ využívaly v rámci švarc-systému. Důležitou kategorii z hlediska potenciálu tvorby pracovních míst představují zaměstnavatelé.</w:t>
            </w:r>
            <w:r w:rsidR="007159D2">
              <w:rPr>
                <w:spacing w:val="-4"/>
              </w:rPr>
              <w:t xml:space="preserve"> Podrobnější údaje z</w:t>
            </w:r>
            <w:r w:rsidRPr="00EC5488">
              <w:rPr>
                <w:spacing w:val="-4"/>
              </w:rPr>
              <w:t xml:space="preserve"> VŠPŠ ukazují, že počet podnikatelů se zaměstnanci od 3. čtvrtletí 2013 meziročně nepřetržitě rostl (vyjma konce roku 2015). </w:t>
            </w:r>
          </w:p>
          <w:p w:rsidR="00FE16E6" w:rsidRPr="004A22BD" w:rsidRDefault="00FE16E6" w:rsidP="00611531">
            <w:pPr>
              <w:pStyle w:val="Textpoznpodarou"/>
              <w:jc w:val="both"/>
              <w:rPr>
                <w:sz w:val="16"/>
                <w:szCs w:val="16"/>
              </w:rPr>
            </w:pPr>
          </w:p>
        </w:tc>
      </w:tr>
      <w:tr w:rsidR="00FE16E6" w:rsidTr="00611531">
        <w:tc>
          <w:tcPr>
            <w:tcW w:w="1054" w:type="pct"/>
          </w:tcPr>
          <w:p w:rsidR="00FE16E6" w:rsidRDefault="00FE16E6" w:rsidP="00611531">
            <w:pPr>
              <w:spacing w:line="240" w:lineRule="auto"/>
              <w:rPr>
                <w:rFonts w:cs="Arial"/>
                <w:bCs/>
                <w:iCs/>
                <w:color w:val="0D0D0D" w:themeColor="text1" w:themeTint="F2"/>
                <w:sz w:val="16"/>
                <w:szCs w:val="16"/>
              </w:rPr>
            </w:pPr>
            <w:r>
              <w:rPr>
                <w:rFonts w:cs="Arial"/>
                <w:bCs/>
                <w:iCs/>
                <w:color w:val="0D0D0D" w:themeColor="text1" w:themeTint="F2"/>
                <w:sz w:val="16"/>
                <w:szCs w:val="16"/>
              </w:rPr>
              <w:t>Produktivita práce rostla již druhý rok po sobě a v roce 2015 dosáhla nejvyššího tempa za posledních pět let</w:t>
            </w:r>
          </w:p>
          <w:p w:rsidR="00FE16E6" w:rsidRDefault="00FE16E6" w:rsidP="00611531">
            <w:pPr>
              <w:spacing w:line="240" w:lineRule="auto"/>
              <w:rPr>
                <w:rFonts w:cs="Arial"/>
                <w:bCs/>
                <w:iCs/>
                <w:color w:val="0D0D0D" w:themeColor="text1" w:themeTint="F2"/>
                <w:sz w:val="16"/>
                <w:szCs w:val="16"/>
              </w:rPr>
            </w:pPr>
          </w:p>
          <w:p w:rsidR="00FE16E6" w:rsidRPr="00372465" w:rsidRDefault="00FE16E6" w:rsidP="00611531">
            <w:pPr>
              <w:spacing w:line="240" w:lineRule="auto"/>
              <w:rPr>
                <w:rFonts w:cs="Arial"/>
                <w:bCs/>
                <w:iCs/>
                <w:color w:val="0D0D0D" w:themeColor="text1" w:themeTint="F2"/>
                <w:spacing w:val="-2"/>
                <w:sz w:val="16"/>
                <w:szCs w:val="16"/>
              </w:rPr>
            </w:pPr>
            <w:r w:rsidRPr="00372465">
              <w:rPr>
                <w:rFonts w:cs="Arial"/>
                <w:bCs/>
                <w:iCs/>
                <w:color w:val="0D0D0D" w:themeColor="text1" w:themeTint="F2"/>
                <w:spacing w:val="-2"/>
                <w:sz w:val="16"/>
                <w:szCs w:val="16"/>
              </w:rPr>
              <w:t xml:space="preserve">Klesala jen v primárním sektoru a v odvětví obchod, </w:t>
            </w:r>
            <w:r w:rsidRPr="00372465">
              <w:rPr>
                <w:color w:val="0D0D0D" w:themeColor="text1" w:themeTint="F2"/>
                <w:spacing w:val="-2"/>
                <w:sz w:val="16"/>
                <w:szCs w:val="16"/>
              </w:rPr>
              <w:t>doprava, ubytování a pohostinství</w:t>
            </w:r>
          </w:p>
        </w:tc>
        <w:tc>
          <w:tcPr>
            <w:tcW w:w="142" w:type="pct"/>
          </w:tcPr>
          <w:p w:rsidR="00FE16E6" w:rsidRPr="009720D9" w:rsidRDefault="00FE16E6" w:rsidP="00611531">
            <w:pPr>
              <w:pStyle w:val="Textpoznpodarou"/>
              <w:jc w:val="both"/>
              <w:rPr>
                <w:color w:val="0D0D0D" w:themeColor="text1" w:themeTint="F2"/>
              </w:rPr>
            </w:pPr>
          </w:p>
        </w:tc>
        <w:tc>
          <w:tcPr>
            <w:tcW w:w="3804" w:type="pct"/>
          </w:tcPr>
          <w:p w:rsidR="00FE16E6" w:rsidRDefault="00FE16E6" w:rsidP="00611531">
            <w:pPr>
              <w:pStyle w:val="Textpoznpodarou"/>
              <w:jc w:val="both"/>
            </w:pPr>
            <w:r>
              <w:t>Dalším z příznivých rysů vývoje trhu práce byl v posledních dvou letech růst produktivity práce. Ta stoupla v roce 2015 o téměř 2 %, když 3,8% reálných růst hrubé přidané hod</w:t>
            </w:r>
            <w:r w:rsidR="00690A25">
              <w:t>noty</w:t>
            </w:r>
            <w:r>
              <w:t xml:space="preserve"> byl realizován při současném 1,8% meziročním růstu odpracovaných hodin. Růst produktivity mohl doznat ještě vyššího tempa, nebýt citelného zvýšení odpracované doby ve 4. čtvrtletí (zejména ve zpracovatelském průmyslu, obchodu a dopravě). Více jak 5% růstu produktivity dosáhly v roce 2015 informační a komunikační činnosti, stavebnictví a finanční sektor.</w:t>
            </w:r>
          </w:p>
          <w:p w:rsidR="00FE16E6" w:rsidRPr="004A22BD" w:rsidRDefault="00FE16E6" w:rsidP="00611531">
            <w:pPr>
              <w:pStyle w:val="Textpoznpodarou"/>
              <w:jc w:val="both"/>
              <w:rPr>
                <w:rFonts w:cs="Arial"/>
                <w:color w:val="0D0D0D" w:themeColor="text1" w:themeTint="F2"/>
                <w:spacing w:val="-2"/>
                <w:sz w:val="16"/>
                <w:szCs w:val="16"/>
              </w:rPr>
            </w:pPr>
          </w:p>
        </w:tc>
      </w:tr>
      <w:tr w:rsidR="00FE16E6" w:rsidTr="00611531">
        <w:tc>
          <w:tcPr>
            <w:tcW w:w="1054" w:type="pct"/>
          </w:tcPr>
          <w:p w:rsidR="00FE16E6" w:rsidRDefault="00FE16E6" w:rsidP="00611531">
            <w:pPr>
              <w:spacing w:line="240" w:lineRule="auto"/>
              <w:rPr>
                <w:rFonts w:cs="Arial"/>
                <w:bCs/>
                <w:iCs/>
                <w:color w:val="0D0D0D" w:themeColor="text1" w:themeTint="F2"/>
                <w:spacing w:val="-4"/>
                <w:sz w:val="16"/>
                <w:szCs w:val="16"/>
              </w:rPr>
            </w:pPr>
            <w:r w:rsidRPr="00A245E8">
              <w:rPr>
                <w:rFonts w:cs="Arial"/>
                <w:bCs/>
                <w:iCs/>
                <w:color w:val="0D0D0D" w:themeColor="text1" w:themeTint="F2"/>
                <w:spacing w:val="-4"/>
                <w:sz w:val="16"/>
                <w:szCs w:val="16"/>
              </w:rPr>
              <w:t xml:space="preserve">Počet volných pracovních míst se zvyšuje již dva roky, v prosinci 2015 jich úřady práce </w:t>
            </w:r>
            <w:r>
              <w:rPr>
                <w:rFonts w:cs="Arial"/>
                <w:bCs/>
                <w:iCs/>
                <w:color w:val="0D0D0D" w:themeColor="text1" w:themeTint="F2"/>
                <w:spacing w:val="-4"/>
                <w:sz w:val="16"/>
                <w:szCs w:val="16"/>
              </w:rPr>
              <w:t>nabízely nejvíce od listopadu 2008</w:t>
            </w:r>
          </w:p>
          <w:p w:rsidR="00FE16E6" w:rsidRPr="00A245E8" w:rsidRDefault="00FE16E6" w:rsidP="00611531">
            <w:pPr>
              <w:spacing w:line="240" w:lineRule="auto"/>
              <w:rPr>
                <w:rFonts w:cs="Arial"/>
                <w:bCs/>
                <w:iCs/>
                <w:color w:val="0D0D0D" w:themeColor="text1" w:themeTint="F2"/>
                <w:spacing w:val="-4"/>
                <w:sz w:val="16"/>
                <w:szCs w:val="16"/>
              </w:rPr>
            </w:pPr>
          </w:p>
        </w:tc>
        <w:tc>
          <w:tcPr>
            <w:tcW w:w="142" w:type="pct"/>
          </w:tcPr>
          <w:p w:rsidR="00FE16E6" w:rsidRPr="009720D9" w:rsidRDefault="00FE16E6" w:rsidP="00611531">
            <w:pPr>
              <w:pStyle w:val="Textpoznpodarou"/>
              <w:jc w:val="both"/>
              <w:rPr>
                <w:color w:val="0D0D0D" w:themeColor="text1" w:themeTint="F2"/>
              </w:rPr>
            </w:pPr>
          </w:p>
        </w:tc>
        <w:tc>
          <w:tcPr>
            <w:tcW w:w="3804" w:type="pct"/>
          </w:tcPr>
          <w:p w:rsidR="00FE16E6" w:rsidRDefault="00FE16E6" w:rsidP="00611531">
            <w:pPr>
              <w:pStyle w:val="Textpoznpodarou"/>
              <w:jc w:val="both"/>
            </w:pPr>
            <w:r>
              <w:t>Intenzita tvorby nových pracovních míst zrychlila. Zatímco na sklonku roku 2014 nabízely úřady práce 59 tis. volných pozic (o rok dříve pouhých 35 tis.), o dvanáct měsíců později šlo již 103 tis. míst. Nad</w:t>
            </w:r>
            <w:r w:rsidR="007159D2">
              <w:t>ále existoval významný územní i</w:t>
            </w:r>
            <w:r w:rsidR="007159D2" w:rsidRPr="00EC5488">
              <w:rPr>
                <w:color w:val="0D0D0D" w:themeColor="text1" w:themeTint="F2"/>
                <w:spacing w:val="-4"/>
              </w:rPr>
              <w:t> </w:t>
            </w:r>
            <w:r>
              <w:t>vzdělanostní (resp. kvalifikační) nesoulad mez</w:t>
            </w:r>
            <w:r w:rsidR="007159D2">
              <w:t>i nabízenými volnými pozicemi a</w:t>
            </w:r>
            <w:r w:rsidR="007159D2" w:rsidRPr="00EC5488">
              <w:rPr>
                <w:color w:val="0D0D0D" w:themeColor="text1" w:themeTint="F2"/>
                <w:spacing w:val="-4"/>
              </w:rPr>
              <w:t> </w:t>
            </w:r>
            <w:r w:rsidR="007159D2">
              <w:t>registrovanými uchazeči</w:t>
            </w:r>
            <w:r>
              <w:t xml:space="preserve"> o zaměstnání. Již témě</w:t>
            </w:r>
            <w:r w:rsidR="007159D2">
              <w:t>ř</w:t>
            </w:r>
            <w:r>
              <w:t xml:space="preserve"> po dva roky platí, že největší šanci na uplatnění mají uchazeči ve skupině „obsluha strojů a zařízení, montéři“, kde na 1 volné místo připadaly koncem roku pouze dva uchazeči (na Plzeňsku, Pardubicku a Liberecku byly dokonce počty uchazečů a míst prakticky totožné). Velmi podobně na tom byli i řemeslníci a opraváři (2,9), s nevelkým odstupem následovali specialisté a techničtí a odborní p</w:t>
            </w:r>
            <w:r w:rsidR="007159D2">
              <w:t>racovníci. Naopak u pomocných a</w:t>
            </w:r>
            <w:r w:rsidR="007159D2" w:rsidRPr="00EC5488">
              <w:rPr>
                <w:color w:val="0D0D0D" w:themeColor="text1" w:themeTint="F2"/>
                <w:spacing w:val="-4"/>
              </w:rPr>
              <w:t> </w:t>
            </w:r>
            <w:r>
              <w:t xml:space="preserve">nekvalifikovaných pracovníků (kteří např. na Karlovarsku tvořili 40 % z celkového počtu registrovaných uchazečů) na jedno místo aspirovalo již sedm </w:t>
            </w:r>
            <w:r>
              <w:lastRenderedPageBreak/>
              <w:t>uchazečů a u úřednických postů</w:t>
            </w:r>
            <w:r w:rsidR="007159D2">
              <w:t xml:space="preserve"> již téměř jedenáct adeptů (ve s</w:t>
            </w:r>
            <w:r>
              <w:t>třední</w:t>
            </w:r>
            <w:r w:rsidR="007159D2">
              <w:t>ch</w:t>
            </w:r>
            <w:r>
              <w:t xml:space="preserve"> Čechách pak 22 osob).</w:t>
            </w:r>
          </w:p>
          <w:p w:rsidR="00FE16E6" w:rsidRPr="004A22BD" w:rsidRDefault="00FE16E6" w:rsidP="00611531">
            <w:pPr>
              <w:pStyle w:val="Textpoznpodarou"/>
              <w:jc w:val="both"/>
              <w:rPr>
                <w:rFonts w:cs="Arial"/>
                <w:color w:val="0D0D0D" w:themeColor="text1" w:themeTint="F2"/>
                <w:spacing w:val="-2"/>
                <w:sz w:val="16"/>
                <w:szCs w:val="16"/>
              </w:rPr>
            </w:pPr>
          </w:p>
        </w:tc>
      </w:tr>
      <w:tr w:rsidR="00FE16E6" w:rsidRPr="003A21DC" w:rsidTr="00611531">
        <w:tc>
          <w:tcPr>
            <w:tcW w:w="1054" w:type="pct"/>
          </w:tcPr>
          <w:p w:rsidR="00FE16E6" w:rsidRPr="00E23B96" w:rsidRDefault="00FE16E6" w:rsidP="00611531">
            <w:pPr>
              <w:spacing w:line="240" w:lineRule="auto"/>
              <w:rPr>
                <w:rFonts w:cs="Arial"/>
                <w:bCs/>
                <w:iCs/>
                <w:color w:val="0D0D0D" w:themeColor="text1" w:themeTint="F2"/>
                <w:spacing w:val="-4"/>
                <w:sz w:val="16"/>
                <w:szCs w:val="16"/>
              </w:rPr>
            </w:pPr>
            <w:r w:rsidRPr="00E23B96">
              <w:rPr>
                <w:rFonts w:cs="Arial"/>
                <w:bCs/>
                <w:iCs/>
                <w:color w:val="0D0D0D" w:themeColor="text1" w:themeTint="F2"/>
                <w:spacing w:val="-4"/>
                <w:sz w:val="16"/>
                <w:szCs w:val="16"/>
              </w:rPr>
              <w:lastRenderedPageBreak/>
              <w:t>Obecná míra nezaměstnanosti poklesla na nejnižší úroveň od listopadu 2008</w:t>
            </w:r>
          </w:p>
        </w:tc>
        <w:tc>
          <w:tcPr>
            <w:tcW w:w="142" w:type="pct"/>
          </w:tcPr>
          <w:p w:rsidR="00FE16E6" w:rsidRPr="009720D9" w:rsidRDefault="00FE16E6" w:rsidP="00611531">
            <w:pPr>
              <w:pStyle w:val="Textpoznpodarou"/>
              <w:jc w:val="both"/>
              <w:rPr>
                <w:color w:val="0D0D0D" w:themeColor="text1" w:themeTint="F2"/>
              </w:rPr>
            </w:pPr>
          </w:p>
        </w:tc>
        <w:tc>
          <w:tcPr>
            <w:tcW w:w="3804" w:type="pct"/>
          </w:tcPr>
          <w:p w:rsidR="00FE16E6" w:rsidRDefault="00FE16E6" w:rsidP="00611531">
            <w:pPr>
              <w:pStyle w:val="Textpoznpodarou"/>
              <w:jc w:val="both"/>
              <w:rPr>
                <w:rFonts w:cs="Arial"/>
                <w:color w:val="0D0D0D" w:themeColor="text1" w:themeTint="F2"/>
                <w:spacing w:val="-2"/>
              </w:rPr>
            </w:pPr>
            <w:r>
              <w:rPr>
                <w:rFonts w:cs="Arial"/>
                <w:color w:val="0D0D0D" w:themeColor="text1" w:themeTint="F2"/>
                <w:spacing w:val="-2"/>
              </w:rPr>
              <w:t>Obecná míra nezaměstnanosti</w:t>
            </w:r>
            <w:r>
              <w:rPr>
                <w:rStyle w:val="Znakapoznpodarou"/>
                <w:color w:val="0D0D0D" w:themeColor="text1" w:themeTint="F2"/>
                <w:spacing w:val="-2"/>
              </w:rPr>
              <w:footnoteReference w:id="19"/>
            </w:r>
            <w:r>
              <w:rPr>
                <w:rFonts w:cs="Arial"/>
                <w:color w:val="0D0D0D" w:themeColor="text1" w:themeTint="F2"/>
                <w:spacing w:val="-2"/>
              </w:rPr>
              <w:t xml:space="preserve"> se snižovala v průběhu celého roku. Během léta pokořila 5% hranici a v prosinci 2015 skončila na nejnižší úrovni (4,6 %) od listopadu 2008. Proti počátku roku se snížila o 1,3 p</w:t>
            </w:r>
            <w:r w:rsidR="00494343">
              <w:rPr>
                <w:rFonts w:cs="Arial"/>
                <w:color w:val="0D0D0D" w:themeColor="text1" w:themeTint="F2"/>
                <w:spacing w:val="-2"/>
              </w:rPr>
              <w:t>.</w:t>
            </w:r>
            <w:r>
              <w:rPr>
                <w:rFonts w:cs="Arial"/>
                <w:color w:val="0D0D0D" w:themeColor="text1" w:themeTint="F2"/>
                <w:spacing w:val="-2"/>
              </w:rPr>
              <w:t>b., bez rozdílů mezi pohlavími. Příznivý vývoj v průmyslu pomohl stlačit na nízké hodnoty nezaměstnanost mužů (3,8 %), podobně jako v početné skupině osob se středním vzděláním bez maturity, vč. vyučených (4,6 %). Na druhou stranu přetrvává vysoká nezaměstnanost ve skupině osob se základním vzděláním (22,8 %), podobně jako i vysoký podíl dlouhodobě nezaměstnaných mezi všemi uchazeči o práci (48,5 %).</w:t>
            </w:r>
          </w:p>
          <w:p w:rsidR="00FE16E6" w:rsidRPr="004A22BD" w:rsidRDefault="00FE16E6" w:rsidP="00611531">
            <w:pPr>
              <w:pStyle w:val="Textpoznpodarou"/>
              <w:jc w:val="both"/>
              <w:rPr>
                <w:rFonts w:cs="Arial"/>
                <w:color w:val="0D0D0D" w:themeColor="text1" w:themeTint="F2"/>
                <w:spacing w:val="-2"/>
                <w:sz w:val="16"/>
                <w:szCs w:val="16"/>
              </w:rPr>
            </w:pPr>
          </w:p>
        </w:tc>
      </w:tr>
      <w:tr w:rsidR="00FE16E6" w:rsidTr="00611531">
        <w:tc>
          <w:tcPr>
            <w:tcW w:w="1054" w:type="pct"/>
          </w:tcPr>
          <w:p w:rsidR="00FE16E6" w:rsidRPr="00E23B96" w:rsidRDefault="00FE16E6" w:rsidP="00611531">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t>ČR patřila</w:t>
            </w:r>
            <w:r w:rsidRPr="00E23B96">
              <w:rPr>
                <w:rFonts w:cs="Arial"/>
                <w:bCs/>
                <w:iCs/>
                <w:color w:val="0D0D0D" w:themeColor="text1" w:themeTint="F2"/>
                <w:spacing w:val="-4"/>
                <w:sz w:val="16"/>
                <w:szCs w:val="16"/>
              </w:rPr>
              <w:t xml:space="preserve"> společně s Německem k zemím s nejnižší mírou nezaměstnanosti v rámci celé EU</w:t>
            </w:r>
          </w:p>
        </w:tc>
        <w:tc>
          <w:tcPr>
            <w:tcW w:w="142" w:type="pct"/>
          </w:tcPr>
          <w:p w:rsidR="00FE16E6" w:rsidRPr="009720D9" w:rsidRDefault="00FE16E6" w:rsidP="00611531">
            <w:pPr>
              <w:pStyle w:val="Textpoznpodarou"/>
              <w:jc w:val="both"/>
              <w:rPr>
                <w:color w:val="0D0D0D" w:themeColor="text1" w:themeTint="F2"/>
              </w:rPr>
            </w:pPr>
          </w:p>
        </w:tc>
        <w:tc>
          <w:tcPr>
            <w:tcW w:w="3804" w:type="pct"/>
          </w:tcPr>
          <w:p w:rsidR="00FE16E6" w:rsidRPr="00701A21" w:rsidRDefault="00FE16E6" w:rsidP="00611531">
            <w:pPr>
              <w:pStyle w:val="Textpoznpodarou"/>
              <w:jc w:val="both"/>
              <w:rPr>
                <w:spacing w:val="-2"/>
              </w:rPr>
            </w:pPr>
            <w:r>
              <w:rPr>
                <w:rFonts w:cs="Arial"/>
                <w:color w:val="0D0D0D" w:themeColor="text1" w:themeTint="F2"/>
                <w:spacing w:val="-2"/>
              </w:rPr>
              <w:t>P</w:t>
            </w:r>
            <w:r>
              <w:rPr>
                <w:spacing w:val="-2"/>
              </w:rPr>
              <w:t xml:space="preserve">odíl nezaměstnaných osob na celkové pracovní síle se postupně snižuje i v EU (rychleji mezi mladšími členskými státy), stále však zůstává vysoký (ve 4. čtvrtletí 2015 na úrovni 9 %). ČR patřila na konci roku 2015 společně s Německem k zemím </w:t>
            </w:r>
            <w:r w:rsidR="001D7C6F">
              <w:rPr>
                <w:spacing w:val="-2"/>
              </w:rPr>
              <w:t xml:space="preserve">s </w:t>
            </w:r>
            <w:r>
              <w:rPr>
                <w:spacing w:val="-2"/>
              </w:rPr>
              <w:t>nejnižší mírou nezaměstnanosti. Méně přízniv</w:t>
            </w:r>
            <w:r w:rsidR="001D7C6F">
              <w:rPr>
                <w:spacing w:val="-2"/>
              </w:rPr>
              <w:t>á</w:t>
            </w:r>
            <w:r>
              <w:rPr>
                <w:spacing w:val="-2"/>
              </w:rPr>
              <w:t xml:space="preserve"> byla situace u žen, kde dosahovaly lepších </w:t>
            </w:r>
            <w:r w:rsidR="00F104DF">
              <w:rPr>
                <w:spacing w:val="-2"/>
              </w:rPr>
              <w:t>výsledků hned čtyři země (Německo, Rakousko,</w:t>
            </w:r>
            <w:r>
              <w:rPr>
                <w:spacing w:val="-2"/>
              </w:rPr>
              <w:t xml:space="preserve"> </w:t>
            </w:r>
            <w:r w:rsidR="00F104DF">
              <w:rPr>
                <w:spacing w:val="-2"/>
              </w:rPr>
              <w:t>Velká Británie a Malta</w:t>
            </w:r>
            <w:r>
              <w:rPr>
                <w:spacing w:val="-2"/>
              </w:rPr>
              <w:t xml:space="preserve">), v případě míry dlouhodobé nezaměstnanosti dokonce devět zemí. </w:t>
            </w:r>
          </w:p>
          <w:p w:rsidR="00FE16E6" w:rsidRPr="004A22BD" w:rsidRDefault="00FE16E6" w:rsidP="00611531">
            <w:pPr>
              <w:pStyle w:val="Textpoznpodarou"/>
              <w:jc w:val="both"/>
              <w:rPr>
                <w:rFonts w:cs="Arial"/>
                <w:color w:val="0D0D0D" w:themeColor="text1" w:themeTint="F2"/>
                <w:spacing w:val="-2"/>
                <w:sz w:val="16"/>
                <w:szCs w:val="16"/>
              </w:rPr>
            </w:pPr>
          </w:p>
        </w:tc>
      </w:tr>
      <w:tr w:rsidR="00FE16E6" w:rsidTr="00611531">
        <w:tc>
          <w:tcPr>
            <w:tcW w:w="1054" w:type="pct"/>
          </w:tcPr>
          <w:p w:rsidR="00FE16E6" w:rsidRPr="007159D2" w:rsidRDefault="00FE16E6" w:rsidP="00611531">
            <w:pPr>
              <w:spacing w:line="240" w:lineRule="auto"/>
              <w:rPr>
                <w:rFonts w:cs="Arial"/>
                <w:bCs/>
                <w:iCs/>
                <w:color w:val="0D0D0D" w:themeColor="text1" w:themeTint="F2"/>
                <w:spacing w:val="-4"/>
                <w:sz w:val="16"/>
                <w:szCs w:val="16"/>
              </w:rPr>
            </w:pPr>
            <w:r w:rsidRPr="007159D2">
              <w:rPr>
                <w:rFonts w:cs="Arial"/>
                <w:bCs/>
                <w:iCs/>
                <w:color w:val="0D0D0D" w:themeColor="text1" w:themeTint="F2"/>
                <w:spacing w:val="-4"/>
                <w:sz w:val="16"/>
                <w:szCs w:val="16"/>
              </w:rPr>
              <w:t>Výrazné zrychlení meziročního tempa růstu mezd v průběhu roku 2015</w:t>
            </w:r>
          </w:p>
          <w:p w:rsidR="00FE16E6" w:rsidRPr="007159D2" w:rsidRDefault="00FE16E6" w:rsidP="00611531">
            <w:pPr>
              <w:spacing w:line="240" w:lineRule="auto"/>
              <w:rPr>
                <w:rFonts w:cs="Arial"/>
                <w:bCs/>
                <w:iCs/>
                <w:color w:val="0D0D0D" w:themeColor="text1" w:themeTint="F2"/>
                <w:spacing w:val="-4"/>
                <w:sz w:val="16"/>
                <w:szCs w:val="16"/>
              </w:rPr>
            </w:pPr>
          </w:p>
          <w:p w:rsidR="00FE16E6" w:rsidRPr="007159D2" w:rsidRDefault="00FE16E6" w:rsidP="00611531">
            <w:pPr>
              <w:spacing w:line="240" w:lineRule="auto"/>
              <w:rPr>
                <w:rFonts w:cs="Arial"/>
                <w:bCs/>
                <w:iCs/>
                <w:color w:val="0D0D0D" w:themeColor="text1" w:themeTint="F2"/>
                <w:spacing w:val="-4"/>
                <w:sz w:val="16"/>
                <w:szCs w:val="16"/>
              </w:rPr>
            </w:pPr>
          </w:p>
          <w:p w:rsidR="00FE16E6" w:rsidRPr="007159D2" w:rsidRDefault="00FE16E6" w:rsidP="00611531">
            <w:pPr>
              <w:spacing w:line="240" w:lineRule="auto"/>
              <w:rPr>
                <w:rFonts w:cs="Arial"/>
                <w:bCs/>
                <w:iCs/>
                <w:color w:val="0D0D0D" w:themeColor="text1" w:themeTint="F2"/>
                <w:spacing w:val="-4"/>
                <w:sz w:val="16"/>
                <w:szCs w:val="16"/>
              </w:rPr>
            </w:pPr>
          </w:p>
          <w:p w:rsidR="00FE16E6" w:rsidRPr="007159D2" w:rsidRDefault="00FE16E6" w:rsidP="00611531">
            <w:pPr>
              <w:spacing w:line="240" w:lineRule="auto"/>
              <w:rPr>
                <w:rFonts w:cs="Arial"/>
                <w:bCs/>
                <w:iCs/>
                <w:color w:val="0D0D0D" w:themeColor="text1" w:themeTint="F2"/>
                <w:spacing w:val="-4"/>
                <w:sz w:val="16"/>
                <w:szCs w:val="16"/>
              </w:rPr>
            </w:pPr>
          </w:p>
          <w:p w:rsidR="00FE16E6" w:rsidRPr="007159D2" w:rsidRDefault="00FE16E6" w:rsidP="00611531">
            <w:pPr>
              <w:spacing w:line="240" w:lineRule="auto"/>
              <w:rPr>
                <w:rFonts w:cs="Arial"/>
                <w:bCs/>
                <w:iCs/>
                <w:color w:val="0D0D0D" w:themeColor="text1" w:themeTint="F2"/>
                <w:spacing w:val="-4"/>
                <w:sz w:val="16"/>
                <w:szCs w:val="16"/>
              </w:rPr>
            </w:pPr>
          </w:p>
          <w:p w:rsidR="00FE16E6" w:rsidRDefault="00FE16E6" w:rsidP="00611531">
            <w:pPr>
              <w:spacing w:line="240" w:lineRule="auto"/>
              <w:rPr>
                <w:rFonts w:cs="Arial"/>
                <w:bCs/>
                <w:iCs/>
                <w:color w:val="0D0D0D" w:themeColor="text1" w:themeTint="F2"/>
                <w:spacing w:val="-4"/>
                <w:sz w:val="16"/>
                <w:szCs w:val="16"/>
              </w:rPr>
            </w:pPr>
          </w:p>
          <w:p w:rsidR="00840699" w:rsidRDefault="00840699" w:rsidP="00611531">
            <w:pPr>
              <w:spacing w:line="240" w:lineRule="auto"/>
              <w:rPr>
                <w:rFonts w:cs="Arial"/>
                <w:bCs/>
                <w:iCs/>
                <w:color w:val="0D0D0D" w:themeColor="text1" w:themeTint="F2"/>
                <w:spacing w:val="-4"/>
                <w:sz w:val="16"/>
                <w:szCs w:val="16"/>
              </w:rPr>
            </w:pPr>
          </w:p>
          <w:p w:rsidR="00840699" w:rsidRDefault="00840699" w:rsidP="00611531">
            <w:pPr>
              <w:spacing w:line="240" w:lineRule="auto"/>
              <w:rPr>
                <w:rFonts w:cs="Arial"/>
                <w:bCs/>
                <w:iCs/>
                <w:color w:val="0D0D0D" w:themeColor="text1" w:themeTint="F2"/>
                <w:spacing w:val="-4"/>
                <w:sz w:val="16"/>
                <w:szCs w:val="16"/>
              </w:rPr>
            </w:pPr>
          </w:p>
          <w:p w:rsidR="00840699" w:rsidRDefault="00840699" w:rsidP="00611531">
            <w:pPr>
              <w:spacing w:line="240" w:lineRule="auto"/>
              <w:rPr>
                <w:rFonts w:cs="Arial"/>
                <w:bCs/>
                <w:iCs/>
                <w:color w:val="0D0D0D" w:themeColor="text1" w:themeTint="F2"/>
                <w:spacing w:val="-4"/>
                <w:sz w:val="16"/>
                <w:szCs w:val="16"/>
              </w:rPr>
            </w:pPr>
          </w:p>
          <w:p w:rsidR="00840699" w:rsidRDefault="00840699" w:rsidP="00611531">
            <w:pPr>
              <w:spacing w:line="240" w:lineRule="auto"/>
              <w:rPr>
                <w:rFonts w:cs="Arial"/>
                <w:bCs/>
                <w:iCs/>
                <w:color w:val="0D0D0D" w:themeColor="text1" w:themeTint="F2"/>
                <w:spacing w:val="-4"/>
                <w:sz w:val="16"/>
                <w:szCs w:val="16"/>
              </w:rPr>
            </w:pPr>
          </w:p>
          <w:p w:rsidR="00840699" w:rsidRDefault="00840699" w:rsidP="00611531">
            <w:pPr>
              <w:spacing w:line="240" w:lineRule="auto"/>
              <w:rPr>
                <w:rFonts w:cs="Arial"/>
                <w:bCs/>
                <w:iCs/>
                <w:color w:val="0D0D0D" w:themeColor="text1" w:themeTint="F2"/>
                <w:spacing w:val="-4"/>
                <w:sz w:val="16"/>
                <w:szCs w:val="16"/>
              </w:rPr>
            </w:pPr>
          </w:p>
          <w:p w:rsidR="00840699" w:rsidRPr="007159D2" w:rsidRDefault="00840699" w:rsidP="00611531">
            <w:pPr>
              <w:spacing w:line="240" w:lineRule="auto"/>
              <w:rPr>
                <w:rFonts w:cs="Arial"/>
                <w:bCs/>
                <w:iCs/>
                <w:color w:val="0D0D0D" w:themeColor="text1" w:themeTint="F2"/>
                <w:spacing w:val="-4"/>
                <w:sz w:val="16"/>
                <w:szCs w:val="16"/>
              </w:rPr>
            </w:pPr>
          </w:p>
          <w:p w:rsidR="00FE16E6" w:rsidRPr="007159D2" w:rsidRDefault="00FE16E6" w:rsidP="00611531">
            <w:pPr>
              <w:spacing w:line="240" w:lineRule="auto"/>
              <w:rPr>
                <w:rFonts w:cs="Arial"/>
                <w:bCs/>
                <w:iCs/>
                <w:color w:val="0D0D0D" w:themeColor="text1" w:themeTint="F2"/>
                <w:spacing w:val="-4"/>
                <w:sz w:val="16"/>
                <w:szCs w:val="16"/>
              </w:rPr>
            </w:pPr>
          </w:p>
          <w:p w:rsidR="00FE16E6" w:rsidRPr="007159D2" w:rsidRDefault="00FE16E6" w:rsidP="00611531">
            <w:pPr>
              <w:spacing w:line="240" w:lineRule="auto"/>
              <w:rPr>
                <w:rFonts w:cs="Arial"/>
                <w:bCs/>
                <w:iCs/>
                <w:color w:val="0D0D0D" w:themeColor="text1" w:themeTint="F2"/>
                <w:spacing w:val="-4"/>
                <w:sz w:val="16"/>
                <w:szCs w:val="16"/>
              </w:rPr>
            </w:pPr>
          </w:p>
          <w:p w:rsidR="00FE16E6" w:rsidRPr="00E23B96" w:rsidRDefault="00FE16E6" w:rsidP="007159D2">
            <w:pPr>
              <w:spacing w:line="240" w:lineRule="auto"/>
              <w:rPr>
                <w:rFonts w:cs="Arial"/>
                <w:bCs/>
                <w:iCs/>
                <w:color w:val="0D0D0D" w:themeColor="text1" w:themeTint="F2"/>
                <w:spacing w:val="-4"/>
                <w:sz w:val="14"/>
                <w:szCs w:val="14"/>
              </w:rPr>
            </w:pPr>
            <w:r w:rsidRPr="007159D2">
              <w:rPr>
                <w:rFonts w:cs="Arial"/>
                <w:bCs/>
                <w:iCs/>
                <w:color w:val="0D0D0D" w:themeColor="text1" w:themeTint="F2"/>
                <w:spacing w:val="-4"/>
                <w:sz w:val="16"/>
                <w:szCs w:val="16"/>
              </w:rPr>
              <w:t>Zvyšování minimální mzdy přispělo k zastavení dalšího prohlubování mzdové diferenciace</w:t>
            </w:r>
          </w:p>
        </w:tc>
        <w:tc>
          <w:tcPr>
            <w:tcW w:w="142" w:type="pct"/>
          </w:tcPr>
          <w:p w:rsidR="00FE16E6" w:rsidRPr="009720D9" w:rsidRDefault="00FE16E6" w:rsidP="00611531">
            <w:pPr>
              <w:pStyle w:val="Textpoznpodarou"/>
              <w:jc w:val="both"/>
              <w:rPr>
                <w:color w:val="0D0D0D" w:themeColor="text1" w:themeTint="F2"/>
              </w:rPr>
            </w:pPr>
          </w:p>
        </w:tc>
        <w:tc>
          <w:tcPr>
            <w:tcW w:w="3804" w:type="pct"/>
          </w:tcPr>
          <w:p w:rsidR="00FE16E6" w:rsidRPr="004A22BD" w:rsidRDefault="00FE16E6" w:rsidP="00611531">
            <w:pPr>
              <w:pStyle w:val="Textpoznpodarou"/>
              <w:jc w:val="both"/>
              <w:rPr>
                <w:rFonts w:cs="Arial"/>
                <w:color w:val="0D0D0D" w:themeColor="text1" w:themeTint="F2"/>
              </w:rPr>
            </w:pPr>
            <w:r w:rsidRPr="004A22BD">
              <w:rPr>
                <w:rFonts w:cs="Arial"/>
                <w:color w:val="0D0D0D" w:themeColor="text1" w:themeTint="F2"/>
              </w:rPr>
              <w:t>Stoupající poptávka po pracovních silách se postupně projevila i v oblasti výdělků. Tempo růstu mezd bylo v roce 2015 nejvyšší za posledních osm let a</w:t>
            </w:r>
            <w:r w:rsidR="004A22BD" w:rsidRPr="004A22BD">
              <w:rPr>
                <w:rFonts w:cs="Arial"/>
                <w:color w:val="0D0D0D" w:themeColor="text1" w:themeTint="F2"/>
              </w:rPr>
              <w:t> </w:t>
            </w:r>
            <w:r w:rsidRPr="004A22BD">
              <w:rPr>
                <w:rFonts w:cs="Arial"/>
                <w:color w:val="0D0D0D" w:themeColor="text1" w:themeTint="F2"/>
              </w:rPr>
              <w:t>v průběhu roku zrychlovalo (z 2,3 %</w:t>
            </w:r>
            <w:r w:rsidR="004A22BD" w:rsidRPr="004A22BD">
              <w:rPr>
                <w:rFonts w:cs="Arial"/>
                <w:color w:val="0D0D0D" w:themeColor="text1" w:themeTint="F2"/>
              </w:rPr>
              <w:t xml:space="preserve"> </w:t>
            </w:r>
            <w:r w:rsidRPr="004A22BD">
              <w:rPr>
                <w:rFonts w:cs="Arial"/>
                <w:color w:val="0D0D0D" w:themeColor="text1" w:themeTint="F2"/>
              </w:rPr>
              <w:t>v</w:t>
            </w:r>
            <w:r w:rsidR="004A22BD" w:rsidRPr="004A22BD">
              <w:rPr>
                <w:rFonts w:cs="Arial"/>
                <w:color w:val="0D0D0D" w:themeColor="text1" w:themeTint="F2"/>
              </w:rPr>
              <w:t> 1.</w:t>
            </w:r>
            <w:r w:rsidRPr="004A22BD">
              <w:rPr>
                <w:rFonts w:cs="Arial"/>
                <w:color w:val="0D0D0D" w:themeColor="text1" w:themeTint="F2"/>
              </w:rPr>
              <w:t xml:space="preserve"> čtvrtletí na téměř 4 % na konci roku).</w:t>
            </w:r>
            <w:r w:rsidR="004A22BD" w:rsidRPr="004A22BD">
              <w:rPr>
                <w:rFonts w:cs="Arial"/>
                <w:color w:val="0D0D0D" w:themeColor="text1" w:themeTint="F2"/>
              </w:rPr>
              <w:t xml:space="preserve"> </w:t>
            </w:r>
            <w:r w:rsidRPr="004A22BD">
              <w:rPr>
                <w:rFonts w:cs="Arial"/>
                <w:color w:val="0D0D0D" w:themeColor="text1" w:themeTint="F2"/>
              </w:rPr>
              <w:t>V</w:t>
            </w:r>
            <w:r w:rsidR="00840699">
              <w:rPr>
                <w:rFonts w:cs="Arial"/>
                <w:color w:val="0D0D0D" w:themeColor="text1" w:themeTint="F2"/>
              </w:rPr>
              <w:t>e</w:t>
            </w:r>
            <w:r w:rsidRPr="004A22BD">
              <w:rPr>
                <w:rFonts w:cs="Arial"/>
                <w:color w:val="0D0D0D" w:themeColor="text1" w:themeTint="F2"/>
              </w:rPr>
              <w:t> </w:t>
            </w:r>
            <w:r w:rsidR="00840699">
              <w:rPr>
                <w:rFonts w:cs="Arial"/>
                <w:color w:val="0D0D0D" w:themeColor="text1" w:themeTint="F2"/>
              </w:rPr>
              <w:t>2.</w:t>
            </w:r>
            <w:r w:rsidRPr="004A22BD">
              <w:rPr>
                <w:rFonts w:cs="Arial"/>
                <w:color w:val="0D0D0D" w:themeColor="text1" w:themeTint="F2"/>
              </w:rPr>
              <w:t xml:space="preserve"> polovině roku se mzdy v podnikatelské sféře zvyšovaly meziročně relativně rychleji než ve</w:t>
            </w:r>
            <w:r w:rsidR="00840699">
              <w:rPr>
                <w:rFonts w:cs="Arial"/>
                <w:color w:val="0D0D0D" w:themeColor="text1" w:themeTint="F2"/>
              </w:rPr>
              <w:t> </w:t>
            </w:r>
            <w:r w:rsidRPr="004A22BD">
              <w:rPr>
                <w:rFonts w:cs="Arial"/>
                <w:color w:val="0D0D0D" w:themeColor="text1" w:themeTint="F2"/>
              </w:rPr>
              <w:t>sféře nepodnikatelské. Vyšší růst mezd ve váhově dominantní podnikatelské sféře byl umožněn mj. i růstem ziskovosti podniků, především těch pod zahraniční kontrolou. Významným impulsem byl také vývoj v nepodnikatelské sféře, kde došlo k nárůstu platových tarifů na konci roku 2014. Relativně nejvíce si v roce 2015 polepšili zaměstnanci v ubytování, stravování a</w:t>
            </w:r>
            <w:r w:rsidR="004A22BD">
              <w:rPr>
                <w:rFonts w:cs="Arial"/>
                <w:color w:val="0D0D0D" w:themeColor="text1" w:themeTint="F2"/>
              </w:rPr>
              <w:t> </w:t>
            </w:r>
            <w:r w:rsidRPr="004A22BD">
              <w:rPr>
                <w:rFonts w:cs="Arial"/>
                <w:color w:val="0D0D0D" w:themeColor="text1" w:themeTint="F2"/>
              </w:rPr>
              <w:t>pohostinství (6,6 %), jedná se však o odvětví dlouhodobě nízkou úrovní mezd. Ve zpracovatelském průmyslu rostly mzdy shodně jako na úrovni celého národního hospodářství, významně zde však rostla zaměstnanost. V odvětvích s nejvyšší úrovní mezd (informační a</w:t>
            </w:r>
            <w:r w:rsidR="00840699">
              <w:rPr>
                <w:rFonts w:cs="Arial"/>
                <w:color w:val="0D0D0D" w:themeColor="text1" w:themeTint="F2"/>
              </w:rPr>
              <w:t> </w:t>
            </w:r>
            <w:r w:rsidRPr="004A22BD">
              <w:rPr>
                <w:rFonts w:cs="Arial"/>
                <w:color w:val="0D0D0D" w:themeColor="text1" w:themeTint="F2"/>
              </w:rPr>
              <w:t>komunikační činnosti, peněžnictví a pojišťovnictví, energetika) byl růst výdělků podstatně střídmější. Důležitou skutečností bylo, že ve 4. čtvrtletí rostl mzdový medián (5,4 %) výrazně vyšším tempem než průměrná mzda (3,9 %). Růst diferenciace výdělků se tak zastavil. Přispělo k tomu pravděpodobně také zvýšení úrovně minimální mzdy.</w:t>
            </w:r>
          </w:p>
          <w:p w:rsidR="00FE16E6" w:rsidRPr="004A22BD" w:rsidRDefault="00FE16E6" w:rsidP="00611531">
            <w:pPr>
              <w:pStyle w:val="Textpoznpodarou"/>
              <w:jc w:val="both"/>
              <w:rPr>
                <w:rFonts w:cs="Arial"/>
                <w:color w:val="0D0D0D" w:themeColor="text1" w:themeTint="F2"/>
                <w:spacing w:val="-2"/>
                <w:sz w:val="16"/>
                <w:szCs w:val="16"/>
              </w:rPr>
            </w:pPr>
          </w:p>
        </w:tc>
      </w:tr>
      <w:tr w:rsidR="00FE16E6" w:rsidTr="00611531">
        <w:tc>
          <w:tcPr>
            <w:tcW w:w="1054" w:type="pct"/>
          </w:tcPr>
          <w:p w:rsidR="00FE16E6" w:rsidRPr="000A12D1" w:rsidRDefault="00FE16E6" w:rsidP="00611531">
            <w:pPr>
              <w:spacing w:line="240" w:lineRule="auto"/>
              <w:rPr>
                <w:sz w:val="16"/>
                <w:szCs w:val="16"/>
              </w:rPr>
            </w:pPr>
            <w:r>
              <w:rPr>
                <w:sz w:val="16"/>
                <w:szCs w:val="16"/>
              </w:rPr>
              <w:t xml:space="preserve">Nízkoinflační prostředí přispívá k růstu kupní síly zaměstnanců </w:t>
            </w:r>
          </w:p>
        </w:tc>
        <w:tc>
          <w:tcPr>
            <w:tcW w:w="142" w:type="pct"/>
          </w:tcPr>
          <w:p w:rsidR="00FE16E6" w:rsidRPr="000A12D1" w:rsidRDefault="00FE16E6" w:rsidP="00611531">
            <w:pPr>
              <w:pStyle w:val="Textpoznpodarou"/>
              <w:jc w:val="both"/>
            </w:pPr>
          </w:p>
        </w:tc>
        <w:tc>
          <w:tcPr>
            <w:tcW w:w="3804" w:type="pct"/>
          </w:tcPr>
          <w:p w:rsidR="00FE16E6" w:rsidRPr="008621F3" w:rsidRDefault="00FE16E6" w:rsidP="00611531">
            <w:pPr>
              <w:pStyle w:val="Textpoznpodarou"/>
              <w:jc w:val="both"/>
            </w:pPr>
            <w:r w:rsidRPr="003B43AD">
              <w:rPr>
                <w:spacing w:val="-2"/>
              </w:rPr>
              <w:t>Nízká míra inflace a zrychlující růst pr</w:t>
            </w:r>
            <w:r>
              <w:rPr>
                <w:spacing w:val="-2"/>
              </w:rPr>
              <w:t xml:space="preserve">ůměrné mzdy se příznivě odrazily ve vývoji </w:t>
            </w:r>
            <w:r w:rsidRPr="008621F3">
              <w:t xml:space="preserve">kupní síly zaměstnanců. Zatímco v 1. čtvrtletí </w:t>
            </w:r>
            <w:r>
              <w:t xml:space="preserve">2015 </w:t>
            </w:r>
            <w:r w:rsidRPr="008621F3">
              <w:t xml:space="preserve">stoupla průměrná mzda v reálném vyjádření </w:t>
            </w:r>
            <w:r>
              <w:t>meziročně</w:t>
            </w:r>
            <w:r w:rsidRPr="008621F3">
              <w:t xml:space="preserve"> o 2,</w:t>
            </w:r>
            <w:r>
              <w:t>2 %, na konci roku to bylo již 3,8 %. Jednalo se o nejvyšší růst od konce roku 2009.</w:t>
            </w:r>
          </w:p>
        </w:tc>
      </w:tr>
    </w:tbl>
    <w:p w:rsidR="00AB7BEE" w:rsidRPr="004A22BD" w:rsidRDefault="00AB7BEE" w:rsidP="00FE16E6">
      <w:pPr>
        <w:rPr>
          <w:sz w:val="16"/>
          <w:szCs w:val="16"/>
        </w:rPr>
      </w:pPr>
    </w:p>
    <w:tbl>
      <w:tblPr>
        <w:tblW w:w="5079" w:type="pct"/>
        <w:tblCellMar>
          <w:left w:w="28" w:type="dxa"/>
          <w:right w:w="28" w:type="dxa"/>
        </w:tblCellMar>
        <w:tblLook w:val="04A0"/>
      </w:tblPr>
      <w:tblGrid>
        <w:gridCol w:w="767"/>
        <w:gridCol w:w="4274"/>
        <w:gridCol w:w="715"/>
        <w:gridCol w:w="4202"/>
      </w:tblGrid>
      <w:tr w:rsidR="00FE16E6" w:rsidTr="00611531">
        <w:tc>
          <w:tcPr>
            <w:tcW w:w="382" w:type="pct"/>
          </w:tcPr>
          <w:p w:rsidR="00FE16E6" w:rsidRPr="007E77FB" w:rsidRDefault="00FE16E6" w:rsidP="00611531">
            <w:pPr>
              <w:pStyle w:val="Textpoznpodarou"/>
              <w:rPr>
                <w:lang w:eastAsia="en-US"/>
              </w:rPr>
            </w:pPr>
            <w:r w:rsidRPr="007E77FB">
              <w:rPr>
                <w:lang w:eastAsia="en-US"/>
              </w:rPr>
              <w:t>Graf č. 15</w:t>
            </w:r>
          </w:p>
        </w:tc>
        <w:tc>
          <w:tcPr>
            <w:tcW w:w="2128" w:type="pct"/>
          </w:tcPr>
          <w:p w:rsidR="00FE16E6" w:rsidRPr="007E77FB" w:rsidRDefault="00FE16E6" w:rsidP="00611531">
            <w:pPr>
              <w:pStyle w:val="Textpoznpodarou"/>
              <w:rPr>
                <w:lang w:eastAsia="en-US"/>
              </w:rPr>
            </w:pPr>
            <w:r w:rsidRPr="00886A8F">
              <w:rPr>
                <w:b/>
                <w:lang w:eastAsia="en-US"/>
              </w:rPr>
              <w:t xml:space="preserve">Počty zaměstnaných osob a zaměstnanců </w:t>
            </w:r>
            <w:r w:rsidRPr="00582DA0">
              <w:rPr>
                <w:spacing w:val="-4"/>
                <w:lang w:eastAsia="en-US"/>
              </w:rPr>
              <w:t>(</w:t>
            </w:r>
            <w:r>
              <w:rPr>
                <w:spacing w:val="-4"/>
                <w:lang w:eastAsia="en-US"/>
              </w:rPr>
              <w:t>po</w:t>
            </w:r>
            <w:r w:rsidRPr="00582DA0">
              <w:rPr>
                <w:spacing w:val="-4"/>
                <w:lang w:eastAsia="en-US"/>
              </w:rPr>
              <w:t>dle</w:t>
            </w:r>
            <w:r>
              <w:rPr>
                <w:spacing w:val="-4"/>
                <w:lang w:eastAsia="en-US"/>
              </w:rPr>
              <w:t xml:space="preserve"> národních účtů</w:t>
            </w:r>
            <w:r w:rsidRPr="00582DA0">
              <w:rPr>
                <w:spacing w:val="-4"/>
                <w:lang w:eastAsia="en-US"/>
              </w:rPr>
              <w:t xml:space="preserve">, </w:t>
            </w:r>
            <w:r>
              <w:rPr>
                <w:spacing w:val="-4"/>
                <w:lang w:eastAsia="en-US"/>
              </w:rPr>
              <w:t xml:space="preserve">sezónně oč., </w:t>
            </w:r>
            <w:r w:rsidRPr="00582DA0">
              <w:rPr>
                <w:spacing w:val="-4"/>
                <w:lang w:eastAsia="en-US"/>
              </w:rPr>
              <w:t>y/y v %)</w:t>
            </w:r>
          </w:p>
        </w:tc>
        <w:tc>
          <w:tcPr>
            <w:tcW w:w="362" w:type="pct"/>
          </w:tcPr>
          <w:p w:rsidR="00FE16E6" w:rsidRPr="007E77FB" w:rsidRDefault="00FE16E6" w:rsidP="00611531">
            <w:pPr>
              <w:pStyle w:val="Textpoznpodarou"/>
              <w:rPr>
                <w:lang w:eastAsia="en-US"/>
              </w:rPr>
            </w:pPr>
            <w:r w:rsidRPr="007E77FB">
              <w:rPr>
                <w:lang w:eastAsia="en-US"/>
              </w:rPr>
              <w:t>Graf č. 16</w:t>
            </w:r>
          </w:p>
        </w:tc>
        <w:tc>
          <w:tcPr>
            <w:tcW w:w="2128" w:type="pct"/>
          </w:tcPr>
          <w:p w:rsidR="00FE16E6" w:rsidRPr="00886A8F" w:rsidRDefault="00FE16E6" w:rsidP="00611531">
            <w:pPr>
              <w:pStyle w:val="Textpoznpodarou"/>
              <w:rPr>
                <w:spacing w:val="-2"/>
                <w:lang w:eastAsia="en-US"/>
              </w:rPr>
            </w:pPr>
            <w:r w:rsidRPr="00886A8F">
              <w:rPr>
                <w:b/>
                <w:spacing w:val="-2"/>
                <w:lang w:eastAsia="en-US"/>
              </w:rPr>
              <w:t xml:space="preserve">Průměrná hrubá měsíční mzda nominálně a reálně </w:t>
            </w:r>
            <w:r w:rsidRPr="00582DA0">
              <w:rPr>
                <w:spacing w:val="-6"/>
                <w:lang w:eastAsia="en-US"/>
              </w:rPr>
              <w:t>(přepočtené počty zaměstnanců, y/y v %)</w:t>
            </w:r>
          </w:p>
        </w:tc>
      </w:tr>
      <w:tr w:rsidR="00FE16E6" w:rsidTr="00611531">
        <w:tc>
          <w:tcPr>
            <w:tcW w:w="2510" w:type="pct"/>
            <w:gridSpan w:val="2"/>
          </w:tcPr>
          <w:p w:rsidR="00FE16E6" w:rsidRDefault="009256C5" w:rsidP="00611531">
            <w:pPr>
              <w:pStyle w:val="Textpoznpodarou"/>
              <w:jc w:val="both"/>
            </w:pPr>
            <w:r w:rsidRPr="00D3006B">
              <w:rPr>
                <w:noProof/>
                <w:sz w:val="16"/>
                <w:szCs w:val="16"/>
              </w:rPr>
              <w:pict>
                <v:shape id="_x0000_i1039" type="#_x0000_t75" style="width:249.2pt;height:178.45pt;visibility:visible;mso-wrap-style:square">
                  <v:imagedata r:id="rId26" o:title=""/>
                </v:shape>
              </w:pict>
            </w:r>
          </w:p>
        </w:tc>
        <w:tc>
          <w:tcPr>
            <w:tcW w:w="2490" w:type="pct"/>
            <w:gridSpan w:val="2"/>
          </w:tcPr>
          <w:p w:rsidR="00FE16E6" w:rsidRDefault="009256C5" w:rsidP="00611531">
            <w:pPr>
              <w:pStyle w:val="Textpoznpodarou"/>
              <w:jc w:val="both"/>
            </w:pPr>
            <w:r>
              <w:pict>
                <v:shape id="_x0000_i1040" type="#_x0000_t75" style="width:242.9pt;height:178.45pt">
                  <v:imagedata r:id="rId27" o:title=""/>
                </v:shape>
              </w:pict>
            </w:r>
          </w:p>
        </w:tc>
      </w:tr>
      <w:tr w:rsidR="00FE16E6" w:rsidTr="00611531">
        <w:tc>
          <w:tcPr>
            <w:tcW w:w="5000" w:type="pct"/>
            <w:gridSpan w:val="4"/>
          </w:tcPr>
          <w:p w:rsidR="00FE16E6" w:rsidRPr="004C5813" w:rsidRDefault="00FE16E6" w:rsidP="00611531">
            <w:pPr>
              <w:autoSpaceDE w:val="0"/>
              <w:autoSpaceDN w:val="0"/>
              <w:adjustRightInd w:val="0"/>
              <w:spacing w:line="240" w:lineRule="auto"/>
              <w:jc w:val="right"/>
              <w:rPr>
                <w:rFonts w:cs="Arial"/>
                <w:color w:val="000000" w:themeColor="text1"/>
                <w:spacing w:val="-2"/>
                <w:sz w:val="18"/>
                <w:szCs w:val="18"/>
              </w:rPr>
            </w:pPr>
            <w:r w:rsidRPr="00886A8F">
              <w:rPr>
                <w:sz w:val="18"/>
                <w:szCs w:val="18"/>
                <w:lang w:eastAsia="en-US"/>
              </w:rPr>
              <w:t>Zdroj: ČSÚ</w:t>
            </w:r>
          </w:p>
        </w:tc>
      </w:tr>
    </w:tbl>
    <w:p w:rsidR="00886A8F" w:rsidRPr="004A22BD" w:rsidRDefault="00886A8F" w:rsidP="004762D8">
      <w:pPr>
        <w:rPr>
          <w:sz w:val="2"/>
          <w:szCs w:val="2"/>
          <w:lang w:eastAsia="ar-SA"/>
        </w:rPr>
      </w:pPr>
    </w:p>
    <w:p w:rsidR="00576A3E" w:rsidRDefault="00576A3E" w:rsidP="006D142E">
      <w:pPr>
        <w:pStyle w:val="Nadpis1"/>
        <w:numPr>
          <w:ilvl w:val="0"/>
          <w:numId w:val="3"/>
        </w:numPr>
        <w:jc w:val="both"/>
      </w:pPr>
      <w:bookmarkStart w:id="9" w:name="_Toc446341886"/>
      <w:r>
        <w:lastRenderedPageBreak/>
        <w:t>Měnové podmínky</w:t>
      </w:r>
      <w:bookmarkEnd w:id="9"/>
    </w:p>
    <w:tbl>
      <w:tblPr>
        <w:tblW w:w="5000" w:type="pct"/>
        <w:tblLayout w:type="fixed"/>
        <w:tblLook w:val="00A0"/>
      </w:tblPr>
      <w:tblGrid>
        <w:gridCol w:w="2077"/>
        <w:gridCol w:w="282"/>
        <w:gridCol w:w="7495"/>
      </w:tblGrid>
      <w:tr w:rsidR="00960769" w:rsidRPr="00831EC2" w:rsidTr="00960769">
        <w:tc>
          <w:tcPr>
            <w:tcW w:w="1054" w:type="pct"/>
          </w:tcPr>
          <w:p w:rsidR="00960769" w:rsidRPr="00831EC2" w:rsidRDefault="00960769" w:rsidP="00960769">
            <w:pPr>
              <w:spacing w:line="240" w:lineRule="auto"/>
              <w:rPr>
                <w:sz w:val="16"/>
                <w:szCs w:val="16"/>
              </w:rPr>
            </w:pPr>
            <w:r w:rsidRPr="00831EC2">
              <w:rPr>
                <w:sz w:val="16"/>
                <w:szCs w:val="16"/>
              </w:rPr>
              <w:t>Základní úrokové sazby stále blízké nule, měnový kurz nadále udržován nad hladinou 27 korun za euro</w:t>
            </w:r>
          </w:p>
        </w:tc>
        <w:tc>
          <w:tcPr>
            <w:tcW w:w="143" w:type="pct"/>
          </w:tcPr>
          <w:p w:rsidR="00960769" w:rsidRPr="00831EC2" w:rsidRDefault="00960769" w:rsidP="00960769">
            <w:pPr>
              <w:pStyle w:val="Textpoznpodarou"/>
              <w:jc w:val="both"/>
            </w:pPr>
          </w:p>
        </w:tc>
        <w:tc>
          <w:tcPr>
            <w:tcW w:w="3803" w:type="pct"/>
          </w:tcPr>
          <w:p w:rsidR="00960769" w:rsidRPr="00831EC2" w:rsidRDefault="00960769" w:rsidP="00960769">
            <w:pPr>
              <w:pStyle w:val="Textpoznpodarou"/>
              <w:jc w:val="both"/>
            </w:pPr>
            <w:r w:rsidRPr="00831EC2">
              <w:t>Měnové podmínky zůstaly po celý rok 2015 uvolněné a působily tak ve směru růstu výkonnosti českého hospodářství i cenové úrovně. Základní úrokové sazby jsou prakticky nulové od konce roku 2012, měnový kurz je udržován nad hladinou 27 korun za euro od listopadu 2013. Slabší ekonomický růst eurozóny oproti USA ve spojení s kvantitativním uvolňováním ECB vytvářel tlak na depreciaci eura k americkému dolaru. Oslabilo významně, spolu s ním však ztratila i česká koruna. Zatímco k euru posílila o 0,9 %, vůči dolaru ztratila 18,5 % své hodnoty. Peněžní zásoba vyjádřená měnovým agregátem M2 stoupla v prosinci 2015 o 6,9 % meziročně. Přestože mírně zpomalila, narostla rychleji, než odpovídalo průměru za celý rok a rovněž rychleji než v každém měsíci let 2010–2014.</w:t>
            </w:r>
          </w:p>
          <w:p w:rsidR="00960769" w:rsidRPr="00831EC2" w:rsidRDefault="00960769" w:rsidP="00960769">
            <w:pPr>
              <w:pStyle w:val="Textpoznpodarou"/>
              <w:jc w:val="both"/>
              <w:rPr>
                <w:spacing w:val="-2"/>
                <w:sz w:val="18"/>
                <w:szCs w:val="18"/>
              </w:rPr>
            </w:pPr>
          </w:p>
        </w:tc>
      </w:tr>
      <w:tr w:rsidR="00960769" w:rsidRPr="00831EC2" w:rsidTr="00960769">
        <w:tc>
          <w:tcPr>
            <w:tcW w:w="1054" w:type="pct"/>
          </w:tcPr>
          <w:p w:rsidR="00960769" w:rsidRPr="00831EC2" w:rsidRDefault="00960769" w:rsidP="00960769">
            <w:pPr>
              <w:spacing w:line="240" w:lineRule="auto"/>
              <w:rPr>
                <w:sz w:val="16"/>
                <w:szCs w:val="16"/>
              </w:rPr>
            </w:pPr>
            <w:r w:rsidRPr="00831EC2">
              <w:rPr>
                <w:sz w:val="16"/>
                <w:szCs w:val="16"/>
              </w:rPr>
              <w:t>Rychlost obratu peněz se začala ve druhé polovině roku 2015 snižovat</w:t>
            </w:r>
          </w:p>
        </w:tc>
        <w:tc>
          <w:tcPr>
            <w:tcW w:w="143" w:type="pct"/>
          </w:tcPr>
          <w:p w:rsidR="00960769" w:rsidRPr="00831EC2" w:rsidRDefault="00960769" w:rsidP="00960769">
            <w:pPr>
              <w:pStyle w:val="Textpoznpodarou"/>
              <w:jc w:val="both"/>
            </w:pPr>
          </w:p>
        </w:tc>
        <w:tc>
          <w:tcPr>
            <w:tcW w:w="3803" w:type="pct"/>
          </w:tcPr>
          <w:p w:rsidR="00960769" w:rsidRPr="006007A7" w:rsidRDefault="00960769" w:rsidP="00960769">
            <w:pPr>
              <w:pStyle w:val="Textpoznpodarou"/>
              <w:jc w:val="both"/>
              <w:rPr>
                <w:color w:val="000000" w:themeColor="text1"/>
              </w:rPr>
            </w:pPr>
            <w:r w:rsidRPr="006007A7">
              <w:rPr>
                <w:color w:val="000000" w:themeColor="text1"/>
                <w:spacing w:val="-2"/>
              </w:rPr>
              <w:t>Meziroční dynamika měnového agregátu M2 je vyšší než dynamika</w:t>
            </w:r>
            <w:r w:rsidRPr="006007A7">
              <w:rPr>
                <w:color w:val="000000" w:themeColor="text1"/>
              </w:rPr>
              <w:t xml:space="preserve"> nominálního HDP zhruba od poloviny roku 2015. Rychlejší je i růst harmonizovaného agregátu M3. Rychlost obratu peněz se tedy snižuje a účinnost uvolněných měnových podmínek klesá, podobně jako tomu bylo v letech recese 2012 a 2013.</w:t>
            </w:r>
          </w:p>
          <w:p w:rsidR="00960769" w:rsidRPr="00831EC2" w:rsidRDefault="00960769" w:rsidP="00960769">
            <w:pPr>
              <w:pStyle w:val="Textpoznpodarou"/>
              <w:jc w:val="both"/>
              <w:rPr>
                <w:sz w:val="18"/>
                <w:szCs w:val="18"/>
              </w:rPr>
            </w:pPr>
          </w:p>
        </w:tc>
      </w:tr>
      <w:tr w:rsidR="00960769" w:rsidRPr="00831EC2" w:rsidTr="00960769">
        <w:tc>
          <w:tcPr>
            <w:tcW w:w="1054" w:type="pct"/>
          </w:tcPr>
          <w:p w:rsidR="00960769" w:rsidRPr="00831EC2" w:rsidRDefault="00960769" w:rsidP="00960769">
            <w:pPr>
              <w:spacing w:line="240" w:lineRule="auto"/>
              <w:rPr>
                <w:sz w:val="16"/>
                <w:szCs w:val="16"/>
              </w:rPr>
            </w:pPr>
            <w:r w:rsidRPr="00831EC2">
              <w:rPr>
                <w:sz w:val="16"/>
                <w:szCs w:val="16"/>
              </w:rPr>
              <w:t>Úrokové sazby jsou nízké a domácnosti a podniky transformují termínované vklady do nejlikvidnějších peněz, hlavně do jednodenních vkladů</w:t>
            </w:r>
          </w:p>
        </w:tc>
        <w:tc>
          <w:tcPr>
            <w:tcW w:w="143" w:type="pct"/>
          </w:tcPr>
          <w:p w:rsidR="00960769" w:rsidRPr="00831EC2" w:rsidRDefault="00960769" w:rsidP="00960769">
            <w:pPr>
              <w:pStyle w:val="Textpoznpodarou"/>
              <w:jc w:val="both"/>
            </w:pPr>
          </w:p>
        </w:tc>
        <w:tc>
          <w:tcPr>
            <w:tcW w:w="3803" w:type="pct"/>
          </w:tcPr>
          <w:p w:rsidR="00960769" w:rsidRPr="00831EC2" w:rsidRDefault="00960769" w:rsidP="00960769">
            <w:pPr>
              <w:pStyle w:val="Textpoznpodarou"/>
              <w:jc w:val="both"/>
            </w:pPr>
            <w:r w:rsidRPr="00831EC2">
              <w:t>Zásoba peněz činila koncem loňského roku 3 668 mld. korun v pojetí měnového agregátu M2. Z toho 2 952 mld. připadalo na nejlikvidnější peníze (oběživo a jednodenní vklady) a 716 mld. na quasi-peníze (vklady s </w:t>
            </w:r>
            <w:r w:rsidRPr="00831EC2">
              <w:rPr>
                <w:spacing w:val="-2"/>
              </w:rPr>
              <w:t>dohodnutou splatností, vklady s výpovědní lhůtou, repo operace). Peněžní zásoba</w:t>
            </w:r>
            <w:r w:rsidRPr="00831EC2">
              <w:t xml:space="preserve"> stoupla proti prosinci 2014 o 238 mld. korun, avšak jen díky nárůstu objemu jednodenních vkladů (+263 mld. korun) a oběživa (+35 mld.). Objem quasi-peněz se zmenšuje nepřetržitě od září 2012, mezi prosincem 2014 a 2015 poklesl o 60 mld. </w:t>
            </w:r>
            <w:r w:rsidRPr="00DA11DC">
              <w:rPr>
                <w:spacing w:val="-2"/>
              </w:rPr>
              <w:t>Jde o důsledek nízkých úrokových sazeb, kdy domácnosti a podniky nejsou motivovány k držbě těchto typů depozit a transformují je do nejlikvidnějších peněz, hlavně jednodenních vkladů. Domácnosti sjednávaly v prosinci 2015 vklady s dohodnutou splatností při úrokové sazbě 1,6 % a vklady s výpovědní lhůtou při</w:t>
            </w:r>
            <w:r>
              <w:rPr>
                <w:spacing w:val="-2"/>
              </w:rPr>
              <w:t> </w:t>
            </w:r>
            <w:r w:rsidRPr="00DA11DC">
              <w:rPr>
                <w:spacing w:val="-2"/>
              </w:rPr>
              <w:t>sazbě 1,37 %. Úrokové sazby nefinančním podnikům činily 0,21 % a 0,78 %.</w:t>
            </w:r>
          </w:p>
          <w:p w:rsidR="00960769" w:rsidRPr="00831EC2" w:rsidRDefault="00960769" w:rsidP="00960769">
            <w:pPr>
              <w:pStyle w:val="Textpoznpodarou"/>
              <w:jc w:val="both"/>
              <w:rPr>
                <w:sz w:val="18"/>
                <w:szCs w:val="18"/>
              </w:rPr>
            </w:pPr>
          </w:p>
        </w:tc>
      </w:tr>
      <w:tr w:rsidR="00960769" w:rsidRPr="00831EC2" w:rsidTr="00960769">
        <w:tc>
          <w:tcPr>
            <w:tcW w:w="1054" w:type="pct"/>
          </w:tcPr>
          <w:p w:rsidR="00960769" w:rsidRPr="00831EC2" w:rsidRDefault="00960769" w:rsidP="00960769">
            <w:pPr>
              <w:spacing w:line="240" w:lineRule="auto"/>
              <w:rPr>
                <w:sz w:val="16"/>
                <w:szCs w:val="16"/>
              </w:rPr>
            </w:pPr>
            <w:r w:rsidRPr="00831EC2">
              <w:rPr>
                <w:sz w:val="16"/>
                <w:szCs w:val="16"/>
              </w:rPr>
              <w:t>Podíl oběživa na měnovém agregátu M2 je v ČR stabilní. Pohybuje se mezi 12 %</w:t>
            </w:r>
            <w:r w:rsidRPr="00831EC2">
              <w:rPr>
                <w:b/>
                <w:sz w:val="16"/>
                <w:szCs w:val="16"/>
              </w:rPr>
              <w:t> </w:t>
            </w:r>
            <w:r w:rsidRPr="00831EC2">
              <w:rPr>
                <w:sz w:val="16"/>
                <w:szCs w:val="16"/>
              </w:rPr>
              <w:t>a 14 %</w:t>
            </w:r>
          </w:p>
        </w:tc>
        <w:tc>
          <w:tcPr>
            <w:tcW w:w="143" w:type="pct"/>
          </w:tcPr>
          <w:p w:rsidR="00960769" w:rsidRPr="00831EC2" w:rsidRDefault="00960769" w:rsidP="00960769">
            <w:pPr>
              <w:pStyle w:val="Textpoznpodarou"/>
              <w:jc w:val="both"/>
            </w:pPr>
          </w:p>
        </w:tc>
        <w:tc>
          <w:tcPr>
            <w:tcW w:w="3803" w:type="pct"/>
          </w:tcPr>
          <w:p w:rsidR="00960769" w:rsidRPr="00831EC2" w:rsidRDefault="00960769" w:rsidP="00960769">
            <w:pPr>
              <w:pStyle w:val="Textpoznpodarou"/>
              <w:jc w:val="both"/>
            </w:pPr>
            <w:r w:rsidRPr="00831EC2">
              <w:t>Podíl oběživa na měnovém agregátu M2 je v ČR stabilní a v čase kolísá jen málo. Pohybuje se dlouhodobě mezi 12 % a 14 %. Skokově vzrostl pouze ve druhé polovině roku 2008, v návaznosti na problémy bankovního sektoru USA, kdy se i česká společnost začala obávat o své peníze v bankách. V prosinci 2015 dosahoval objem oběživa 467 mld. korun a v relaci k agregátu M2 činil 12,7 %.</w:t>
            </w:r>
          </w:p>
          <w:p w:rsidR="00960769" w:rsidRPr="00831EC2" w:rsidRDefault="00960769" w:rsidP="00960769">
            <w:pPr>
              <w:pStyle w:val="Textpoznpodarou"/>
              <w:jc w:val="both"/>
              <w:rPr>
                <w:sz w:val="16"/>
                <w:szCs w:val="16"/>
              </w:rPr>
            </w:pPr>
          </w:p>
        </w:tc>
      </w:tr>
      <w:tr w:rsidR="00960769" w:rsidRPr="00831EC2" w:rsidTr="00960769">
        <w:tc>
          <w:tcPr>
            <w:tcW w:w="1054" w:type="pct"/>
          </w:tcPr>
          <w:p w:rsidR="00960769" w:rsidRPr="00655DF3" w:rsidRDefault="00960769" w:rsidP="00960769">
            <w:pPr>
              <w:spacing w:line="240" w:lineRule="auto"/>
              <w:rPr>
                <w:color w:val="000000" w:themeColor="text1"/>
                <w:sz w:val="16"/>
                <w:szCs w:val="16"/>
              </w:rPr>
            </w:pPr>
            <w:r w:rsidRPr="00655DF3">
              <w:rPr>
                <w:color w:val="000000" w:themeColor="text1"/>
                <w:sz w:val="16"/>
                <w:szCs w:val="16"/>
              </w:rPr>
              <w:t>Celková depozita podniků rostla v průběhu 2. pololetí 2015 vždy o více než 10 % meziročně. Podniky posilovaly hlavně jednodenní vklady</w:t>
            </w:r>
          </w:p>
        </w:tc>
        <w:tc>
          <w:tcPr>
            <w:tcW w:w="143" w:type="pct"/>
          </w:tcPr>
          <w:p w:rsidR="00960769" w:rsidRPr="00655DF3" w:rsidRDefault="00960769" w:rsidP="00960769">
            <w:pPr>
              <w:pStyle w:val="Textpoznpodarou"/>
              <w:jc w:val="both"/>
              <w:rPr>
                <w:color w:val="000000" w:themeColor="text1"/>
              </w:rPr>
            </w:pPr>
          </w:p>
        </w:tc>
        <w:tc>
          <w:tcPr>
            <w:tcW w:w="3803" w:type="pct"/>
          </w:tcPr>
          <w:p w:rsidR="00960769" w:rsidRPr="00655DF3" w:rsidRDefault="00960769" w:rsidP="00960769">
            <w:pPr>
              <w:pStyle w:val="Textpoznpodarou"/>
              <w:jc w:val="both"/>
              <w:rPr>
                <w:color w:val="000000" w:themeColor="text1"/>
              </w:rPr>
            </w:pPr>
            <w:r w:rsidRPr="00655DF3">
              <w:rPr>
                <w:color w:val="000000" w:themeColor="text1"/>
              </w:rPr>
              <w:t>Celkový objem depozit domácností byl na konci loňského roku meziročně vyšší o 5,</w:t>
            </w:r>
            <w:r w:rsidRPr="00655DF3">
              <w:rPr>
                <w:color w:val="000000" w:themeColor="text1"/>
                <w:spacing w:val="-2"/>
              </w:rPr>
              <w:t>7 %, v případě podniků dokonce o 10,3 %. T</w:t>
            </w:r>
            <w:r w:rsidRPr="00655DF3">
              <w:rPr>
                <w:color w:val="000000" w:themeColor="text1"/>
              </w:rPr>
              <w:t>empo růstu depozit domácností se zvolna zvyšuje, u podniků překračovalo 10% úroveň po celé 2. pololetí. Podniky posilovaly hlavně objemově významné jednod</w:t>
            </w:r>
            <w:r w:rsidR="00D0547B">
              <w:rPr>
                <w:color w:val="000000" w:themeColor="text1"/>
              </w:rPr>
              <w:t xml:space="preserve">enní vklady, v prosinci </w:t>
            </w:r>
            <w:r w:rsidR="0064129B">
              <w:rPr>
                <w:color w:val="000000" w:themeColor="text1"/>
              </w:rPr>
              <w:t>na nich</w:t>
            </w:r>
            <w:r w:rsidR="0064129B" w:rsidRPr="00655DF3">
              <w:rPr>
                <w:color w:val="000000" w:themeColor="text1"/>
              </w:rPr>
              <w:t xml:space="preserve"> </w:t>
            </w:r>
            <w:r w:rsidR="00D0547B">
              <w:rPr>
                <w:color w:val="000000" w:themeColor="text1"/>
              </w:rPr>
              <w:t xml:space="preserve">měly </w:t>
            </w:r>
            <w:r w:rsidRPr="00655DF3">
              <w:rPr>
                <w:color w:val="000000" w:themeColor="text1"/>
              </w:rPr>
              <w:t>uloženo 952 mld. korun, o 111 mld. více než o rok dříve. Mohutný nárůst likvidních prostředků podniků – daný vysokými zisky z vlastní činnost</w:t>
            </w:r>
            <w:r w:rsidR="002E435E">
              <w:rPr>
                <w:color w:val="000000" w:themeColor="text1"/>
              </w:rPr>
              <w:t>i a</w:t>
            </w:r>
            <w:r w:rsidR="002E435E" w:rsidRPr="00655DF3">
              <w:rPr>
                <w:color w:val="000000" w:themeColor="text1"/>
              </w:rPr>
              <w:t> </w:t>
            </w:r>
            <w:r w:rsidRPr="00655DF3">
              <w:rPr>
                <w:color w:val="000000" w:themeColor="text1"/>
              </w:rPr>
              <w:t xml:space="preserve">narůstajícími úvěry podnikům – dává naději, že investice a objem vyplacených mezd porostou i v budoucnu. Skrývá se v nich </w:t>
            </w:r>
            <w:r w:rsidRPr="00655DF3">
              <w:rPr>
                <w:color w:val="000000" w:themeColor="text1"/>
                <w:spacing w:val="-2"/>
              </w:rPr>
              <w:t>potenciál dalšího růstu ekonomiky</w:t>
            </w:r>
            <w:r w:rsidRPr="00655DF3">
              <w:rPr>
                <w:color w:val="000000" w:themeColor="text1"/>
              </w:rPr>
              <w:t xml:space="preserve"> České republiky.</w:t>
            </w:r>
          </w:p>
          <w:p w:rsidR="00960769" w:rsidRPr="00655DF3" w:rsidRDefault="00960769" w:rsidP="00960769">
            <w:pPr>
              <w:pStyle w:val="Textpoznpodarou"/>
              <w:jc w:val="both"/>
              <w:rPr>
                <w:color w:val="000000" w:themeColor="text1"/>
                <w:sz w:val="18"/>
                <w:szCs w:val="18"/>
              </w:rPr>
            </w:pPr>
          </w:p>
        </w:tc>
      </w:tr>
      <w:tr w:rsidR="00960769" w:rsidRPr="00831EC2" w:rsidTr="00960769">
        <w:tc>
          <w:tcPr>
            <w:tcW w:w="1054" w:type="pct"/>
          </w:tcPr>
          <w:p w:rsidR="00960769" w:rsidRPr="00831EC2" w:rsidRDefault="00960769" w:rsidP="00960769">
            <w:pPr>
              <w:spacing w:line="240" w:lineRule="auto"/>
              <w:rPr>
                <w:sz w:val="16"/>
                <w:szCs w:val="16"/>
              </w:rPr>
            </w:pPr>
            <w:r w:rsidRPr="00831EC2">
              <w:rPr>
                <w:sz w:val="16"/>
                <w:szCs w:val="16"/>
              </w:rPr>
              <w:t>Čistý úvěr vládě</w:t>
            </w:r>
            <w:r>
              <w:rPr>
                <w:sz w:val="16"/>
                <w:szCs w:val="16"/>
              </w:rPr>
              <w:t xml:space="preserve"> (vč. cenných papírů)</w:t>
            </w:r>
            <w:r w:rsidRPr="00831EC2">
              <w:rPr>
                <w:sz w:val="16"/>
                <w:szCs w:val="16"/>
              </w:rPr>
              <w:t xml:space="preserve"> poklesl v prosinci 2015 meziročně o pětinu</w:t>
            </w:r>
          </w:p>
        </w:tc>
        <w:tc>
          <w:tcPr>
            <w:tcW w:w="143" w:type="pct"/>
          </w:tcPr>
          <w:p w:rsidR="00960769" w:rsidRPr="00831EC2" w:rsidRDefault="00960769" w:rsidP="00960769">
            <w:pPr>
              <w:pStyle w:val="Textpoznpodarou"/>
              <w:jc w:val="both"/>
            </w:pPr>
          </w:p>
        </w:tc>
        <w:tc>
          <w:tcPr>
            <w:tcW w:w="3803" w:type="pct"/>
          </w:tcPr>
          <w:p w:rsidR="00960769" w:rsidRPr="00831EC2" w:rsidRDefault="00960769" w:rsidP="00960769">
            <w:pPr>
              <w:pStyle w:val="Textpoznpodarou"/>
              <w:jc w:val="both"/>
            </w:pPr>
            <w:r w:rsidRPr="00831EC2">
              <w:t>Úvěry domácnostem a podnikům narůstají rychleji než celkové domácí úvěry. Dochází k tomu od srpna 2015. V prosinci byl rozdíl v meziročních tempech již značný. Zatímco stav úvěrů domácnostem a podnikům stoupl meziročně o 6,5 %, objem domácích úvěrů byl proti konci roku 2014 vyšší pouze o 1,8 %. Způsobil to</w:t>
            </w:r>
            <w:r>
              <w:t> </w:t>
            </w:r>
            <w:r w:rsidRPr="008B645D">
              <w:rPr>
                <w:spacing w:val="2"/>
              </w:rPr>
              <w:t>výrazný pokles čistého úvěru vládě (vč. cenných papírů), meziročně o pětinu (-</w:t>
            </w:r>
            <w:r w:rsidRPr="00831EC2">
              <w:t>21,1 %). Tento vývoj souvisel zřejmě jednak s</w:t>
            </w:r>
            <w:r w:rsidR="00963724">
              <w:t> tím, že tuzemské banky prodávaly vládní dluhopisy do zahraničí,</w:t>
            </w:r>
            <w:r w:rsidRPr="00831EC2">
              <w:t xml:space="preserve"> jednak se zrychleným čerpáním peněz z fondů Evropské unie na konci roku.</w:t>
            </w:r>
          </w:p>
          <w:p w:rsidR="00960769" w:rsidRPr="00831EC2" w:rsidRDefault="00960769" w:rsidP="00960769">
            <w:pPr>
              <w:pStyle w:val="Textpoznpodarou"/>
              <w:jc w:val="both"/>
              <w:rPr>
                <w:sz w:val="18"/>
                <w:szCs w:val="18"/>
              </w:rPr>
            </w:pPr>
          </w:p>
        </w:tc>
      </w:tr>
      <w:tr w:rsidR="00960769" w:rsidRPr="00831EC2" w:rsidTr="00960769">
        <w:tc>
          <w:tcPr>
            <w:tcW w:w="1054" w:type="pct"/>
          </w:tcPr>
          <w:p w:rsidR="00960769" w:rsidRPr="00831EC2" w:rsidRDefault="00960769" w:rsidP="00960769">
            <w:pPr>
              <w:spacing w:line="240" w:lineRule="auto"/>
              <w:rPr>
                <w:sz w:val="16"/>
                <w:szCs w:val="16"/>
              </w:rPr>
            </w:pPr>
            <w:r w:rsidRPr="00831EC2">
              <w:rPr>
                <w:sz w:val="16"/>
                <w:szCs w:val="16"/>
              </w:rPr>
              <w:t xml:space="preserve">Podíl úvěrů v selhání v ČR neklesá vlivem zhoršující se platební morálky nerezidentů. Splácení úvěrů ze strany rezidentů se však zlepšuje, v prosinci 2015 </w:t>
            </w:r>
            <w:r w:rsidRPr="00831EC2">
              <w:rPr>
                <w:sz w:val="16"/>
                <w:szCs w:val="16"/>
              </w:rPr>
              <w:lastRenderedPageBreak/>
              <w:t>bylo dokonce nejlepší od krize</w:t>
            </w:r>
          </w:p>
        </w:tc>
        <w:tc>
          <w:tcPr>
            <w:tcW w:w="143" w:type="pct"/>
          </w:tcPr>
          <w:p w:rsidR="00960769" w:rsidRPr="00831EC2" w:rsidRDefault="00960769" w:rsidP="00960769">
            <w:pPr>
              <w:pStyle w:val="Textpoznpodarou"/>
              <w:jc w:val="both"/>
            </w:pPr>
          </w:p>
        </w:tc>
        <w:tc>
          <w:tcPr>
            <w:tcW w:w="3803" w:type="pct"/>
          </w:tcPr>
          <w:p w:rsidR="00960769" w:rsidRPr="00831EC2" w:rsidRDefault="00960769" w:rsidP="00960769">
            <w:pPr>
              <w:pStyle w:val="Textpoznpodarou"/>
              <w:jc w:val="both"/>
            </w:pPr>
            <w:r w:rsidRPr="00831EC2">
              <w:t xml:space="preserve">Z pohledu stability bankovního sektoru je klíčové, jak se vyvíjí podíl úvěrů v selhání. Nejnižší byl listopadu 2007, kdy činil 2,61 %. Vlivem zhoršení ekonomické situace v ČR v letech 2008 a 2009 se však vyšplhal na 6% úroveň a na ní setrval v podstatě dodnes. Podíl úvěrů v selhání se nesnížil ani v letech 2014 a 2015, kdy se hospodářství evidentně dařilo. Pokud však nahlédneme podrobněji do struktury, pak je z ní patrné, že vysoký podíl úvěrů v selhání jde </w:t>
            </w:r>
            <w:r w:rsidRPr="00831EC2">
              <w:lastRenderedPageBreak/>
              <w:t>na vrub nerezidentů, jejichž platební morálka se neustále zhoršuje. Naproti tomu splácení úvěrů ze strany rezidentů se zlepšuje už od konce roku 2010. Podíl úvěrů v selhání činil u nerezidentů v prosinci 2015 16,59 %. V  případě rezidentů měly banky v selhání ale jen 4,36 % celkové expozice a šlo o nejlepší výsledek od krize. Není překvapivé, že své závazky splácely lépe domácnosti (4,07 %) než nefinanční podniky</w:t>
            </w:r>
            <w:r>
              <w:t xml:space="preserve"> (5,72</w:t>
            </w:r>
            <w:r w:rsidRPr="00831EC2">
              <w:t xml:space="preserve"> %). S ohledem na zlepšení platební morálky v průběhu roku 2015 však zaznamenal zlepšení hlavně firemní sektor – podíl úvěrů v selhání domácností</w:t>
            </w:r>
            <w:r>
              <w:t xml:space="preserve"> se</w:t>
            </w:r>
            <w:r w:rsidRPr="00831EC2">
              <w:t xml:space="preserve"> snížil o</w:t>
            </w:r>
            <w:r>
              <w:t xml:space="preserve"> 0,66 p</w:t>
            </w:r>
            <w:r w:rsidR="00494343">
              <w:t>.</w:t>
            </w:r>
            <w:r>
              <w:t>b. a</w:t>
            </w:r>
            <w:r w:rsidRPr="00831EC2">
              <w:t xml:space="preserve"> nefinančních podniků o</w:t>
            </w:r>
            <w:r>
              <w:t> 0,99</w:t>
            </w:r>
            <w:r w:rsidRPr="00831EC2">
              <w:t xml:space="preserve"> p</w:t>
            </w:r>
            <w:r w:rsidR="00494343">
              <w:t>.</w:t>
            </w:r>
            <w:r w:rsidRPr="00831EC2">
              <w:t>b.</w:t>
            </w:r>
          </w:p>
          <w:p w:rsidR="00960769" w:rsidRPr="002E435E" w:rsidRDefault="00960769" w:rsidP="00960769">
            <w:pPr>
              <w:pStyle w:val="Textpoznpodarou"/>
              <w:jc w:val="both"/>
            </w:pPr>
          </w:p>
        </w:tc>
      </w:tr>
      <w:tr w:rsidR="00960769" w:rsidRPr="00831EC2" w:rsidTr="00960769">
        <w:tc>
          <w:tcPr>
            <w:tcW w:w="1054" w:type="pct"/>
          </w:tcPr>
          <w:p w:rsidR="00960769" w:rsidRPr="00831EC2" w:rsidRDefault="00960769" w:rsidP="00960769">
            <w:pPr>
              <w:spacing w:line="240" w:lineRule="auto"/>
              <w:rPr>
                <w:sz w:val="16"/>
                <w:szCs w:val="16"/>
              </w:rPr>
            </w:pPr>
            <w:r w:rsidRPr="00831EC2">
              <w:rPr>
                <w:sz w:val="16"/>
                <w:szCs w:val="16"/>
              </w:rPr>
              <w:lastRenderedPageBreak/>
              <w:t>Úrokové sazby z úvěrů na bydlení jsou velmi nízké a domácnosti se zadlužují, …</w:t>
            </w:r>
          </w:p>
        </w:tc>
        <w:tc>
          <w:tcPr>
            <w:tcW w:w="143" w:type="pct"/>
          </w:tcPr>
          <w:p w:rsidR="00960769" w:rsidRPr="00831EC2" w:rsidRDefault="00960769" w:rsidP="00960769">
            <w:pPr>
              <w:pStyle w:val="Textpoznpodarou"/>
              <w:jc w:val="both"/>
            </w:pPr>
          </w:p>
        </w:tc>
        <w:tc>
          <w:tcPr>
            <w:tcW w:w="3803" w:type="pct"/>
          </w:tcPr>
          <w:p w:rsidR="00960769" w:rsidRPr="00831EC2" w:rsidRDefault="00960769" w:rsidP="00960769">
            <w:pPr>
              <w:pStyle w:val="Textpoznpodarou"/>
              <w:jc w:val="both"/>
            </w:pPr>
            <w:r w:rsidRPr="00831EC2">
              <w:t>Velmi nízké úrokové sazby z úvěrů na bydlení – v prostředí rostoucích příjmů domácností a při nízké míře nezaměstnanosti – motivovaly domácnosti k tomu, aby si pořizovali vlastní bydlení resp. si koupí nemovitosti a jejím pronájmem zajišťovaly budoucí přísun peněz. Sazby byly nízké po celý rok 2015, bez ohledu na fixaci. Absolutně nejvýhodnějších podmínek, a to historicky, dosáhli nicméně ti, kteří si úvěr sjednali v červnu při fixaci úrokové sazby na</w:t>
            </w:r>
            <w:r>
              <w:t>d 1 rok do</w:t>
            </w:r>
            <w:r w:rsidRPr="00831EC2">
              <w:t xml:space="preserve"> 5 let (2,32 %).</w:t>
            </w:r>
          </w:p>
          <w:p w:rsidR="00960769" w:rsidRPr="002E435E" w:rsidRDefault="00960769" w:rsidP="00960769">
            <w:pPr>
              <w:pStyle w:val="Textpoznpodarou"/>
              <w:jc w:val="both"/>
            </w:pPr>
          </w:p>
        </w:tc>
      </w:tr>
      <w:tr w:rsidR="00960769" w:rsidRPr="00831EC2" w:rsidTr="00960769">
        <w:tc>
          <w:tcPr>
            <w:tcW w:w="1054" w:type="pct"/>
          </w:tcPr>
          <w:p w:rsidR="00960769" w:rsidRPr="00831EC2" w:rsidRDefault="00960769" w:rsidP="00960769">
            <w:pPr>
              <w:spacing w:line="240" w:lineRule="auto"/>
              <w:rPr>
                <w:sz w:val="16"/>
                <w:szCs w:val="16"/>
              </w:rPr>
            </w:pPr>
            <w:r w:rsidRPr="00831EC2">
              <w:rPr>
                <w:sz w:val="16"/>
                <w:szCs w:val="16"/>
              </w:rPr>
              <w:t>… hypotéky vzrostly v prosinci meziročně o 8,8 %. Zvyšuje se i zájem o financování nemovit</w:t>
            </w:r>
            <w:r>
              <w:rPr>
                <w:sz w:val="16"/>
                <w:szCs w:val="16"/>
              </w:rPr>
              <w:t>ostí prostřednictvím spotřebitelských</w:t>
            </w:r>
            <w:r w:rsidRPr="00831EC2">
              <w:rPr>
                <w:sz w:val="16"/>
                <w:szCs w:val="16"/>
              </w:rPr>
              <w:t xml:space="preserve"> úvěrů</w:t>
            </w:r>
          </w:p>
        </w:tc>
        <w:tc>
          <w:tcPr>
            <w:tcW w:w="143" w:type="pct"/>
          </w:tcPr>
          <w:p w:rsidR="00960769" w:rsidRPr="00831EC2" w:rsidRDefault="00960769" w:rsidP="00960769">
            <w:pPr>
              <w:pStyle w:val="Textpoznpodarou"/>
              <w:jc w:val="both"/>
            </w:pPr>
          </w:p>
        </w:tc>
        <w:tc>
          <w:tcPr>
            <w:tcW w:w="3803" w:type="pct"/>
          </w:tcPr>
          <w:p w:rsidR="00960769" w:rsidRPr="00831EC2" w:rsidRDefault="00960769" w:rsidP="00960769">
            <w:pPr>
              <w:pStyle w:val="Textpoznpodarou"/>
              <w:jc w:val="both"/>
            </w:pPr>
            <w:r w:rsidRPr="00831EC2">
              <w:t xml:space="preserve">Objem úvěrů poskytnutých domácnostem na nákup bytu nebo domu stoupl na konci roku 2015 o 8 % meziročně, nejrychleji od července 2010. Nejčastěji využívané hypoteční úvěry narostly o 8,8 %, odklon od standardních úvěrů ze stavebního spoření ale pokračoval (-9,6 %) a ani překlenovací úvěry nebyly v dynamice přesvědčivé (+3,2 %). </w:t>
            </w:r>
            <w:r>
              <w:t xml:space="preserve">Od 2. čtvrtletí je patrný vyšší zájem </w:t>
            </w:r>
            <w:r w:rsidRPr="00831EC2">
              <w:t>domácností o financování nemovit</w:t>
            </w:r>
            <w:r>
              <w:t>ostí prostřednictvím spotřebitelských</w:t>
            </w:r>
            <w:r w:rsidRPr="00831EC2">
              <w:t xml:space="preserve"> úvěrů.</w:t>
            </w:r>
          </w:p>
          <w:p w:rsidR="00960769" w:rsidRPr="002E435E" w:rsidRDefault="00960769" w:rsidP="00960769">
            <w:pPr>
              <w:pStyle w:val="Textpoznpodarou"/>
              <w:jc w:val="both"/>
            </w:pPr>
          </w:p>
        </w:tc>
      </w:tr>
      <w:tr w:rsidR="00960769" w:rsidRPr="00831EC2" w:rsidTr="00960769">
        <w:tc>
          <w:tcPr>
            <w:tcW w:w="1054" w:type="pct"/>
          </w:tcPr>
          <w:p w:rsidR="00960769" w:rsidRPr="00655DF3" w:rsidRDefault="00960769" w:rsidP="00960769">
            <w:pPr>
              <w:spacing w:line="240" w:lineRule="auto"/>
              <w:rPr>
                <w:color w:val="000000" w:themeColor="text1"/>
                <w:sz w:val="16"/>
                <w:szCs w:val="16"/>
              </w:rPr>
            </w:pPr>
            <w:r w:rsidRPr="00655DF3">
              <w:rPr>
                <w:color w:val="000000" w:themeColor="text1"/>
                <w:sz w:val="16"/>
                <w:szCs w:val="16"/>
              </w:rPr>
              <w:t>Nefinanční podniky se dále zadlužují, avšak jen na delší horizont</w:t>
            </w:r>
          </w:p>
        </w:tc>
        <w:tc>
          <w:tcPr>
            <w:tcW w:w="143" w:type="pct"/>
          </w:tcPr>
          <w:p w:rsidR="00960769" w:rsidRPr="00655DF3" w:rsidRDefault="00960769" w:rsidP="00960769">
            <w:pPr>
              <w:pStyle w:val="Textpoznpodarou"/>
              <w:jc w:val="both"/>
              <w:rPr>
                <w:color w:val="000000" w:themeColor="text1"/>
              </w:rPr>
            </w:pPr>
          </w:p>
        </w:tc>
        <w:tc>
          <w:tcPr>
            <w:tcW w:w="3803" w:type="pct"/>
          </w:tcPr>
          <w:p w:rsidR="00960769" w:rsidRPr="002E435E" w:rsidRDefault="00960769" w:rsidP="00960769">
            <w:pPr>
              <w:pStyle w:val="Textpoznpodarou"/>
              <w:jc w:val="both"/>
              <w:rPr>
                <w:color w:val="000000" w:themeColor="text1"/>
                <w:spacing w:val="-4"/>
              </w:rPr>
            </w:pPr>
            <w:r w:rsidRPr="002E435E">
              <w:rPr>
                <w:color w:val="000000" w:themeColor="text1"/>
                <w:spacing w:val="-4"/>
              </w:rPr>
              <w:t>Nárůst úvěrů nefinančním podnikům vyplývá z vyšší poptávky po dlouhodobějším financování. Stavy střednědobých úvěrů rostly meziročně alespoň o desetinu v září až prosinci, stavy dlouhodobých úvěrů po celé 2. pololetí</w:t>
            </w:r>
            <w:r w:rsidR="002E435E">
              <w:rPr>
                <w:color w:val="000000" w:themeColor="text1"/>
                <w:spacing w:val="-4"/>
              </w:rPr>
              <w:t>. Jelikož jde běžně o</w:t>
            </w:r>
            <w:r w:rsidR="002E435E" w:rsidRPr="00831EC2">
              <w:t> </w:t>
            </w:r>
            <w:r w:rsidRPr="002E435E">
              <w:rPr>
                <w:color w:val="000000" w:themeColor="text1"/>
                <w:spacing w:val="-4"/>
              </w:rPr>
              <w:t xml:space="preserve">investiční úvěry, lze soudit, že vysoká dynamika těchto úvěrů souvisí s vyšší investiční aktivitou. Při financování provozních záležitostí začínají ale nefinanční podniky </w:t>
            </w:r>
            <w:r w:rsidR="002E435E" w:rsidRPr="002E435E">
              <w:rPr>
                <w:color w:val="000000" w:themeColor="text1"/>
                <w:spacing w:val="-4"/>
              </w:rPr>
              <w:t xml:space="preserve">zřejmě </w:t>
            </w:r>
            <w:r w:rsidRPr="002E435E">
              <w:rPr>
                <w:color w:val="000000" w:themeColor="text1"/>
                <w:spacing w:val="-4"/>
              </w:rPr>
              <w:t>upřednostňovat vlastní zdroje – meziroční přírůstky krátkodobých úvěrů nefinančním podnikům byly po celý rok 2015 slabé, v závěru dokonce záporné.</w:t>
            </w:r>
          </w:p>
          <w:p w:rsidR="00960769" w:rsidRPr="002E435E" w:rsidRDefault="00960769" w:rsidP="00960769">
            <w:pPr>
              <w:pStyle w:val="Textpoznpodarou"/>
              <w:jc w:val="both"/>
              <w:rPr>
                <w:color w:val="000000" w:themeColor="text1"/>
              </w:rPr>
            </w:pPr>
          </w:p>
        </w:tc>
      </w:tr>
      <w:tr w:rsidR="00960769" w:rsidRPr="00831EC2" w:rsidTr="00960769">
        <w:tc>
          <w:tcPr>
            <w:tcW w:w="1054" w:type="pct"/>
          </w:tcPr>
          <w:p w:rsidR="00960769" w:rsidRPr="009F7D88" w:rsidRDefault="00960769" w:rsidP="00960769">
            <w:pPr>
              <w:spacing w:line="240" w:lineRule="auto"/>
              <w:rPr>
                <w:sz w:val="16"/>
                <w:szCs w:val="16"/>
              </w:rPr>
            </w:pPr>
            <w:r w:rsidRPr="009F7D88">
              <w:rPr>
                <w:sz w:val="16"/>
                <w:szCs w:val="16"/>
              </w:rPr>
              <w:t xml:space="preserve">Celkový dluh domácností stoupl závěrem loňského roku o 76 mld. korun meziročně na 1 391 mld. </w:t>
            </w:r>
          </w:p>
          <w:p w:rsidR="00960769" w:rsidRPr="00EE0568" w:rsidRDefault="00960769" w:rsidP="00960769">
            <w:pPr>
              <w:spacing w:line="240" w:lineRule="auto"/>
              <w:rPr>
                <w:color w:val="FF0000"/>
                <w:sz w:val="16"/>
                <w:szCs w:val="16"/>
              </w:rPr>
            </w:pPr>
            <w:r w:rsidRPr="009F7D88">
              <w:rPr>
                <w:sz w:val="16"/>
                <w:szCs w:val="16"/>
              </w:rPr>
              <w:t>Činil 31,1 % HDP</w:t>
            </w:r>
          </w:p>
        </w:tc>
        <w:tc>
          <w:tcPr>
            <w:tcW w:w="143" w:type="pct"/>
          </w:tcPr>
          <w:p w:rsidR="00960769" w:rsidRPr="00EE0568" w:rsidRDefault="00960769" w:rsidP="00960769">
            <w:pPr>
              <w:pStyle w:val="Textpoznpodarou"/>
              <w:jc w:val="both"/>
              <w:rPr>
                <w:color w:val="FF0000"/>
              </w:rPr>
            </w:pPr>
          </w:p>
        </w:tc>
        <w:tc>
          <w:tcPr>
            <w:tcW w:w="3803" w:type="pct"/>
          </w:tcPr>
          <w:p w:rsidR="00960769" w:rsidRPr="00EE0568" w:rsidRDefault="00960769" w:rsidP="00960769">
            <w:pPr>
              <w:pStyle w:val="Textpoznpodarou"/>
              <w:jc w:val="both"/>
              <w:rPr>
                <w:color w:val="FF0000"/>
              </w:rPr>
            </w:pPr>
            <w:r w:rsidRPr="00BE008C">
              <w:t>Celkové zadlužení českých domácností stouplo na konci roku 2015 o 76 mld. korun meziročně a domácnosti tak dlužily 1 391 mld. Břemenem jsou hlavně dluhy vzniklé v souvislosti s pořízením bydlení (978 mld.). Zhruba čtvrt bilionu (262 mld.) dluží domácnosti v podobě spotřebních úvěrů, na ostatní dluh připadá 151 mld. Největším věřitelem domácností jsou logicky banky a </w:t>
            </w:r>
            <w:r>
              <w:t>družstevní záložny, drží</w:t>
            </w:r>
            <w:r w:rsidRPr="009F7D88">
              <w:t xml:space="preserve"> 95,8 % celkového dluhu domácností. Zbytek připadá na ostatní finanční instituce. Role těchto institucí je nulová v případě poskytování úvěrů na bydlení, naprostou většinu těchto typů závazků drží totiž banky a družstevní záložny. Ze spotřebních úvěrů a ostatních závazků domácností si však ostatní finanční instituce ukrajují již významný díl. Z dluhu na spotřebu dluží domácnosti ostatním finančním institucím 18,6 %, u ostatních závazků 6,1 %.</w:t>
            </w:r>
          </w:p>
        </w:tc>
      </w:tr>
    </w:tbl>
    <w:p w:rsidR="00960769" w:rsidRPr="002E435E" w:rsidRDefault="00960769" w:rsidP="00960769">
      <w:pPr>
        <w:rPr>
          <w:sz w:val="16"/>
          <w:szCs w:val="16"/>
        </w:rPr>
      </w:pPr>
    </w:p>
    <w:tbl>
      <w:tblPr>
        <w:tblW w:w="5000" w:type="pct"/>
        <w:tblLook w:val="04A0"/>
      </w:tblPr>
      <w:tblGrid>
        <w:gridCol w:w="1110"/>
        <w:gridCol w:w="3815"/>
        <w:gridCol w:w="1140"/>
        <w:gridCol w:w="676"/>
        <w:gridCol w:w="3113"/>
      </w:tblGrid>
      <w:tr w:rsidR="00A9221C" w:rsidRPr="005819C0" w:rsidTr="002E435E">
        <w:tc>
          <w:tcPr>
            <w:tcW w:w="562" w:type="pct"/>
          </w:tcPr>
          <w:p w:rsidR="00A9221C" w:rsidRPr="00A7541D" w:rsidRDefault="00A9221C" w:rsidP="00CB6809">
            <w:pPr>
              <w:pStyle w:val="Textpoznpodarou"/>
            </w:pPr>
            <w:r w:rsidRPr="00A7541D">
              <w:t>Graf č. 17</w:t>
            </w:r>
          </w:p>
        </w:tc>
        <w:tc>
          <w:tcPr>
            <w:tcW w:w="1937" w:type="pct"/>
          </w:tcPr>
          <w:p w:rsidR="00A9221C" w:rsidRPr="00A7541D" w:rsidRDefault="00A9221C" w:rsidP="00CB6809">
            <w:pPr>
              <w:pStyle w:val="Textpoznpodarou"/>
            </w:pPr>
            <w:r w:rsidRPr="00A7541D">
              <w:rPr>
                <w:b/>
              </w:rPr>
              <w:t>Měnové agregáty a hrubý domácí produkt</w:t>
            </w:r>
            <w:r w:rsidRPr="00A7541D">
              <w:t xml:space="preserve"> (y/y v %)</w:t>
            </w:r>
          </w:p>
        </w:tc>
        <w:tc>
          <w:tcPr>
            <w:tcW w:w="578" w:type="pct"/>
          </w:tcPr>
          <w:p w:rsidR="00A9221C" w:rsidRPr="00F067CB" w:rsidRDefault="00A9221C" w:rsidP="00CB6809">
            <w:pPr>
              <w:pStyle w:val="Textpoznpodarou"/>
            </w:pPr>
            <w:r w:rsidRPr="00F067CB">
              <w:t>Graf č. 18</w:t>
            </w:r>
          </w:p>
        </w:tc>
        <w:tc>
          <w:tcPr>
            <w:tcW w:w="1923" w:type="pct"/>
            <w:gridSpan w:val="2"/>
          </w:tcPr>
          <w:p w:rsidR="00A9221C" w:rsidRPr="00F067CB" w:rsidRDefault="00A9221C" w:rsidP="00CB6809">
            <w:pPr>
              <w:pStyle w:val="Textpoznpodarou"/>
            </w:pPr>
            <w:r>
              <w:rPr>
                <w:b/>
              </w:rPr>
              <w:t>Podíl úvěrů</w:t>
            </w:r>
            <w:r w:rsidRPr="00F067CB">
              <w:rPr>
                <w:b/>
              </w:rPr>
              <w:t xml:space="preserve"> v</w:t>
            </w:r>
            <w:r>
              <w:rPr>
                <w:b/>
              </w:rPr>
              <w:t> </w:t>
            </w:r>
            <w:r w:rsidRPr="00F067CB">
              <w:rPr>
                <w:b/>
              </w:rPr>
              <w:t>selhání</w:t>
            </w:r>
            <w:r>
              <w:rPr>
                <w:b/>
              </w:rPr>
              <w:t xml:space="preserve"> </w:t>
            </w:r>
            <w:r w:rsidRPr="00F067CB">
              <w:t>(</w:t>
            </w:r>
            <w:r>
              <w:t>v %, úvěry v selhání/celkový objem úvěrů</w:t>
            </w:r>
            <w:r w:rsidRPr="00F067CB">
              <w:t>)</w:t>
            </w:r>
          </w:p>
        </w:tc>
      </w:tr>
      <w:tr w:rsidR="00A9221C" w:rsidRPr="005819C0" w:rsidTr="002E435E">
        <w:tc>
          <w:tcPr>
            <w:tcW w:w="2499" w:type="pct"/>
            <w:gridSpan w:val="2"/>
          </w:tcPr>
          <w:p w:rsidR="00A9221C" w:rsidRPr="005819C0" w:rsidRDefault="009256C5" w:rsidP="00CB6809">
            <w:pPr>
              <w:pStyle w:val="Textpoznpodarou"/>
              <w:jc w:val="both"/>
            </w:pPr>
            <w:r>
              <w:rPr>
                <w:noProof/>
              </w:rPr>
              <w:pict>
                <v:shape id="_x0000_i1041" type="#_x0000_t75" style="width:239.8pt;height:186.55pt;visibility:visible;mso-wrap-style:square">
                  <v:imagedata r:id="rId28" o:title=""/>
                </v:shape>
              </w:pict>
            </w:r>
          </w:p>
        </w:tc>
        <w:tc>
          <w:tcPr>
            <w:tcW w:w="2501" w:type="pct"/>
            <w:gridSpan w:val="3"/>
          </w:tcPr>
          <w:p w:rsidR="00A9221C" w:rsidRPr="005819C0" w:rsidRDefault="009256C5" w:rsidP="00CB6809">
            <w:pPr>
              <w:pStyle w:val="Textpoznpodarou"/>
              <w:jc w:val="both"/>
            </w:pPr>
            <w:r>
              <w:rPr>
                <w:noProof/>
              </w:rPr>
              <w:pict>
                <v:shape id="_x0000_i1042" type="#_x0000_t75" style="width:239.8pt;height:186.55pt;visibility:visible;mso-wrap-style:square">
                  <v:imagedata r:id="rId29" o:title=""/>
                </v:shape>
              </w:pict>
            </w:r>
          </w:p>
        </w:tc>
      </w:tr>
      <w:tr w:rsidR="00A9221C" w:rsidRPr="005819C0" w:rsidTr="002E435E">
        <w:tc>
          <w:tcPr>
            <w:tcW w:w="3419" w:type="pct"/>
            <w:gridSpan w:val="4"/>
          </w:tcPr>
          <w:p w:rsidR="00A9221C" w:rsidRPr="00045F79" w:rsidRDefault="00A9221C" w:rsidP="00CB6809">
            <w:pPr>
              <w:pStyle w:val="Textpoznpodarou"/>
              <w:rPr>
                <w:noProof/>
                <w:sz w:val="18"/>
                <w:szCs w:val="18"/>
              </w:rPr>
            </w:pPr>
          </w:p>
        </w:tc>
        <w:tc>
          <w:tcPr>
            <w:tcW w:w="1581" w:type="pct"/>
          </w:tcPr>
          <w:p w:rsidR="00A9221C" w:rsidRPr="005819C0" w:rsidRDefault="00A9221C" w:rsidP="00CB6809">
            <w:pPr>
              <w:pStyle w:val="Textpoznpodarou"/>
              <w:jc w:val="right"/>
              <w:rPr>
                <w:noProof/>
              </w:rPr>
            </w:pPr>
            <w:r w:rsidRPr="005819C0">
              <w:rPr>
                <w:sz w:val="18"/>
                <w:szCs w:val="18"/>
              </w:rPr>
              <w:t>Zdroj: ČSÚ</w:t>
            </w:r>
            <w:r>
              <w:rPr>
                <w:sz w:val="18"/>
                <w:szCs w:val="18"/>
              </w:rPr>
              <w:t>, ČNB</w:t>
            </w:r>
          </w:p>
        </w:tc>
      </w:tr>
    </w:tbl>
    <w:p w:rsidR="002E435E" w:rsidRDefault="002E435E" w:rsidP="002E435E">
      <w:pPr>
        <w:pStyle w:val="Nadpis1"/>
        <w:numPr>
          <w:ilvl w:val="0"/>
          <w:numId w:val="3"/>
        </w:numPr>
        <w:jc w:val="both"/>
      </w:pPr>
      <w:bookmarkStart w:id="10" w:name="_Toc446341887"/>
      <w:r>
        <w:lastRenderedPageBreak/>
        <w:t>Státní rozpočet</w:t>
      </w:r>
      <w:bookmarkEnd w:id="10"/>
    </w:p>
    <w:tbl>
      <w:tblPr>
        <w:tblW w:w="5063" w:type="pct"/>
        <w:tblCellMar>
          <w:left w:w="28" w:type="dxa"/>
          <w:right w:w="28" w:type="dxa"/>
        </w:tblCellMar>
        <w:tblLook w:val="04A0"/>
      </w:tblPr>
      <w:tblGrid>
        <w:gridCol w:w="588"/>
        <w:gridCol w:w="1454"/>
        <w:gridCol w:w="274"/>
        <w:gridCol w:w="2621"/>
        <w:gridCol w:w="707"/>
        <w:gridCol w:w="4048"/>
        <w:gridCol w:w="124"/>
      </w:tblGrid>
      <w:tr w:rsidR="00A644E1" w:rsidRPr="003A21DC" w:rsidTr="00E90A4B">
        <w:trPr>
          <w:gridAfter w:val="1"/>
          <w:wAfter w:w="62" w:type="pct"/>
        </w:trPr>
        <w:tc>
          <w:tcPr>
            <w:tcW w:w="1041" w:type="pct"/>
            <w:gridSpan w:val="2"/>
          </w:tcPr>
          <w:p w:rsidR="00A644E1" w:rsidRDefault="00A644E1" w:rsidP="00611531">
            <w:pPr>
              <w:spacing w:line="240" w:lineRule="auto"/>
              <w:rPr>
                <w:rFonts w:cs="Arial"/>
                <w:bCs/>
                <w:iCs/>
                <w:color w:val="0D0D0D" w:themeColor="text1" w:themeTint="F2"/>
                <w:spacing w:val="-2"/>
                <w:sz w:val="16"/>
                <w:szCs w:val="16"/>
              </w:rPr>
            </w:pPr>
            <w:r w:rsidRPr="00155C57">
              <w:rPr>
                <w:rFonts w:cs="Arial"/>
                <w:bCs/>
                <w:iCs/>
                <w:color w:val="0D0D0D" w:themeColor="text1" w:themeTint="F2"/>
                <w:spacing w:val="-2"/>
                <w:sz w:val="16"/>
                <w:szCs w:val="16"/>
              </w:rPr>
              <w:t>Sílící růst eko</w:t>
            </w:r>
            <w:r>
              <w:rPr>
                <w:rFonts w:cs="Arial"/>
                <w:bCs/>
                <w:iCs/>
                <w:color w:val="0D0D0D" w:themeColor="text1" w:themeTint="F2"/>
                <w:spacing w:val="-2"/>
                <w:sz w:val="16"/>
                <w:szCs w:val="16"/>
              </w:rPr>
              <w:t xml:space="preserve">nomiky podpořený rekordním čerpáním prostředků z evropských fondů </w:t>
            </w:r>
          </w:p>
          <w:p w:rsidR="00A644E1" w:rsidRDefault="00A644E1" w:rsidP="00611531">
            <w:pPr>
              <w:pStyle w:val="Textpoznpodarou"/>
              <w:jc w:val="both"/>
              <w:rPr>
                <w:rFonts w:cs="Arial"/>
                <w:bCs/>
                <w:iCs/>
                <w:color w:val="0D0D0D" w:themeColor="text1" w:themeTint="F2"/>
                <w:spacing w:val="-2"/>
                <w:sz w:val="16"/>
                <w:szCs w:val="16"/>
              </w:rPr>
            </w:pPr>
            <w:r>
              <w:rPr>
                <w:rFonts w:cs="Arial"/>
                <w:bCs/>
                <w:iCs/>
                <w:color w:val="0D0D0D" w:themeColor="text1" w:themeTint="F2"/>
                <w:spacing w:val="-2"/>
                <w:sz w:val="16"/>
                <w:szCs w:val="16"/>
              </w:rPr>
              <w:t>pomohly státnímu rozpočtu k nejnižšímu deficitu po roce 2008</w:t>
            </w:r>
            <w:r w:rsidRPr="00750404">
              <w:rPr>
                <w:rFonts w:cs="Arial"/>
                <w:bCs/>
                <w:iCs/>
                <w:color w:val="0D0D0D" w:themeColor="text1" w:themeTint="F2"/>
                <w:spacing w:val="-2"/>
                <w:sz w:val="16"/>
                <w:szCs w:val="16"/>
              </w:rPr>
              <w:t xml:space="preserve"> </w:t>
            </w:r>
          </w:p>
          <w:p w:rsidR="00A644E1" w:rsidRPr="00912F8D" w:rsidRDefault="00A644E1" w:rsidP="00611531">
            <w:pPr>
              <w:spacing w:line="240" w:lineRule="auto"/>
              <w:rPr>
                <w:rFonts w:cs="Arial"/>
                <w:color w:val="0D0D0D" w:themeColor="text1" w:themeTint="F2"/>
                <w:spacing w:val="-4"/>
                <w:szCs w:val="20"/>
              </w:rPr>
            </w:pPr>
          </w:p>
        </w:tc>
        <w:tc>
          <w:tcPr>
            <w:tcW w:w="140" w:type="pct"/>
          </w:tcPr>
          <w:p w:rsidR="00A644E1" w:rsidRPr="009720D9" w:rsidRDefault="00A644E1" w:rsidP="00611531">
            <w:pPr>
              <w:pStyle w:val="Textpoznpodarou"/>
              <w:jc w:val="both"/>
              <w:rPr>
                <w:color w:val="0D0D0D" w:themeColor="text1" w:themeTint="F2"/>
              </w:rPr>
            </w:pPr>
          </w:p>
        </w:tc>
        <w:tc>
          <w:tcPr>
            <w:tcW w:w="3757" w:type="pct"/>
            <w:gridSpan w:val="3"/>
          </w:tcPr>
          <w:p w:rsidR="00A644E1" w:rsidRPr="00240815" w:rsidRDefault="00A644E1" w:rsidP="00611531">
            <w:pPr>
              <w:pStyle w:val="Textpoznpodarou"/>
              <w:jc w:val="both"/>
              <w:rPr>
                <w:rFonts w:cs="Arial"/>
                <w:color w:val="0D0D0D" w:themeColor="text1" w:themeTint="F2"/>
              </w:rPr>
            </w:pPr>
            <w:r w:rsidRPr="00240815">
              <w:rPr>
                <w:rFonts w:cs="Arial"/>
                <w:color w:val="0D0D0D" w:themeColor="text1" w:themeTint="F2"/>
              </w:rPr>
              <w:t xml:space="preserve">Sílící ekonomický růst doprovázený intenzivním dočerpáním </w:t>
            </w:r>
            <w:r w:rsidR="00752BC3" w:rsidRPr="00240815">
              <w:rPr>
                <w:rFonts w:cs="Arial"/>
                <w:color w:val="0D0D0D" w:themeColor="text1" w:themeTint="F2"/>
              </w:rPr>
              <w:t>prostředků z rozpočtu EU pomohl</w:t>
            </w:r>
            <w:r w:rsidRPr="00240815">
              <w:rPr>
                <w:rFonts w:cs="Arial"/>
                <w:color w:val="0D0D0D" w:themeColor="text1" w:themeTint="F2"/>
              </w:rPr>
              <w:t xml:space="preserve"> v roce 2015 udržet trend snižování schodků státního rozpočtu (SR). Ten skončil (dle pokladního plnění) deficitem 62,8 mld. korun, šlo </w:t>
            </w:r>
            <w:r w:rsidR="00FF02EB" w:rsidRPr="00240815">
              <w:rPr>
                <w:rFonts w:cs="Arial"/>
                <w:color w:val="0D0D0D" w:themeColor="text1" w:themeTint="F2"/>
              </w:rPr>
              <w:t xml:space="preserve">přitom </w:t>
            </w:r>
            <w:r w:rsidRPr="00240815">
              <w:rPr>
                <w:rFonts w:cs="Arial"/>
                <w:color w:val="0D0D0D" w:themeColor="text1" w:themeTint="F2"/>
              </w:rPr>
              <w:t>o čtvrtý nejlepší výsledek po roce 2000. Dosažený deficit byl (stejně jako v předchozích dvou letech) viditelně příznivější než rozpočtová očekávání. Prohlubující se nepravidelnosti na straně příjmů i výdajů způsobily, že do významnějších deficitů se SR dostal až v poslední čtvrtině roku. Saldo SR (tvořící klíčovou složku deficitu popř. přebytku sektoru vládních institucí) činilo v roce 2015 v poměru k</w:t>
            </w:r>
            <w:r w:rsidRPr="00240815">
              <w:t> </w:t>
            </w:r>
            <w:r w:rsidRPr="00240815">
              <w:rPr>
                <w:rFonts w:cs="Arial"/>
                <w:color w:val="0D0D0D" w:themeColor="text1" w:themeTint="F2"/>
              </w:rPr>
              <w:t xml:space="preserve">nominálnímu HDP -1,4 % (o rok dříve -1,8 %) a patřilo </w:t>
            </w:r>
            <w:r w:rsidR="00FF02EB" w:rsidRPr="00240815">
              <w:rPr>
                <w:rFonts w:cs="Arial"/>
                <w:color w:val="0D0D0D" w:themeColor="text1" w:themeTint="F2"/>
              </w:rPr>
              <w:t xml:space="preserve">tak </w:t>
            </w:r>
            <w:r w:rsidRPr="00240815">
              <w:rPr>
                <w:rFonts w:cs="Arial"/>
                <w:color w:val="0D0D0D" w:themeColor="text1" w:themeTint="F2"/>
              </w:rPr>
              <w:t xml:space="preserve">(společně s rokem 2008) k nejnižším v novém miléniu. </w:t>
            </w:r>
          </w:p>
          <w:p w:rsidR="00A644E1" w:rsidRPr="00611531" w:rsidRDefault="00A644E1" w:rsidP="00611531">
            <w:pPr>
              <w:pStyle w:val="Textpoznpodarou"/>
              <w:jc w:val="both"/>
              <w:rPr>
                <w:rFonts w:cs="Arial"/>
                <w:color w:val="0D0D0D" w:themeColor="text1" w:themeTint="F2"/>
                <w:spacing w:val="-2"/>
                <w:sz w:val="18"/>
                <w:szCs w:val="18"/>
              </w:rPr>
            </w:pPr>
          </w:p>
        </w:tc>
      </w:tr>
      <w:tr w:rsidR="00A644E1" w:rsidTr="00E90A4B">
        <w:trPr>
          <w:gridAfter w:val="1"/>
          <w:wAfter w:w="62" w:type="pct"/>
        </w:trPr>
        <w:tc>
          <w:tcPr>
            <w:tcW w:w="1041" w:type="pct"/>
            <w:gridSpan w:val="2"/>
          </w:tcPr>
          <w:p w:rsidR="00A644E1" w:rsidRDefault="00A644E1" w:rsidP="00611531">
            <w:pPr>
              <w:spacing w:line="240" w:lineRule="auto"/>
              <w:rPr>
                <w:rFonts w:cs="Arial"/>
                <w:bCs/>
                <w:iCs/>
                <w:color w:val="0D0D0D" w:themeColor="text1" w:themeTint="F2"/>
                <w:spacing w:val="-4"/>
                <w:sz w:val="16"/>
                <w:szCs w:val="16"/>
              </w:rPr>
            </w:pPr>
            <w:r w:rsidRPr="00590AD7">
              <w:rPr>
                <w:rFonts w:cs="Arial"/>
                <w:bCs/>
                <w:iCs/>
                <w:color w:val="0D0D0D" w:themeColor="text1" w:themeTint="F2"/>
                <w:spacing w:val="-4"/>
                <w:sz w:val="16"/>
                <w:szCs w:val="16"/>
              </w:rPr>
              <w:t xml:space="preserve">Meziroční dynamika </w:t>
            </w:r>
            <w:r>
              <w:rPr>
                <w:rFonts w:cs="Arial"/>
                <w:bCs/>
                <w:iCs/>
                <w:color w:val="0D0D0D" w:themeColor="text1" w:themeTint="F2"/>
                <w:spacing w:val="-4"/>
                <w:sz w:val="16"/>
                <w:szCs w:val="16"/>
              </w:rPr>
              <w:t xml:space="preserve">celostátního výběru DPH (+2,8 %) byla i vlivem legislativních opatření nejnižší za poslední tři roky, </w:t>
            </w:r>
          </w:p>
          <w:p w:rsidR="00A644E1" w:rsidRPr="00590AD7" w:rsidRDefault="00A644E1" w:rsidP="00611531">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t>i tak však překonala rozpočtová očekávání</w:t>
            </w:r>
          </w:p>
          <w:p w:rsidR="00A644E1" w:rsidRDefault="00A644E1" w:rsidP="00611531">
            <w:pPr>
              <w:spacing w:line="240" w:lineRule="auto"/>
              <w:rPr>
                <w:color w:val="0D0D0D" w:themeColor="text1" w:themeTint="F2"/>
                <w:spacing w:val="-2"/>
                <w:szCs w:val="20"/>
              </w:rPr>
            </w:pPr>
          </w:p>
          <w:p w:rsidR="00A644E1" w:rsidRPr="00750404" w:rsidRDefault="00A644E1" w:rsidP="00611531">
            <w:pPr>
              <w:spacing w:line="240" w:lineRule="auto"/>
              <w:rPr>
                <w:color w:val="0D0D0D" w:themeColor="text1" w:themeTint="F2"/>
                <w:spacing w:val="-2"/>
                <w:szCs w:val="20"/>
              </w:rPr>
            </w:pPr>
          </w:p>
        </w:tc>
        <w:tc>
          <w:tcPr>
            <w:tcW w:w="140" w:type="pct"/>
          </w:tcPr>
          <w:p w:rsidR="00A644E1" w:rsidRPr="009720D9" w:rsidRDefault="00A644E1" w:rsidP="00611531">
            <w:pPr>
              <w:pStyle w:val="Textpoznpodarou"/>
              <w:jc w:val="both"/>
              <w:rPr>
                <w:color w:val="0D0D0D" w:themeColor="text1" w:themeTint="F2"/>
              </w:rPr>
            </w:pPr>
          </w:p>
        </w:tc>
        <w:tc>
          <w:tcPr>
            <w:tcW w:w="3757" w:type="pct"/>
            <w:gridSpan w:val="3"/>
          </w:tcPr>
          <w:p w:rsidR="00A644E1" w:rsidRPr="00240815" w:rsidRDefault="00A644E1" w:rsidP="00611531">
            <w:pPr>
              <w:pStyle w:val="Textpoznpodarou"/>
              <w:jc w:val="both"/>
              <w:rPr>
                <w:rFonts w:cs="Arial"/>
                <w:color w:val="0D0D0D" w:themeColor="text1" w:themeTint="F2"/>
              </w:rPr>
            </w:pPr>
            <w:r w:rsidRPr="00240815">
              <w:rPr>
                <w:rFonts w:cs="Arial"/>
                <w:color w:val="0D0D0D" w:themeColor="text1" w:themeTint="F2"/>
              </w:rPr>
              <w:t>K růstu celkových příjmů SR (meziročně o 8,9 %) podobným dílem přispěly jak transfery z EU, tak i veškeré daňové příjmy (vyšší o téměř 50 mld. korun). V</w:t>
            </w:r>
            <w:r w:rsidR="00B92A4B">
              <w:rPr>
                <w:rFonts w:cs="Arial"/>
                <w:color w:val="0D0D0D" w:themeColor="text1" w:themeTint="F2"/>
              </w:rPr>
              <w:t> </w:t>
            </w:r>
            <w:r w:rsidRPr="00240815">
              <w:rPr>
                <w:rFonts w:cs="Arial"/>
                <w:color w:val="0D0D0D" w:themeColor="text1" w:themeTint="F2"/>
              </w:rPr>
              <w:t>inkasu daňových příjmů se v průběhu roku stále více odrážel svižný růst ekonomiky, a to vč. nepřímých daní, jejichž meziroční dynamika byla v počátku roku rozostřena uměle navýšenou základnou</w:t>
            </w:r>
            <w:r w:rsidRPr="00240815">
              <w:rPr>
                <w:rStyle w:val="Znakapoznpodarou"/>
                <w:rFonts w:cs="Arial"/>
                <w:color w:val="0D0D0D" w:themeColor="text1" w:themeTint="F2"/>
              </w:rPr>
              <w:footnoteReference w:id="20"/>
            </w:r>
            <w:r w:rsidRPr="00240815">
              <w:rPr>
                <w:rFonts w:cs="Arial"/>
                <w:color w:val="0D0D0D" w:themeColor="text1" w:themeTint="F2"/>
              </w:rPr>
              <w:t>. Výběr váhově dominantní DPH za</w:t>
            </w:r>
            <w:r w:rsidR="00B92A4B">
              <w:rPr>
                <w:rFonts w:cs="Arial"/>
                <w:color w:val="0D0D0D" w:themeColor="text1" w:themeTint="F2"/>
              </w:rPr>
              <w:t> </w:t>
            </w:r>
            <w:r w:rsidRPr="00240815">
              <w:rPr>
                <w:rFonts w:cs="Arial"/>
                <w:color w:val="0D0D0D" w:themeColor="text1" w:themeTint="F2"/>
              </w:rPr>
              <w:t xml:space="preserve">celý rok 2015 vzrostl o 2,8 %. Efekt silného růstu výdajů na konečnou spotřebu v ekonomice byl tlumen zavedením druhé snížené sazby DPH, klesajícími cenami </w:t>
            </w:r>
            <w:r w:rsidRPr="00240815">
              <w:rPr>
                <w:rFonts w:cs="Arial"/>
                <w:color w:val="0D0D0D" w:themeColor="text1" w:themeTint="F2"/>
                <w:spacing w:val="-2"/>
              </w:rPr>
              <w:t>PHM a stále ještě také vyplacením dočasně zadržených nadměrných odpočtů</w:t>
            </w:r>
            <w:r w:rsidRPr="00240815">
              <w:rPr>
                <w:rFonts w:cs="Arial"/>
                <w:color w:val="0D0D0D" w:themeColor="text1" w:themeTint="F2"/>
              </w:rPr>
              <w:t xml:space="preserve"> DPH.</w:t>
            </w:r>
          </w:p>
          <w:p w:rsidR="00A644E1" w:rsidRPr="00611531" w:rsidRDefault="00A644E1" w:rsidP="00611531">
            <w:pPr>
              <w:pStyle w:val="Textpoznpodarou"/>
              <w:jc w:val="both"/>
              <w:rPr>
                <w:rFonts w:cs="Arial"/>
                <w:color w:val="0D0D0D" w:themeColor="text1" w:themeTint="F2"/>
                <w:spacing w:val="-2"/>
                <w:sz w:val="18"/>
                <w:szCs w:val="18"/>
              </w:rPr>
            </w:pPr>
          </w:p>
        </w:tc>
      </w:tr>
      <w:tr w:rsidR="00A644E1" w:rsidTr="00E90A4B">
        <w:trPr>
          <w:gridAfter w:val="1"/>
          <w:wAfter w:w="62" w:type="pct"/>
        </w:trPr>
        <w:tc>
          <w:tcPr>
            <w:tcW w:w="1041" w:type="pct"/>
            <w:gridSpan w:val="2"/>
          </w:tcPr>
          <w:p w:rsidR="00A644E1" w:rsidRDefault="00A644E1" w:rsidP="00611531">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t>Tempo výběru spotřebních daní v n</w:t>
            </w:r>
            <w:r w:rsidRPr="002145FE">
              <w:rPr>
                <w:rFonts w:cs="Arial"/>
                <w:bCs/>
                <w:iCs/>
                <w:color w:val="0D0D0D" w:themeColor="text1" w:themeTint="F2"/>
                <w:spacing w:val="-4"/>
                <w:sz w:val="16"/>
                <w:szCs w:val="16"/>
              </w:rPr>
              <w:t xml:space="preserve">ejvyšší za posledních </w:t>
            </w:r>
            <w:r>
              <w:rPr>
                <w:rFonts w:cs="Arial"/>
                <w:bCs/>
                <w:iCs/>
                <w:color w:val="0D0D0D" w:themeColor="text1" w:themeTint="F2"/>
                <w:spacing w:val="-4"/>
                <w:sz w:val="16"/>
                <w:szCs w:val="16"/>
              </w:rPr>
              <w:t xml:space="preserve">osm let, především zásluhou rostoucích sazeb daně </w:t>
            </w:r>
          </w:p>
          <w:p w:rsidR="00A644E1" w:rsidRPr="009720D9" w:rsidRDefault="00A644E1" w:rsidP="00611531">
            <w:pPr>
              <w:spacing w:line="240" w:lineRule="auto"/>
              <w:rPr>
                <w:rFonts w:cs="Arial"/>
                <w:bCs/>
                <w:iCs/>
                <w:color w:val="0D0D0D" w:themeColor="text1" w:themeTint="F2"/>
                <w:szCs w:val="20"/>
              </w:rPr>
            </w:pPr>
            <w:r>
              <w:rPr>
                <w:rFonts w:cs="Arial"/>
                <w:bCs/>
                <w:iCs/>
                <w:color w:val="0D0D0D" w:themeColor="text1" w:themeTint="F2"/>
                <w:spacing w:val="-4"/>
                <w:sz w:val="16"/>
                <w:szCs w:val="16"/>
              </w:rPr>
              <w:t>u tabákových výrobků</w:t>
            </w:r>
          </w:p>
        </w:tc>
        <w:tc>
          <w:tcPr>
            <w:tcW w:w="140" w:type="pct"/>
          </w:tcPr>
          <w:p w:rsidR="00A644E1" w:rsidRPr="009720D9" w:rsidRDefault="00A644E1" w:rsidP="00611531">
            <w:pPr>
              <w:pStyle w:val="Textpoznpodarou"/>
              <w:jc w:val="both"/>
              <w:rPr>
                <w:color w:val="0D0D0D" w:themeColor="text1" w:themeTint="F2"/>
              </w:rPr>
            </w:pPr>
          </w:p>
        </w:tc>
        <w:tc>
          <w:tcPr>
            <w:tcW w:w="3757" w:type="pct"/>
            <w:gridSpan w:val="3"/>
          </w:tcPr>
          <w:p w:rsidR="00A644E1" w:rsidRPr="00240815" w:rsidRDefault="00A644E1" w:rsidP="00611531">
            <w:pPr>
              <w:pStyle w:val="Textpoznpodarou"/>
              <w:jc w:val="both"/>
              <w:rPr>
                <w:rFonts w:cs="Arial"/>
                <w:color w:val="0D0D0D" w:themeColor="text1" w:themeTint="F2"/>
              </w:rPr>
            </w:pPr>
            <w:r w:rsidRPr="00240815">
              <w:rPr>
                <w:rFonts w:cs="Arial"/>
                <w:color w:val="0D0D0D" w:themeColor="text1" w:themeTint="F2"/>
              </w:rPr>
              <w:t>Celostátní inkaso všech spotřebních daní rostlo nejrychleji po roce 2007 (+6,5 %), zejména zásluhou daně z tabákových výrobků (meziročně o sedminu vyšší), jejíž výběr se (dle pokladního plnění) poprvé po roce 2011 vrátil k plynulému průběhu. Inkaso váhově dominantní daně z minerálních olejů v roce 2015 posílilo o 3,3 %, rostla spotřeba hlavně motorové nafty. Nízké</w:t>
            </w:r>
            <w:r w:rsidRPr="00240815">
              <w:rPr>
                <w:rFonts w:cs="Arial"/>
                <w:color w:val="000000" w:themeColor="text1"/>
              </w:rPr>
              <w:t xml:space="preserve"> ceny PHM</w:t>
            </w:r>
            <w:r w:rsidRPr="00240815">
              <w:rPr>
                <w:rFonts w:cs="Arial"/>
                <w:color w:val="0D0D0D" w:themeColor="text1" w:themeTint="F2"/>
              </w:rPr>
              <w:t xml:space="preserve"> stimulovaly poptávku (vč.</w:t>
            </w:r>
            <w:r w:rsidR="00240815">
              <w:rPr>
                <w:rFonts w:cs="Arial"/>
                <w:color w:val="0D0D0D" w:themeColor="text1" w:themeTint="F2"/>
              </w:rPr>
              <w:t> </w:t>
            </w:r>
            <w:r w:rsidRPr="00240815">
              <w:rPr>
                <w:rFonts w:cs="Arial"/>
                <w:color w:val="0D0D0D" w:themeColor="text1" w:themeTint="F2"/>
              </w:rPr>
              <w:t>tranzitní dopravy), k rozvoji osobní i nákladní dopravy pomohla i sílící ekonomika, mírně negativně naopak působilo opětovné zavedení daňových úlev (</w:t>
            </w:r>
            <w:r w:rsidRPr="00240815">
              <w:t>tzv. zelené nafty)</w:t>
            </w:r>
            <w:r w:rsidRPr="00240815">
              <w:rPr>
                <w:rFonts w:cs="Arial"/>
                <w:color w:val="0D0D0D" w:themeColor="text1" w:themeTint="F2"/>
              </w:rPr>
              <w:t xml:space="preserve">. </w:t>
            </w:r>
          </w:p>
          <w:p w:rsidR="00A644E1" w:rsidRPr="00611531" w:rsidRDefault="00A644E1" w:rsidP="00611531">
            <w:pPr>
              <w:pStyle w:val="Textpoznpodarou"/>
              <w:jc w:val="both"/>
              <w:rPr>
                <w:rFonts w:cs="Arial"/>
                <w:color w:val="0D0D0D" w:themeColor="text1" w:themeTint="F2"/>
                <w:spacing w:val="-2"/>
                <w:sz w:val="18"/>
                <w:szCs w:val="18"/>
              </w:rPr>
            </w:pPr>
          </w:p>
        </w:tc>
      </w:tr>
      <w:tr w:rsidR="00A644E1" w:rsidTr="00E90A4B">
        <w:trPr>
          <w:gridAfter w:val="1"/>
          <w:wAfter w:w="62" w:type="pct"/>
        </w:trPr>
        <w:tc>
          <w:tcPr>
            <w:tcW w:w="1041" w:type="pct"/>
            <w:gridSpan w:val="2"/>
          </w:tcPr>
          <w:p w:rsidR="00A644E1" w:rsidRDefault="00A644E1" w:rsidP="00611531">
            <w:pPr>
              <w:spacing w:line="240" w:lineRule="auto"/>
              <w:rPr>
                <w:rFonts w:cs="Arial"/>
                <w:bCs/>
                <w:iCs/>
                <w:color w:val="0D0D0D" w:themeColor="text1" w:themeTint="F2"/>
                <w:spacing w:val="-4"/>
                <w:sz w:val="16"/>
                <w:szCs w:val="16"/>
              </w:rPr>
            </w:pPr>
            <w:r w:rsidRPr="003744E1">
              <w:rPr>
                <w:rFonts w:cs="Arial"/>
                <w:bCs/>
                <w:iCs/>
                <w:color w:val="0D0D0D" w:themeColor="text1" w:themeTint="F2"/>
                <w:sz w:val="16"/>
                <w:szCs w:val="16"/>
              </w:rPr>
              <w:t xml:space="preserve">Celostátní inkaso </w:t>
            </w:r>
            <w:r w:rsidRPr="003744E1">
              <w:rPr>
                <w:rFonts w:cs="Arial"/>
                <w:bCs/>
                <w:iCs/>
                <w:color w:val="0D0D0D" w:themeColor="text1" w:themeTint="F2"/>
                <w:spacing w:val="-4"/>
                <w:sz w:val="16"/>
                <w:szCs w:val="16"/>
              </w:rPr>
              <w:t>korporátních</w:t>
            </w:r>
            <w:r>
              <w:rPr>
                <w:rFonts w:cs="Arial"/>
                <w:bCs/>
                <w:iCs/>
                <w:color w:val="0D0D0D" w:themeColor="text1" w:themeTint="F2"/>
                <w:spacing w:val="-4"/>
                <w:sz w:val="16"/>
                <w:szCs w:val="16"/>
              </w:rPr>
              <w:t xml:space="preserve"> daní rostlo </w:t>
            </w:r>
            <w:r w:rsidRPr="003744E1">
              <w:rPr>
                <w:rFonts w:cs="Arial"/>
                <w:bCs/>
                <w:iCs/>
                <w:color w:val="0D0D0D" w:themeColor="text1" w:themeTint="F2"/>
                <w:spacing w:val="-4"/>
                <w:sz w:val="16"/>
                <w:szCs w:val="16"/>
              </w:rPr>
              <w:t>nejvíce od konjunkturního roku 2008</w:t>
            </w:r>
          </w:p>
          <w:p w:rsidR="00A644E1" w:rsidRDefault="00A644E1" w:rsidP="00611531">
            <w:pPr>
              <w:spacing w:line="240" w:lineRule="auto"/>
              <w:rPr>
                <w:rFonts w:cs="Arial"/>
                <w:bCs/>
                <w:iCs/>
                <w:color w:val="0D0D0D" w:themeColor="text1" w:themeTint="F2"/>
                <w:spacing w:val="-4"/>
                <w:sz w:val="16"/>
                <w:szCs w:val="16"/>
              </w:rPr>
            </w:pPr>
          </w:p>
          <w:p w:rsidR="00A644E1" w:rsidRDefault="00A644E1" w:rsidP="00611531">
            <w:pPr>
              <w:spacing w:line="240" w:lineRule="auto"/>
              <w:rPr>
                <w:rFonts w:cs="Arial"/>
                <w:bCs/>
                <w:iCs/>
                <w:color w:val="0D0D0D" w:themeColor="text1" w:themeTint="F2"/>
                <w:spacing w:val="-4"/>
                <w:sz w:val="16"/>
                <w:szCs w:val="16"/>
              </w:rPr>
            </w:pPr>
          </w:p>
          <w:p w:rsidR="00A644E1" w:rsidRDefault="00A644E1" w:rsidP="00611531">
            <w:pPr>
              <w:spacing w:line="240" w:lineRule="auto"/>
              <w:rPr>
                <w:rFonts w:cs="Arial"/>
                <w:bCs/>
                <w:iCs/>
                <w:color w:val="0D0D0D" w:themeColor="text1" w:themeTint="F2"/>
                <w:spacing w:val="-4"/>
                <w:sz w:val="16"/>
                <w:szCs w:val="16"/>
              </w:rPr>
            </w:pPr>
          </w:p>
          <w:p w:rsidR="00A644E1" w:rsidRDefault="00A644E1" w:rsidP="00611531">
            <w:pPr>
              <w:spacing w:line="240" w:lineRule="auto"/>
              <w:rPr>
                <w:rFonts w:cs="Arial"/>
                <w:bCs/>
                <w:iCs/>
                <w:color w:val="0D0D0D" w:themeColor="text1" w:themeTint="F2"/>
                <w:sz w:val="16"/>
                <w:szCs w:val="16"/>
              </w:rPr>
            </w:pPr>
            <w:r>
              <w:rPr>
                <w:rFonts w:cs="Arial"/>
                <w:bCs/>
                <w:iCs/>
                <w:color w:val="0D0D0D" w:themeColor="text1" w:themeTint="F2"/>
                <w:sz w:val="16"/>
                <w:szCs w:val="16"/>
              </w:rPr>
              <w:t>Vyššímu výběru daní z příjmů od zaměstnanců bránilo rozšíření daňových slev a částečně i umírněný růst mezd zejména v první polovině roku</w:t>
            </w:r>
          </w:p>
          <w:p w:rsidR="00A644E1" w:rsidRPr="003744E1" w:rsidRDefault="00A644E1" w:rsidP="00611531">
            <w:pPr>
              <w:spacing w:line="240" w:lineRule="auto"/>
              <w:rPr>
                <w:rFonts w:cs="Arial"/>
                <w:bCs/>
                <w:iCs/>
                <w:color w:val="0D0D0D" w:themeColor="text1" w:themeTint="F2"/>
                <w:spacing w:val="-4"/>
                <w:sz w:val="16"/>
                <w:szCs w:val="16"/>
              </w:rPr>
            </w:pPr>
          </w:p>
          <w:p w:rsidR="00A644E1" w:rsidRPr="009720D9" w:rsidRDefault="00A644E1" w:rsidP="00611531">
            <w:pPr>
              <w:spacing w:line="240" w:lineRule="auto"/>
              <w:rPr>
                <w:rFonts w:cs="Arial"/>
                <w:bCs/>
                <w:iCs/>
                <w:color w:val="0D0D0D" w:themeColor="text1" w:themeTint="F2"/>
                <w:szCs w:val="20"/>
              </w:rPr>
            </w:pPr>
          </w:p>
        </w:tc>
        <w:tc>
          <w:tcPr>
            <w:tcW w:w="140" w:type="pct"/>
          </w:tcPr>
          <w:p w:rsidR="00A644E1" w:rsidRPr="009720D9" w:rsidRDefault="00A644E1" w:rsidP="00611531">
            <w:pPr>
              <w:pStyle w:val="Textpoznpodarou"/>
              <w:jc w:val="both"/>
              <w:rPr>
                <w:color w:val="0D0D0D" w:themeColor="text1" w:themeTint="F2"/>
              </w:rPr>
            </w:pPr>
          </w:p>
        </w:tc>
        <w:tc>
          <w:tcPr>
            <w:tcW w:w="3757" w:type="pct"/>
            <w:gridSpan w:val="3"/>
          </w:tcPr>
          <w:p w:rsidR="00A644E1" w:rsidRPr="001E0D70" w:rsidRDefault="00A644E1" w:rsidP="00611531">
            <w:pPr>
              <w:pStyle w:val="Textpoznpodarou"/>
              <w:jc w:val="both"/>
              <w:rPr>
                <w:spacing w:val="-2"/>
              </w:rPr>
            </w:pPr>
            <w:r w:rsidRPr="001E0D70">
              <w:rPr>
                <w:rFonts w:cs="Arial"/>
                <w:color w:val="0D0D0D" w:themeColor="text1" w:themeTint="F2"/>
                <w:spacing w:val="-2"/>
              </w:rPr>
              <w:t xml:space="preserve">Sílící zisky podniků se postupně promítaly rovněž do nárůstu tempa </w:t>
            </w:r>
            <w:r w:rsidRPr="001E0D70">
              <w:rPr>
                <w:spacing w:val="-2"/>
              </w:rPr>
              <w:t>výběru korporátních daní (+9,7 % v roce 2014, +11,4 % rok později). Naopak pod úrovní rozpočtových očekávání zůstal (podobně jako v letech 2013 a 2014) výběr daně z</w:t>
            </w:r>
            <w:r w:rsidR="00FF02EB" w:rsidRPr="001E0D70">
              <w:rPr>
                <w:rFonts w:cs="Arial"/>
                <w:color w:val="0D0D0D" w:themeColor="text1" w:themeTint="F2"/>
                <w:spacing w:val="-2"/>
              </w:rPr>
              <w:t> </w:t>
            </w:r>
            <w:r w:rsidRPr="001E0D70">
              <w:rPr>
                <w:spacing w:val="-2"/>
              </w:rPr>
              <w:t>příjmů fyzických osob (DPFO) ze závislé činnosti, když vzrostl o 4 % (obdobným tempem jako v roce 2014). Pozitivní vliv vyšší zaměstnanosti i postupného zrychlování růstu mezd zčásti tlumila legislativní opatření (zvýšení slevy na druhé a</w:t>
            </w:r>
            <w:r w:rsidR="00FF02EB" w:rsidRPr="001E0D70">
              <w:rPr>
                <w:rFonts w:cs="Arial"/>
                <w:color w:val="0D0D0D" w:themeColor="text1" w:themeTint="F2"/>
                <w:spacing w:val="-2"/>
              </w:rPr>
              <w:t> </w:t>
            </w:r>
            <w:r w:rsidRPr="001E0D70">
              <w:rPr>
                <w:spacing w:val="-2"/>
              </w:rPr>
              <w:t>další dítě, „školkovné“, uplatnění základní slevy u pracujících důchodců). Přestože celostátní výběr korporátních daní rostl v roce 2015 nejrychleji za posledních sedm let, proti svému předkrizovému maximu (z roku 2008) stále o téměř pětinu zaostával. Kromě dopadů recese na daňové inkaso (nejvyšší v roce 2009, ale také v letech 2011 a 2013), působil i vliv snížení daňový sazeb. Inkaso daní od zaměstnanců bylo</w:t>
            </w:r>
            <w:r w:rsidR="00240815">
              <w:rPr>
                <w:spacing w:val="-2"/>
              </w:rPr>
              <w:t> </w:t>
            </w:r>
            <w:r w:rsidRPr="001E0D70">
              <w:rPr>
                <w:spacing w:val="-2"/>
              </w:rPr>
              <w:t>proti svému předkrizovému maximu (z roku 2007) již o 7,7 % vyšší.</w:t>
            </w:r>
          </w:p>
          <w:p w:rsidR="00A644E1" w:rsidRPr="00611531" w:rsidRDefault="00A644E1" w:rsidP="00611531">
            <w:pPr>
              <w:pStyle w:val="Textpoznpodarou"/>
              <w:jc w:val="both"/>
              <w:rPr>
                <w:rFonts w:cs="Arial"/>
                <w:color w:val="0D0D0D" w:themeColor="text1" w:themeTint="F2"/>
                <w:spacing w:val="-2"/>
                <w:sz w:val="18"/>
                <w:szCs w:val="18"/>
              </w:rPr>
            </w:pPr>
          </w:p>
        </w:tc>
      </w:tr>
      <w:tr w:rsidR="00A644E1" w:rsidTr="00E90A4B">
        <w:trPr>
          <w:gridAfter w:val="1"/>
          <w:wAfter w:w="62" w:type="pct"/>
        </w:trPr>
        <w:tc>
          <w:tcPr>
            <w:tcW w:w="1041" w:type="pct"/>
            <w:gridSpan w:val="2"/>
          </w:tcPr>
          <w:p w:rsidR="00A644E1" w:rsidRDefault="00A644E1" w:rsidP="00611531">
            <w:pPr>
              <w:spacing w:line="240" w:lineRule="auto"/>
              <w:rPr>
                <w:rFonts w:cs="Arial"/>
                <w:bCs/>
                <w:iCs/>
                <w:color w:val="0D0D0D" w:themeColor="text1" w:themeTint="F2"/>
                <w:sz w:val="16"/>
                <w:szCs w:val="16"/>
              </w:rPr>
            </w:pPr>
            <w:r>
              <w:rPr>
                <w:rFonts w:cs="Arial"/>
                <w:bCs/>
                <w:iCs/>
                <w:color w:val="0D0D0D" w:themeColor="text1" w:themeTint="F2"/>
                <w:sz w:val="16"/>
                <w:szCs w:val="16"/>
              </w:rPr>
              <w:t>Více než pětina příjmů</w:t>
            </w:r>
            <w:r w:rsidR="001F670A">
              <w:rPr>
                <w:rFonts w:cs="Arial"/>
                <w:bCs/>
                <w:iCs/>
                <w:color w:val="0D0D0D" w:themeColor="text1" w:themeTint="F2"/>
                <w:sz w:val="16"/>
                <w:szCs w:val="16"/>
              </w:rPr>
              <w:t xml:space="preserve"> ČR z rozpočtu EU v období 2007</w:t>
            </w:r>
            <w:r w:rsidR="001F670A" w:rsidRPr="001F670A">
              <w:rPr>
                <w:rFonts w:cs="Arial"/>
                <w:bCs/>
                <w:iCs/>
                <w:color w:val="0D0D0D" w:themeColor="text1" w:themeTint="F2"/>
                <w:sz w:val="16"/>
                <w:szCs w:val="16"/>
              </w:rPr>
              <w:t>–</w:t>
            </w:r>
            <w:r>
              <w:rPr>
                <w:rFonts w:cs="Arial"/>
                <w:bCs/>
                <w:iCs/>
                <w:color w:val="0D0D0D" w:themeColor="text1" w:themeTint="F2"/>
                <w:sz w:val="16"/>
                <w:szCs w:val="16"/>
              </w:rPr>
              <w:t>2015 připadla na poslední rok</w:t>
            </w:r>
          </w:p>
          <w:p w:rsidR="00A644E1" w:rsidRPr="000C0310" w:rsidRDefault="00A644E1" w:rsidP="00611531">
            <w:pPr>
              <w:spacing w:line="240" w:lineRule="auto"/>
              <w:rPr>
                <w:rFonts w:cs="Arial"/>
                <w:bCs/>
                <w:iCs/>
                <w:color w:val="0D0D0D" w:themeColor="text1" w:themeTint="F2"/>
                <w:sz w:val="6"/>
                <w:szCs w:val="6"/>
              </w:rPr>
            </w:pPr>
          </w:p>
        </w:tc>
        <w:tc>
          <w:tcPr>
            <w:tcW w:w="140" w:type="pct"/>
          </w:tcPr>
          <w:p w:rsidR="00A644E1" w:rsidRPr="009720D9" w:rsidRDefault="00A644E1" w:rsidP="00611531">
            <w:pPr>
              <w:pStyle w:val="Textpoznpodarou"/>
              <w:jc w:val="both"/>
              <w:rPr>
                <w:color w:val="0D0D0D" w:themeColor="text1" w:themeTint="F2"/>
              </w:rPr>
            </w:pPr>
          </w:p>
        </w:tc>
        <w:tc>
          <w:tcPr>
            <w:tcW w:w="3757" w:type="pct"/>
            <w:gridSpan w:val="3"/>
          </w:tcPr>
          <w:p w:rsidR="00A644E1" w:rsidRPr="001E0D70" w:rsidRDefault="00A644E1" w:rsidP="00611531">
            <w:pPr>
              <w:pStyle w:val="Textpoznpodarou"/>
              <w:jc w:val="both"/>
              <w:rPr>
                <w:spacing w:val="-2"/>
              </w:rPr>
            </w:pPr>
            <w:r w:rsidRPr="001E0D70">
              <w:rPr>
                <w:spacing w:val="-2"/>
              </w:rPr>
              <w:t>Příjmovou, ale i výdajovou stránku rozpočtu zásadně ovlivnilo očekávané intenzivní dočerpávání prostředků z rozpočtu EU. Celkově získala ČR v roce 2015 téměř 194 mld. korun, šlo o více než pětinu přij</w:t>
            </w:r>
            <w:r w:rsidR="001F670A">
              <w:rPr>
                <w:spacing w:val="-2"/>
              </w:rPr>
              <w:t>atých prostředků za období 2007</w:t>
            </w:r>
            <w:r w:rsidR="001F670A" w:rsidRPr="002A4F70">
              <w:t>–</w:t>
            </w:r>
            <w:r w:rsidRPr="001E0D70">
              <w:rPr>
                <w:spacing w:val="-2"/>
              </w:rPr>
              <w:t>2015. Téměř 57 % příjmů v roce 2015 souviselo se strukturálními fondy, které se také nejvíce podílely na zrychleném dočerpávání (meziročn</w:t>
            </w:r>
            <w:r w:rsidR="00FF02EB">
              <w:rPr>
                <w:spacing w:val="-2"/>
              </w:rPr>
              <w:t>ě byly vyšší o 53 mld. korun, u</w:t>
            </w:r>
            <w:r w:rsidR="00FF02EB" w:rsidRPr="001E0D70">
              <w:rPr>
                <w:rFonts w:cs="Arial"/>
                <w:color w:val="0D0D0D" w:themeColor="text1" w:themeTint="F2"/>
                <w:spacing w:val="-2"/>
              </w:rPr>
              <w:t> </w:t>
            </w:r>
            <w:r w:rsidRPr="001E0D70">
              <w:rPr>
                <w:spacing w:val="-2"/>
              </w:rPr>
              <w:t>kohezních fondů o 23 mld. korun). Po zohlednění plateb do rozpočtu EU činila čistá pozice ČR téměř 152 mld. korun, dvakrát více než v roce 2014.</w:t>
            </w:r>
          </w:p>
          <w:p w:rsidR="00A644E1" w:rsidRPr="00611531" w:rsidRDefault="00A644E1" w:rsidP="00611531">
            <w:pPr>
              <w:pStyle w:val="Textpoznpodarou"/>
              <w:jc w:val="both"/>
              <w:rPr>
                <w:spacing w:val="-2"/>
                <w:sz w:val="18"/>
                <w:szCs w:val="18"/>
              </w:rPr>
            </w:pPr>
          </w:p>
        </w:tc>
      </w:tr>
      <w:tr w:rsidR="00A644E1" w:rsidTr="00E90A4B">
        <w:trPr>
          <w:gridAfter w:val="1"/>
          <w:wAfter w:w="62" w:type="pct"/>
        </w:trPr>
        <w:tc>
          <w:tcPr>
            <w:tcW w:w="1041" w:type="pct"/>
            <w:gridSpan w:val="2"/>
          </w:tcPr>
          <w:p w:rsidR="00A644E1" w:rsidRDefault="00A644E1" w:rsidP="00611531">
            <w:pPr>
              <w:spacing w:line="240" w:lineRule="auto"/>
              <w:rPr>
                <w:rFonts w:cs="Arial"/>
                <w:bCs/>
                <w:iCs/>
                <w:color w:val="0D0D0D" w:themeColor="text1" w:themeTint="F2"/>
                <w:sz w:val="16"/>
                <w:szCs w:val="16"/>
              </w:rPr>
            </w:pPr>
            <w:r w:rsidRPr="0076251D">
              <w:rPr>
                <w:rFonts w:cs="Arial"/>
                <w:bCs/>
                <w:iCs/>
                <w:color w:val="0D0D0D" w:themeColor="text1" w:themeTint="F2"/>
                <w:sz w:val="16"/>
                <w:szCs w:val="16"/>
              </w:rPr>
              <w:t>Dyna</w:t>
            </w:r>
            <w:r>
              <w:rPr>
                <w:rFonts w:cs="Arial"/>
                <w:bCs/>
                <w:iCs/>
                <w:color w:val="0D0D0D" w:themeColor="text1" w:themeTint="F2"/>
                <w:sz w:val="16"/>
                <w:szCs w:val="16"/>
              </w:rPr>
              <w:t>mika růstu výdajů SR zrychlila na nejvyšší tempo po roce 2006</w:t>
            </w:r>
          </w:p>
          <w:p w:rsidR="00A644E1" w:rsidRDefault="00A644E1" w:rsidP="00611531">
            <w:pPr>
              <w:spacing w:line="240" w:lineRule="auto"/>
              <w:rPr>
                <w:rFonts w:cs="Arial"/>
                <w:bCs/>
                <w:iCs/>
                <w:color w:val="0D0D0D" w:themeColor="text1" w:themeTint="F2"/>
                <w:sz w:val="16"/>
                <w:szCs w:val="16"/>
              </w:rPr>
            </w:pPr>
          </w:p>
          <w:p w:rsidR="00FF02EB" w:rsidRDefault="00FF02EB" w:rsidP="00611531">
            <w:pPr>
              <w:spacing w:line="240" w:lineRule="auto"/>
              <w:rPr>
                <w:rFonts w:cs="Arial"/>
                <w:bCs/>
                <w:iCs/>
                <w:color w:val="0D0D0D" w:themeColor="text1" w:themeTint="F2"/>
                <w:sz w:val="16"/>
                <w:szCs w:val="16"/>
              </w:rPr>
            </w:pPr>
          </w:p>
          <w:p w:rsidR="00FF02EB" w:rsidRDefault="00FF02EB" w:rsidP="00611531">
            <w:pPr>
              <w:spacing w:line="240" w:lineRule="auto"/>
              <w:rPr>
                <w:rFonts w:cs="Arial"/>
                <w:bCs/>
                <w:iCs/>
                <w:color w:val="0D0D0D" w:themeColor="text1" w:themeTint="F2"/>
                <w:sz w:val="16"/>
                <w:szCs w:val="16"/>
              </w:rPr>
            </w:pPr>
          </w:p>
          <w:p w:rsidR="00A644E1" w:rsidRDefault="00A644E1" w:rsidP="00611531">
            <w:pPr>
              <w:spacing w:line="240" w:lineRule="auto"/>
              <w:rPr>
                <w:rFonts w:cs="Arial"/>
                <w:bCs/>
                <w:iCs/>
                <w:color w:val="0D0D0D" w:themeColor="text1" w:themeTint="F2"/>
                <w:sz w:val="16"/>
                <w:szCs w:val="16"/>
              </w:rPr>
            </w:pPr>
            <w:r>
              <w:rPr>
                <w:rFonts w:cs="Arial"/>
                <w:bCs/>
                <w:iCs/>
                <w:color w:val="0D0D0D" w:themeColor="text1" w:themeTint="F2"/>
                <w:sz w:val="16"/>
                <w:szCs w:val="16"/>
              </w:rPr>
              <w:lastRenderedPageBreak/>
              <w:t>Na investice směřovala téměř sedmina výdajů státního rozpočtu</w:t>
            </w:r>
          </w:p>
          <w:p w:rsidR="00A644E1" w:rsidRPr="009720D9" w:rsidRDefault="00A644E1" w:rsidP="00611531">
            <w:pPr>
              <w:spacing w:line="240" w:lineRule="auto"/>
              <w:rPr>
                <w:rFonts w:cs="Arial"/>
                <w:bCs/>
                <w:iCs/>
                <w:color w:val="0D0D0D" w:themeColor="text1" w:themeTint="F2"/>
                <w:szCs w:val="20"/>
              </w:rPr>
            </w:pPr>
          </w:p>
        </w:tc>
        <w:tc>
          <w:tcPr>
            <w:tcW w:w="140" w:type="pct"/>
          </w:tcPr>
          <w:p w:rsidR="00A644E1" w:rsidRPr="009720D9" w:rsidRDefault="00A644E1" w:rsidP="00611531">
            <w:pPr>
              <w:pStyle w:val="Textpoznpodarou"/>
              <w:jc w:val="both"/>
              <w:rPr>
                <w:color w:val="0D0D0D" w:themeColor="text1" w:themeTint="F2"/>
              </w:rPr>
            </w:pPr>
          </w:p>
        </w:tc>
        <w:tc>
          <w:tcPr>
            <w:tcW w:w="3757" w:type="pct"/>
            <w:gridSpan w:val="3"/>
          </w:tcPr>
          <w:p w:rsidR="00A644E1" w:rsidRPr="00240815" w:rsidRDefault="00A644E1" w:rsidP="00611531">
            <w:pPr>
              <w:pStyle w:val="Textpoznpodarou"/>
              <w:jc w:val="both"/>
              <w:rPr>
                <w:rFonts w:cs="Arial"/>
              </w:rPr>
            </w:pPr>
            <w:r w:rsidRPr="00240815">
              <w:rPr>
                <w:rFonts w:cs="Arial"/>
                <w:color w:val="0D0D0D" w:themeColor="text1" w:themeTint="F2"/>
              </w:rPr>
              <w:t>Celkové výdaje SR meziročně zrychlily na 7,1 %, proti roku 2014 rostly více než dvojnásobným tempem. Přispěly k tomu hlavně investiční výdaje, meziročně vyšší o</w:t>
            </w:r>
            <w:r w:rsidR="00FF02EB" w:rsidRPr="00240815">
              <w:rPr>
                <w:rFonts w:cs="Arial"/>
                <w:color w:val="0D0D0D" w:themeColor="text1" w:themeTint="F2"/>
              </w:rPr>
              <w:t> </w:t>
            </w:r>
            <w:r w:rsidRPr="00240815">
              <w:rPr>
                <w:rFonts w:cs="Arial"/>
                <w:color w:val="0D0D0D" w:themeColor="text1" w:themeTint="F2"/>
              </w:rPr>
              <w:t xml:space="preserve">58 %. Na spolufinancování společných programů ČR a EU směřovalo 83 % kapitálových výdajů SR. Jednalo se zejména o </w:t>
            </w:r>
            <w:r w:rsidR="00240815" w:rsidRPr="00240815">
              <w:rPr>
                <w:rFonts w:cs="Arial"/>
                <w:color w:val="0D0D0D" w:themeColor="text1" w:themeTint="F2"/>
              </w:rPr>
              <w:t>Operační program D</w:t>
            </w:r>
            <w:r w:rsidRPr="00240815">
              <w:rPr>
                <w:rFonts w:cs="Arial"/>
                <w:color w:val="0D0D0D" w:themeColor="text1" w:themeTint="F2"/>
              </w:rPr>
              <w:t>oprava (</w:t>
            </w:r>
            <w:r w:rsidRPr="00B92A4B">
              <w:rPr>
                <w:rFonts w:cs="Arial"/>
                <w:color w:val="0D0D0D" w:themeColor="text1" w:themeTint="F2"/>
                <w:spacing w:val="-4"/>
              </w:rPr>
              <w:t>41,4</w:t>
            </w:r>
            <w:r w:rsidR="00B92A4B" w:rsidRPr="00B92A4B">
              <w:rPr>
                <w:rFonts w:cs="Arial"/>
                <w:color w:val="0D0D0D" w:themeColor="text1" w:themeTint="F2"/>
                <w:spacing w:val="-4"/>
              </w:rPr>
              <w:t> </w:t>
            </w:r>
            <w:r w:rsidRPr="00B92A4B">
              <w:rPr>
                <w:rFonts w:cs="Arial"/>
                <w:color w:val="0D0D0D" w:themeColor="text1" w:themeTint="F2"/>
                <w:spacing w:val="-4"/>
              </w:rPr>
              <w:t>mld. Kč, meziročně o 27,9 mld. korun více), a dále o oblast podnikání a</w:t>
            </w:r>
            <w:r w:rsidRPr="00240815">
              <w:rPr>
                <w:rFonts w:cs="Arial"/>
                <w:color w:val="0D0D0D" w:themeColor="text1" w:themeTint="F2"/>
              </w:rPr>
              <w:t xml:space="preserve"> inovací, </w:t>
            </w:r>
            <w:r w:rsidRPr="00240815">
              <w:rPr>
                <w:rFonts w:cs="Arial"/>
                <w:color w:val="0D0D0D" w:themeColor="text1" w:themeTint="F2"/>
              </w:rPr>
              <w:lastRenderedPageBreak/>
              <w:t xml:space="preserve">životního prostředí a také regionální operační programy. Investice tvořily rekordních 13,6 % všech výdajů SR, když v letech silné konjunktury se jejich podíl pohyboval jen mírně nad 10 </w:t>
            </w:r>
            <w:r w:rsidRPr="00240815">
              <w:rPr>
                <w:rFonts w:cs="Arial"/>
              </w:rPr>
              <w:t>%.</w:t>
            </w:r>
          </w:p>
          <w:p w:rsidR="00A644E1" w:rsidRPr="00A81094" w:rsidRDefault="00A644E1" w:rsidP="00611531">
            <w:pPr>
              <w:pStyle w:val="Textpoznpodarou"/>
              <w:jc w:val="both"/>
              <w:rPr>
                <w:rFonts w:cs="Arial"/>
                <w:color w:val="0D0D0D" w:themeColor="text1" w:themeTint="F2"/>
                <w:spacing w:val="-2"/>
                <w:sz w:val="14"/>
                <w:szCs w:val="14"/>
              </w:rPr>
            </w:pPr>
          </w:p>
        </w:tc>
      </w:tr>
      <w:tr w:rsidR="00A644E1" w:rsidTr="00E90A4B">
        <w:trPr>
          <w:gridAfter w:val="1"/>
          <w:wAfter w:w="62" w:type="pct"/>
        </w:trPr>
        <w:tc>
          <w:tcPr>
            <w:tcW w:w="1041" w:type="pct"/>
            <w:gridSpan w:val="2"/>
          </w:tcPr>
          <w:p w:rsidR="00A644E1" w:rsidRDefault="00A644E1" w:rsidP="00611531">
            <w:pPr>
              <w:spacing w:line="240" w:lineRule="auto"/>
              <w:rPr>
                <w:rFonts w:cs="Arial"/>
                <w:bCs/>
                <w:iCs/>
                <w:color w:val="0D0D0D" w:themeColor="text1" w:themeTint="F2"/>
                <w:spacing w:val="-4"/>
                <w:sz w:val="16"/>
                <w:szCs w:val="16"/>
              </w:rPr>
            </w:pPr>
            <w:r w:rsidRPr="007D72E0">
              <w:rPr>
                <w:rFonts w:cs="Arial"/>
                <w:bCs/>
                <w:iCs/>
                <w:color w:val="0D0D0D" w:themeColor="text1" w:themeTint="F2"/>
                <w:spacing w:val="-4"/>
                <w:sz w:val="16"/>
                <w:szCs w:val="16"/>
              </w:rPr>
              <w:lastRenderedPageBreak/>
              <w:t>Deficit důchodového účtu se snížil již podruhé v řadě a v roce 2015 dosáhl nejlepšího výsledku za posledních pět let</w:t>
            </w:r>
          </w:p>
          <w:p w:rsidR="00A644E1" w:rsidRDefault="00A644E1" w:rsidP="00611531">
            <w:pPr>
              <w:spacing w:line="240" w:lineRule="auto"/>
              <w:rPr>
                <w:rFonts w:cs="Arial"/>
                <w:bCs/>
                <w:iCs/>
                <w:color w:val="0D0D0D" w:themeColor="text1" w:themeTint="F2"/>
                <w:spacing w:val="-4"/>
                <w:sz w:val="16"/>
                <w:szCs w:val="16"/>
              </w:rPr>
            </w:pPr>
          </w:p>
          <w:p w:rsidR="00A644E1" w:rsidRPr="007D72E0" w:rsidRDefault="00A644E1" w:rsidP="00611531">
            <w:pPr>
              <w:spacing w:line="240" w:lineRule="auto"/>
              <w:rPr>
                <w:rFonts w:cs="Arial"/>
                <w:bCs/>
                <w:iCs/>
                <w:color w:val="0D0D0D" w:themeColor="text1" w:themeTint="F2"/>
                <w:spacing w:val="-4"/>
                <w:sz w:val="16"/>
                <w:szCs w:val="16"/>
              </w:rPr>
            </w:pPr>
          </w:p>
        </w:tc>
        <w:tc>
          <w:tcPr>
            <w:tcW w:w="140" w:type="pct"/>
          </w:tcPr>
          <w:p w:rsidR="00A644E1" w:rsidRPr="009720D9" w:rsidRDefault="00A644E1" w:rsidP="00611531">
            <w:pPr>
              <w:pStyle w:val="Textpoznpodarou"/>
              <w:jc w:val="both"/>
              <w:rPr>
                <w:color w:val="0D0D0D" w:themeColor="text1" w:themeTint="F2"/>
              </w:rPr>
            </w:pPr>
          </w:p>
        </w:tc>
        <w:tc>
          <w:tcPr>
            <w:tcW w:w="3757" w:type="pct"/>
            <w:gridSpan w:val="3"/>
          </w:tcPr>
          <w:p w:rsidR="00A644E1" w:rsidRPr="00240815" w:rsidRDefault="00A644E1" w:rsidP="00611531">
            <w:pPr>
              <w:pStyle w:val="Textpoznpodarou"/>
              <w:jc w:val="both"/>
              <w:rPr>
                <w:rFonts w:cs="Arial"/>
                <w:color w:val="0D0D0D" w:themeColor="text1" w:themeTint="F2"/>
              </w:rPr>
            </w:pPr>
            <w:r w:rsidRPr="00240815">
              <w:rPr>
                <w:rFonts w:cs="Arial"/>
                <w:color w:val="0D0D0D" w:themeColor="text1" w:themeTint="F2"/>
              </w:rPr>
              <w:t>Na vyšších běžných výdajích (o 1,9 %) se z poloviny podílely rostoucí sociální dávky (o 10,5 mld. korun). Bezmála čtyři pětiny sociálních výdajů směřovaly na</w:t>
            </w:r>
            <w:r w:rsidR="00240815">
              <w:rPr>
                <w:rFonts w:cs="Arial"/>
                <w:color w:val="0D0D0D" w:themeColor="text1" w:themeTint="F2"/>
              </w:rPr>
              <w:t> </w:t>
            </w:r>
            <w:r w:rsidRPr="00240815">
              <w:rPr>
                <w:rFonts w:cs="Arial"/>
                <w:color w:val="0D0D0D" w:themeColor="text1" w:themeTint="F2"/>
              </w:rPr>
              <w:t>důchody, jejichž výše byla ovlivněná opětovným přechodem na dřívější valorizační schéma, zčásti i mezigenerační obměnou důchodců. Počet příjemců důchodů nepatrně zrychloval (z 0,2 % na 0,4 %), výhradně vlivem vyšších počtů starobních důchodců. Ačkoliv růst výdajů na důchody (meziročně o 2,4 %) byl letos nejvyšší za poslední tři roky, deficit salda důchodového účtu (rozdíl mezi příjmy a výdaji na důchody ze SR) se díky dynamickému růstu výběru pojistného (o 5,2 %, nejvyšším po roce 2008) nadále snižoval (na 35 mld. korun).</w:t>
            </w:r>
          </w:p>
          <w:p w:rsidR="00A644E1" w:rsidRPr="00A81094" w:rsidRDefault="00A644E1" w:rsidP="00611531">
            <w:pPr>
              <w:pStyle w:val="Textpoznpodarou"/>
              <w:jc w:val="both"/>
              <w:rPr>
                <w:rFonts w:cs="Arial"/>
                <w:color w:val="0D0D0D" w:themeColor="text1" w:themeTint="F2"/>
                <w:spacing w:val="-2"/>
                <w:sz w:val="14"/>
                <w:szCs w:val="14"/>
              </w:rPr>
            </w:pPr>
          </w:p>
        </w:tc>
      </w:tr>
      <w:tr w:rsidR="00A644E1" w:rsidRPr="003A21DC" w:rsidTr="00E90A4B">
        <w:trPr>
          <w:gridAfter w:val="1"/>
          <w:wAfter w:w="62" w:type="pct"/>
        </w:trPr>
        <w:tc>
          <w:tcPr>
            <w:tcW w:w="1041" w:type="pct"/>
            <w:gridSpan w:val="2"/>
          </w:tcPr>
          <w:p w:rsidR="00A644E1" w:rsidRDefault="00A644E1" w:rsidP="00611531">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t>Výdaje na dávky nemocenského pojištění dosáhly nejvyšší absolutní výše po roce 2009, přesto byly stále o více než 3 mld. korun nižší než objem vybraného pojistného</w:t>
            </w:r>
          </w:p>
          <w:p w:rsidR="00A644E1" w:rsidRDefault="00A644E1" w:rsidP="00611531">
            <w:pPr>
              <w:spacing w:line="240" w:lineRule="auto"/>
              <w:rPr>
                <w:rFonts w:cs="Arial"/>
                <w:bCs/>
                <w:iCs/>
                <w:color w:val="0D0D0D" w:themeColor="text1" w:themeTint="F2"/>
                <w:spacing w:val="-4"/>
                <w:sz w:val="16"/>
                <w:szCs w:val="16"/>
              </w:rPr>
            </w:pPr>
          </w:p>
          <w:p w:rsidR="00A644E1" w:rsidRDefault="00A644E1" w:rsidP="00611531">
            <w:pPr>
              <w:spacing w:line="240" w:lineRule="auto"/>
              <w:rPr>
                <w:rFonts w:cs="Arial"/>
                <w:bCs/>
                <w:iCs/>
                <w:color w:val="0D0D0D" w:themeColor="text1" w:themeTint="F2"/>
                <w:spacing w:val="-2"/>
                <w:sz w:val="16"/>
                <w:szCs w:val="16"/>
              </w:rPr>
            </w:pPr>
            <w:r w:rsidRPr="007329F3">
              <w:rPr>
                <w:rFonts w:cs="Arial"/>
                <w:bCs/>
                <w:iCs/>
                <w:color w:val="0D0D0D" w:themeColor="text1" w:themeTint="F2"/>
                <w:spacing w:val="-2"/>
                <w:sz w:val="16"/>
                <w:szCs w:val="16"/>
              </w:rPr>
              <w:t>Dávky státní sociální podpory a pěstounské péče v úhrnu meziročně stagnovaly, podobně jako dávky sociální péče</w:t>
            </w:r>
          </w:p>
          <w:p w:rsidR="00A644E1" w:rsidRDefault="00A644E1" w:rsidP="00611531">
            <w:pPr>
              <w:spacing w:line="240" w:lineRule="auto"/>
              <w:rPr>
                <w:rFonts w:cs="Arial"/>
                <w:bCs/>
                <w:iCs/>
                <w:color w:val="0D0D0D" w:themeColor="text1" w:themeTint="F2"/>
                <w:spacing w:val="-2"/>
                <w:sz w:val="16"/>
                <w:szCs w:val="16"/>
              </w:rPr>
            </w:pPr>
          </w:p>
          <w:p w:rsidR="00A644E1" w:rsidRDefault="00A644E1" w:rsidP="00611531">
            <w:pPr>
              <w:spacing w:line="240" w:lineRule="auto"/>
              <w:rPr>
                <w:rFonts w:cs="Arial"/>
                <w:bCs/>
                <w:iCs/>
                <w:color w:val="0D0D0D" w:themeColor="text1" w:themeTint="F2"/>
                <w:spacing w:val="-4"/>
                <w:sz w:val="16"/>
                <w:szCs w:val="16"/>
              </w:rPr>
            </w:pPr>
          </w:p>
          <w:p w:rsidR="00A644E1" w:rsidRPr="00750404" w:rsidRDefault="00A644E1" w:rsidP="00611531">
            <w:pPr>
              <w:spacing w:line="240" w:lineRule="auto"/>
              <w:rPr>
                <w:color w:val="0D0D0D" w:themeColor="text1" w:themeTint="F2"/>
                <w:spacing w:val="-2"/>
                <w:szCs w:val="20"/>
              </w:rPr>
            </w:pPr>
          </w:p>
        </w:tc>
        <w:tc>
          <w:tcPr>
            <w:tcW w:w="140" w:type="pct"/>
          </w:tcPr>
          <w:p w:rsidR="00A644E1" w:rsidRPr="009720D9" w:rsidRDefault="00A644E1" w:rsidP="00611531">
            <w:pPr>
              <w:pStyle w:val="Textpoznpodarou"/>
              <w:jc w:val="both"/>
              <w:rPr>
                <w:color w:val="0D0D0D" w:themeColor="text1" w:themeTint="F2"/>
              </w:rPr>
            </w:pPr>
          </w:p>
        </w:tc>
        <w:tc>
          <w:tcPr>
            <w:tcW w:w="3757" w:type="pct"/>
            <w:gridSpan w:val="3"/>
          </w:tcPr>
          <w:p w:rsidR="00A644E1" w:rsidRPr="00240815" w:rsidRDefault="00A644E1" w:rsidP="00611531">
            <w:pPr>
              <w:pStyle w:val="Textpoznpodarou"/>
              <w:jc w:val="both"/>
              <w:rPr>
                <w:rFonts w:cs="Arial"/>
                <w:color w:val="0D0D0D" w:themeColor="text1" w:themeTint="F2"/>
                <w:spacing w:val="-2"/>
              </w:rPr>
            </w:pPr>
            <w:r w:rsidRPr="00240815">
              <w:rPr>
                <w:rFonts w:cs="Arial"/>
                <w:color w:val="0D0D0D" w:themeColor="text1" w:themeTint="F2"/>
                <w:spacing w:val="-2"/>
              </w:rPr>
              <w:t>Z ostatních sociálních dávek se zvyšovaly především výdaje na nemocenské pojištění (o 9 %), a to vlivem legislativních opatření (opětovného vyplácení nemocenské již od 15. dne) a také růstu pracovní neschopnosti. Váhově nejvýznamnější dávky státní sociální podpory v úhrnu stagnovaly. V jejich rámci rostly jen dávky pěstounské péče (meziročně o osminu), porodné a příspěvek na</w:t>
            </w:r>
            <w:r w:rsidR="00B92A4B">
              <w:rPr>
                <w:rFonts w:cs="Arial"/>
                <w:color w:val="0D0D0D" w:themeColor="text1" w:themeTint="F2"/>
                <w:spacing w:val="-2"/>
              </w:rPr>
              <w:t> </w:t>
            </w:r>
            <w:r w:rsidRPr="00240815">
              <w:rPr>
                <w:rFonts w:cs="Arial"/>
                <w:color w:val="0D0D0D" w:themeColor="text1" w:themeTint="F2"/>
                <w:spacing w:val="-2"/>
              </w:rPr>
              <w:t>bydlení (o 3,6 %). Dávky sociální péče také stagnovaly, když vyšší výdaje na péči (dle zákona o sociálních službách) byly kompenzovány 7% poklesem výdajů na</w:t>
            </w:r>
            <w:r w:rsidR="00240815">
              <w:rPr>
                <w:rFonts w:cs="Arial"/>
                <w:color w:val="0D0D0D" w:themeColor="text1" w:themeTint="F2"/>
                <w:spacing w:val="-2"/>
              </w:rPr>
              <w:t> </w:t>
            </w:r>
            <w:r w:rsidRPr="00240815">
              <w:rPr>
                <w:rFonts w:cs="Arial"/>
                <w:color w:val="0D0D0D" w:themeColor="text1" w:themeTint="F2"/>
                <w:spacing w:val="-2"/>
              </w:rPr>
              <w:t>dávky v hmotné nouzi. Příznivá situace na trhu práce vyústila také v razantní pokles</w:t>
            </w:r>
            <w:r w:rsidR="00240815">
              <w:rPr>
                <w:rFonts w:cs="Arial"/>
                <w:color w:val="0D0D0D" w:themeColor="text1" w:themeTint="F2"/>
                <w:spacing w:val="-2"/>
              </w:rPr>
              <w:t> </w:t>
            </w:r>
            <w:r w:rsidRPr="00240815">
              <w:rPr>
                <w:rFonts w:cs="Arial"/>
                <w:color w:val="0D0D0D" w:themeColor="text1" w:themeTint="F2"/>
                <w:spacing w:val="-2"/>
              </w:rPr>
              <w:t>výše vyplacených podpor v nezaměstnanosti (proti roku 2014 o celou desetinu, ve</w:t>
            </w:r>
            <w:r w:rsidR="00240815">
              <w:rPr>
                <w:rFonts w:cs="Arial"/>
                <w:color w:val="0D0D0D" w:themeColor="text1" w:themeTint="F2"/>
                <w:spacing w:val="-2"/>
              </w:rPr>
              <w:t> </w:t>
            </w:r>
            <w:r w:rsidRPr="00240815">
              <w:rPr>
                <w:rFonts w:cs="Arial"/>
                <w:color w:val="0D0D0D" w:themeColor="text1" w:themeTint="F2"/>
                <w:spacing w:val="-2"/>
              </w:rPr>
              <w:t>srovnání s rokem nejhlubší recese se snížily dokonce o 45 %). Podporu</w:t>
            </w:r>
            <w:r w:rsidR="00240815">
              <w:rPr>
                <w:rFonts w:cs="Arial"/>
                <w:color w:val="0D0D0D" w:themeColor="text1" w:themeTint="F2"/>
                <w:spacing w:val="-2"/>
              </w:rPr>
              <w:t> </w:t>
            </w:r>
            <w:r w:rsidRPr="00240815">
              <w:rPr>
                <w:rFonts w:cs="Arial"/>
                <w:color w:val="0D0D0D" w:themeColor="text1" w:themeTint="F2"/>
                <w:spacing w:val="-2"/>
              </w:rPr>
              <w:t>v nezaměstnanosti pobírala v prosinci 2015 necelá čtvrtina osob v evidenci úřadů práce (jejich</w:t>
            </w:r>
            <w:r w:rsidR="000567FA">
              <w:rPr>
                <w:rFonts w:cs="Arial"/>
                <w:color w:val="0D0D0D" w:themeColor="text1" w:themeTint="F2"/>
                <w:spacing w:val="-2"/>
              </w:rPr>
              <w:t xml:space="preserve"> podíl meziročně mírně vzrostl </w:t>
            </w:r>
            <w:r w:rsidR="000567FA" w:rsidRPr="002A4F70">
              <w:t>–</w:t>
            </w:r>
            <w:r w:rsidRPr="00240815">
              <w:rPr>
                <w:rFonts w:cs="Arial"/>
                <w:color w:val="0D0D0D" w:themeColor="text1" w:themeTint="F2"/>
                <w:spacing w:val="-2"/>
              </w:rPr>
              <w:t xml:space="preserve"> o 2,5 p</w:t>
            </w:r>
            <w:r w:rsidR="00494343">
              <w:rPr>
                <w:rFonts w:cs="Arial"/>
                <w:color w:val="0D0D0D" w:themeColor="text1" w:themeTint="F2"/>
                <w:spacing w:val="-2"/>
              </w:rPr>
              <w:t>.</w:t>
            </w:r>
            <w:r w:rsidRPr="00240815">
              <w:rPr>
                <w:rFonts w:cs="Arial"/>
                <w:color w:val="0D0D0D" w:themeColor="text1" w:themeTint="F2"/>
                <w:spacing w:val="-2"/>
              </w:rPr>
              <w:t>b.). Souběžně s tím výrazně posílily (zásluhou prostředků z EU) výdaje na aktivní politiku zaměstnanosti, které byly za 1. až 3. čtvrtletí 2015 meziročně o víc</w:t>
            </w:r>
            <w:r w:rsidR="00F7717C">
              <w:rPr>
                <w:rFonts w:cs="Arial"/>
                <w:color w:val="0D0D0D" w:themeColor="text1" w:themeTint="F2"/>
                <w:spacing w:val="-2"/>
              </w:rPr>
              <w:t>e než polovinu vyšší a po dlouhé</w:t>
            </w:r>
            <w:r w:rsidRPr="00240815">
              <w:rPr>
                <w:rFonts w:cs="Arial"/>
                <w:color w:val="0D0D0D" w:themeColor="text1" w:themeTint="F2"/>
                <w:spacing w:val="-2"/>
              </w:rPr>
              <w:t xml:space="preserve"> době dokonce převýšily prostředky na pasivní politiku zaměstnanosti. </w:t>
            </w:r>
          </w:p>
          <w:p w:rsidR="00A644E1" w:rsidRPr="00A81094" w:rsidRDefault="00A644E1" w:rsidP="00611531">
            <w:pPr>
              <w:pStyle w:val="Textpoznpodarou"/>
              <w:jc w:val="both"/>
              <w:rPr>
                <w:rFonts w:cs="Arial"/>
                <w:color w:val="0D0D0D" w:themeColor="text1" w:themeTint="F2"/>
                <w:spacing w:val="-2"/>
                <w:sz w:val="14"/>
                <w:szCs w:val="14"/>
              </w:rPr>
            </w:pPr>
          </w:p>
        </w:tc>
      </w:tr>
      <w:tr w:rsidR="00A644E1" w:rsidTr="00E90A4B">
        <w:trPr>
          <w:gridAfter w:val="1"/>
          <w:wAfter w:w="62" w:type="pct"/>
        </w:trPr>
        <w:tc>
          <w:tcPr>
            <w:tcW w:w="1041" w:type="pct"/>
            <w:gridSpan w:val="2"/>
          </w:tcPr>
          <w:p w:rsidR="00A644E1" w:rsidRPr="009720D9" w:rsidRDefault="00A644E1" w:rsidP="00611531">
            <w:pPr>
              <w:spacing w:line="240" w:lineRule="auto"/>
              <w:rPr>
                <w:rFonts w:cs="Arial"/>
                <w:bCs/>
                <w:iCs/>
                <w:color w:val="0D0D0D" w:themeColor="text1" w:themeTint="F2"/>
                <w:szCs w:val="20"/>
              </w:rPr>
            </w:pPr>
            <w:r w:rsidRPr="000802D1">
              <w:rPr>
                <w:rFonts w:cs="Arial"/>
                <w:bCs/>
                <w:iCs/>
                <w:color w:val="000000" w:themeColor="text1"/>
                <w:spacing w:val="-4"/>
                <w:sz w:val="16"/>
                <w:szCs w:val="16"/>
              </w:rPr>
              <w:t>Výdaje na platy a ostatní platby za odvedenou práci</w:t>
            </w:r>
            <w:r>
              <w:rPr>
                <w:rFonts w:cs="Arial"/>
                <w:bCs/>
                <w:iCs/>
                <w:color w:val="000000" w:themeColor="text1"/>
                <w:spacing w:val="-4"/>
                <w:sz w:val="16"/>
                <w:szCs w:val="16"/>
              </w:rPr>
              <w:t xml:space="preserve"> zrychlily na 7,8 %, proti roku 2009 byly však vyšší jen o</w:t>
            </w:r>
            <w:r w:rsidRPr="00D574FE">
              <w:rPr>
                <w:rFonts w:cs="Arial"/>
                <w:bCs/>
                <w:iCs/>
                <w:color w:val="000000" w:themeColor="text1"/>
                <w:spacing w:val="-4"/>
                <w:sz w:val="16"/>
                <w:szCs w:val="16"/>
              </w:rPr>
              <w:t> </w:t>
            </w:r>
            <w:r>
              <w:rPr>
                <w:rFonts w:cs="Arial"/>
                <w:bCs/>
                <w:iCs/>
                <w:color w:val="000000" w:themeColor="text1"/>
                <w:spacing w:val="-4"/>
                <w:sz w:val="16"/>
                <w:szCs w:val="16"/>
              </w:rPr>
              <w:t>4</w:t>
            </w:r>
            <w:r w:rsidRPr="00D574FE">
              <w:rPr>
                <w:rFonts w:cs="Arial"/>
                <w:bCs/>
                <w:iCs/>
                <w:color w:val="000000" w:themeColor="text1"/>
                <w:spacing w:val="-4"/>
                <w:sz w:val="16"/>
                <w:szCs w:val="16"/>
              </w:rPr>
              <w:t> </w:t>
            </w:r>
            <w:r>
              <w:rPr>
                <w:rFonts w:cs="Arial"/>
                <w:bCs/>
                <w:iCs/>
                <w:color w:val="000000" w:themeColor="text1"/>
                <w:spacing w:val="-4"/>
                <w:sz w:val="16"/>
                <w:szCs w:val="16"/>
              </w:rPr>
              <w:t>%</w:t>
            </w:r>
            <w:r>
              <w:rPr>
                <w:rFonts w:cs="Arial"/>
                <w:bCs/>
                <w:iCs/>
                <w:color w:val="0D0D0D" w:themeColor="text1" w:themeTint="F2"/>
                <w:szCs w:val="20"/>
              </w:rPr>
              <w:t xml:space="preserve"> </w:t>
            </w:r>
          </w:p>
        </w:tc>
        <w:tc>
          <w:tcPr>
            <w:tcW w:w="140" w:type="pct"/>
          </w:tcPr>
          <w:p w:rsidR="00A644E1" w:rsidRPr="009720D9" w:rsidRDefault="00A644E1" w:rsidP="00611531">
            <w:pPr>
              <w:pStyle w:val="Textpoznpodarou"/>
              <w:jc w:val="both"/>
              <w:rPr>
                <w:color w:val="0D0D0D" w:themeColor="text1" w:themeTint="F2"/>
              </w:rPr>
            </w:pPr>
          </w:p>
        </w:tc>
        <w:tc>
          <w:tcPr>
            <w:tcW w:w="3757" w:type="pct"/>
            <w:gridSpan w:val="3"/>
          </w:tcPr>
          <w:p w:rsidR="00A644E1" w:rsidRPr="00240815" w:rsidRDefault="00A644E1" w:rsidP="00611531">
            <w:pPr>
              <w:pStyle w:val="Textpoznpodarou"/>
              <w:jc w:val="both"/>
              <w:rPr>
                <w:rFonts w:cs="Arial"/>
                <w:color w:val="0D0D0D" w:themeColor="text1" w:themeTint="F2"/>
              </w:rPr>
            </w:pPr>
            <w:r w:rsidRPr="00240815">
              <w:rPr>
                <w:rFonts w:cs="Arial"/>
                <w:color w:val="0D0D0D" w:themeColor="text1" w:themeTint="F2"/>
              </w:rPr>
              <w:t>Za nárůstem běžných výdajů SR stál také ústup od dřívějších restriktivních opatření. Ten se projevil také vyššími neinvestičními transfery územním rozpočtům (např. na platy učitelů či příspěvek na výkon státní správy v obcích), růstem výdajů na platy státních zaměstnanců (o 7,8 %, zčásti i vlivem přípravy na</w:t>
            </w:r>
            <w:r w:rsidR="00240815">
              <w:rPr>
                <w:rFonts w:cs="Arial"/>
                <w:color w:val="0D0D0D" w:themeColor="text1" w:themeTint="F2"/>
              </w:rPr>
              <w:t> </w:t>
            </w:r>
            <w:r w:rsidR="00FF02EB" w:rsidRPr="00240815">
              <w:rPr>
                <w:rFonts w:cs="Arial"/>
                <w:color w:val="0D0D0D" w:themeColor="text1" w:themeTint="F2"/>
              </w:rPr>
              <w:t>nový služební zákon, ale i </w:t>
            </w:r>
            <w:r w:rsidRPr="00240815">
              <w:rPr>
                <w:rFonts w:cs="Arial"/>
                <w:color w:val="0D0D0D" w:themeColor="text1" w:themeTint="F2"/>
              </w:rPr>
              <w:t>vyššími platy v obraně či soudnictví). Meziročně vyšší byly také výdaje na neinvestiční nákupy.</w:t>
            </w:r>
          </w:p>
          <w:p w:rsidR="00A644E1" w:rsidRPr="00A81094" w:rsidRDefault="00A644E1" w:rsidP="00611531">
            <w:pPr>
              <w:pStyle w:val="Textpoznpodarou"/>
              <w:jc w:val="both"/>
              <w:rPr>
                <w:rFonts w:cs="Arial"/>
                <w:color w:val="0D0D0D" w:themeColor="text1" w:themeTint="F2"/>
                <w:spacing w:val="-2"/>
                <w:sz w:val="14"/>
                <w:szCs w:val="14"/>
              </w:rPr>
            </w:pPr>
          </w:p>
        </w:tc>
      </w:tr>
      <w:tr w:rsidR="00A644E1" w:rsidTr="00E90A4B">
        <w:trPr>
          <w:gridAfter w:val="1"/>
          <w:wAfter w:w="62" w:type="pct"/>
        </w:trPr>
        <w:tc>
          <w:tcPr>
            <w:tcW w:w="1041" w:type="pct"/>
            <w:gridSpan w:val="2"/>
          </w:tcPr>
          <w:p w:rsidR="00A644E1" w:rsidRPr="00E90A4B" w:rsidRDefault="000A36CE" w:rsidP="00611531">
            <w:pPr>
              <w:spacing w:line="240" w:lineRule="auto"/>
              <w:rPr>
                <w:rFonts w:cs="Arial"/>
                <w:bCs/>
                <w:iCs/>
                <w:color w:val="000000" w:themeColor="text1"/>
                <w:sz w:val="16"/>
                <w:szCs w:val="16"/>
              </w:rPr>
            </w:pPr>
            <w:r w:rsidRPr="00E90A4B">
              <w:rPr>
                <w:rFonts w:cs="Arial"/>
                <w:bCs/>
                <w:iCs/>
                <w:color w:val="000000" w:themeColor="text1"/>
                <w:sz w:val="16"/>
                <w:szCs w:val="16"/>
              </w:rPr>
              <w:t>Výdaje</w:t>
            </w:r>
            <w:r w:rsidR="00A644E1" w:rsidRPr="00E90A4B">
              <w:rPr>
                <w:rFonts w:cs="Arial"/>
                <w:bCs/>
                <w:iCs/>
                <w:color w:val="000000" w:themeColor="text1"/>
                <w:sz w:val="16"/>
                <w:szCs w:val="16"/>
              </w:rPr>
              <w:t xml:space="preserve"> na státní dluh klesaly již druhý rok v řadě, </w:t>
            </w:r>
          </w:p>
          <w:p w:rsidR="00A644E1" w:rsidRPr="00E90A4B" w:rsidRDefault="00A644E1" w:rsidP="00611531">
            <w:pPr>
              <w:spacing w:line="240" w:lineRule="auto"/>
              <w:rPr>
                <w:rFonts w:cs="Arial"/>
                <w:bCs/>
                <w:iCs/>
                <w:color w:val="000000" w:themeColor="text1"/>
                <w:szCs w:val="20"/>
              </w:rPr>
            </w:pPr>
            <w:r w:rsidRPr="00E90A4B">
              <w:rPr>
                <w:rFonts w:cs="Arial"/>
                <w:bCs/>
                <w:iCs/>
                <w:color w:val="000000" w:themeColor="text1"/>
                <w:sz w:val="16"/>
                <w:szCs w:val="16"/>
              </w:rPr>
              <w:t>v kumulaci o 8 %</w:t>
            </w:r>
          </w:p>
        </w:tc>
        <w:tc>
          <w:tcPr>
            <w:tcW w:w="140" w:type="pct"/>
          </w:tcPr>
          <w:p w:rsidR="00A644E1" w:rsidRPr="009720D9" w:rsidRDefault="00A644E1" w:rsidP="00611531">
            <w:pPr>
              <w:pStyle w:val="Textpoznpodarou"/>
              <w:jc w:val="both"/>
              <w:rPr>
                <w:color w:val="0D0D0D" w:themeColor="text1" w:themeTint="F2"/>
              </w:rPr>
            </w:pPr>
          </w:p>
        </w:tc>
        <w:tc>
          <w:tcPr>
            <w:tcW w:w="3757" w:type="pct"/>
            <w:gridSpan w:val="3"/>
          </w:tcPr>
          <w:p w:rsidR="00A644E1" w:rsidRPr="00240815" w:rsidRDefault="00A644E1" w:rsidP="00611531">
            <w:pPr>
              <w:pStyle w:val="Textpoznpodarou"/>
              <w:jc w:val="both"/>
              <w:rPr>
                <w:rFonts w:cs="Arial"/>
                <w:color w:val="0D0D0D" w:themeColor="text1" w:themeTint="F2"/>
              </w:rPr>
            </w:pPr>
            <w:r w:rsidRPr="00240815">
              <w:rPr>
                <w:rFonts w:cs="Arial"/>
                <w:color w:val="0D0D0D" w:themeColor="text1" w:themeTint="F2"/>
              </w:rPr>
              <w:t xml:space="preserve">Podobně jako loni SR ušetřil na odvodech do rozpočtu EU i na výdajích na státní dluh </w:t>
            </w:r>
            <w:r w:rsidRPr="00240815">
              <w:rPr>
                <w:rFonts w:cs="Arial"/>
                <w:color w:val="000000" w:themeColor="text1"/>
              </w:rPr>
              <w:t xml:space="preserve">(-2,7 mld. korun). </w:t>
            </w:r>
            <w:r w:rsidRPr="00240815">
              <w:rPr>
                <w:rFonts w:cs="Arial"/>
                <w:color w:val="0D0D0D" w:themeColor="text1" w:themeTint="F2"/>
              </w:rPr>
              <w:t>Státu</w:t>
            </w:r>
            <w:r w:rsidR="00F7717C">
              <w:rPr>
                <w:rFonts w:cs="Arial"/>
                <w:color w:val="0D0D0D" w:themeColor="text1" w:themeTint="F2"/>
              </w:rPr>
              <w:t xml:space="preserve"> se</w:t>
            </w:r>
            <w:r w:rsidRPr="00240815">
              <w:rPr>
                <w:rFonts w:cs="Arial"/>
                <w:color w:val="0D0D0D" w:themeColor="text1" w:themeTint="F2"/>
              </w:rPr>
              <w:t xml:space="preserve"> koncem léta podařilo poprvé v historii prodat své střednědobé dluhopisy na primárním trhu se zápornými úrokovými sazbami. </w:t>
            </w:r>
          </w:p>
          <w:p w:rsidR="00A644E1" w:rsidRPr="00A81094" w:rsidRDefault="00A644E1" w:rsidP="00611531">
            <w:pPr>
              <w:pStyle w:val="Textpoznpodarou"/>
              <w:jc w:val="both"/>
              <w:rPr>
                <w:rFonts w:cs="Arial"/>
                <w:color w:val="0D0D0D" w:themeColor="text1" w:themeTint="F2"/>
                <w:spacing w:val="-2"/>
                <w:sz w:val="14"/>
                <w:szCs w:val="14"/>
              </w:rPr>
            </w:pPr>
          </w:p>
        </w:tc>
      </w:tr>
      <w:tr w:rsidR="00A644E1" w:rsidTr="00E90A4B">
        <w:trPr>
          <w:gridAfter w:val="1"/>
          <w:wAfter w:w="62" w:type="pct"/>
        </w:trPr>
        <w:tc>
          <w:tcPr>
            <w:tcW w:w="1041" w:type="pct"/>
            <w:gridSpan w:val="2"/>
          </w:tcPr>
          <w:p w:rsidR="00A644E1" w:rsidRPr="00E90A4B" w:rsidRDefault="00A644E1" w:rsidP="00611531">
            <w:pPr>
              <w:spacing w:line="240" w:lineRule="auto"/>
              <w:rPr>
                <w:rFonts w:cs="Arial"/>
                <w:bCs/>
                <w:iCs/>
                <w:color w:val="000000" w:themeColor="text1"/>
                <w:sz w:val="16"/>
                <w:szCs w:val="16"/>
              </w:rPr>
            </w:pPr>
            <w:r w:rsidRPr="00E90A4B">
              <w:rPr>
                <w:rFonts w:cs="Arial"/>
                <w:bCs/>
                <w:iCs/>
                <w:color w:val="000000" w:themeColor="text1"/>
                <w:sz w:val="16"/>
                <w:szCs w:val="16"/>
              </w:rPr>
              <w:t xml:space="preserve">Výše státního dluhu byla v posledních devíti </w:t>
            </w:r>
            <w:r w:rsidR="000A36CE" w:rsidRPr="00E90A4B">
              <w:rPr>
                <w:rFonts w:cs="Arial"/>
                <w:bCs/>
                <w:iCs/>
                <w:color w:val="000000" w:themeColor="text1"/>
                <w:sz w:val="16"/>
                <w:szCs w:val="16"/>
              </w:rPr>
              <w:t>čtvrtletích stabilizovaná</w:t>
            </w:r>
          </w:p>
          <w:p w:rsidR="00A644E1" w:rsidRPr="00E90A4B" w:rsidRDefault="00A644E1" w:rsidP="00611531">
            <w:pPr>
              <w:spacing w:line="240" w:lineRule="auto"/>
              <w:rPr>
                <w:rFonts w:cs="Arial"/>
                <w:bCs/>
                <w:iCs/>
                <w:color w:val="0D0D0D" w:themeColor="text1" w:themeTint="F2"/>
                <w:szCs w:val="20"/>
              </w:rPr>
            </w:pPr>
          </w:p>
        </w:tc>
        <w:tc>
          <w:tcPr>
            <w:tcW w:w="140" w:type="pct"/>
          </w:tcPr>
          <w:p w:rsidR="00A644E1" w:rsidRPr="009720D9" w:rsidRDefault="00A644E1" w:rsidP="00611531">
            <w:pPr>
              <w:pStyle w:val="Textpoznpodarou"/>
              <w:jc w:val="both"/>
              <w:rPr>
                <w:color w:val="0D0D0D" w:themeColor="text1" w:themeTint="F2"/>
              </w:rPr>
            </w:pPr>
          </w:p>
        </w:tc>
        <w:tc>
          <w:tcPr>
            <w:tcW w:w="3757" w:type="pct"/>
            <w:gridSpan w:val="3"/>
          </w:tcPr>
          <w:p w:rsidR="00E90A4B" w:rsidRPr="00240815" w:rsidRDefault="00A644E1" w:rsidP="00611531">
            <w:pPr>
              <w:pStyle w:val="Textpoznpodarou"/>
              <w:jc w:val="both"/>
              <w:rPr>
                <w:rFonts w:cs="Arial"/>
                <w:color w:val="000000" w:themeColor="text1"/>
                <w:spacing w:val="-2"/>
              </w:rPr>
            </w:pPr>
            <w:r w:rsidRPr="00240815">
              <w:rPr>
                <w:rFonts w:cs="Arial"/>
                <w:color w:val="000000" w:themeColor="text1"/>
                <w:spacing w:val="-2"/>
              </w:rPr>
              <w:t>Pokračovala faktická stabilizace státního dluhu. Jeho výše dosahovala na konci roku 2015</w:t>
            </w:r>
            <w:r w:rsidR="00E90A4B">
              <w:rPr>
                <w:rFonts w:cs="Arial"/>
                <w:color w:val="000000" w:themeColor="text1"/>
                <w:spacing w:val="-2"/>
              </w:rPr>
              <w:t xml:space="preserve"> dle MF ČR</w:t>
            </w:r>
            <w:r w:rsidRPr="00240815">
              <w:rPr>
                <w:rFonts w:cs="Arial"/>
                <w:color w:val="000000" w:themeColor="text1"/>
                <w:spacing w:val="-2"/>
              </w:rPr>
              <w:t xml:space="preserve"> rovných 1 673 mld. korun a meziročně vzrostla o 0,6 % (po poklesu v předešlém roce o 1,2 %). Stalo se tak vlivem vývoje v samotném 4. čtvrtletí, během něhož se celkové zadlužení navýšilo o 10 mld. korun. S</w:t>
            </w:r>
            <w:r w:rsidRPr="00240815">
              <w:rPr>
                <w:spacing w:val="-2"/>
              </w:rPr>
              <w:t>tát využil příznivé situace na finančních trzích, kdy si půjčoval se záporným výnosem. Vnější dluh se</w:t>
            </w:r>
            <w:r w:rsidR="00240815">
              <w:rPr>
                <w:spacing w:val="-2"/>
              </w:rPr>
              <w:t> </w:t>
            </w:r>
            <w:r w:rsidRPr="00240815">
              <w:rPr>
                <w:spacing w:val="-2"/>
              </w:rPr>
              <w:t>na celkové zadluženosti státu na konci roku 2015 podílel 17 % (nejméně od</w:t>
            </w:r>
            <w:r w:rsidR="00B92A4B">
              <w:rPr>
                <w:spacing w:val="-2"/>
              </w:rPr>
              <w:t xml:space="preserve"> </w:t>
            </w:r>
            <w:r w:rsidRPr="00240815">
              <w:rPr>
                <w:spacing w:val="-2"/>
              </w:rPr>
              <w:t>počátku roku 2008). Objem českých dluhopisů v držbě zahraničních investorů se během</w:t>
            </w:r>
            <w:r w:rsidR="00240815">
              <w:rPr>
                <w:spacing w:val="-2"/>
              </w:rPr>
              <w:t> </w:t>
            </w:r>
            <w:r w:rsidRPr="00240815">
              <w:rPr>
                <w:spacing w:val="-2"/>
              </w:rPr>
              <w:t>roku 2015 zvýšil téměř o polovinu a na konci 4. čtvrtletí činil 295 mld.</w:t>
            </w:r>
            <w:r w:rsidR="00240815" w:rsidRPr="00240815">
              <w:rPr>
                <w:spacing w:val="-2"/>
              </w:rPr>
              <w:t> </w:t>
            </w:r>
            <w:r w:rsidRPr="00240815">
              <w:rPr>
                <w:spacing w:val="-2"/>
              </w:rPr>
              <w:t>korun.</w:t>
            </w:r>
          </w:p>
          <w:p w:rsidR="00A644E1" w:rsidRPr="00A81094" w:rsidRDefault="00A644E1" w:rsidP="00611531">
            <w:pPr>
              <w:pStyle w:val="Textpoznpodarou"/>
              <w:jc w:val="both"/>
              <w:rPr>
                <w:rFonts w:cs="Arial"/>
                <w:color w:val="0D0D0D" w:themeColor="text1" w:themeTint="F2"/>
                <w:spacing w:val="-2"/>
                <w:sz w:val="14"/>
                <w:szCs w:val="14"/>
              </w:rPr>
            </w:pPr>
          </w:p>
        </w:tc>
      </w:tr>
      <w:tr w:rsidR="00E90A4B" w:rsidTr="00E90A4B">
        <w:trPr>
          <w:gridAfter w:val="1"/>
          <w:wAfter w:w="62" w:type="pct"/>
        </w:trPr>
        <w:tc>
          <w:tcPr>
            <w:tcW w:w="1041" w:type="pct"/>
            <w:gridSpan w:val="2"/>
          </w:tcPr>
          <w:p w:rsidR="00E90A4B" w:rsidRPr="00E90A4B" w:rsidRDefault="00E90A4B" w:rsidP="00611531">
            <w:pPr>
              <w:spacing w:line="240" w:lineRule="auto"/>
              <w:rPr>
                <w:rFonts w:cs="Arial"/>
                <w:bCs/>
                <w:iCs/>
                <w:color w:val="000000" w:themeColor="text1"/>
                <w:sz w:val="16"/>
                <w:szCs w:val="16"/>
              </w:rPr>
            </w:pPr>
            <w:r w:rsidRPr="00E90A4B">
              <w:rPr>
                <w:rFonts w:cs="Arial"/>
                <w:bCs/>
                <w:iCs/>
                <w:color w:val="000000" w:themeColor="text1"/>
                <w:sz w:val="16"/>
                <w:szCs w:val="16"/>
              </w:rPr>
              <w:t>Dluh sektoru vládních institucí ve vztahu k HDP se během prvních třech čtvrtletí roku 2015 snížil, podobně jako ve většině zemí EU</w:t>
            </w:r>
          </w:p>
        </w:tc>
        <w:tc>
          <w:tcPr>
            <w:tcW w:w="140" w:type="pct"/>
          </w:tcPr>
          <w:p w:rsidR="00E90A4B" w:rsidRPr="009720D9" w:rsidRDefault="00E90A4B" w:rsidP="00611531">
            <w:pPr>
              <w:pStyle w:val="Textpoznpodarou"/>
              <w:jc w:val="both"/>
              <w:rPr>
                <w:color w:val="0D0D0D" w:themeColor="text1" w:themeTint="F2"/>
              </w:rPr>
            </w:pPr>
          </w:p>
        </w:tc>
        <w:tc>
          <w:tcPr>
            <w:tcW w:w="3757" w:type="pct"/>
            <w:gridSpan w:val="3"/>
          </w:tcPr>
          <w:p w:rsidR="00E90A4B" w:rsidRPr="00E90A4B" w:rsidRDefault="00E90A4B" w:rsidP="00E90A4B">
            <w:pPr>
              <w:pStyle w:val="Textpoznpodarou"/>
              <w:jc w:val="both"/>
              <w:rPr>
                <w:rFonts w:cs="Arial"/>
                <w:color w:val="000000" w:themeColor="text1"/>
              </w:rPr>
            </w:pPr>
            <w:r w:rsidRPr="00E90A4B">
              <w:t>Dluh celého sektoru vládních institucí (zohledňující mj. i hospodaření územně správních celků či fondů sociálního zabezpečení) dosáhl dle aktuálních dat ČSÚ na konci 3. čtvrtletí 2015</w:t>
            </w:r>
            <w:r>
              <w:rPr>
                <w:rStyle w:val="Znakapoznpodarou"/>
              </w:rPr>
              <w:footnoteReference w:id="21"/>
            </w:r>
            <w:r w:rsidRPr="00E90A4B">
              <w:t xml:space="preserve"> výše 1831,3 mld. korun a ve vztahu k HDP činil 41,4 % (na konci roku 2014 pak 42,7 %). Pokles relativní úrovně dluhu vládních institucí je výsledkem jak růstu nominálního HDP, tak stabilizace nominální úrovně státního dluhu, jenž tvoří dominantní část celkového dluhu vládních institucí. Relativní výše dluhu sektoru vládních institucí v ČR byla na konci 3. čtvrtletí 2015 sedmá nejnižší mezi zeměmi EU (podobné postavení jako ČR měly např. také Dánsko či Švédsko). Od počátku roku 2015 se relativní zadluženost snížila ve větši</w:t>
            </w:r>
            <w:r>
              <w:t>ně zemí EU (nejvíce v Irsku – z</w:t>
            </w:r>
            <w:r w:rsidRPr="00E90A4B">
              <w:t xml:space="preserve"> 107,5 % na 99,4 %), naopak o více než 3 p.b. se navýšila ve Slovinsku (na 84,1 %).</w:t>
            </w:r>
          </w:p>
        </w:tc>
      </w:tr>
      <w:tr w:rsidR="00A644E1" w:rsidTr="00E90A4B">
        <w:tc>
          <w:tcPr>
            <w:tcW w:w="300" w:type="pct"/>
          </w:tcPr>
          <w:p w:rsidR="00A644E1" w:rsidRDefault="00FF02EB" w:rsidP="00611531">
            <w:pPr>
              <w:spacing w:line="240" w:lineRule="auto"/>
            </w:pPr>
            <w:r>
              <w:rPr>
                <w:sz w:val="14"/>
                <w:szCs w:val="14"/>
              </w:rPr>
              <w:lastRenderedPageBreak/>
              <w:br w:type="page"/>
            </w:r>
            <w:r w:rsidR="00A644E1">
              <w:t>Graf č. 19</w:t>
            </w:r>
          </w:p>
        </w:tc>
        <w:tc>
          <w:tcPr>
            <w:tcW w:w="2216" w:type="pct"/>
            <w:gridSpan w:val="3"/>
          </w:tcPr>
          <w:p w:rsidR="00A644E1" w:rsidRPr="00E43BFF" w:rsidRDefault="00A644E1" w:rsidP="00611531">
            <w:pPr>
              <w:spacing w:line="240" w:lineRule="auto"/>
              <w:rPr>
                <w:rFonts w:cs="Arial"/>
                <w:b/>
                <w:bCs/>
              </w:rPr>
            </w:pPr>
            <w:r>
              <w:rPr>
                <w:rFonts w:cs="Arial"/>
                <w:b/>
                <w:bCs/>
              </w:rPr>
              <w:t xml:space="preserve">Celostátní inkasa daňových příjmů </w:t>
            </w:r>
            <w:r w:rsidRPr="008A3A85">
              <w:rPr>
                <w:rFonts w:cs="Arial"/>
                <w:bCs/>
              </w:rPr>
              <w:t>(y/y, v %)</w:t>
            </w:r>
            <w:r>
              <w:rPr>
                <w:rFonts w:cs="Arial"/>
                <w:bCs/>
              </w:rPr>
              <w:t xml:space="preserve"> </w:t>
            </w:r>
            <w:r>
              <w:rPr>
                <w:rFonts w:cs="Arial"/>
                <w:b/>
                <w:bCs/>
              </w:rPr>
              <w:t>a saldo státního rozpočtu</w:t>
            </w:r>
            <w:r>
              <w:t xml:space="preserve"> </w:t>
            </w:r>
            <w:r>
              <w:rPr>
                <w:rFonts w:cs="Arial"/>
                <w:bCs/>
              </w:rPr>
              <w:t>(v mld. korun)</w:t>
            </w:r>
          </w:p>
        </w:tc>
        <w:tc>
          <w:tcPr>
            <w:tcW w:w="360" w:type="pct"/>
          </w:tcPr>
          <w:p w:rsidR="00A644E1" w:rsidRDefault="00A644E1" w:rsidP="00611531">
            <w:pPr>
              <w:spacing w:line="240" w:lineRule="auto"/>
            </w:pPr>
            <w:r>
              <w:t>Graf č. 20</w:t>
            </w:r>
          </w:p>
        </w:tc>
        <w:tc>
          <w:tcPr>
            <w:tcW w:w="2125" w:type="pct"/>
            <w:gridSpan w:val="2"/>
          </w:tcPr>
          <w:p w:rsidR="00A644E1" w:rsidRDefault="00A644E1" w:rsidP="00611531">
            <w:pPr>
              <w:spacing w:line="240" w:lineRule="auto"/>
              <w:rPr>
                <w:rFonts w:cs="Arial"/>
                <w:b/>
                <w:bCs/>
              </w:rPr>
            </w:pPr>
            <w:r>
              <w:rPr>
                <w:rFonts w:cs="Arial"/>
                <w:b/>
                <w:bCs/>
              </w:rPr>
              <w:t>Vybrané výdaje státního rozpočtu</w:t>
            </w:r>
          </w:p>
          <w:p w:rsidR="00A644E1" w:rsidRPr="006F2BEE" w:rsidRDefault="00A644E1" w:rsidP="00611531">
            <w:pPr>
              <w:spacing w:line="240" w:lineRule="auto"/>
              <w:rPr>
                <w:rFonts w:cs="Arial"/>
                <w:b/>
                <w:bCs/>
                <w:spacing w:val="-2"/>
              </w:rPr>
            </w:pPr>
            <w:r>
              <w:rPr>
                <w:rFonts w:cs="Arial"/>
                <w:bCs/>
              </w:rPr>
              <w:t>(</w:t>
            </w:r>
            <w:r w:rsidRPr="00DB06E9">
              <w:rPr>
                <w:rFonts w:cs="Arial"/>
                <w:bCs/>
              </w:rPr>
              <w:t>v mld. korun</w:t>
            </w:r>
            <w:r>
              <w:rPr>
                <w:rFonts w:cs="Arial"/>
                <w:bCs/>
              </w:rPr>
              <w:t>)</w:t>
            </w:r>
          </w:p>
        </w:tc>
      </w:tr>
      <w:tr w:rsidR="00A644E1" w:rsidTr="00E90A4B">
        <w:tc>
          <w:tcPr>
            <w:tcW w:w="2515" w:type="pct"/>
            <w:gridSpan w:val="4"/>
          </w:tcPr>
          <w:p w:rsidR="00A644E1" w:rsidRDefault="009256C5" w:rsidP="00611531">
            <w:pPr>
              <w:pStyle w:val="Textpoznpodarou"/>
              <w:jc w:val="both"/>
            </w:pPr>
            <w:r>
              <w:pict>
                <v:shape id="_x0000_i1043" type="#_x0000_t75" style="width:242.3pt;height:181.55pt">
                  <v:imagedata r:id="rId30" o:title=""/>
                </v:shape>
              </w:pict>
            </w:r>
          </w:p>
        </w:tc>
        <w:tc>
          <w:tcPr>
            <w:tcW w:w="2485" w:type="pct"/>
            <w:gridSpan w:val="3"/>
          </w:tcPr>
          <w:p w:rsidR="00A644E1" w:rsidRDefault="009256C5" w:rsidP="00611531">
            <w:pPr>
              <w:pStyle w:val="Textpoznpodarou"/>
              <w:jc w:val="both"/>
            </w:pPr>
            <w:r>
              <w:pict>
                <v:shape id="_x0000_i1044" type="#_x0000_t75" style="width:241.05pt;height:182.2pt">
                  <v:imagedata r:id="rId31" o:title=""/>
                </v:shape>
              </w:pict>
            </w:r>
          </w:p>
        </w:tc>
      </w:tr>
      <w:tr w:rsidR="00A644E1" w:rsidTr="00E90A4B">
        <w:tc>
          <w:tcPr>
            <w:tcW w:w="5000" w:type="pct"/>
            <w:gridSpan w:val="7"/>
          </w:tcPr>
          <w:p w:rsidR="00A644E1" w:rsidRDefault="00A644E1" w:rsidP="00611531">
            <w:pPr>
              <w:pStyle w:val="Textpoznpodarou"/>
              <w:rPr>
                <w:sz w:val="18"/>
                <w:szCs w:val="18"/>
              </w:rPr>
            </w:pPr>
            <w:r w:rsidRPr="004C5813">
              <w:rPr>
                <w:sz w:val="18"/>
                <w:szCs w:val="18"/>
              </w:rPr>
              <w:t>*vč. dávek pěstounské péče</w:t>
            </w:r>
            <w:r>
              <w:rPr>
                <w:sz w:val="18"/>
                <w:szCs w:val="18"/>
              </w:rPr>
              <w:t xml:space="preserve">         </w:t>
            </w:r>
          </w:p>
          <w:p w:rsidR="00A644E1" w:rsidRDefault="00A644E1" w:rsidP="00611531">
            <w:pPr>
              <w:pStyle w:val="Textpoznpodarou"/>
              <w:rPr>
                <w:sz w:val="18"/>
                <w:szCs w:val="18"/>
              </w:rPr>
            </w:pPr>
            <w:r w:rsidRPr="004C5813">
              <w:rPr>
                <w:sz w:val="18"/>
                <w:szCs w:val="18"/>
              </w:rPr>
              <w:t>**dávky pomoci</w:t>
            </w:r>
            <w:r>
              <w:rPr>
                <w:sz w:val="18"/>
                <w:szCs w:val="18"/>
              </w:rPr>
              <w:t xml:space="preserve"> v hmotné</w:t>
            </w:r>
            <w:r w:rsidRPr="004C5813">
              <w:rPr>
                <w:sz w:val="18"/>
                <w:szCs w:val="18"/>
              </w:rPr>
              <w:t xml:space="preserve"> n</w:t>
            </w:r>
            <w:r>
              <w:rPr>
                <w:sz w:val="18"/>
                <w:szCs w:val="18"/>
              </w:rPr>
              <w:t>ouzi, dávky osobám se zdravotním</w:t>
            </w:r>
            <w:r w:rsidRPr="004C5813">
              <w:rPr>
                <w:sz w:val="18"/>
                <w:szCs w:val="18"/>
              </w:rPr>
              <w:t xml:space="preserve"> </w:t>
            </w:r>
            <w:r>
              <w:rPr>
                <w:sz w:val="18"/>
                <w:szCs w:val="18"/>
              </w:rPr>
              <w:t xml:space="preserve">postižením, příspěvek na péči </w:t>
            </w:r>
            <w:r w:rsidRPr="004C5813">
              <w:rPr>
                <w:sz w:val="18"/>
                <w:szCs w:val="18"/>
              </w:rPr>
              <w:t>dle zákona o sociálních službách</w:t>
            </w:r>
            <w:r>
              <w:rPr>
                <w:sz w:val="18"/>
                <w:szCs w:val="18"/>
              </w:rPr>
              <w:t xml:space="preserve">, </w:t>
            </w:r>
          </w:p>
          <w:p w:rsidR="00A644E1" w:rsidRPr="009E6613" w:rsidRDefault="00A644E1" w:rsidP="00611531">
            <w:pPr>
              <w:pStyle w:val="Textpoznpodarou"/>
              <w:rPr>
                <w:sz w:val="18"/>
                <w:szCs w:val="18"/>
              </w:rPr>
            </w:pPr>
            <w:r>
              <w:rPr>
                <w:sz w:val="18"/>
                <w:szCs w:val="18"/>
              </w:rPr>
              <w:t xml:space="preserve">*** bez </w:t>
            </w:r>
            <w:r w:rsidRPr="00242FC4">
              <w:rPr>
                <w:sz w:val="18"/>
                <w:szCs w:val="18"/>
              </w:rPr>
              <w:t>úroků a ostatních finančních výdajů</w:t>
            </w:r>
            <w:r>
              <w:rPr>
                <w:sz w:val="18"/>
                <w:szCs w:val="18"/>
              </w:rPr>
              <w:t xml:space="preserve">                                                             </w:t>
            </w:r>
            <w:r w:rsidR="00240815">
              <w:rPr>
                <w:sz w:val="18"/>
                <w:szCs w:val="18"/>
              </w:rPr>
              <w:t xml:space="preserve">                          </w:t>
            </w:r>
            <w:r>
              <w:rPr>
                <w:sz w:val="18"/>
                <w:szCs w:val="18"/>
              </w:rPr>
              <w:t xml:space="preserve">     </w:t>
            </w:r>
            <w:r>
              <w:rPr>
                <w:rFonts w:cs="Arial"/>
                <w:sz w:val="18"/>
                <w:szCs w:val="18"/>
              </w:rPr>
              <w:t>Zdroj: MF</w:t>
            </w:r>
            <w:r w:rsidR="00240815">
              <w:rPr>
                <w:rFonts w:cs="Arial"/>
                <w:sz w:val="18"/>
                <w:szCs w:val="18"/>
              </w:rPr>
              <w:t xml:space="preserve"> ČR</w:t>
            </w:r>
            <w:r>
              <w:rPr>
                <w:rFonts w:cs="Arial"/>
                <w:sz w:val="18"/>
                <w:szCs w:val="18"/>
              </w:rPr>
              <w:t>, MPSV</w:t>
            </w:r>
          </w:p>
        </w:tc>
      </w:tr>
    </w:tbl>
    <w:p w:rsidR="00A644E1" w:rsidRPr="001E0D70" w:rsidRDefault="00A644E1" w:rsidP="00A644E1">
      <w:pPr>
        <w:pStyle w:val="Textpoznpodarou"/>
        <w:rPr>
          <w:rFonts w:cs="Arial"/>
        </w:rPr>
      </w:pPr>
    </w:p>
    <w:tbl>
      <w:tblPr>
        <w:tblW w:w="5079" w:type="pct"/>
        <w:tblCellMar>
          <w:left w:w="28" w:type="dxa"/>
          <w:right w:w="28" w:type="dxa"/>
        </w:tblCellMar>
        <w:tblLook w:val="04A0"/>
      </w:tblPr>
      <w:tblGrid>
        <w:gridCol w:w="750"/>
        <w:gridCol w:w="4180"/>
        <w:gridCol w:w="715"/>
        <w:gridCol w:w="4202"/>
      </w:tblGrid>
      <w:tr w:rsidR="00A644E1" w:rsidTr="00611531">
        <w:tc>
          <w:tcPr>
            <w:tcW w:w="382" w:type="pct"/>
          </w:tcPr>
          <w:p w:rsidR="00A644E1" w:rsidRDefault="007F42E0" w:rsidP="00611531">
            <w:pPr>
              <w:spacing w:line="240" w:lineRule="auto"/>
            </w:pPr>
            <w:r>
              <w:t>Graf č. 21</w:t>
            </w:r>
          </w:p>
        </w:tc>
        <w:tc>
          <w:tcPr>
            <w:tcW w:w="2128" w:type="pct"/>
          </w:tcPr>
          <w:p w:rsidR="00A644E1" w:rsidRPr="00D90B56" w:rsidRDefault="00A644E1" w:rsidP="00611531">
            <w:pPr>
              <w:spacing w:line="240" w:lineRule="auto"/>
              <w:rPr>
                <w:rFonts w:cs="Arial"/>
                <w:b/>
                <w:bCs/>
              </w:rPr>
            </w:pPr>
            <w:r>
              <w:rPr>
                <w:rFonts w:cs="Arial"/>
                <w:b/>
                <w:bCs/>
              </w:rPr>
              <w:t xml:space="preserve">Struktura příjmů ČR z rozpočtu EU, celková čistá pozice </w:t>
            </w:r>
            <w:r>
              <w:rPr>
                <w:rFonts w:cs="Arial"/>
                <w:bCs/>
              </w:rPr>
              <w:t>(</w:t>
            </w:r>
            <w:r w:rsidRPr="00DB06E9">
              <w:rPr>
                <w:rFonts w:cs="Arial"/>
                <w:bCs/>
              </w:rPr>
              <w:t>v mld. korun)</w:t>
            </w:r>
          </w:p>
        </w:tc>
        <w:tc>
          <w:tcPr>
            <w:tcW w:w="362" w:type="pct"/>
          </w:tcPr>
          <w:p w:rsidR="00A644E1" w:rsidRDefault="00A644E1" w:rsidP="00611531">
            <w:pPr>
              <w:spacing w:line="240" w:lineRule="auto"/>
            </w:pPr>
            <w:r>
              <w:t>Graf č. 2</w:t>
            </w:r>
            <w:r w:rsidR="007F42E0">
              <w:t>2</w:t>
            </w:r>
          </w:p>
        </w:tc>
        <w:tc>
          <w:tcPr>
            <w:tcW w:w="2129" w:type="pct"/>
          </w:tcPr>
          <w:p w:rsidR="00A644E1" w:rsidRDefault="00A644E1" w:rsidP="00611531">
            <w:pPr>
              <w:spacing w:line="240" w:lineRule="auto"/>
              <w:rPr>
                <w:rFonts w:cs="Arial"/>
                <w:bCs/>
                <w:spacing w:val="-2"/>
              </w:rPr>
            </w:pPr>
            <w:r>
              <w:rPr>
                <w:rFonts w:cs="Arial"/>
                <w:b/>
                <w:bCs/>
                <w:spacing w:val="-2"/>
              </w:rPr>
              <w:t xml:space="preserve">Příjmy </w:t>
            </w:r>
            <w:r w:rsidRPr="006F2BEE">
              <w:rPr>
                <w:rFonts w:cs="Arial"/>
                <w:b/>
                <w:bCs/>
                <w:spacing w:val="-2"/>
              </w:rPr>
              <w:t>a výdaje</w:t>
            </w:r>
            <w:r>
              <w:rPr>
                <w:rFonts w:cs="Arial"/>
                <w:b/>
                <w:bCs/>
                <w:spacing w:val="-2"/>
              </w:rPr>
              <w:t xml:space="preserve"> na důchody ze SR</w:t>
            </w:r>
            <w:r w:rsidRPr="006F2BEE">
              <w:rPr>
                <w:rFonts w:cs="Arial"/>
                <w:b/>
                <w:bCs/>
                <w:spacing w:val="-2"/>
              </w:rPr>
              <w:t xml:space="preserve"> </w:t>
            </w:r>
            <w:r w:rsidRPr="006F2BEE">
              <w:rPr>
                <w:rFonts w:cs="Arial"/>
                <w:bCs/>
                <w:spacing w:val="-2"/>
              </w:rPr>
              <w:t xml:space="preserve">(y/y, v %) </w:t>
            </w:r>
          </w:p>
          <w:p w:rsidR="00A644E1" w:rsidRPr="006F2BEE" w:rsidRDefault="00A644E1" w:rsidP="00611531">
            <w:pPr>
              <w:spacing w:line="240" w:lineRule="auto"/>
              <w:rPr>
                <w:rFonts w:cs="Arial"/>
                <w:b/>
                <w:bCs/>
                <w:spacing w:val="-2"/>
              </w:rPr>
            </w:pPr>
            <w:r w:rsidRPr="006F2BEE">
              <w:rPr>
                <w:rFonts w:cs="Arial"/>
                <w:b/>
                <w:bCs/>
                <w:spacing w:val="-2"/>
              </w:rPr>
              <w:t xml:space="preserve">a bilance </w:t>
            </w:r>
            <w:r>
              <w:rPr>
                <w:rFonts w:cs="Arial"/>
                <w:b/>
                <w:bCs/>
                <w:spacing w:val="-2"/>
              </w:rPr>
              <w:t>důchodového</w:t>
            </w:r>
            <w:r w:rsidRPr="006F2BEE">
              <w:rPr>
                <w:rFonts w:cs="Arial"/>
                <w:b/>
                <w:bCs/>
                <w:spacing w:val="-2"/>
              </w:rPr>
              <w:t xml:space="preserve"> účtu </w:t>
            </w:r>
            <w:r w:rsidRPr="006F2BEE">
              <w:rPr>
                <w:rFonts w:cs="Arial"/>
                <w:bCs/>
                <w:spacing w:val="-2"/>
              </w:rPr>
              <w:t>(v mld. korun)</w:t>
            </w:r>
            <w:r>
              <w:rPr>
                <w:rFonts w:cs="Arial"/>
                <w:bCs/>
              </w:rPr>
              <w:t xml:space="preserve"> </w:t>
            </w:r>
          </w:p>
        </w:tc>
      </w:tr>
      <w:tr w:rsidR="00A644E1" w:rsidTr="00611531">
        <w:tc>
          <w:tcPr>
            <w:tcW w:w="2509" w:type="pct"/>
            <w:gridSpan w:val="2"/>
          </w:tcPr>
          <w:p w:rsidR="00A644E1" w:rsidRDefault="009256C5" w:rsidP="00611531">
            <w:pPr>
              <w:pStyle w:val="Textpoznpodarou"/>
              <w:jc w:val="both"/>
            </w:pPr>
            <w:r>
              <w:pict>
                <v:shape id="_x0000_i1045" type="#_x0000_t75" style="width:243.55pt;height:179.05pt">
                  <v:imagedata r:id="rId32" o:title=""/>
                </v:shape>
              </w:pict>
            </w:r>
          </w:p>
        </w:tc>
        <w:tc>
          <w:tcPr>
            <w:tcW w:w="2491" w:type="pct"/>
            <w:gridSpan w:val="2"/>
          </w:tcPr>
          <w:p w:rsidR="00A644E1" w:rsidRDefault="009256C5" w:rsidP="00611531">
            <w:pPr>
              <w:pStyle w:val="Textpoznpodarou"/>
              <w:jc w:val="both"/>
            </w:pPr>
            <w:r>
              <w:pict>
                <v:shape id="_x0000_i1046" type="#_x0000_t75" style="width:242.9pt;height:179.05pt">
                  <v:imagedata r:id="rId33" o:title=""/>
                </v:shape>
              </w:pict>
            </w:r>
          </w:p>
        </w:tc>
      </w:tr>
      <w:tr w:rsidR="00A644E1" w:rsidTr="00611531">
        <w:tc>
          <w:tcPr>
            <w:tcW w:w="5000" w:type="pct"/>
            <w:gridSpan w:val="4"/>
          </w:tcPr>
          <w:p w:rsidR="00A644E1" w:rsidRPr="004C5813" w:rsidRDefault="00A644E1" w:rsidP="00611531">
            <w:pPr>
              <w:autoSpaceDE w:val="0"/>
              <w:autoSpaceDN w:val="0"/>
              <w:adjustRightInd w:val="0"/>
              <w:spacing w:line="240" w:lineRule="auto"/>
              <w:rPr>
                <w:rFonts w:cs="Arial"/>
                <w:color w:val="000000" w:themeColor="text1"/>
                <w:spacing w:val="-2"/>
                <w:sz w:val="18"/>
                <w:szCs w:val="18"/>
              </w:rPr>
            </w:pPr>
            <w:r w:rsidRPr="004C5813">
              <w:rPr>
                <w:sz w:val="18"/>
                <w:szCs w:val="18"/>
                <w:lang w:eastAsia="ar-SA"/>
              </w:rPr>
              <w:t>*</w:t>
            </w:r>
            <w:r w:rsidRPr="004C5813">
              <w:rPr>
                <w:rFonts w:ascii="TimesNewRoman,Italic" w:hAnsi="TimesNewRoman,Italic" w:cs="TimesNewRoman,Italic"/>
                <w:i/>
                <w:iCs/>
                <w:sz w:val="18"/>
                <w:szCs w:val="18"/>
              </w:rPr>
              <w:t xml:space="preserve"> </w:t>
            </w:r>
            <w:r w:rsidRPr="00D90B56">
              <w:rPr>
                <w:rFonts w:cs="Arial"/>
                <w:color w:val="000000" w:themeColor="text1"/>
                <w:spacing w:val="-2"/>
                <w:sz w:val="18"/>
                <w:szCs w:val="18"/>
              </w:rPr>
              <w:t>zahrnují programy přímo řízené Komisí (Horizont 2020, Nástroj pro</w:t>
            </w:r>
            <w:r>
              <w:rPr>
                <w:rFonts w:cs="Arial"/>
                <w:color w:val="000000" w:themeColor="text1"/>
                <w:spacing w:val="-2"/>
                <w:sz w:val="18"/>
                <w:szCs w:val="18"/>
              </w:rPr>
              <w:t xml:space="preserve"> propojení Evropy, Erasmus+</w:t>
            </w:r>
            <w:r w:rsidRPr="00D90B56">
              <w:rPr>
                <w:rFonts w:cs="Arial"/>
                <w:color w:val="000000" w:themeColor="text1"/>
                <w:spacing w:val="-2"/>
                <w:sz w:val="18"/>
                <w:szCs w:val="18"/>
              </w:rPr>
              <w:t>)</w:t>
            </w:r>
            <w:r w:rsidR="00240815">
              <w:rPr>
                <w:rFonts w:cs="Arial"/>
                <w:color w:val="000000" w:themeColor="text1"/>
                <w:spacing w:val="-2"/>
                <w:sz w:val="18"/>
                <w:szCs w:val="18"/>
              </w:rPr>
              <w:t xml:space="preserve">        </w:t>
            </w:r>
            <w:r>
              <w:rPr>
                <w:rFonts w:cs="Arial"/>
                <w:color w:val="000000" w:themeColor="text1"/>
                <w:spacing w:val="-2"/>
                <w:sz w:val="18"/>
                <w:szCs w:val="18"/>
              </w:rPr>
              <w:t xml:space="preserve">  </w:t>
            </w:r>
            <w:r>
              <w:rPr>
                <w:rFonts w:cs="Arial"/>
                <w:sz w:val="18"/>
                <w:szCs w:val="18"/>
              </w:rPr>
              <w:t>Zdroj: MF</w:t>
            </w:r>
            <w:r w:rsidR="00240815">
              <w:rPr>
                <w:rFonts w:cs="Arial"/>
                <w:sz w:val="18"/>
                <w:szCs w:val="18"/>
              </w:rPr>
              <w:t xml:space="preserve"> ČR</w:t>
            </w:r>
            <w:r>
              <w:rPr>
                <w:rFonts w:cs="Arial"/>
                <w:sz w:val="18"/>
                <w:szCs w:val="18"/>
              </w:rPr>
              <w:t>, ČSSZ</w:t>
            </w:r>
          </w:p>
        </w:tc>
      </w:tr>
    </w:tbl>
    <w:p w:rsidR="00A644E1" w:rsidRDefault="00A644E1" w:rsidP="00A644E1">
      <w:pPr>
        <w:pStyle w:val="Textpoznpodarou"/>
        <w:jc w:val="both"/>
        <w:rPr>
          <w:rFonts w:cs="Arial"/>
          <w:color w:val="000000" w:themeColor="text1"/>
          <w:spacing w:val="-2"/>
        </w:rPr>
      </w:pPr>
    </w:p>
    <w:p w:rsidR="000F5673" w:rsidRDefault="000F5673" w:rsidP="00C2463B">
      <w:pPr>
        <w:pStyle w:val="Textpoznpodarou"/>
        <w:jc w:val="both"/>
        <w:rPr>
          <w:rFonts w:cs="Arial"/>
          <w:color w:val="000000" w:themeColor="text1"/>
          <w:spacing w:val="-2"/>
        </w:rPr>
      </w:pPr>
    </w:p>
    <w:p w:rsidR="00A9221C" w:rsidRDefault="00A9221C" w:rsidP="00C2463B">
      <w:pPr>
        <w:pStyle w:val="Textpoznpodarou"/>
        <w:jc w:val="both"/>
        <w:rPr>
          <w:rFonts w:cs="Arial"/>
          <w:color w:val="000000" w:themeColor="text1"/>
          <w:spacing w:val="-2"/>
        </w:rPr>
      </w:pPr>
    </w:p>
    <w:p w:rsidR="00240815" w:rsidRDefault="00240815" w:rsidP="00C2463B">
      <w:pPr>
        <w:pStyle w:val="Textpoznpodarou"/>
        <w:jc w:val="both"/>
        <w:rPr>
          <w:rFonts w:cs="Arial"/>
          <w:color w:val="000000" w:themeColor="text1"/>
          <w:spacing w:val="-2"/>
        </w:rPr>
      </w:pPr>
    </w:p>
    <w:p w:rsidR="00240815" w:rsidRDefault="00240815" w:rsidP="00C2463B">
      <w:pPr>
        <w:pStyle w:val="Textpoznpodarou"/>
        <w:jc w:val="both"/>
        <w:rPr>
          <w:rFonts w:cs="Arial"/>
          <w:color w:val="000000" w:themeColor="text1"/>
          <w:spacing w:val="-2"/>
        </w:rPr>
      </w:pPr>
    </w:p>
    <w:p w:rsidR="00240815" w:rsidRDefault="00240815" w:rsidP="00C2463B">
      <w:pPr>
        <w:pStyle w:val="Textpoznpodarou"/>
        <w:jc w:val="both"/>
        <w:rPr>
          <w:rFonts w:cs="Arial"/>
          <w:color w:val="000000" w:themeColor="text1"/>
          <w:spacing w:val="-2"/>
        </w:rPr>
      </w:pPr>
    </w:p>
    <w:p w:rsidR="00240815" w:rsidRDefault="00240815" w:rsidP="00C2463B">
      <w:pPr>
        <w:pStyle w:val="Textpoznpodarou"/>
        <w:jc w:val="both"/>
        <w:rPr>
          <w:rFonts w:cs="Arial"/>
          <w:color w:val="000000" w:themeColor="text1"/>
          <w:spacing w:val="-2"/>
        </w:rPr>
      </w:pPr>
    </w:p>
    <w:p w:rsidR="00240815" w:rsidRDefault="00240815" w:rsidP="00C2463B">
      <w:pPr>
        <w:pStyle w:val="Textpoznpodarou"/>
        <w:jc w:val="both"/>
        <w:rPr>
          <w:rFonts w:cs="Arial"/>
          <w:color w:val="000000" w:themeColor="text1"/>
          <w:spacing w:val="-2"/>
        </w:rPr>
      </w:pPr>
    </w:p>
    <w:p w:rsidR="00240815" w:rsidRDefault="00240815" w:rsidP="00C2463B">
      <w:pPr>
        <w:pStyle w:val="Textpoznpodarou"/>
        <w:jc w:val="both"/>
        <w:rPr>
          <w:rFonts w:cs="Arial"/>
          <w:color w:val="000000" w:themeColor="text1"/>
          <w:spacing w:val="-2"/>
        </w:rPr>
      </w:pPr>
    </w:p>
    <w:p w:rsidR="00240815" w:rsidRDefault="00240815" w:rsidP="00C2463B">
      <w:pPr>
        <w:pStyle w:val="Textpoznpodarou"/>
        <w:jc w:val="both"/>
        <w:rPr>
          <w:rFonts w:cs="Arial"/>
          <w:color w:val="000000" w:themeColor="text1"/>
          <w:spacing w:val="-2"/>
        </w:rPr>
      </w:pPr>
    </w:p>
    <w:p w:rsidR="00240815" w:rsidRDefault="00240815" w:rsidP="00C2463B">
      <w:pPr>
        <w:pStyle w:val="Textpoznpodarou"/>
        <w:jc w:val="both"/>
        <w:rPr>
          <w:rFonts w:cs="Arial"/>
          <w:color w:val="000000" w:themeColor="text1"/>
          <w:spacing w:val="-2"/>
        </w:rPr>
      </w:pPr>
    </w:p>
    <w:p w:rsidR="00240815" w:rsidRDefault="00240815" w:rsidP="00C2463B">
      <w:pPr>
        <w:pStyle w:val="Textpoznpodarou"/>
        <w:jc w:val="both"/>
        <w:rPr>
          <w:rFonts w:cs="Arial"/>
          <w:color w:val="000000" w:themeColor="text1"/>
          <w:spacing w:val="-2"/>
        </w:rPr>
      </w:pPr>
    </w:p>
    <w:p w:rsidR="00240815" w:rsidRDefault="00240815" w:rsidP="00C2463B">
      <w:pPr>
        <w:pStyle w:val="Textpoznpodarou"/>
        <w:jc w:val="both"/>
        <w:rPr>
          <w:rFonts w:cs="Arial"/>
          <w:color w:val="000000" w:themeColor="text1"/>
          <w:spacing w:val="-2"/>
        </w:rPr>
      </w:pPr>
    </w:p>
    <w:p w:rsidR="00240815" w:rsidRDefault="00240815" w:rsidP="00C2463B">
      <w:pPr>
        <w:pStyle w:val="Textpoznpodarou"/>
        <w:jc w:val="both"/>
        <w:rPr>
          <w:rFonts w:cs="Arial"/>
          <w:color w:val="000000" w:themeColor="text1"/>
          <w:spacing w:val="-2"/>
        </w:rPr>
      </w:pPr>
    </w:p>
    <w:p w:rsidR="00240815" w:rsidRDefault="00240815" w:rsidP="00C2463B">
      <w:pPr>
        <w:pStyle w:val="Textpoznpodarou"/>
        <w:jc w:val="both"/>
        <w:rPr>
          <w:rFonts w:cs="Arial"/>
          <w:color w:val="000000" w:themeColor="text1"/>
          <w:spacing w:val="-2"/>
        </w:rPr>
      </w:pPr>
    </w:p>
    <w:p w:rsidR="00240815" w:rsidRDefault="00240815" w:rsidP="00C2463B">
      <w:pPr>
        <w:pStyle w:val="Textpoznpodarou"/>
        <w:jc w:val="both"/>
        <w:rPr>
          <w:rFonts w:cs="Arial"/>
          <w:color w:val="000000" w:themeColor="text1"/>
          <w:spacing w:val="-2"/>
        </w:rPr>
      </w:pPr>
    </w:p>
    <w:p w:rsidR="00240815" w:rsidRDefault="00240815" w:rsidP="00C2463B">
      <w:pPr>
        <w:pStyle w:val="Textpoznpodarou"/>
        <w:jc w:val="both"/>
        <w:rPr>
          <w:rFonts w:cs="Arial"/>
          <w:color w:val="000000" w:themeColor="text1"/>
          <w:spacing w:val="-2"/>
        </w:rPr>
      </w:pPr>
    </w:p>
    <w:p w:rsidR="00A9221C" w:rsidRDefault="00A9221C" w:rsidP="00C2463B">
      <w:pPr>
        <w:pStyle w:val="Textpoznpodarou"/>
        <w:jc w:val="both"/>
        <w:rPr>
          <w:rFonts w:cs="Arial"/>
          <w:color w:val="000000" w:themeColor="text1"/>
          <w:spacing w:val="-2"/>
        </w:rPr>
      </w:pPr>
    </w:p>
    <w:p w:rsidR="00A9221C" w:rsidRPr="00A9221C" w:rsidRDefault="00A9221C" w:rsidP="00C2463B">
      <w:pPr>
        <w:pStyle w:val="Textpoznpodarou"/>
        <w:jc w:val="both"/>
        <w:rPr>
          <w:rFonts w:cs="Arial"/>
          <w:color w:val="000000" w:themeColor="text1"/>
          <w:spacing w:val="-2"/>
        </w:rPr>
      </w:pPr>
    </w:p>
    <w:p w:rsidR="00B55BA8" w:rsidRPr="00C2463B" w:rsidRDefault="00B55BA8" w:rsidP="00C2463B">
      <w:pPr>
        <w:pStyle w:val="Textpoznpodarou"/>
        <w:jc w:val="both"/>
        <w:rPr>
          <w:rFonts w:cs="Arial"/>
          <w:color w:val="000000" w:themeColor="text1"/>
          <w:spacing w:val="-2"/>
        </w:rPr>
      </w:pPr>
      <w:r w:rsidRPr="00C2463B">
        <w:rPr>
          <w:rFonts w:cs="Arial"/>
          <w:color w:val="000000" w:themeColor="text1"/>
          <w:spacing w:val="-2"/>
        </w:rPr>
        <w:t>Zdroje dat v celé analýze: ČSÚ, MF ČR, ČNB,</w:t>
      </w:r>
      <w:r w:rsidR="00886A8F">
        <w:rPr>
          <w:rFonts w:cs="Arial"/>
          <w:color w:val="000000" w:themeColor="text1"/>
          <w:spacing w:val="-2"/>
        </w:rPr>
        <w:t xml:space="preserve"> MPSV</w:t>
      </w:r>
      <w:r w:rsidR="00FD1BBD">
        <w:rPr>
          <w:rFonts w:cs="Arial"/>
          <w:color w:val="000000" w:themeColor="text1"/>
          <w:spacing w:val="-2"/>
        </w:rPr>
        <w:t>,</w:t>
      </w:r>
      <w:r w:rsidRPr="00C2463B">
        <w:rPr>
          <w:rFonts w:cs="Arial"/>
          <w:color w:val="000000" w:themeColor="text1"/>
          <w:spacing w:val="-2"/>
        </w:rPr>
        <w:t xml:space="preserve"> ČSSZ, Eurostat, propočty ČSÚ.</w:t>
      </w:r>
    </w:p>
    <w:p w:rsidR="00B55BA8" w:rsidRPr="00C2463B" w:rsidRDefault="00B55BA8" w:rsidP="00C2463B">
      <w:pPr>
        <w:pStyle w:val="Textpoznpodarou"/>
        <w:jc w:val="both"/>
        <w:rPr>
          <w:rFonts w:cs="Arial"/>
          <w:color w:val="000000" w:themeColor="text1"/>
          <w:spacing w:val="-2"/>
        </w:rPr>
      </w:pPr>
      <w:r w:rsidRPr="00C2463B">
        <w:rPr>
          <w:rFonts w:cs="Arial"/>
          <w:color w:val="000000" w:themeColor="text1"/>
          <w:spacing w:val="-2"/>
        </w:rPr>
        <w:t>Poslední informace uváděné v té</w:t>
      </w:r>
      <w:r w:rsidR="00A9221C">
        <w:rPr>
          <w:rFonts w:cs="Arial"/>
          <w:color w:val="000000" w:themeColor="text1"/>
          <w:spacing w:val="-2"/>
        </w:rPr>
        <w:t>to zprávě pocházejí z 15</w:t>
      </w:r>
      <w:r w:rsidR="00886A8F">
        <w:rPr>
          <w:rFonts w:cs="Arial"/>
          <w:color w:val="000000" w:themeColor="text1"/>
          <w:spacing w:val="-2"/>
        </w:rPr>
        <w:t xml:space="preserve">. </w:t>
      </w:r>
      <w:r w:rsidR="00A9221C">
        <w:rPr>
          <w:rFonts w:cs="Arial"/>
          <w:color w:val="000000" w:themeColor="text1"/>
          <w:spacing w:val="-2"/>
        </w:rPr>
        <w:t>března 2016</w:t>
      </w:r>
      <w:r w:rsidRPr="00C2463B">
        <w:rPr>
          <w:rFonts w:cs="Arial"/>
          <w:color w:val="000000" w:themeColor="text1"/>
          <w:spacing w:val="-2"/>
        </w:rPr>
        <w:t>.</w:t>
      </w:r>
    </w:p>
    <w:sectPr w:rsidR="00B55BA8" w:rsidRPr="00C2463B" w:rsidSect="00D43998">
      <w:headerReference w:type="even" r:id="rId34"/>
      <w:headerReference w:type="default" r:id="rId35"/>
      <w:footerReference w:type="even" r:id="rId36"/>
      <w:footerReference w:type="default" r:id="rId37"/>
      <w:type w:val="continuous"/>
      <w:pgSz w:w="11906" w:h="16838" w:code="9"/>
      <w:pgMar w:top="1134"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792" w:rsidRDefault="00DB5792" w:rsidP="00E71A58">
      <w:r>
        <w:separator/>
      </w:r>
    </w:p>
  </w:endnote>
  <w:endnote w:type="continuationSeparator" w:id="0">
    <w:p w:rsidR="00DB5792" w:rsidRDefault="00DB5792"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imesNewRoman,Italic">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792" w:rsidRDefault="00D3006B" w:rsidP="00357449">
    <w:pPr>
      <w:pStyle w:val="Zpat"/>
      <w:tabs>
        <w:tab w:val="clear" w:pos="4536"/>
        <w:tab w:val="clear" w:pos="9072"/>
        <w:tab w:val="left" w:pos="1134"/>
        <w:tab w:val="left" w:pos="1920"/>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42" o:spid="_x0000_s2049" type="#_x0000_t75" alt="Description: 3" style="position:absolute;margin-left:.3pt;margin-top:7.1pt;width:39pt;height:21pt;z-index:251656704;visibility:visible">
          <v:imagedata r:id="rId1" o:title=""/>
        </v:shape>
      </w:pict>
    </w:r>
    <w:r w:rsidR="00DB5792">
      <w:tab/>
    </w:r>
    <w:r w:rsidR="00DB5792">
      <w:tab/>
    </w:r>
    <w:r w:rsidR="00DB5792" w:rsidRPr="00DC5B3B">
      <w:t xml:space="preserve">                              </w:t>
    </w:r>
  </w:p>
  <w:p w:rsidR="00DB5792" w:rsidRPr="00223E00" w:rsidRDefault="00DB5792"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2016</w:t>
    </w:r>
    <w:r>
      <w:rPr>
        <w:rFonts w:ascii="Arial" w:hAnsi="Arial" w:cs="Arial"/>
        <w:sz w:val="16"/>
        <w:szCs w:val="16"/>
      </w:rPr>
      <w:tab/>
    </w:r>
    <w:r w:rsidR="00D3006B"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D3006B" w:rsidRPr="00223E00">
      <w:rPr>
        <w:rFonts w:ascii="Arial" w:hAnsi="Arial" w:cs="Arial"/>
        <w:sz w:val="16"/>
        <w:szCs w:val="16"/>
      </w:rPr>
      <w:fldChar w:fldCharType="separate"/>
    </w:r>
    <w:r w:rsidR="009256C5">
      <w:rPr>
        <w:rFonts w:ascii="Arial" w:hAnsi="Arial" w:cs="Arial"/>
        <w:noProof/>
        <w:sz w:val="16"/>
        <w:szCs w:val="16"/>
      </w:rPr>
      <w:t>3</w:t>
    </w:r>
    <w:r w:rsidR="00D3006B" w:rsidRPr="00223E00">
      <w:rP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792" w:rsidRDefault="00D3006B" w:rsidP="00357449">
    <w:pPr>
      <w:pStyle w:val="Zpat"/>
      <w:tabs>
        <w:tab w:val="clear" w:pos="4536"/>
        <w:tab w:val="clear" w:pos="9072"/>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0" type="#_x0000_t75" alt="Description: 3" style="position:absolute;margin-left:445.7pt;margin-top:-4.1pt;width:36.75pt;height:17.25pt;z-index:251657728;visibility:visible">
          <v:imagedata r:id="rId1" o:title=""/>
        </v:shape>
      </w:pict>
    </w:r>
    <w:r w:rsidRPr="005A21E0">
      <w:rPr>
        <w:rFonts w:ascii="Arial" w:hAnsi="Arial" w:cs="Arial"/>
        <w:sz w:val="16"/>
        <w:szCs w:val="16"/>
      </w:rPr>
      <w:fldChar w:fldCharType="begin"/>
    </w:r>
    <w:r w:rsidR="00DB5792" w:rsidRPr="005A21E0">
      <w:rPr>
        <w:rFonts w:ascii="Arial" w:hAnsi="Arial" w:cs="Arial"/>
        <w:sz w:val="16"/>
        <w:szCs w:val="16"/>
      </w:rPr>
      <w:instrText>PAGE   \* MERGEFORMAT</w:instrText>
    </w:r>
    <w:r w:rsidRPr="005A21E0">
      <w:rPr>
        <w:rFonts w:ascii="Arial" w:hAnsi="Arial" w:cs="Arial"/>
        <w:sz w:val="16"/>
        <w:szCs w:val="16"/>
      </w:rPr>
      <w:fldChar w:fldCharType="separate"/>
    </w:r>
    <w:r w:rsidR="009256C5">
      <w:rPr>
        <w:rFonts w:ascii="Arial" w:hAnsi="Arial" w:cs="Arial"/>
        <w:noProof/>
        <w:sz w:val="16"/>
        <w:szCs w:val="16"/>
      </w:rPr>
      <w:t>12</w:t>
    </w:r>
    <w:r w:rsidRPr="005A21E0">
      <w:rPr>
        <w:rFonts w:ascii="Arial" w:hAnsi="Arial" w:cs="Arial"/>
        <w:sz w:val="16"/>
        <w:szCs w:val="16"/>
      </w:rPr>
      <w:fldChar w:fldCharType="end"/>
    </w:r>
    <w:r w:rsidR="00DB5792">
      <w:rPr>
        <w:rFonts w:ascii="Arial" w:hAnsi="Arial" w:cs="Arial"/>
        <w:sz w:val="16"/>
        <w:szCs w:val="16"/>
      </w:rPr>
      <w:tab/>
      <w:t>2016</w:t>
    </w:r>
    <w:r w:rsidR="00DB5792">
      <w:tab/>
    </w:r>
    <w:r w:rsidR="00DB5792">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792" w:rsidRDefault="00D3006B" w:rsidP="00357449">
    <w:pPr>
      <w:pStyle w:val="Zpat"/>
      <w:tabs>
        <w:tab w:val="clear" w:pos="4536"/>
        <w:tab w:val="clear" w:pos="9072"/>
        <w:tab w:val="left" w:pos="1134"/>
        <w:tab w:val="left" w:pos="1920"/>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Description: 3" style="position:absolute;margin-left:.3pt;margin-top:7.1pt;width:39pt;height:21pt;z-index:251658752;visibility:visible">
          <v:imagedata r:id="rId1" o:title=""/>
        </v:shape>
      </w:pict>
    </w:r>
    <w:r w:rsidR="00DB5792">
      <w:tab/>
    </w:r>
    <w:r w:rsidR="00DB5792">
      <w:tab/>
    </w:r>
    <w:r w:rsidR="00DB5792" w:rsidRPr="00DC5B3B">
      <w:t xml:space="preserve">                              </w:t>
    </w:r>
  </w:p>
  <w:p w:rsidR="00DB5792" w:rsidRPr="00223E00" w:rsidRDefault="00DB5792"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2016</w:t>
    </w:r>
    <w:r>
      <w:rPr>
        <w:rFonts w:ascii="Arial" w:hAnsi="Arial" w:cs="Arial"/>
        <w:sz w:val="16"/>
        <w:szCs w:val="16"/>
      </w:rPr>
      <w:tab/>
    </w:r>
    <w:r w:rsidR="00D3006B"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D3006B" w:rsidRPr="00223E00">
      <w:rPr>
        <w:rFonts w:ascii="Arial" w:hAnsi="Arial" w:cs="Arial"/>
        <w:sz w:val="16"/>
        <w:szCs w:val="16"/>
      </w:rPr>
      <w:fldChar w:fldCharType="separate"/>
    </w:r>
    <w:r w:rsidR="009256C5">
      <w:rPr>
        <w:rFonts w:ascii="Arial" w:hAnsi="Arial" w:cs="Arial"/>
        <w:noProof/>
        <w:sz w:val="16"/>
        <w:szCs w:val="16"/>
      </w:rPr>
      <w:t>13</w:t>
    </w:r>
    <w:r w:rsidR="00D3006B"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792" w:rsidRDefault="00DB5792" w:rsidP="00E71A58">
      <w:r>
        <w:separator/>
      </w:r>
    </w:p>
  </w:footnote>
  <w:footnote w:type="continuationSeparator" w:id="0">
    <w:p w:rsidR="00DB5792" w:rsidRDefault="00DB5792" w:rsidP="00E71A58">
      <w:r>
        <w:continuationSeparator/>
      </w:r>
    </w:p>
  </w:footnote>
  <w:footnote w:id="1">
    <w:p w:rsidR="00DB5792" w:rsidRPr="002115F5" w:rsidRDefault="00DB5792" w:rsidP="00960769">
      <w:pPr>
        <w:pStyle w:val="Textpoznpodarou"/>
        <w:jc w:val="both"/>
        <w:rPr>
          <w:sz w:val="16"/>
          <w:szCs w:val="16"/>
        </w:rPr>
      </w:pPr>
      <w:r w:rsidRPr="002115F5">
        <w:rPr>
          <w:rStyle w:val="Znakapoznpodarou"/>
          <w:sz w:val="16"/>
          <w:szCs w:val="16"/>
        </w:rPr>
        <w:footnoteRef/>
      </w:r>
      <w:r w:rsidRPr="002115F5">
        <w:rPr>
          <w:sz w:val="16"/>
          <w:szCs w:val="16"/>
        </w:rPr>
        <w:t xml:space="preserve"> Data o HDP, hrubé přidané hodnotě a jejich složkách jsou vyjádřena reálně a v očištění o sezónní a kalendářní vlivy.</w:t>
      </w:r>
    </w:p>
  </w:footnote>
  <w:footnote w:id="2">
    <w:p w:rsidR="00DB5792" w:rsidRPr="00960769" w:rsidRDefault="00DB5792" w:rsidP="00960769">
      <w:pPr>
        <w:pStyle w:val="Textpoznpodarou"/>
      </w:pPr>
      <w:r w:rsidRPr="002115F5">
        <w:rPr>
          <w:rStyle w:val="Znakapoznpodarou"/>
          <w:sz w:val="16"/>
          <w:szCs w:val="16"/>
        </w:rPr>
        <w:footnoteRef/>
      </w:r>
      <w:r w:rsidRPr="002115F5">
        <w:rPr>
          <w:sz w:val="16"/>
          <w:szCs w:val="16"/>
        </w:rPr>
        <w:t xml:space="preserve"> Příspěvky ke změně HDP bez vyloučení dovozu pro konečné užití.</w:t>
      </w:r>
    </w:p>
  </w:footnote>
  <w:footnote w:id="3">
    <w:p w:rsidR="00DB5792" w:rsidRPr="002115F5" w:rsidRDefault="00DB5792" w:rsidP="00960769">
      <w:pPr>
        <w:pStyle w:val="Textpoznpodarou"/>
        <w:jc w:val="both"/>
        <w:rPr>
          <w:sz w:val="16"/>
          <w:szCs w:val="16"/>
        </w:rPr>
      </w:pPr>
      <w:r w:rsidRPr="002115F5">
        <w:rPr>
          <w:rStyle w:val="Znakapoznpodarou"/>
          <w:sz w:val="16"/>
          <w:szCs w:val="16"/>
        </w:rPr>
        <w:footnoteRef/>
      </w:r>
      <w:r w:rsidRPr="002115F5">
        <w:rPr>
          <w:sz w:val="16"/>
          <w:szCs w:val="16"/>
        </w:rPr>
        <w:t xml:space="preserve"> Pokud není uvedeno jinak, jsou data o HDP a jeho složkách vyjádřena reálně a v očištění o sezónní a kalendářní vlivy. Stejné platí pro hrubou přidanou hodnotu.</w:t>
      </w:r>
    </w:p>
  </w:footnote>
  <w:footnote w:id="4">
    <w:p w:rsidR="00DB5792" w:rsidRPr="002115F5" w:rsidRDefault="00DB5792" w:rsidP="00960769">
      <w:pPr>
        <w:pStyle w:val="Textpoznpodarou"/>
        <w:jc w:val="both"/>
        <w:rPr>
          <w:sz w:val="16"/>
          <w:szCs w:val="16"/>
        </w:rPr>
      </w:pPr>
      <w:r w:rsidRPr="002115F5">
        <w:rPr>
          <w:sz w:val="16"/>
          <w:szCs w:val="16"/>
          <w:vertAlign w:val="superscript"/>
        </w:rPr>
        <w:footnoteRef/>
      </w:r>
      <w:r w:rsidRPr="002115F5">
        <w:rPr>
          <w:sz w:val="16"/>
          <w:szCs w:val="16"/>
        </w:rPr>
        <w:t xml:space="preserve"> Sezónní očištění ovlivnilo mezičtvrtletní tempa růstu salda daní z produktů a dotací na produkty na počátku a konci roku. V 1. čtvrtletí 2015 byla mezičtvrtletní dynamika ovlivněna pozitivně, ve 4. čtvrtletí naopak negativně. To se promítlo v dynamice HDP, do kterého je toto saldo započteno. Dynamika hrubé přidané hodnoty zůstala nedotčena.</w:t>
      </w:r>
    </w:p>
  </w:footnote>
  <w:footnote w:id="5">
    <w:p w:rsidR="00DB5792" w:rsidRPr="00BC6D27" w:rsidRDefault="00DB5792" w:rsidP="00CF75EC">
      <w:pPr>
        <w:pStyle w:val="Textpoznpodarou"/>
        <w:jc w:val="both"/>
        <w:rPr>
          <w:sz w:val="16"/>
          <w:szCs w:val="16"/>
        </w:rPr>
      </w:pPr>
      <w:r w:rsidRPr="00BC6D27">
        <w:rPr>
          <w:sz w:val="16"/>
          <w:szCs w:val="16"/>
          <w:vertAlign w:val="superscript"/>
        </w:rPr>
        <w:footnoteRef/>
      </w:r>
      <w:r w:rsidRPr="00BC6D27">
        <w:rPr>
          <w:sz w:val="16"/>
          <w:szCs w:val="16"/>
        </w:rPr>
        <w:t xml:space="preserve"> Celoroční údaj</w:t>
      </w:r>
      <w:r>
        <w:rPr>
          <w:sz w:val="16"/>
          <w:szCs w:val="16"/>
        </w:rPr>
        <w:t xml:space="preserve"> není</w:t>
      </w:r>
      <w:r w:rsidRPr="00BC6D27">
        <w:rPr>
          <w:sz w:val="16"/>
          <w:szCs w:val="16"/>
        </w:rPr>
        <w:t xml:space="preserve"> nedostupný za Irsko a Lucembursko, podle dat za první tři čtvrtletí 2015 však i tyto dvě země rostly rychleji než</w:t>
      </w:r>
      <w:r>
        <w:rPr>
          <w:sz w:val="16"/>
          <w:szCs w:val="16"/>
        </w:rPr>
        <w:t> </w:t>
      </w:r>
      <w:r w:rsidRPr="00BC6D27">
        <w:rPr>
          <w:sz w:val="16"/>
          <w:szCs w:val="16"/>
        </w:rPr>
        <w:t>ČR. Dynamika HDP za Irsko a Slovensko není očištěna o kalendářní vlivy.</w:t>
      </w:r>
    </w:p>
  </w:footnote>
  <w:footnote w:id="6">
    <w:p w:rsidR="00DB5792" w:rsidRPr="00AD62A4" w:rsidRDefault="00DB5792" w:rsidP="00960769">
      <w:pPr>
        <w:pStyle w:val="Textpoznpodarou"/>
        <w:rPr>
          <w:color w:val="FF0000"/>
          <w:sz w:val="16"/>
          <w:szCs w:val="16"/>
        </w:rPr>
      </w:pPr>
      <w:r w:rsidRPr="002115F5">
        <w:rPr>
          <w:rStyle w:val="Znakapoznpodarou"/>
          <w:sz w:val="16"/>
          <w:szCs w:val="16"/>
        </w:rPr>
        <w:footnoteRef/>
      </w:r>
      <w:r w:rsidRPr="002115F5">
        <w:rPr>
          <w:sz w:val="16"/>
          <w:szCs w:val="16"/>
        </w:rPr>
        <w:t xml:space="preserve"> Příspěvky ke změně HDP bez vyloučení dovozu pro konečné užití.</w:t>
      </w:r>
    </w:p>
  </w:footnote>
  <w:footnote w:id="7">
    <w:p w:rsidR="00DB5792" w:rsidRPr="00620430" w:rsidRDefault="00DB5792" w:rsidP="00960769">
      <w:pPr>
        <w:pStyle w:val="Textpoznpodarou"/>
        <w:rPr>
          <w:sz w:val="16"/>
          <w:szCs w:val="16"/>
        </w:rPr>
      </w:pPr>
      <w:r w:rsidRPr="00620430">
        <w:rPr>
          <w:sz w:val="16"/>
          <w:szCs w:val="16"/>
          <w:vertAlign w:val="superscript"/>
        </w:rPr>
        <w:footnoteRef/>
      </w:r>
      <w:r w:rsidRPr="00620430">
        <w:rPr>
          <w:sz w:val="16"/>
          <w:szCs w:val="16"/>
        </w:rPr>
        <w:t xml:space="preserve"> Struktura výdajů je v domácím pojetí a bez očištění o sezónní a kalendářní vlivy.</w:t>
      </w:r>
    </w:p>
  </w:footnote>
  <w:footnote w:id="8">
    <w:p w:rsidR="00DB5792" w:rsidRPr="0044103C" w:rsidRDefault="00DB5792" w:rsidP="00960769">
      <w:pPr>
        <w:pStyle w:val="Textpoznpodarou"/>
        <w:rPr>
          <w:color w:val="FF0000"/>
        </w:rPr>
      </w:pPr>
      <w:r w:rsidRPr="00620430">
        <w:rPr>
          <w:rStyle w:val="Znakapoznpodarou"/>
          <w:sz w:val="16"/>
          <w:szCs w:val="16"/>
        </w:rPr>
        <w:footnoteRef/>
      </w:r>
      <w:r w:rsidRPr="00620430">
        <w:rPr>
          <w:sz w:val="16"/>
          <w:szCs w:val="16"/>
        </w:rPr>
        <w:t xml:space="preserve"> Bez očištění o sezónní a kalendářní vlivy.</w:t>
      </w:r>
    </w:p>
  </w:footnote>
  <w:footnote w:id="9">
    <w:p w:rsidR="00DB5792" w:rsidRPr="00092C9A" w:rsidRDefault="00DB5792" w:rsidP="00905A11">
      <w:pPr>
        <w:pStyle w:val="Textpoznpodarou"/>
        <w:rPr>
          <w:sz w:val="16"/>
          <w:szCs w:val="16"/>
        </w:rPr>
      </w:pPr>
      <w:r w:rsidRPr="00092C9A">
        <w:rPr>
          <w:rStyle w:val="Znakapoznpodarou"/>
          <w:sz w:val="16"/>
          <w:szCs w:val="16"/>
        </w:rPr>
        <w:footnoteRef/>
      </w:r>
      <w:r w:rsidRPr="00092C9A">
        <w:rPr>
          <w:sz w:val="16"/>
          <w:szCs w:val="16"/>
        </w:rPr>
        <w:t xml:space="preserve"> Pokud není uvedeno jinak, jedná se o údaje v reálném vyjádření a očištěné o sezónní vlivy.</w:t>
      </w:r>
    </w:p>
  </w:footnote>
  <w:footnote w:id="10">
    <w:p w:rsidR="00DB5792" w:rsidRPr="00092C9A" w:rsidRDefault="00DB5792" w:rsidP="00905A11">
      <w:pPr>
        <w:pStyle w:val="Textpoznpodarou"/>
        <w:rPr>
          <w:sz w:val="16"/>
          <w:szCs w:val="16"/>
        </w:rPr>
      </w:pPr>
      <w:r w:rsidRPr="00092C9A">
        <w:rPr>
          <w:rStyle w:val="Znakapoznpodarou"/>
          <w:sz w:val="16"/>
          <w:szCs w:val="16"/>
        </w:rPr>
        <w:footnoteRef/>
      </w:r>
      <w:r w:rsidRPr="00092C9A">
        <w:rPr>
          <w:sz w:val="16"/>
          <w:szCs w:val="16"/>
        </w:rPr>
        <w:t xml:space="preserve"> Sestávají se z dílčích odvětví: Veřejná správa a obrana, vzdělávání, zdravotní a sociální péče.</w:t>
      </w:r>
    </w:p>
  </w:footnote>
  <w:footnote w:id="11">
    <w:p w:rsidR="00DB5792" w:rsidRPr="00EF6BE3" w:rsidRDefault="00DB5792" w:rsidP="00905A11">
      <w:pPr>
        <w:pStyle w:val="Textpoznpodarou"/>
        <w:rPr>
          <w:sz w:val="16"/>
          <w:szCs w:val="16"/>
        </w:rPr>
      </w:pPr>
      <w:r w:rsidRPr="00092C9A">
        <w:rPr>
          <w:rStyle w:val="Znakapoznpodarou"/>
          <w:sz w:val="16"/>
          <w:szCs w:val="16"/>
        </w:rPr>
        <w:footnoteRef/>
      </w:r>
      <w:r w:rsidRPr="00092C9A">
        <w:rPr>
          <w:sz w:val="16"/>
          <w:szCs w:val="16"/>
        </w:rPr>
        <w:t xml:space="preserve"> Zahrnující odvětví dle CZ-NACE: B (Těžba a dobývání), C (Zpracovatelský průmysl), D (Energetika).</w:t>
      </w:r>
    </w:p>
  </w:footnote>
  <w:footnote w:id="12">
    <w:p w:rsidR="00DB5792" w:rsidRPr="00092C9A" w:rsidRDefault="00DB5792" w:rsidP="00905A11">
      <w:pPr>
        <w:pStyle w:val="Textpoznpodarou"/>
        <w:rPr>
          <w:sz w:val="16"/>
          <w:szCs w:val="16"/>
        </w:rPr>
      </w:pPr>
      <w:r w:rsidRPr="00092C9A">
        <w:rPr>
          <w:rStyle w:val="Znakapoznpodarou"/>
          <w:sz w:val="16"/>
          <w:szCs w:val="16"/>
        </w:rPr>
        <w:footnoteRef/>
      </w:r>
      <w:r w:rsidRPr="00092C9A">
        <w:rPr>
          <w:sz w:val="16"/>
          <w:szCs w:val="16"/>
        </w:rPr>
        <w:t xml:space="preserve"> Nezahrnují odvětví obchodu, peněžnictví a pojišťovnictví, vědy a výzkumu a také veřejných služeb.</w:t>
      </w:r>
    </w:p>
  </w:footnote>
  <w:footnote w:id="13">
    <w:p w:rsidR="00DB5792" w:rsidRPr="00E65E26" w:rsidRDefault="00DB5792" w:rsidP="00905A11">
      <w:pPr>
        <w:pStyle w:val="Textpoznpodarou"/>
        <w:rPr>
          <w:sz w:val="16"/>
          <w:szCs w:val="16"/>
        </w:rPr>
      </w:pPr>
      <w:r w:rsidRPr="00092C9A">
        <w:rPr>
          <w:rStyle w:val="Znakapoznpodarou"/>
          <w:sz w:val="16"/>
          <w:szCs w:val="16"/>
        </w:rPr>
        <w:footnoteRef/>
      </w:r>
      <w:r w:rsidRPr="00092C9A">
        <w:rPr>
          <w:sz w:val="16"/>
          <w:szCs w:val="16"/>
        </w:rPr>
        <w:t xml:space="preserve"> Maloobchod bez motoristického segment</w:t>
      </w:r>
      <w:r>
        <w:rPr>
          <w:sz w:val="16"/>
          <w:szCs w:val="16"/>
        </w:rPr>
        <w:t>u</w:t>
      </w:r>
      <w:r w:rsidRPr="00092C9A">
        <w:rPr>
          <w:sz w:val="16"/>
          <w:szCs w:val="16"/>
        </w:rPr>
        <w:t>, údaj očištěný o počet pracovních dní.</w:t>
      </w:r>
    </w:p>
  </w:footnote>
  <w:footnote w:id="14">
    <w:p w:rsidR="00DB5792" w:rsidRPr="00262F34" w:rsidRDefault="00DB5792">
      <w:pPr>
        <w:pStyle w:val="Textpoznpodarou"/>
        <w:rPr>
          <w:sz w:val="16"/>
          <w:szCs w:val="16"/>
        </w:rPr>
      </w:pPr>
      <w:r w:rsidRPr="00262F34">
        <w:rPr>
          <w:rStyle w:val="Znakapoznpodarou"/>
          <w:sz w:val="16"/>
          <w:szCs w:val="16"/>
        </w:rPr>
        <w:footnoteRef/>
      </w:r>
      <w:r w:rsidRPr="00262F34">
        <w:rPr>
          <w:sz w:val="16"/>
          <w:szCs w:val="16"/>
        </w:rPr>
        <w:t xml:space="preserve"> Maloobchod bez motoristického segmentu, údaj očištěný o počet pracovních dní.</w:t>
      </w:r>
    </w:p>
  </w:footnote>
  <w:footnote w:id="15">
    <w:p w:rsidR="00DB5792" w:rsidRPr="00D05D91" w:rsidRDefault="00DB5792" w:rsidP="00960769">
      <w:pPr>
        <w:pStyle w:val="Textpoznpodarou"/>
        <w:jc w:val="both"/>
        <w:rPr>
          <w:sz w:val="16"/>
          <w:szCs w:val="16"/>
        </w:rPr>
      </w:pPr>
      <w:r w:rsidRPr="00D05D91">
        <w:rPr>
          <w:rStyle w:val="Znakapoznpodarou"/>
          <w:sz w:val="16"/>
          <w:szCs w:val="16"/>
        </w:rPr>
        <w:footnoteRef/>
      </w:r>
      <w:r w:rsidRPr="00D05D91">
        <w:rPr>
          <w:sz w:val="16"/>
          <w:szCs w:val="16"/>
        </w:rPr>
        <w:t xml:space="preserve"> Údaje v národním pojetí jsou v nominálním vyjádření. Hodnota vývozu je zachycena v cenách FOB, tj. včetně nákladů souvisejících s dopravou na hranice ČR. Dovoz je v cenách CIF, tj. včetně nákladů souvisejících s dopravou v zahraničí, a to až na hranice ČR.</w:t>
      </w:r>
    </w:p>
  </w:footnote>
  <w:footnote w:id="16">
    <w:p w:rsidR="00DB5792" w:rsidRPr="00D05D91" w:rsidRDefault="00DB5792" w:rsidP="00960769">
      <w:pPr>
        <w:pStyle w:val="Textpoznpodarou"/>
        <w:jc w:val="both"/>
      </w:pPr>
      <w:r w:rsidRPr="00D05D91">
        <w:rPr>
          <w:sz w:val="16"/>
          <w:szCs w:val="16"/>
          <w:vertAlign w:val="superscript"/>
        </w:rPr>
        <w:footnoteRef/>
      </w:r>
      <w:r w:rsidRPr="00D05D91">
        <w:rPr>
          <w:sz w:val="16"/>
          <w:szCs w:val="16"/>
        </w:rPr>
        <w:t xml:space="preserve"> Deficit obchodu s nespecifikovanými subjekty narostl na 20,7 mld. korun (o 6,6 mld.).</w:t>
      </w:r>
    </w:p>
  </w:footnote>
  <w:footnote w:id="17">
    <w:p w:rsidR="00DB5792" w:rsidRPr="00481C00" w:rsidRDefault="00DB5792" w:rsidP="00960769">
      <w:pPr>
        <w:pStyle w:val="Textpoznpodarou"/>
        <w:jc w:val="both"/>
        <w:rPr>
          <w:sz w:val="16"/>
          <w:szCs w:val="16"/>
        </w:rPr>
      </w:pPr>
      <w:r w:rsidRPr="00481C00">
        <w:rPr>
          <w:rStyle w:val="Znakapoznpodarou"/>
          <w:sz w:val="16"/>
          <w:szCs w:val="16"/>
        </w:rPr>
        <w:footnoteRef/>
      </w:r>
      <w:r w:rsidRPr="00481C00">
        <w:rPr>
          <w:sz w:val="16"/>
          <w:szCs w:val="16"/>
        </w:rPr>
        <w:t xml:space="preserve"> Bez očištění o sezónní a kalendářní vlivy.</w:t>
      </w:r>
    </w:p>
  </w:footnote>
  <w:footnote w:id="18">
    <w:p w:rsidR="00DB5792" w:rsidRPr="004A22BD" w:rsidRDefault="00DB5792" w:rsidP="00FE16E6">
      <w:pPr>
        <w:pStyle w:val="Textpoznpodarou"/>
        <w:rPr>
          <w:sz w:val="16"/>
          <w:szCs w:val="16"/>
        </w:rPr>
      </w:pPr>
      <w:r w:rsidRPr="004A22BD">
        <w:rPr>
          <w:rStyle w:val="Znakapoznpodarou"/>
          <w:sz w:val="16"/>
          <w:szCs w:val="16"/>
        </w:rPr>
        <w:footnoteRef/>
      </w:r>
      <w:r w:rsidRPr="004A22BD">
        <w:rPr>
          <w:sz w:val="16"/>
          <w:szCs w:val="16"/>
        </w:rPr>
        <w:t xml:space="preserve"> Pokud není uvedeno jinak, jedná se o údaje národních účtů v očištění o sezónní vlivy.</w:t>
      </w:r>
    </w:p>
  </w:footnote>
  <w:footnote w:id="19">
    <w:p w:rsidR="00DB5792" w:rsidRPr="004A22BD" w:rsidRDefault="00DB5792" w:rsidP="00FE16E6">
      <w:pPr>
        <w:pStyle w:val="Textpoznpodarou"/>
        <w:rPr>
          <w:sz w:val="16"/>
          <w:szCs w:val="16"/>
        </w:rPr>
      </w:pPr>
      <w:r w:rsidRPr="004A22BD">
        <w:rPr>
          <w:rStyle w:val="Znakapoznpodarou"/>
          <w:sz w:val="16"/>
          <w:szCs w:val="16"/>
        </w:rPr>
        <w:footnoteRef/>
      </w:r>
      <w:r w:rsidRPr="004A22BD">
        <w:rPr>
          <w:sz w:val="16"/>
          <w:szCs w:val="16"/>
        </w:rPr>
        <w:t xml:space="preserve"> Ve věku 15-64 let, očištěná od sezónních vlivů.</w:t>
      </w:r>
    </w:p>
  </w:footnote>
  <w:footnote w:id="20">
    <w:p w:rsidR="00DB5792" w:rsidRPr="00611531" w:rsidRDefault="00DB5792" w:rsidP="00A644E1">
      <w:pPr>
        <w:autoSpaceDE w:val="0"/>
        <w:autoSpaceDN w:val="0"/>
        <w:adjustRightInd w:val="0"/>
        <w:spacing w:line="240" w:lineRule="auto"/>
        <w:jc w:val="both"/>
        <w:rPr>
          <w:spacing w:val="-2"/>
          <w:sz w:val="16"/>
          <w:szCs w:val="16"/>
        </w:rPr>
      </w:pPr>
      <w:r w:rsidRPr="00611531">
        <w:rPr>
          <w:rStyle w:val="Znakapoznpodarou"/>
          <w:sz w:val="16"/>
          <w:szCs w:val="16"/>
        </w:rPr>
        <w:footnoteRef/>
      </w:r>
      <w:r w:rsidRPr="00611531">
        <w:rPr>
          <w:sz w:val="16"/>
          <w:szCs w:val="16"/>
        </w:rPr>
        <w:t xml:space="preserve"> </w:t>
      </w:r>
      <w:r w:rsidRPr="00611531">
        <w:rPr>
          <w:spacing w:val="-4"/>
          <w:sz w:val="16"/>
          <w:szCs w:val="16"/>
        </w:rPr>
        <w:t xml:space="preserve">U </w:t>
      </w:r>
      <w:r w:rsidRPr="00611531">
        <w:rPr>
          <w:iCs/>
          <w:spacing w:val="-4"/>
          <w:sz w:val="16"/>
          <w:szCs w:val="16"/>
        </w:rPr>
        <w:t xml:space="preserve">spotřební daně z tabákových výrobků souviselo vyšší inkaso z počátku roku 2014 s intenzivním </w:t>
      </w:r>
      <w:r w:rsidRPr="00611531">
        <w:rPr>
          <w:spacing w:val="-4"/>
          <w:sz w:val="16"/>
          <w:szCs w:val="16"/>
        </w:rPr>
        <w:t xml:space="preserve">předzásobením obchodníků na konci roku 2013 z důvodu následného zvýšení sazeb. K 1. 12. 2014 došlo k dalšímu navýšení sazeb spotřební daně u tabákových výrobků, doplněné ale navíc i regulací předzásobení. Vyšší základna u DPH souvisela s dočasným zadržením výplaty části nadměrných odpočtů na počátku roku 2014 (ve výši 8,7 mld. </w:t>
      </w:r>
      <w:r w:rsidR="000567FA">
        <w:rPr>
          <w:spacing w:val="-4"/>
          <w:sz w:val="16"/>
          <w:szCs w:val="16"/>
        </w:rPr>
        <w:t>korun) u neusazených plátců DPH.</w:t>
      </w:r>
      <w:r w:rsidRPr="00611531">
        <w:rPr>
          <w:spacing w:val="-4"/>
          <w:sz w:val="16"/>
          <w:szCs w:val="16"/>
        </w:rPr>
        <w:t xml:space="preserve"> Na konci prosince 2014 byla zadržována ještě částka ve výši 1,8 mld. korun.</w:t>
      </w:r>
    </w:p>
  </w:footnote>
  <w:footnote w:id="21">
    <w:p w:rsidR="00E90A4B" w:rsidRPr="00E90A4B" w:rsidRDefault="00E90A4B">
      <w:pPr>
        <w:pStyle w:val="Textpoznpodarou"/>
        <w:rPr>
          <w:sz w:val="16"/>
          <w:szCs w:val="16"/>
        </w:rPr>
      </w:pPr>
      <w:r w:rsidRPr="00E90A4B">
        <w:rPr>
          <w:rStyle w:val="Znakapoznpodarou"/>
          <w:sz w:val="16"/>
          <w:szCs w:val="16"/>
        </w:rPr>
        <w:footnoteRef/>
      </w:r>
      <w:r w:rsidRPr="00E90A4B">
        <w:rPr>
          <w:sz w:val="16"/>
          <w:szCs w:val="16"/>
        </w:rPr>
        <w:t xml:space="preserve"> Údaj o dluhu a deficitu sektoru vládních institucí za 4. čtvrtletí 2015 zveřejní ČSÚ 1. dubna 2016.</w:t>
      </w:r>
      <w:r w:rsidR="00A81094">
        <w:rPr>
          <w:sz w:val="16"/>
          <w:szCs w:val="16"/>
        </w:rPr>
        <w:t xml:space="preserve"> Společně s tím budou revidovány také předchozí údaje.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792" w:rsidRPr="00173642" w:rsidRDefault="00DB5792" w:rsidP="00173642">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roce 2014/</w:t>
    </w:r>
    <w:r w:rsidRPr="00D43998">
      <w:rPr>
        <w:rFonts w:ascii="Arial" w:hAnsi="Arial" w:cs="Arial"/>
        <w:sz w:val="16"/>
        <w:szCs w:val="16"/>
      </w:rPr>
      <w:t xml:space="preserve"> </w:t>
    </w:r>
    <w:r>
      <w:rPr>
        <w:rFonts w:ascii="Arial" w:hAnsi="Arial" w:cs="Arial"/>
        <w:sz w:val="16"/>
        <w:szCs w:val="16"/>
      </w:rPr>
      <w:t>Souhrnná výkonnost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792" w:rsidRPr="00DC5B3B" w:rsidRDefault="00DB5792" w:rsidP="002C6091">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roce 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792" w:rsidRPr="00D766EF" w:rsidRDefault="00DB5792" w:rsidP="00D766EF">
    <w:pPr>
      <w:pStyle w:val="Zhlav"/>
      <w:tabs>
        <w:tab w:val="clear" w:pos="4536"/>
        <w:tab w:val="clear" w:pos="9072"/>
        <w:tab w:val="left" w:pos="-6379"/>
        <w:tab w:val="center" w:pos="4820"/>
        <w:tab w:val="right" w:pos="9639"/>
      </w:tabs>
      <w:rPr>
        <w:szCs w:val="16"/>
      </w:rPr>
    </w:pPr>
    <w:r>
      <w:rPr>
        <w:rFonts w:ascii="Arial" w:hAnsi="Arial" w:cs="Arial"/>
        <w:sz w:val="16"/>
        <w:szCs w:val="16"/>
      </w:rPr>
      <w:t>Vývoj ekonomiky České republiky v roce 2015</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792" w:rsidRPr="00D766EF" w:rsidRDefault="00DB5792" w:rsidP="00D766EF">
    <w:pPr>
      <w:pStyle w:val="Zhlav"/>
      <w:tabs>
        <w:tab w:val="clear" w:pos="4536"/>
        <w:tab w:val="clear" w:pos="9072"/>
        <w:tab w:val="left" w:pos="-6379"/>
        <w:tab w:val="center" w:pos="4820"/>
        <w:tab w:val="right" w:pos="9639"/>
      </w:tabs>
      <w:rPr>
        <w:szCs w:val="16"/>
      </w:rPr>
    </w:pPr>
    <w:r>
      <w:rPr>
        <w:rFonts w:ascii="Arial" w:hAnsi="Arial" w:cs="Arial"/>
        <w:sz w:val="16"/>
        <w:szCs w:val="16"/>
      </w:rPr>
      <w:t>Vývoj ekonomiky České republiky v roce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D0FE2"/>
    <w:multiLevelType w:val="hybridMultilevel"/>
    <w:tmpl w:val="03541CA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1024"/>
  <w:doNotTrackMoves/>
  <w:defaultTabStop w:val="708"/>
  <w:hyphenationZone w:val="425"/>
  <w:evenAndOddHeaders/>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70BD"/>
    <w:rsid w:val="00000FA7"/>
    <w:rsid w:val="00001EFF"/>
    <w:rsid w:val="00003687"/>
    <w:rsid w:val="00003C43"/>
    <w:rsid w:val="00007498"/>
    <w:rsid w:val="0000767A"/>
    <w:rsid w:val="000101F5"/>
    <w:rsid w:val="000104B9"/>
    <w:rsid w:val="00010702"/>
    <w:rsid w:val="00011191"/>
    <w:rsid w:val="0001159B"/>
    <w:rsid w:val="00012986"/>
    <w:rsid w:val="00015195"/>
    <w:rsid w:val="0001519F"/>
    <w:rsid w:val="0001572B"/>
    <w:rsid w:val="0001573E"/>
    <w:rsid w:val="000162DB"/>
    <w:rsid w:val="00017F05"/>
    <w:rsid w:val="000202C6"/>
    <w:rsid w:val="00020946"/>
    <w:rsid w:val="00022B41"/>
    <w:rsid w:val="00024887"/>
    <w:rsid w:val="00024CBA"/>
    <w:rsid w:val="00025501"/>
    <w:rsid w:val="00026998"/>
    <w:rsid w:val="000304C4"/>
    <w:rsid w:val="0003066A"/>
    <w:rsid w:val="00030F14"/>
    <w:rsid w:val="000311C5"/>
    <w:rsid w:val="00032838"/>
    <w:rsid w:val="00032C12"/>
    <w:rsid w:val="00035CCF"/>
    <w:rsid w:val="00035FC6"/>
    <w:rsid w:val="00037667"/>
    <w:rsid w:val="0004075D"/>
    <w:rsid w:val="000411E1"/>
    <w:rsid w:val="00043E05"/>
    <w:rsid w:val="0004694F"/>
    <w:rsid w:val="000500DC"/>
    <w:rsid w:val="00052172"/>
    <w:rsid w:val="00053CBA"/>
    <w:rsid w:val="00054E43"/>
    <w:rsid w:val="00055059"/>
    <w:rsid w:val="000553E4"/>
    <w:rsid w:val="000567FA"/>
    <w:rsid w:val="00057C16"/>
    <w:rsid w:val="00060F26"/>
    <w:rsid w:val="00062D43"/>
    <w:rsid w:val="00062EC5"/>
    <w:rsid w:val="00064256"/>
    <w:rsid w:val="000706A4"/>
    <w:rsid w:val="00071F80"/>
    <w:rsid w:val="00072118"/>
    <w:rsid w:val="00073173"/>
    <w:rsid w:val="000779AC"/>
    <w:rsid w:val="00083803"/>
    <w:rsid w:val="00084393"/>
    <w:rsid w:val="0008716A"/>
    <w:rsid w:val="00087634"/>
    <w:rsid w:val="00091237"/>
    <w:rsid w:val="0009191B"/>
    <w:rsid w:val="000920EC"/>
    <w:rsid w:val="00092208"/>
    <w:rsid w:val="00092505"/>
    <w:rsid w:val="00092C9A"/>
    <w:rsid w:val="00097D02"/>
    <w:rsid w:val="000A1183"/>
    <w:rsid w:val="000A2121"/>
    <w:rsid w:val="000A2484"/>
    <w:rsid w:val="000A36CE"/>
    <w:rsid w:val="000A59BF"/>
    <w:rsid w:val="000A66C2"/>
    <w:rsid w:val="000B1CFE"/>
    <w:rsid w:val="000B210A"/>
    <w:rsid w:val="000B249B"/>
    <w:rsid w:val="000B3DB9"/>
    <w:rsid w:val="000B3F02"/>
    <w:rsid w:val="000B48A2"/>
    <w:rsid w:val="000B48E7"/>
    <w:rsid w:val="000B4F41"/>
    <w:rsid w:val="000B7663"/>
    <w:rsid w:val="000C11D3"/>
    <w:rsid w:val="000C12F5"/>
    <w:rsid w:val="000C3408"/>
    <w:rsid w:val="000C5C0F"/>
    <w:rsid w:val="000C6498"/>
    <w:rsid w:val="000D0D51"/>
    <w:rsid w:val="000D14B3"/>
    <w:rsid w:val="000D208B"/>
    <w:rsid w:val="000D2B8D"/>
    <w:rsid w:val="000D2E41"/>
    <w:rsid w:val="000D342A"/>
    <w:rsid w:val="000D5E7A"/>
    <w:rsid w:val="000D5FAA"/>
    <w:rsid w:val="000D65A4"/>
    <w:rsid w:val="000D6AEF"/>
    <w:rsid w:val="000E025B"/>
    <w:rsid w:val="000E0ECB"/>
    <w:rsid w:val="000E153A"/>
    <w:rsid w:val="000E19A8"/>
    <w:rsid w:val="000E4A42"/>
    <w:rsid w:val="000E6476"/>
    <w:rsid w:val="000E78D2"/>
    <w:rsid w:val="000F3332"/>
    <w:rsid w:val="000F33EE"/>
    <w:rsid w:val="000F401E"/>
    <w:rsid w:val="000F5445"/>
    <w:rsid w:val="000F5673"/>
    <w:rsid w:val="000F67B2"/>
    <w:rsid w:val="000F790F"/>
    <w:rsid w:val="000F7E1B"/>
    <w:rsid w:val="00100014"/>
    <w:rsid w:val="0010039A"/>
    <w:rsid w:val="00101FB2"/>
    <w:rsid w:val="00102CB8"/>
    <w:rsid w:val="00102F02"/>
    <w:rsid w:val="0010385D"/>
    <w:rsid w:val="00103E41"/>
    <w:rsid w:val="001041B6"/>
    <w:rsid w:val="001070EA"/>
    <w:rsid w:val="0011002A"/>
    <w:rsid w:val="001107CE"/>
    <w:rsid w:val="0011110A"/>
    <w:rsid w:val="001118AF"/>
    <w:rsid w:val="00111CA5"/>
    <w:rsid w:val="0011256E"/>
    <w:rsid w:val="0011352E"/>
    <w:rsid w:val="00114FC0"/>
    <w:rsid w:val="00116DB9"/>
    <w:rsid w:val="00116F28"/>
    <w:rsid w:val="00121C39"/>
    <w:rsid w:val="00123255"/>
    <w:rsid w:val="00124D2D"/>
    <w:rsid w:val="00124DA1"/>
    <w:rsid w:val="00125326"/>
    <w:rsid w:val="00125CB5"/>
    <w:rsid w:val="00127535"/>
    <w:rsid w:val="001307BE"/>
    <w:rsid w:val="00130C8F"/>
    <w:rsid w:val="001314F2"/>
    <w:rsid w:val="001317DA"/>
    <w:rsid w:val="001323BA"/>
    <w:rsid w:val="0013254D"/>
    <w:rsid w:val="00133AAC"/>
    <w:rsid w:val="00133FBD"/>
    <w:rsid w:val="00136561"/>
    <w:rsid w:val="001400E1"/>
    <w:rsid w:val="001405FA"/>
    <w:rsid w:val="001413B3"/>
    <w:rsid w:val="001425C3"/>
    <w:rsid w:val="00142F16"/>
    <w:rsid w:val="00143E03"/>
    <w:rsid w:val="00143E93"/>
    <w:rsid w:val="00151AC0"/>
    <w:rsid w:val="00151B27"/>
    <w:rsid w:val="00152046"/>
    <w:rsid w:val="00154147"/>
    <w:rsid w:val="00155746"/>
    <w:rsid w:val="00156318"/>
    <w:rsid w:val="0015639A"/>
    <w:rsid w:val="0016081D"/>
    <w:rsid w:val="00160CF3"/>
    <w:rsid w:val="00160E61"/>
    <w:rsid w:val="001620FA"/>
    <w:rsid w:val="00162853"/>
    <w:rsid w:val="00163793"/>
    <w:rsid w:val="001707DE"/>
    <w:rsid w:val="00170B04"/>
    <w:rsid w:val="00170F47"/>
    <w:rsid w:val="001714F2"/>
    <w:rsid w:val="00173642"/>
    <w:rsid w:val="00173AF4"/>
    <w:rsid w:val="00173CB0"/>
    <w:rsid w:val="00174CE8"/>
    <w:rsid w:val="00175351"/>
    <w:rsid w:val="00175F60"/>
    <w:rsid w:val="00176050"/>
    <w:rsid w:val="001764D8"/>
    <w:rsid w:val="00176A8F"/>
    <w:rsid w:val="00180D58"/>
    <w:rsid w:val="00182981"/>
    <w:rsid w:val="00184CF9"/>
    <w:rsid w:val="00185010"/>
    <w:rsid w:val="001852EC"/>
    <w:rsid w:val="00186447"/>
    <w:rsid w:val="001874CF"/>
    <w:rsid w:val="00190D9B"/>
    <w:rsid w:val="00191BAE"/>
    <w:rsid w:val="00193432"/>
    <w:rsid w:val="0019346C"/>
    <w:rsid w:val="00195444"/>
    <w:rsid w:val="001A199D"/>
    <w:rsid w:val="001A2BDB"/>
    <w:rsid w:val="001A30F4"/>
    <w:rsid w:val="001A4C0D"/>
    <w:rsid w:val="001A552F"/>
    <w:rsid w:val="001A56F3"/>
    <w:rsid w:val="001A750C"/>
    <w:rsid w:val="001B1D89"/>
    <w:rsid w:val="001B3110"/>
    <w:rsid w:val="001B4198"/>
    <w:rsid w:val="001B44BC"/>
    <w:rsid w:val="001B618F"/>
    <w:rsid w:val="001B6545"/>
    <w:rsid w:val="001B681B"/>
    <w:rsid w:val="001B6A49"/>
    <w:rsid w:val="001B74FB"/>
    <w:rsid w:val="001B77A1"/>
    <w:rsid w:val="001C0422"/>
    <w:rsid w:val="001C0E0E"/>
    <w:rsid w:val="001C0EB9"/>
    <w:rsid w:val="001C1219"/>
    <w:rsid w:val="001C357A"/>
    <w:rsid w:val="001C3A37"/>
    <w:rsid w:val="001C4384"/>
    <w:rsid w:val="001C65FF"/>
    <w:rsid w:val="001D47E5"/>
    <w:rsid w:val="001D584C"/>
    <w:rsid w:val="001D5E1B"/>
    <w:rsid w:val="001D66C1"/>
    <w:rsid w:val="001D7C6F"/>
    <w:rsid w:val="001E0024"/>
    <w:rsid w:val="001E0C65"/>
    <w:rsid w:val="001E23E3"/>
    <w:rsid w:val="001E387A"/>
    <w:rsid w:val="001E3DA4"/>
    <w:rsid w:val="001E5830"/>
    <w:rsid w:val="001E684C"/>
    <w:rsid w:val="001E701C"/>
    <w:rsid w:val="001E7C03"/>
    <w:rsid w:val="001F02AF"/>
    <w:rsid w:val="001F0649"/>
    <w:rsid w:val="001F28F4"/>
    <w:rsid w:val="001F3055"/>
    <w:rsid w:val="001F31BC"/>
    <w:rsid w:val="001F378E"/>
    <w:rsid w:val="001F3C79"/>
    <w:rsid w:val="001F3E68"/>
    <w:rsid w:val="001F4597"/>
    <w:rsid w:val="001F56A9"/>
    <w:rsid w:val="001F5C6A"/>
    <w:rsid w:val="001F670A"/>
    <w:rsid w:val="00200D15"/>
    <w:rsid w:val="00203074"/>
    <w:rsid w:val="00203B46"/>
    <w:rsid w:val="002048E1"/>
    <w:rsid w:val="00207DB6"/>
    <w:rsid w:val="00210278"/>
    <w:rsid w:val="00210CC2"/>
    <w:rsid w:val="00210F5B"/>
    <w:rsid w:val="00210FFA"/>
    <w:rsid w:val="00211262"/>
    <w:rsid w:val="002115F5"/>
    <w:rsid w:val="00211AC9"/>
    <w:rsid w:val="0021355B"/>
    <w:rsid w:val="002179F9"/>
    <w:rsid w:val="002205F2"/>
    <w:rsid w:val="0022080E"/>
    <w:rsid w:val="0022139E"/>
    <w:rsid w:val="0022272B"/>
    <w:rsid w:val="00222A99"/>
    <w:rsid w:val="00223678"/>
    <w:rsid w:val="002236F7"/>
    <w:rsid w:val="00223E00"/>
    <w:rsid w:val="002252E0"/>
    <w:rsid w:val="002255F6"/>
    <w:rsid w:val="00226466"/>
    <w:rsid w:val="002266D0"/>
    <w:rsid w:val="00226887"/>
    <w:rsid w:val="00230DAD"/>
    <w:rsid w:val="0023229C"/>
    <w:rsid w:val="0023355C"/>
    <w:rsid w:val="00234280"/>
    <w:rsid w:val="00235000"/>
    <w:rsid w:val="002350E3"/>
    <w:rsid w:val="00235330"/>
    <w:rsid w:val="00236443"/>
    <w:rsid w:val="00240773"/>
    <w:rsid w:val="00240815"/>
    <w:rsid w:val="00240A5B"/>
    <w:rsid w:val="00240C76"/>
    <w:rsid w:val="002436BA"/>
    <w:rsid w:val="002444ED"/>
    <w:rsid w:val="00244A15"/>
    <w:rsid w:val="00244D40"/>
    <w:rsid w:val="00246AE9"/>
    <w:rsid w:val="0024799E"/>
    <w:rsid w:val="00250C59"/>
    <w:rsid w:val="00250E0D"/>
    <w:rsid w:val="00251D59"/>
    <w:rsid w:val="00252602"/>
    <w:rsid w:val="00252FDC"/>
    <w:rsid w:val="00257613"/>
    <w:rsid w:val="00261E5B"/>
    <w:rsid w:val="00262F34"/>
    <w:rsid w:val="00263470"/>
    <w:rsid w:val="00263733"/>
    <w:rsid w:val="00264676"/>
    <w:rsid w:val="00265536"/>
    <w:rsid w:val="00265E54"/>
    <w:rsid w:val="00266F3E"/>
    <w:rsid w:val="00272464"/>
    <w:rsid w:val="00273DCD"/>
    <w:rsid w:val="00274291"/>
    <w:rsid w:val="00276CFE"/>
    <w:rsid w:val="00277071"/>
    <w:rsid w:val="0027786C"/>
    <w:rsid w:val="00277BF7"/>
    <w:rsid w:val="00281416"/>
    <w:rsid w:val="00285CD3"/>
    <w:rsid w:val="0028686A"/>
    <w:rsid w:val="00286E66"/>
    <w:rsid w:val="002919B5"/>
    <w:rsid w:val="00293441"/>
    <w:rsid w:val="00294238"/>
    <w:rsid w:val="0029493E"/>
    <w:rsid w:val="00296C2E"/>
    <w:rsid w:val="002A1B05"/>
    <w:rsid w:val="002A267F"/>
    <w:rsid w:val="002A3354"/>
    <w:rsid w:val="002A35EA"/>
    <w:rsid w:val="002A37B6"/>
    <w:rsid w:val="002A3BD5"/>
    <w:rsid w:val="002A43A2"/>
    <w:rsid w:val="002A44ED"/>
    <w:rsid w:val="002A4612"/>
    <w:rsid w:val="002A4F70"/>
    <w:rsid w:val="002A5263"/>
    <w:rsid w:val="002A6821"/>
    <w:rsid w:val="002A74D2"/>
    <w:rsid w:val="002A7CDA"/>
    <w:rsid w:val="002A7F47"/>
    <w:rsid w:val="002B1544"/>
    <w:rsid w:val="002B36C8"/>
    <w:rsid w:val="002B7240"/>
    <w:rsid w:val="002C2668"/>
    <w:rsid w:val="002C43BD"/>
    <w:rsid w:val="002C5261"/>
    <w:rsid w:val="002C6091"/>
    <w:rsid w:val="002D0562"/>
    <w:rsid w:val="002D1B5A"/>
    <w:rsid w:val="002D2500"/>
    <w:rsid w:val="002D3F00"/>
    <w:rsid w:val="002D4D59"/>
    <w:rsid w:val="002D54BF"/>
    <w:rsid w:val="002D5E94"/>
    <w:rsid w:val="002D632D"/>
    <w:rsid w:val="002E02A1"/>
    <w:rsid w:val="002E0982"/>
    <w:rsid w:val="002E0DB9"/>
    <w:rsid w:val="002E2CE4"/>
    <w:rsid w:val="002E34F3"/>
    <w:rsid w:val="002E435E"/>
    <w:rsid w:val="002E73F2"/>
    <w:rsid w:val="002F33FB"/>
    <w:rsid w:val="002F68A4"/>
    <w:rsid w:val="002F7594"/>
    <w:rsid w:val="00301357"/>
    <w:rsid w:val="00301D04"/>
    <w:rsid w:val="003035D4"/>
    <w:rsid w:val="00303DCB"/>
    <w:rsid w:val="00304771"/>
    <w:rsid w:val="00305736"/>
    <w:rsid w:val="00306C5B"/>
    <w:rsid w:val="00306E3B"/>
    <w:rsid w:val="003119B6"/>
    <w:rsid w:val="00312C3D"/>
    <w:rsid w:val="00314331"/>
    <w:rsid w:val="00317E31"/>
    <w:rsid w:val="00320214"/>
    <w:rsid w:val="003209D6"/>
    <w:rsid w:val="0032109A"/>
    <w:rsid w:val="0032214F"/>
    <w:rsid w:val="00322164"/>
    <w:rsid w:val="00323CF7"/>
    <w:rsid w:val="00323E61"/>
    <w:rsid w:val="0032513D"/>
    <w:rsid w:val="00326251"/>
    <w:rsid w:val="0032739C"/>
    <w:rsid w:val="00327DEE"/>
    <w:rsid w:val="003302DA"/>
    <w:rsid w:val="00330EB0"/>
    <w:rsid w:val="003329F3"/>
    <w:rsid w:val="0033352E"/>
    <w:rsid w:val="00333690"/>
    <w:rsid w:val="00333D20"/>
    <w:rsid w:val="00333F53"/>
    <w:rsid w:val="003340EF"/>
    <w:rsid w:val="00334A49"/>
    <w:rsid w:val="0033536F"/>
    <w:rsid w:val="00335BB0"/>
    <w:rsid w:val="0033627B"/>
    <w:rsid w:val="003406BD"/>
    <w:rsid w:val="00343474"/>
    <w:rsid w:val="00343F84"/>
    <w:rsid w:val="00344135"/>
    <w:rsid w:val="003450E2"/>
    <w:rsid w:val="00351B63"/>
    <w:rsid w:val="00352E57"/>
    <w:rsid w:val="003541B0"/>
    <w:rsid w:val="0035457E"/>
    <w:rsid w:val="00355885"/>
    <w:rsid w:val="0035605E"/>
    <w:rsid w:val="00357449"/>
    <w:rsid w:val="0036238B"/>
    <w:rsid w:val="003651A4"/>
    <w:rsid w:val="00365680"/>
    <w:rsid w:val="003657F3"/>
    <w:rsid w:val="00367038"/>
    <w:rsid w:val="00370963"/>
    <w:rsid w:val="0037144E"/>
    <w:rsid w:val="003736B5"/>
    <w:rsid w:val="00374F1E"/>
    <w:rsid w:val="00376DEC"/>
    <w:rsid w:val="00377200"/>
    <w:rsid w:val="00380E04"/>
    <w:rsid w:val="00383227"/>
    <w:rsid w:val="00384D8F"/>
    <w:rsid w:val="00385D98"/>
    <w:rsid w:val="00385EC5"/>
    <w:rsid w:val="0038658E"/>
    <w:rsid w:val="0039066E"/>
    <w:rsid w:val="00391C95"/>
    <w:rsid w:val="00394D49"/>
    <w:rsid w:val="00396DAC"/>
    <w:rsid w:val="003A0214"/>
    <w:rsid w:val="003A027D"/>
    <w:rsid w:val="003A1D74"/>
    <w:rsid w:val="003A2B4D"/>
    <w:rsid w:val="003A2D2B"/>
    <w:rsid w:val="003A2DD4"/>
    <w:rsid w:val="003A3B1C"/>
    <w:rsid w:val="003A4088"/>
    <w:rsid w:val="003A478C"/>
    <w:rsid w:val="003A4F82"/>
    <w:rsid w:val="003A5525"/>
    <w:rsid w:val="003A6B38"/>
    <w:rsid w:val="003B2580"/>
    <w:rsid w:val="003B2E63"/>
    <w:rsid w:val="003B3189"/>
    <w:rsid w:val="003B3A9D"/>
    <w:rsid w:val="003B3DDD"/>
    <w:rsid w:val="003B5031"/>
    <w:rsid w:val="003B5A32"/>
    <w:rsid w:val="003B6105"/>
    <w:rsid w:val="003C03CC"/>
    <w:rsid w:val="003C04C4"/>
    <w:rsid w:val="003C26F4"/>
    <w:rsid w:val="003C3686"/>
    <w:rsid w:val="003C4852"/>
    <w:rsid w:val="003C5BC7"/>
    <w:rsid w:val="003C601E"/>
    <w:rsid w:val="003D2C4E"/>
    <w:rsid w:val="003D3600"/>
    <w:rsid w:val="003D3825"/>
    <w:rsid w:val="003D3EC4"/>
    <w:rsid w:val="003D4760"/>
    <w:rsid w:val="003D49DC"/>
    <w:rsid w:val="003D5D7A"/>
    <w:rsid w:val="003E0663"/>
    <w:rsid w:val="003E133F"/>
    <w:rsid w:val="003E49F6"/>
    <w:rsid w:val="003E699C"/>
    <w:rsid w:val="003E69F3"/>
    <w:rsid w:val="003E782E"/>
    <w:rsid w:val="003E7A0B"/>
    <w:rsid w:val="003E7B2B"/>
    <w:rsid w:val="003F181F"/>
    <w:rsid w:val="003F1A48"/>
    <w:rsid w:val="003F2B0A"/>
    <w:rsid w:val="003F313C"/>
    <w:rsid w:val="003F341B"/>
    <w:rsid w:val="003F37FC"/>
    <w:rsid w:val="003F49A6"/>
    <w:rsid w:val="003F5098"/>
    <w:rsid w:val="003F5568"/>
    <w:rsid w:val="003F5A95"/>
    <w:rsid w:val="003F6D19"/>
    <w:rsid w:val="004000D5"/>
    <w:rsid w:val="004005C1"/>
    <w:rsid w:val="00401716"/>
    <w:rsid w:val="00401A09"/>
    <w:rsid w:val="0040273A"/>
    <w:rsid w:val="00402C25"/>
    <w:rsid w:val="004050D7"/>
    <w:rsid w:val="004078BD"/>
    <w:rsid w:val="00410132"/>
    <w:rsid w:val="00410BCD"/>
    <w:rsid w:val="0041175D"/>
    <w:rsid w:val="004123BE"/>
    <w:rsid w:val="00414CE5"/>
    <w:rsid w:val="00416673"/>
    <w:rsid w:val="0042160D"/>
    <w:rsid w:val="00423A3C"/>
    <w:rsid w:val="0042681B"/>
    <w:rsid w:val="00427193"/>
    <w:rsid w:val="0043068A"/>
    <w:rsid w:val="004306E0"/>
    <w:rsid w:val="00431D54"/>
    <w:rsid w:val="004329BE"/>
    <w:rsid w:val="00432C38"/>
    <w:rsid w:val="004342EC"/>
    <w:rsid w:val="00437C76"/>
    <w:rsid w:val="0044105C"/>
    <w:rsid w:val="004441A0"/>
    <w:rsid w:val="00444268"/>
    <w:rsid w:val="00444326"/>
    <w:rsid w:val="004443BF"/>
    <w:rsid w:val="00444C19"/>
    <w:rsid w:val="00445218"/>
    <w:rsid w:val="00445CDD"/>
    <w:rsid w:val="00446892"/>
    <w:rsid w:val="00447E36"/>
    <w:rsid w:val="00450C30"/>
    <w:rsid w:val="004540FF"/>
    <w:rsid w:val="004541F1"/>
    <w:rsid w:val="00455ECA"/>
    <w:rsid w:val="00457296"/>
    <w:rsid w:val="00457320"/>
    <w:rsid w:val="00460164"/>
    <w:rsid w:val="0046039A"/>
    <w:rsid w:val="00460A6B"/>
    <w:rsid w:val="00461977"/>
    <w:rsid w:val="004629FD"/>
    <w:rsid w:val="00463B4B"/>
    <w:rsid w:val="00463F4D"/>
    <w:rsid w:val="0046471F"/>
    <w:rsid w:val="00464BE8"/>
    <w:rsid w:val="00465019"/>
    <w:rsid w:val="00465FA4"/>
    <w:rsid w:val="0046613F"/>
    <w:rsid w:val="0046655D"/>
    <w:rsid w:val="0046765E"/>
    <w:rsid w:val="004676E2"/>
    <w:rsid w:val="00471EDD"/>
    <w:rsid w:val="00473E94"/>
    <w:rsid w:val="0047400C"/>
    <w:rsid w:val="004745D9"/>
    <w:rsid w:val="004762D8"/>
    <w:rsid w:val="004765B3"/>
    <w:rsid w:val="00476D29"/>
    <w:rsid w:val="00477241"/>
    <w:rsid w:val="00477EAF"/>
    <w:rsid w:val="00477EE0"/>
    <w:rsid w:val="00480AB8"/>
    <w:rsid w:val="0048139F"/>
    <w:rsid w:val="00481C00"/>
    <w:rsid w:val="00483053"/>
    <w:rsid w:val="00484874"/>
    <w:rsid w:val="00485230"/>
    <w:rsid w:val="004879E9"/>
    <w:rsid w:val="00487F81"/>
    <w:rsid w:val="00490247"/>
    <w:rsid w:val="0049104F"/>
    <w:rsid w:val="00491218"/>
    <w:rsid w:val="00491CFD"/>
    <w:rsid w:val="00493362"/>
    <w:rsid w:val="00494343"/>
    <w:rsid w:val="00496C2F"/>
    <w:rsid w:val="0049740D"/>
    <w:rsid w:val="004978D3"/>
    <w:rsid w:val="004A11F8"/>
    <w:rsid w:val="004A22BD"/>
    <w:rsid w:val="004A22FA"/>
    <w:rsid w:val="004A269A"/>
    <w:rsid w:val="004A30FB"/>
    <w:rsid w:val="004A35DD"/>
    <w:rsid w:val="004A37D3"/>
    <w:rsid w:val="004A3AD6"/>
    <w:rsid w:val="004A5865"/>
    <w:rsid w:val="004A77DF"/>
    <w:rsid w:val="004B0295"/>
    <w:rsid w:val="004B0803"/>
    <w:rsid w:val="004B10A8"/>
    <w:rsid w:val="004B22DA"/>
    <w:rsid w:val="004B3CB7"/>
    <w:rsid w:val="004B3D55"/>
    <w:rsid w:val="004B55B7"/>
    <w:rsid w:val="004C00A6"/>
    <w:rsid w:val="004C0BBB"/>
    <w:rsid w:val="004C1AD6"/>
    <w:rsid w:val="004C1B86"/>
    <w:rsid w:val="004C3382"/>
    <w:rsid w:val="004C3867"/>
    <w:rsid w:val="004C4AB7"/>
    <w:rsid w:val="004C4CD0"/>
    <w:rsid w:val="004C57B5"/>
    <w:rsid w:val="004C5C25"/>
    <w:rsid w:val="004C6717"/>
    <w:rsid w:val="004C6CFF"/>
    <w:rsid w:val="004C70DC"/>
    <w:rsid w:val="004C7268"/>
    <w:rsid w:val="004D0211"/>
    <w:rsid w:val="004D1C9C"/>
    <w:rsid w:val="004D504B"/>
    <w:rsid w:val="004D536E"/>
    <w:rsid w:val="004D76CC"/>
    <w:rsid w:val="004E1839"/>
    <w:rsid w:val="004E4A75"/>
    <w:rsid w:val="004E541A"/>
    <w:rsid w:val="004E5A5C"/>
    <w:rsid w:val="004E7007"/>
    <w:rsid w:val="004E76D6"/>
    <w:rsid w:val="004E7F57"/>
    <w:rsid w:val="004F06F5"/>
    <w:rsid w:val="004F191F"/>
    <w:rsid w:val="004F2A73"/>
    <w:rsid w:val="004F33A0"/>
    <w:rsid w:val="004F4353"/>
    <w:rsid w:val="004F447D"/>
    <w:rsid w:val="004F4C28"/>
    <w:rsid w:val="004F4E82"/>
    <w:rsid w:val="004F5CC5"/>
    <w:rsid w:val="004F6350"/>
    <w:rsid w:val="005028E1"/>
    <w:rsid w:val="0050692E"/>
    <w:rsid w:val="00507040"/>
    <w:rsid w:val="005079F8"/>
    <w:rsid w:val="00510189"/>
    <w:rsid w:val="005108C0"/>
    <w:rsid w:val="00511873"/>
    <w:rsid w:val="00513B7E"/>
    <w:rsid w:val="005140DE"/>
    <w:rsid w:val="00514474"/>
    <w:rsid w:val="005147E9"/>
    <w:rsid w:val="0051778E"/>
    <w:rsid w:val="005215EF"/>
    <w:rsid w:val="00524637"/>
    <w:rsid w:val="00524FDD"/>
    <w:rsid w:val="00525137"/>
    <w:rsid w:val="005251DD"/>
    <w:rsid w:val="00526DB6"/>
    <w:rsid w:val="0053017A"/>
    <w:rsid w:val="00530492"/>
    <w:rsid w:val="00532854"/>
    <w:rsid w:val="005350F2"/>
    <w:rsid w:val="00535152"/>
    <w:rsid w:val="00535359"/>
    <w:rsid w:val="005357A2"/>
    <w:rsid w:val="00535D87"/>
    <w:rsid w:val="00535EF0"/>
    <w:rsid w:val="005363DF"/>
    <w:rsid w:val="0053734B"/>
    <w:rsid w:val="005375B1"/>
    <w:rsid w:val="00537AFD"/>
    <w:rsid w:val="00537CB4"/>
    <w:rsid w:val="0054516B"/>
    <w:rsid w:val="0054559E"/>
    <w:rsid w:val="005513D5"/>
    <w:rsid w:val="005523B9"/>
    <w:rsid w:val="005545E0"/>
    <w:rsid w:val="00554865"/>
    <w:rsid w:val="00554E57"/>
    <w:rsid w:val="00562749"/>
    <w:rsid w:val="00562DE9"/>
    <w:rsid w:val="005638A5"/>
    <w:rsid w:val="00566381"/>
    <w:rsid w:val="00566A03"/>
    <w:rsid w:val="00571932"/>
    <w:rsid w:val="00573C97"/>
    <w:rsid w:val="00574240"/>
    <w:rsid w:val="00575CDC"/>
    <w:rsid w:val="005765D5"/>
    <w:rsid w:val="00576A3E"/>
    <w:rsid w:val="0057703D"/>
    <w:rsid w:val="0058366F"/>
    <w:rsid w:val="00583D5B"/>
    <w:rsid w:val="00583FFD"/>
    <w:rsid w:val="00587CCD"/>
    <w:rsid w:val="005908AE"/>
    <w:rsid w:val="0059176E"/>
    <w:rsid w:val="00592854"/>
    <w:rsid w:val="00593152"/>
    <w:rsid w:val="00593CA3"/>
    <w:rsid w:val="00594161"/>
    <w:rsid w:val="00594969"/>
    <w:rsid w:val="00596C5E"/>
    <w:rsid w:val="005A2194"/>
    <w:rsid w:val="005A21E0"/>
    <w:rsid w:val="005A33A1"/>
    <w:rsid w:val="005A54EE"/>
    <w:rsid w:val="005A563B"/>
    <w:rsid w:val="005A7500"/>
    <w:rsid w:val="005A77E4"/>
    <w:rsid w:val="005B1BDB"/>
    <w:rsid w:val="005B2BAA"/>
    <w:rsid w:val="005B2D53"/>
    <w:rsid w:val="005B3247"/>
    <w:rsid w:val="005B3409"/>
    <w:rsid w:val="005B498A"/>
    <w:rsid w:val="005B7B12"/>
    <w:rsid w:val="005C16CB"/>
    <w:rsid w:val="005C21D6"/>
    <w:rsid w:val="005C3F9F"/>
    <w:rsid w:val="005C406F"/>
    <w:rsid w:val="005C4A23"/>
    <w:rsid w:val="005C562C"/>
    <w:rsid w:val="005C5812"/>
    <w:rsid w:val="005C6400"/>
    <w:rsid w:val="005C7F1E"/>
    <w:rsid w:val="005D374F"/>
    <w:rsid w:val="005D5802"/>
    <w:rsid w:val="005D6CFC"/>
    <w:rsid w:val="005D73E2"/>
    <w:rsid w:val="005D757A"/>
    <w:rsid w:val="005E1E4B"/>
    <w:rsid w:val="005E362D"/>
    <w:rsid w:val="005E492C"/>
    <w:rsid w:val="005E4BAA"/>
    <w:rsid w:val="005E52EF"/>
    <w:rsid w:val="005E5B56"/>
    <w:rsid w:val="005E6088"/>
    <w:rsid w:val="005E61DF"/>
    <w:rsid w:val="005E6B65"/>
    <w:rsid w:val="005E6B78"/>
    <w:rsid w:val="005E75B8"/>
    <w:rsid w:val="005F26CE"/>
    <w:rsid w:val="005F4057"/>
    <w:rsid w:val="005F4088"/>
    <w:rsid w:val="005F601D"/>
    <w:rsid w:val="005F6119"/>
    <w:rsid w:val="005F7940"/>
    <w:rsid w:val="0060107A"/>
    <w:rsid w:val="00601AFF"/>
    <w:rsid w:val="00602D1D"/>
    <w:rsid w:val="00604307"/>
    <w:rsid w:val="0060487F"/>
    <w:rsid w:val="00605814"/>
    <w:rsid w:val="00606B93"/>
    <w:rsid w:val="00607727"/>
    <w:rsid w:val="00610BD5"/>
    <w:rsid w:val="00611531"/>
    <w:rsid w:val="006118AA"/>
    <w:rsid w:val="006139C7"/>
    <w:rsid w:val="006153E3"/>
    <w:rsid w:val="006167AB"/>
    <w:rsid w:val="00617D2D"/>
    <w:rsid w:val="00617D83"/>
    <w:rsid w:val="00620430"/>
    <w:rsid w:val="00620AC5"/>
    <w:rsid w:val="00621575"/>
    <w:rsid w:val="006215FC"/>
    <w:rsid w:val="00624093"/>
    <w:rsid w:val="00630F66"/>
    <w:rsid w:val="00631FC2"/>
    <w:rsid w:val="00632171"/>
    <w:rsid w:val="0063332A"/>
    <w:rsid w:val="006347F9"/>
    <w:rsid w:val="0063494E"/>
    <w:rsid w:val="00634C90"/>
    <w:rsid w:val="00635E79"/>
    <w:rsid w:val="00636E5E"/>
    <w:rsid w:val="006379E0"/>
    <w:rsid w:val="006404A7"/>
    <w:rsid w:val="006407F3"/>
    <w:rsid w:val="006408EC"/>
    <w:rsid w:val="0064129B"/>
    <w:rsid w:val="00644DFC"/>
    <w:rsid w:val="006451E4"/>
    <w:rsid w:val="006454B4"/>
    <w:rsid w:val="00645A9C"/>
    <w:rsid w:val="006460B8"/>
    <w:rsid w:val="006504A0"/>
    <w:rsid w:val="006520C7"/>
    <w:rsid w:val="00652CBB"/>
    <w:rsid w:val="006530B8"/>
    <w:rsid w:val="006535D6"/>
    <w:rsid w:val="006572ED"/>
    <w:rsid w:val="00657E87"/>
    <w:rsid w:val="00660457"/>
    <w:rsid w:val="00660E1E"/>
    <w:rsid w:val="006637B1"/>
    <w:rsid w:val="00664B64"/>
    <w:rsid w:val="00665D67"/>
    <w:rsid w:val="00665D77"/>
    <w:rsid w:val="006660CD"/>
    <w:rsid w:val="00666EC8"/>
    <w:rsid w:val="00666F4B"/>
    <w:rsid w:val="006676D0"/>
    <w:rsid w:val="0066796E"/>
    <w:rsid w:val="00670FAC"/>
    <w:rsid w:val="006710C9"/>
    <w:rsid w:val="006716A5"/>
    <w:rsid w:val="00675E37"/>
    <w:rsid w:val="00676AFC"/>
    <w:rsid w:val="00676F11"/>
    <w:rsid w:val="00680079"/>
    <w:rsid w:val="00680F68"/>
    <w:rsid w:val="0068260E"/>
    <w:rsid w:val="0068373D"/>
    <w:rsid w:val="00683BFE"/>
    <w:rsid w:val="0068437D"/>
    <w:rsid w:val="006857DF"/>
    <w:rsid w:val="00685E66"/>
    <w:rsid w:val="00686B72"/>
    <w:rsid w:val="00686BF1"/>
    <w:rsid w:val="00690A09"/>
    <w:rsid w:val="00690A25"/>
    <w:rsid w:val="00693EA1"/>
    <w:rsid w:val="00693FEA"/>
    <w:rsid w:val="00694930"/>
    <w:rsid w:val="00695170"/>
    <w:rsid w:val="00695BEF"/>
    <w:rsid w:val="006960D6"/>
    <w:rsid w:val="00696AA5"/>
    <w:rsid w:val="006977F6"/>
    <w:rsid w:val="00697A13"/>
    <w:rsid w:val="006A109C"/>
    <w:rsid w:val="006A18AE"/>
    <w:rsid w:val="006A2EE8"/>
    <w:rsid w:val="006A3CF3"/>
    <w:rsid w:val="006A568F"/>
    <w:rsid w:val="006A65EF"/>
    <w:rsid w:val="006A672B"/>
    <w:rsid w:val="006B23A9"/>
    <w:rsid w:val="006B3F8A"/>
    <w:rsid w:val="006B5CA3"/>
    <w:rsid w:val="006B6B3B"/>
    <w:rsid w:val="006B7714"/>
    <w:rsid w:val="006B78D8"/>
    <w:rsid w:val="006C090F"/>
    <w:rsid w:val="006C0935"/>
    <w:rsid w:val="006C0BCE"/>
    <w:rsid w:val="006C113F"/>
    <w:rsid w:val="006C2AED"/>
    <w:rsid w:val="006C38DD"/>
    <w:rsid w:val="006C5577"/>
    <w:rsid w:val="006C559A"/>
    <w:rsid w:val="006C58FA"/>
    <w:rsid w:val="006D042D"/>
    <w:rsid w:val="006D06EF"/>
    <w:rsid w:val="006D142E"/>
    <w:rsid w:val="006D4497"/>
    <w:rsid w:val="006D4E6F"/>
    <w:rsid w:val="006D61F6"/>
    <w:rsid w:val="006E0EB0"/>
    <w:rsid w:val="006E1F4C"/>
    <w:rsid w:val="006E22C8"/>
    <w:rsid w:val="006E279A"/>
    <w:rsid w:val="006E2F3F"/>
    <w:rsid w:val="006E313B"/>
    <w:rsid w:val="006E442A"/>
    <w:rsid w:val="006E4434"/>
    <w:rsid w:val="006E59FC"/>
    <w:rsid w:val="006E5CFD"/>
    <w:rsid w:val="006E7E2C"/>
    <w:rsid w:val="006F1326"/>
    <w:rsid w:val="006F2BEE"/>
    <w:rsid w:val="006F3708"/>
    <w:rsid w:val="006F3E6B"/>
    <w:rsid w:val="006F4619"/>
    <w:rsid w:val="006F4A59"/>
    <w:rsid w:val="00700232"/>
    <w:rsid w:val="007014C7"/>
    <w:rsid w:val="00702D6F"/>
    <w:rsid w:val="00703B6C"/>
    <w:rsid w:val="00703C6B"/>
    <w:rsid w:val="007047D5"/>
    <w:rsid w:val="00705D98"/>
    <w:rsid w:val="00707891"/>
    <w:rsid w:val="00707D43"/>
    <w:rsid w:val="00711EF1"/>
    <w:rsid w:val="0071229A"/>
    <w:rsid w:val="00712572"/>
    <w:rsid w:val="00713495"/>
    <w:rsid w:val="00713EEB"/>
    <w:rsid w:val="007159D2"/>
    <w:rsid w:val="0072050E"/>
    <w:rsid w:val="00720FA2"/>
    <w:rsid w:val="007211F5"/>
    <w:rsid w:val="00724666"/>
    <w:rsid w:val="00726043"/>
    <w:rsid w:val="0072704A"/>
    <w:rsid w:val="00730AE8"/>
    <w:rsid w:val="00731963"/>
    <w:rsid w:val="00734321"/>
    <w:rsid w:val="0073532E"/>
    <w:rsid w:val="00740310"/>
    <w:rsid w:val="00740652"/>
    <w:rsid w:val="00740F02"/>
    <w:rsid w:val="00740FEC"/>
    <w:rsid w:val="0074132E"/>
    <w:rsid w:val="00741493"/>
    <w:rsid w:val="007426B3"/>
    <w:rsid w:val="007426FD"/>
    <w:rsid w:val="0074329D"/>
    <w:rsid w:val="00744376"/>
    <w:rsid w:val="007449EA"/>
    <w:rsid w:val="00744D00"/>
    <w:rsid w:val="00745273"/>
    <w:rsid w:val="00746DD9"/>
    <w:rsid w:val="0075057A"/>
    <w:rsid w:val="00751771"/>
    <w:rsid w:val="00751C1C"/>
    <w:rsid w:val="00752180"/>
    <w:rsid w:val="007521A1"/>
    <w:rsid w:val="00752BC3"/>
    <w:rsid w:val="0075315D"/>
    <w:rsid w:val="007538F9"/>
    <w:rsid w:val="00754253"/>
    <w:rsid w:val="007552BB"/>
    <w:rsid w:val="007558D3"/>
    <w:rsid w:val="007559D7"/>
    <w:rsid w:val="00755D3A"/>
    <w:rsid w:val="00760141"/>
    <w:rsid w:val="007609C6"/>
    <w:rsid w:val="007610A0"/>
    <w:rsid w:val="007620F2"/>
    <w:rsid w:val="00762EBA"/>
    <w:rsid w:val="0076359D"/>
    <w:rsid w:val="0077058D"/>
    <w:rsid w:val="00772536"/>
    <w:rsid w:val="00773613"/>
    <w:rsid w:val="00774782"/>
    <w:rsid w:val="00776476"/>
    <w:rsid w:val="00776527"/>
    <w:rsid w:val="007805E1"/>
    <w:rsid w:val="0078113E"/>
    <w:rsid w:val="00781834"/>
    <w:rsid w:val="007821DB"/>
    <w:rsid w:val="00782818"/>
    <w:rsid w:val="007838F1"/>
    <w:rsid w:val="00784C4A"/>
    <w:rsid w:val="00787432"/>
    <w:rsid w:val="00787507"/>
    <w:rsid w:val="007879F2"/>
    <w:rsid w:val="00791CF8"/>
    <w:rsid w:val="00791EF9"/>
    <w:rsid w:val="00792262"/>
    <w:rsid w:val="00793387"/>
    <w:rsid w:val="00793BAE"/>
    <w:rsid w:val="00794E0A"/>
    <w:rsid w:val="00796642"/>
    <w:rsid w:val="007A11D9"/>
    <w:rsid w:val="007A327B"/>
    <w:rsid w:val="007A45B1"/>
    <w:rsid w:val="007A4606"/>
    <w:rsid w:val="007B0D67"/>
    <w:rsid w:val="007B1966"/>
    <w:rsid w:val="007B2779"/>
    <w:rsid w:val="007B3DCC"/>
    <w:rsid w:val="007B4518"/>
    <w:rsid w:val="007B5031"/>
    <w:rsid w:val="007B573F"/>
    <w:rsid w:val="007C0065"/>
    <w:rsid w:val="007C010B"/>
    <w:rsid w:val="007C605B"/>
    <w:rsid w:val="007D2A5A"/>
    <w:rsid w:val="007D2AD8"/>
    <w:rsid w:val="007D2C47"/>
    <w:rsid w:val="007D3167"/>
    <w:rsid w:val="007D4128"/>
    <w:rsid w:val="007D4281"/>
    <w:rsid w:val="007D42F5"/>
    <w:rsid w:val="007D44C3"/>
    <w:rsid w:val="007D5947"/>
    <w:rsid w:val="007D65C1"/>
    <w:rsid w:val="007E030F"/>
    <w:rsid w:val="007E0E59"/>
    <w:rsid w:val="007E0F4B"/>
    <w:rsid w:val="007E3715"/>
    <w:rsid w:val="007E7E61"/>
    <w:rsid w:val="007F0845"/>
    <w:rsid w:val="007F16F9"/>
    <w:rsid w:val="007F3E3E"/>
    <w:rsid w:val="007F42E0"/>
    <w:rsid w:val="007F500D"/>
    <w:rsid w:val="007F5F14"/>
    <w:rsid w:val="007F7B54"/>
    <w:rsid w:val="00800073"/>
    <w:rsid w:val="008005D7"/>
    <w:rsid w:val="00801FDD"/>
    <w:rsid w:val="008020C2"/>
    <w:rsid w:val="0080255C"/>
    <w:rsid w:val="0081187C"/>
    <w:rsid w:val="00811E24"/>
    <w:rsid w:val="00812386"/>
    <w:rsid w:val="00812E2B"/>
    <w:rsid w:val="00813A70"/>
    <w:rsid w:val="00813FE6"/>
    <w:rsid w:val="00815C6E"/>
    <w:rsid w:val="0081645F"/>
    <w:rsid w:val="00817755"/>
    <w:rsid w:val="008178C2"/>
    <w:rsid w:val="008178CF"/>
    <w:rsid w:val="00817C98"/>
    <w:rsid w:val="00820C9F"/>
    <w:rsid w:val="00821FF6"/>
    <w:rsid w:val="00823AAF"/>
    <w:rsid w:val="00824081"/>
    <w:rsid w:val="0082409A"/>
    <w:rsid w:val="008252D7"/>
    <w:rsid w:val="00825C0F"/>
    <w:rsid w:val="00827181"/>
    <w:rsid w:val="0082733C"/>
    <w:rsid w:val="00827746"/>
    <w:rsid w:val="0083143E"/>
    <w:rsid w:val="0083159D"/>
    <w:rsid w:val="008318FF"/>
    <w:rsid w:val="00832187"/>
    <w:rsid w:val="00832493"/>
    <w:rsid w:val="008336D8"/>
    <w:rsid w:val="008339C4"/>
    <w:rsid w:val="00834F0A"/>
    <w:rsid w:val="00834FAA"/>
    <w:rsid w:val="00835181"/>
    <w:rsid w:val="00835991"/>
    <w:rsid w:val="00836086"/>
    <w:rsid w:val="00840699"/>
    <w:rsid w:val="00841D9F"/>
    <w:rsid w:val="00842604"/>
    <w:rsid w:val="00843ECF"/>
    <w:rsid w:val="00846673"/>
    <w:rsid w:val="0085281A"/>
    <w:rsid w:val="008559FE"/>
    <w:rsid w:val="00857339"/>
    <w:rsid w:val="00860706"/>
    <w:rsid w:val="00862A7A"/>
    <w:rsid w:val="00863104"/>
    <w:rsid w:val="008636CD"/>
    <w:rsid w:val="00863D9E"/>
    <w:rsid w:val="00863FDC"/>
    <w:rsid w:val="008642AF"/>
    <w:rsid w:val="00865ED4"/>
    <w:rsid w:val="008669A7"/>
    <w:rsid w:val="00867E29"/>
    <w:rsid w:val="00870F2B"/>
    <w:rsid w:val="008746E6"/>
    <w:rsid w:val="0087594C"/>
    <w:rsid w:val="00876086"/>
    <w:rsid w:val="008768D6"/>
    <w:rsid w:val="008775D1"/>
    <w:rsid w:val="008777BB"/>
    <w:rsid w:val="00877D68"/>
    <w:rsid w:val="00877E5D"/>
    <w:rsid w:val="00880150"/>
    <w:rsid w:val="00880ABA"/>
    <w:rsid w:val="00883A67"/>
    <w:rsid w:val="00883D45"/>
    <w:rsid w:val="00884D69"/>
    <w:rsid w:val="0088503D"/>
    <w:rsid w:val="00886A8F"/>
    <w:rsid w:val="0088733A"/>
    <w:rsid w:val="00891BE0"/>
    <w:rsid w:val="00893302"/>
    <w:rsid w:val="00893648"/>
    <w:rsid w:val="00893F3C"/>
    <w:rsid w:val="008945A1"/>
    <w:rsid w:val="00894A63"/>
    <w:rsid w:val="00895A54"/>
    <w:rsid w:val="00896916"/>
    <w:rsid w:val="00896BDE"/>
    <w:rsid w:val="008A0861"/>
    <w:rsid w:val="008A0BB2"/>
    <w:rsid w:val="008A1AB3"/>
    <w:rsid w:val="008A1D5C"/>
    <w:rsid w:val="008A3292"/>
    <w:rsid w:val="008A3A85"/>
    <w:rsid w:val="008A43E9"/>
    <w:rsid w:val="008A4CB1"/>
    <w:rsid w:val="008A615E"/>
    <w:rsid w:val="008A632B"/>
    <w:rsid w:val="008A6BFE"/>
    <w:rsid w:val="008B00C2"/>
    <w:rsid w:val="008B07EF"/>
    <w:rsid w:val="008B16DE"/>
    <w:rsid w:val="008B190E"/>
    <w:rsid w:val="008B1A8A"/>
    <w:rsid w:val="008B1FC9"/>
    <w:rsid w:val="008B6B67"/>
    <w:rsid w:val="008B7306"/>
    <w:rsid w:val="008B775F"/>
    <w:rsid w:val="008B7C02"/>
    <w:rsid w:val="008B7D13"/>
    <w:rsid w:val="008B7F9E"/>
    <w:rsid w:val="008C0E88"/>
    <w:rsid w:val="008C1AA8"/>
    <w:rsid w:val="008C22A8"/>
    <w:rsid w:val="008C5B43"/>
    <w:rsid w:val="008C63FD"/>
    <w:rsid w:val="008C6CB8"/>
    <w:rsid w:val="008C7815"/>
    <w:rsid w:val="008C7A07"/>
    <w:rsid w:val="008D0171"/>
    <w:rsid w:val="008D13EA"/>
    <w:rsid w:val="008D2671"/>
    <w:rsid w:val="008D2A16"/>
    <w:rsid w:val="008D2ECF"/>
    <w:rsid w:val="008D3F3D"/>
    <w:rsid w:val="008E0367"/>
    <w:rsid w:val="008E308D"/>
    <w:rsid w:val="008E31FF"/>
    <w:rsid w:val="008E46A3"/>
    <w:rsid w:val="008E5DE6"/>
    <w:rsid w:val="008E6113"/>
    <w:rsid w:val="008E6AB3"/>
    <w:rsid w:val="008E6AD3"/>
    <w:rsid w:val="008E71A6"/>
    <w:rsid w:val="008E77B6"/>
    <w:rsid w:val="008E7C55"/>
    <w:rsid w:val="008F032E"/>
    <w:rsid w:val="008F0F14"/>
    <w:rsid w:val="008F4FCE"/>
    <w:rsid w:val="008F5301"/>
    <w:rsid w:val="008F6967"/>
    <w:rsid w:val="008F6A0C"/>
    <w:rsid w:val="008F7721"/>
    <w:rsid w:val="008F7D28"/>
    <w:rsid w:val="009003A8"/>
    <w:rsid w:val="009010A7"/>
    <w:rsid w:val="00902CBE"/>
    <w:rsid w:val="00902D74"/>
    <w:rsid w:val="00902EFF"/>
    <w:rsid w:val="00903E06"/>
    <w:rsid w:val="00904B9D"/>
    <w:rsid w:val="00905A11"/>
    <w:rsid w:val="009066E1"/>
    <w:rsid w:val="00907A41"/>
    <w:rsid w:val="009102BD"/>
    <w:rsid w:val="00910F93"/>
    <w:rsid w:val="0091255A"/>
    <w:rsid w:val="00914426"/>
    <w:rsid w:val="0091675F"/>
    <w:rsid w:val="00917709"/>
    <w:rsid w:val="00917918"/>
    <w:rsid w:val="00920874"/>
    <w:rsid w:val="00921F14"/>
    <w:rsid w:val="00923750"/>
    <w:rsid w:val="009243A5"/>
    <w:rsid w:val="009250D2"/>
    <w:rsid w:val="0092540B"/>
    <w:rsid w:val="009256C5"/>
    <w:rsid w:val="00926283"/>
    <w:rsid w:val="00937B11"/>
    <w:rsid w:val="00940F1F"/>
    <w:rsid w:val="00941250"/>
    <w:rsid w:val="0094427A"/>
    <w:rsid w:val="00944380"/>
    <w:rsid w:val="009459C5"/>
    <w:rsid w:val="0094626C"/>
    <w:rsid w:val="0095013A"/>
    <w:rsid w:val="00953AEF"/>
    <w:rsid w:val="009551E2"/>
    <w:rsid w:val="00955783"/>
    <w:rsid w:val="00955E5F"/>
    <w:rsid w:val="009560B0"/>
    <w:rsid w:val="00956F23"/>
    <w:rsid w:val="00957871"/>
    <w:rsid w:val="00960077"/>
    <w:rsid w:val="00960769"/>
    <w:rsid w:val="00962D2E"/>
    <w:rsid w:val="00963724"/>
    <w:rsid w:val="00964498"/>
    <w:rsid w:val="0096504D"/>
    <w:rsid w:val="00965A2D"/>
    <w:rsid w:val="009663EB"/>
    <w:rsid w:val="0096650F"/>
    <w:rsid w:val="00967AD2"/>
    <w:rsid w:val="009700DB"/>
    <w:rsid w:val="00971DC6"/>
    <w:rsid w:val="00972263"/>
    <w:rsid w:val="00972502"/>
    <w:rsid w:val="00972D8D"/>
    <w:rsid w:val="00973AAE"/>
    <w:rsid w:val="0097476C"/>
    <w:rsid w:val="00974923"/>
    <w:rsid w:val="00974D48"/>
    <w:rsid w:val="00974D5F"/>
    <w:rsid w:val="00975017"/>
    <w:rsid w:val="009759DF"/>
    <w:rsid w:val="00980373"/>
    <w:rsid w:val="00980621"/>
    <w:rsid w:val="00982072"/>
    <w:rsid w:val="009833FA"/>
    <w:rsid w:val="00983DBB"/>
    <w:rsid w:val="00983ECF"/>
    <w:rsid w:val="00986745"/>
    <w:rsid w:val="009867BC"/>
    <w:rsid w:val="00987109"/>
    <w:rsid w:val="00987309"/>
    <w:rsid w:val="0099012D"/>
    <w:rsid w:val="00990363"/>
    <w:rsid w:val="009954FF"/>
    <w:rsid w:val="009961BC"/>
    <w:rsid w:val="00996355"/>
    <w:rsid w:val="009A2014"/>
    <w:rsid w:val="009A3A87"/>
    <w:rsid w:val="009A4E12"/>
    <w:rsid w:val="009A5C68"/>
    <w:rsid w:val="009A6EF7"/>
    <w:rsid w:val="009B04D0"/>
    <w:rsid w:val="009B052C"/>
    <w:rsid w:val="009B0EF2"/>
    <w:rsid w:val="009B23A3"/>
    <w:rsid w:val="009B4925"/>
    <w:rsid w:val="009B4B4B"/>
    <w:rsid w:val="009B6FD3"/>
    <w:rsid w:val="009B70BD"/>
    <w:rsid w:val="009C07A5"/>
    <w:rsid w:val="009C7388"/>
    <w:rsid w:val="009D0CFF"/>
    <w:rsid w:val="009D1551"/>
    <w:rsid w:val="009D2859"/>
    <w:rsid w:val="009D36EC"/>
    <w:rsid w:val="009D4173"/>
    <w:rsid w:val="009D6095"/>
    <w:rsid w:val="009D6306"/>
    <w:rsid w:val="009E048A"/>
    <w:rsid w:val="009E1FBA"/>
    <w:rsid w:val="009E2C54"/>
    <w:rsid w:val="009E3710"/>
    <w:rsid w:val="009E7B1F"/>
    <w:rsid w:val="009F41C4"/>
    <w:rsid w:val="009F5846"/>
    <w:rsid w:val="009F7B52"/>
    <w:rsid w:val="009F7D77"/>
    <w:rsid w:val="00A015EA"/>
    <w:rsid w:val="00A10D66"/>
    <w:rsid w:val="00A12BA8"/>
    <w:rsid w:val="00A1420C"/>
    <w:rsid w:val="00A1456C"/>
    <w:rsid w:val="00A14821"/>
    <w:rsid w:val="00A17754"/>
    <w:rsid w:val="00A2055B"/>
    <w:rsid w:val="00A2253C"/>
    <w:rsid w:val="00A23545"/>
    <w:rsid w:val="00A23A55"/>
    <w:rsid w:val="00A23E43"/>
    <w:rsid w:val="00A24F8C"/>
    <w:rsid w:val="00A262BF"/>
    <w:rsid w:val="00A271AD"/>
    <w:rsid w:val="00A276D5"/>
    <w:rsid w:val="00A30336"/>
    <w:rsid w:val="00A30BB5"/>
    <w:rsid w:val="00A3128F"/>
    <w:rsid w:val="00A326D0"/>
    <w:rsid w:val="00A35287"/>
    <w:rsid w:val="00A378F8"/>
    <w:rsid w:val="00A40B19"/>
    <w:rsid w:val="00A424F8"/>
    <w:rsid w:val="00A437B7"/>
    <w:rsid w:val="00A46D48"/>
    <w:rsid w:val="00A46DE0"/>
    <w:rsid w:val="00A4778A"/>
    <w:rsid w:val="00A504C0"/>
    <w:rsid w:val="00A5067F"/>
    <w:rsid w:val="00A55301"/>
    <w:rsid w:val="00A572FB"/>
    <w:rsid w:val="00A57B3C"/>
    <w:rsid w:val="00A57F1B"/>
    <w:rsid w:val="00A6128E"/>
    <w:rsid w:val="00A62CE1"/>
    <w:rsid w:val="00A631FA"/>
    <w:rsid w:val="00A64203"/>
    <w:rsid w:val="00A64348"/>
    <w:rsid w:val="00A644E1"/>
    <w:rsid w:val="00A721FB"/>
    <w:rsid w:val="00A727BA"/>
    <w:rsid w:val="00A72D4B"/>
    <w:rsid w:val="00A732AE"/>
    <w:rsid w:val="00A75E40"/>
    <w:rsid w:val="00A77EB2"/>
    <w:rsid w:val="00A81094"/>
    <w:rsid w:val="00A82B66"/>
    <w:rsid w:val="00A83B58"/>
    <w:rsid w:val="00A84FAF"/>
    <w:rsid w:val="00A851B6"/>
    <w:rsid w:val="00A85729"/>
    <w:rsid w:val="00A8574B"/>
    <w:rsid w:val="00A857C0"/>
    <w:rsid w:val="00A91336"/>
    <w:rsid w:val="00A9221C"/>
    <w:rsid w:val="00A94628"/>
    <w:rsid w:val="00A96463"/>
    <w:rsid w:val="00A97E3F"/>
    <w:rsid w:val="00AA09D3"/>
    <w:rsid w:val="00AA23FB"/>
    <w:rsid w:val="00AA42AB"/>
    <w:rsid w:val="00AA559A"/>
    <w:rsid w:val="00AB104D"/>
    <w:rsid w:val="00AB2AF1"/>
    <w:rsid w:val="00AB440B"/>
    <w:rsid w:val="00AB47E3"/>
    <w:rsid w:val="00AB74C5"/>
    <w:rsid w:val="00AB7BEE"/>
    <w:rsid w:val="00AB7DF2"/>
    <w:rsid w:val="00AC1E3F"/>
    <w:rsid w:val="00AC219A"/>
    <w:rsid w:val="00AC4F18"/>
    <w:rsid w:val="00AD0B46"/>
    <w:rsid w:val="00AD1094"/>
    <w:rsid w:val="00AD2565"/>
    <w:rsid w:val="00AD306C"/>
    <w:rsid w:val="00AD3424"/>
    <w:rsid w:val="00AD50D1"/>
    <w:rsid w:val="00AD59BB"/>
    <w:rsid w:val="00AD5D68"/>
    <w:rsid w:val="00AD6C73"/>
    <w:rsid w:val="00AD7D49"/>
    <w:rsid w:val="00AE06D0"/>
    <w:rsid w:val="00AE1B8A"/>
    <w:rsid w:val="00AE39DC"/>
    <w:rsid w:val="00AE3CDA"/>
    <w:rsid w:val="00AE7968"/>
    <w:rsid w:val="00AF128B"/>
    <w:rsid w:val="00AF1AEA"/>
    <w:rsid w:val="00AF2852"/>
    <w:rsid w:val="00AF3225"/>
    <w:rsid w:val="00AF518B"/>
    <w:rsid w:val="00AF5275"/>
    <w:rsid w:val="00AF6367"/>
    <w:rsid w:val="00AF6A79"/>
    <w:rsid w:val="00AF724E"/>
    <w:rsid w:val="00AF73A9"/>
    <w:rsid w:val="00B01436"/>
    <w:rsid w:val="00B01C2C"/>
    <w:rsid w:val="00B0231C"/>
    <w:rsid w:val="00B13681"/>
    <w:rsid w:val="00B15DCD"/>
    <w:rsid w:val="00B17E71"/>
    <w:rsid w:val="00B17FDE"/>
    <w:rsid w:val="00B208FC"/>
    <w:rsid w:val="00B20C65"/>
    <w:rsid w:val="00B22E17"/>
    <w:rsid w:val="00B266C5"/>
    <w:rsid w:val="00B27293"/>
    <w:rsid w:val="00B3229E"/>
    <w:rsid w:val="00B32DDB"/>
    <w:rsid w:val="00B35174"/>
    <w:rsid w:val="00B35BEA"/>
    <w:rsid w:val="00B37915"/>
    <w:rsid w:val="00B3793D"/>
    <w:rsid w:val="00B41BE6"/>
    <w:rsid w:val="00B428A4"/>
    <w:rsid w:val="00B457E7"/>
    <w:rsid w:val="00B45D1B"/>
    <w:rsid w:val="00B46D25"/>
    <w:rsid w:val="00B47430"/>
    <w:rsid w:val="00B52D2D"/>
    <w:rsid w:val="00B55BA8"/>
    <w:rsid w:val="00B55F15"/>
    <w:rsid w:val="00B561A6"/>
    <w:rsid w:val="00B60062"/>
    <w:rsid w:val="00B62960"/>
    <w:rsid w:val="00B63A11"/>
    <w:rsid w:val="00B63FD0"/>
    <w:rsid w:val="00B65C84"/>
    <w:rsid w:val="00B6608F"/>
    <w:rsid w:val="00B74317"/>
    <w:rsid w:val="00B76D1E"/>
    <w:rsid w:val="00B77BC8"/>
    <w:rsid w:val="00B800EB"/>
    <w:rsid w:val="00B822D2"/>
    <w:rsid w:val="00B83D46"/>
    <w:rsid w:val="00B848B8"/>
    <w:rsid w:val="00B84A41"/>
    <w:rsid w:val="00B84D57"/>
    <w:rsid w:val="00B8504B"/>
    <w:rsid w:val="00B85689"/>
    <w:rsid w:val="00B86748"/>
    <w:rsid w:val="00B907EA"/>
    <w:rsid w:val="00B91EC9"/>
    <w:rsid w:val="00B924CA"/>
    <w:rsid w:val="00B92A4B"/>
    <w:rsid w:val="00B93384"/>
    <w:rsid w:val="00B94417"/>
    <w:rsid w:val="00B95566"/>
    <w:rsid w:val="00B95940"/>
    <w:rsid w:val="00B95EF8"/>
    <w:rsid w:val="00B95F50"/>
    <w:rsid w:val="00B96BD9"/>
    <w:rsid w:val="00BB0274"/>
    <w:rsid w:val="00BB1CFD"/>
    <w:rsid w:val="00BB2C53"/>
    <w:rsid w:val="00BB32DA"/>
    <w:rsid w:val="00BB3A54"/>
    <w:rsid w:val="00BB4D26"/>
    <w:rsid w:val="00BB4E21"/>
    <w:rsid w:val="00BB7746"/>
    <w:rsid w:val="00BC22EB"/>
    <w:rsid w:val="00BC682B"/>
    <w:rsid w:val="00BC6B04"/>
    <w:rsid w:val="00BC6D27"/>
    <w:rsid w:val="00BD186B"/>
    <w:rsid w:val="00BD1EAC"/>
    <w:rsid w:val="00BD254C"/>
    <w:rsid w:val="00BD3428"/>
    <w:rsid w:val="00BD366B"/>
    <w:rsid w:val="00BD534C"/>
    <w:rsid w:val="00BD56BC"/>
    <w:rsid w:val="00BD5D91"/>
    <w:rsid w:val="00BD6615"/>
    <w:rsid w:val="00BD6D50"/>
    <w:rsid w:val="00BE0D79"/>
    <w:rsid w:val="00BE0DB0"/>
    <w:rsid w:val="00BE3381"/>
    <w:rsid w:val="00BE3F09"/>
    <w:rsid w:val="00BE670A"/>
    <w:rsid w:val="00BE6906"/>
    <w:rsid w:val="00BF18F4"/>
    <w:rsid w:val="00BF1A69"/>
    <w:rsid w:val="00BF3BC8"/>
    <w:rsid w:val="00BF3DF1"/>
    <w:rsid w:val="00BF4C31"/>
    <w:rsid w:val="00BF4E57"/>
    <w:rsid w:val="00BF53B8"/>
    <w:rsid w:val="00BF7CB8"/>
    <w:rsid w:val="00C00F20"/>
    <w:rsid w:val="00C01700"/>
    <w:rsid w:val="00C034E6"/>
    <w:rsid w:val="00C05715"/>
    <w:rsid w:val="00C05926"/>
    <w:rsid w:val="00C0784A"/>
    <w:rsid w:val="00C10B28"/>
    <w:rsid w:val="00C10D62"/>
    <w:rsid w:val="00C10FAE"/>
    <w:rsid w:val="00C123B4"/>
    <w:rsid w:val="00C12A69"/>
    <w:rsid w:val="00C13737"/>
    <w:rsid w:val="00C150BE"/>
    <w:rsid w:val="00C158B0"/>
    <w:rsid w:val="00C15A0C"/>
    <w:rsid w:val="00C15DCB"/>
    <w:rsid w:val="00C1711F"/>
    <w:rsid w:val="00C17E38"/>
    <w:rsid w:val="00C20744"/>
    <w:rsid w:val="00C20C4D"/>
    <w:rsid w:val="00C21D46"/>
    <w:rsid w:val="00C21F94"/>
    <w:rsid w:val="00C222A1"/>
    <w:rsid w:val="00C23371"/>
    <w:rsid w:val="00C23CBD"/>
    <w:rsid w:val="00C23D22"/>
    <w:rsid w:val="00C2463B"/>
    <w:rsid w:val="00C24E77"/>
    <w:rsid w:val="00C2732D"/>
    <w:rsid w:val="00C273C6"/>
    <w:rsid w:val="00C27913"/>
    <w:rsid w:val="00C300C6"/>
    <w:rsid w:val="00C30828"/>
    <w:rsid w:val="00C31DD8"/>
    <w:rsid w:val="00C3271C"/>
    <w:rsid w:val="00C34FDE"/>
    <w:rsid w:val="00C35C16"/>
    <w:rsid w:val="00C40F81"/>
    <w:rsid w:val="00C41463"/>
    <w:rsid w:val="00C41A72"/>
    <w:rsid w:val="00C42D45"/>
    <w:rsid w:val="00C476C5"/>
    <w:rsid w:val="00C503B0"/>
    <w:rsid w:val="00C511C2"/>
    <w:rsid w:val="00C53D82"/>
    <w:rsid w:val="00C54748"/>
    <w:rsid w:val="00C60696"/>
    <w:rsid w:val="00C60EEF"/>
    <w:rsid w:val="00C6121D"/>
    <w:rsid w:val="00C615F1"/>
    <w:rsid w:val="00C61627"/>
    <w:rsid w:val="00C64E60"/>
    <w:rsid w:val="00C657A4"/>
    <w:rsid w:val="00C6736C"/>
    <w:rsid w:val="00C71A1D"/>
    <w:rsid w:val="00C71EC4"/>
    <w:rsid w:val="00C7591E"/>
    <w:rsid w:val="00C75C7E"/>
    <w:rsid w:val="00C75C9B"/>
    <w:rsid w:val="00C76D8E"/>
    <w:rsid w:val="00C77833"/>
    <w:rsid w:val="00C80C9B"/>
    <w:rsid w:val="00C8335E"/>
    <w:rsid w:val="00C83F9C"/>
    <w:rsid w:val="00C84CE3"/>
    <w:rsid w:val="00C85614"/>
    <w:rsid w:val="00C86127"/>
    <w:rsid w:val="00C90CF4"/>
    <w:rsid w:val="00C91C19"/>
    <w:rsid w:val="00C929A0"/>
    <w:rsid w:val="00C93389"/>
    <w:rsid w:val="00C937DB"/>
    <w:rsid w:val="00C94519"/>
    <w:rsid w:val="00C94E83"/>
    <w:rsid w:val="00CA02B2"/>
    <w:rsid w:val="00CA0883"/>
    <w:rsid w:val="00CA140F"/>
    <w:rsid w:val="00CA25C2"/>
    <w:rsid w:val="00CA37BB"/>
    <w:rsid w:val="00CA37CA"/>
    <w:rsid w:val="00CA5724"/>
    <w:rsid w:val="00CA6508"/>
    <w:rsid w:val="00CA6BA1"/>
    <w:rsid w:val="00CA6CD5"/>
    <w:rsid w:val="00CB1910"/>
    <w:rsid w:val="00CB2150"/>
    <w:rsid w:val="00CB28EE"/>
    <w:rsid w:val="00CB43A7"/>
    <w:rsid w:val="00CB4DF1"/>
    <w:rsid w:val="00CB5996"/>
    <w:rsid w:val="00CB6809"/>
    <w:rsid w:val="00CB7452"/>
    <w:rsid w:val="00CC0E10"/>
    <w:rsid w:val="00CC1DAF"/>
    <w:rsid w:val="00CC2642"/>
    <w:rsid w:val="00CC2A36"/>
    <w:rsid w:val="00CC2E15"/>
    <w:rsid w:val="00CC3908"/>
    <w:rsid w:val="00CC62AD"/>
    <w:rsid w:val="00CC6CA2"/>
    <w:rsid w:val="00CC7B80"/>
    <w:rsid w:val="00CD2B3C"/>
    <w:rsid w:val="00CD30F6"/>
    <w:rsid w:val="00CD4B29"/>
    <w:rsid w:val="00CD6954"/>
    <w:rsid w:val="00CD6DA3"/>
    <w:rsid w:val="00CD6EF1"/>
    <w:rsid w:val="00CD7E35"/>
    <w:rsid w:val="00CE21C7"/>
    <w:rsid w:val="00CE2682"/>
    <w:rsid w:val="00CE442A"/>
    <w:rsid w:val="00CE57D8"/>
    <w:rsid w:val="00CE617A"/>
    <w:rsid w:val="00CF25D2"/>
    <w:rsid w:val="00CF28C2"/>
    <w:rsid w:val="00CF42BD"/>
    <w:rsid w:val="00CF51EC"/>
    <w:rsid w:val="00CF6A9D"/>
    <w:rsid w:val="00CF6CD7"/>
    <w:rsid w:val="00CF75EC"/>
    <w:rsid w:val="00D0037A"/>
    <w:rsid w:val="00D00DAF"/>
    <w:rsid w:val="00D017EC"/>
    <w:rsid w:val="00D01CDA"/>
    <w:rsid w:val="00D040DD"/>
    <w:rsid w:val="00D04E1B"/>
    <w:rsid w:val="00D0547B"/>
    <w:rsid w:val="00D076DB"/>
    <w:rsid w:val="00D1067C"/>
    <w:rsid w:val="00D136D4"/>
    <w:rsid w:val="00D13830"/>
    <w:rsid w:val="00D13ECF"/>
    <w:rsid w:val="00D142E5"/>
    <w:rsid w:val="00D148CD"/>
    <w:rsid w:val="00D1611E"/>
    <w:rsid w:val="00D16E69"/>
    <w:rsid w:val="00D205A9"/>
    <w:rsid w:val="00D217EE"/>
    <w:rsid w:val="00D245BA"/>
    <w:rsid w:val="00D26923"/>
    <w:rsid w:val="00D27856"/>
    <w:rsid w:val="00D3006B"/>
    <w:rsid w:val="00D301CA"/>
    <w:rsid w:val="00D30740"/>
    <w:rsid w:val="00D31075"/>
    <w:rsid w:val="00D31445"/>
    <w:rsid w:val="00D31932"/>
    <w:rsid w:val="00D37689"/>
    <w:rsid w:val="00D378CC"/>
    <w:rsid w:val="00D4042C"/>
    <w:rsid w:val="00D40B9E"/>
    <w:rsid w:val="00D41281"/>
    <w:rsid w:val="00D42312"/>
    <w:rsid w:val="00D43998"/>
    <w:rsid w:val="00D451E0"/>
    <w:rsid w:val="00D4615E"/>
    <w:rsid w:val="00D478E2"/>
    <w:rsid w:val="00D5264C"/>
    <w:rsid w:val="00D547BA"/>
    <w:rsid w:val="00D55626"/>
    <w:rsid w:val="00D556BC"/>
    <w:rsid w:val="00D5626D"/>
    <w:rsid w:val="00D60277"/>
    <w:rsid w:val="00D60336"/>
    <w:rsid w:val="00D61F88"/>
    <w:rsid w:val="00D62901"/>
    <w:rsid w:val="00D6470C"/>
    <w:rsid w:val="00D64853"/>
    <w:rsid w:val="00D64CB5"/>
    <w:rsid w:val="00D66D48"/>
    <w:rsid w:val="00D7162F"/>
    <w:rsid w:val="00D73256"/>
    <w:rsid w:val="00D73A30"/>
    <w:rsid w:val="00D74C65"/>
    <w:rsid w:val="00D75DC2"/>
    <w:rsid w:val="00D766EF"/>
    <w:rsid w:val="00D76C03"/>
    <w:rsid w:val="00D77F8D"/>
    <w:rsid w:val="00D82462"/>
    <w:rsid w:val="00D868CE"/>
    <w:rsid w:val="00D86DAE"/>
    <w:rsid w:val="00D90C1E"/>
    <w:rsid w:val="00D91BDF"/>
    <w:rsid w:val="00D91F2C"/>
    <w:rsid w:val="00D93F09"/>
    <w:rsid w:val="00D954C2"/>
    <w:rsid w:val="00D97BB8"/>
    <w:rsid w:val="00DA1318"/>
    <w:rsid w:val="00DA1382"/>
    <w:rsid w:val="00DA28B7"/>
    <w:rsid w:val="00DA2FE8"/>
    <w:rsid w:val="00DA4AF6"/>
    <w:rsid w:val="00DB016E"/>
    <w:rsid w:val="00DB06E9"/>
    <w:rsid w:val="00DB19BD"/>
    <w:rsid w:val="00DB378E"/>
    <w:rsid w:val="00DB3E9D"/>
    <w:rsid w:val="00DB47B9"/>
    <w:rsid w:val="00DB4FB8"/>
    <w:rsid w:val="00DB53CE"/>
    <w:rsid w:val="00DB549D"/>
    <w:rsid w:val="00DB5792"/>
    <w:rsid w:val="00DB6A88"/>
    <w:rsid w:val="00DB7BA4"/>
    <w:rsid w:val="00DC226A"/>
    <w:rsid w:val="00DC257F"/>
    <w:rsid w:val="00DC350B"/>
    <w:rsid w:val="00DC3790"/>
    <w:rsid w:val="00DC408A"/>
    <w:rsid w:val="00DC5B3B"/>
    <w:rsid w:val="00DC6796"/>
    <w:rsid w:val="00DC78DF"/>
    <w:rsid w:val="00DC7D4C"/>
    <w:rsid w:val="00DD0821"/>
    <w:rsid w:val="00DD0E32"/>
    <w:rsid w:val="00DD2872"/>
    <w:rsid w:val="00DD2BFE"/>
    <w:rsid w:val="00DD373E"/>
    <w:rsid w:val="00DD57AD"/>
    <w:rsid w:val="00DE009B"/>
    <w:rsid w:val="00DE0C31"/>
    <w:rsid w:val="00DE2ED9"/>
    <w:rsid w:val="00DE319A"/>
    <w:rsid w:val="00DF0DC3"/>
    <w:rsid w:val="00DF21FD"/>
    <w:rsid w:val="00DF2873"/>
    <w:rsid w:val="00DF4C74"/>
    <w:rsid w:val="00DF5578"/>
    <w:rsid w:val="00DF78DD"/>
    <w:rsid w:val="00DF7FEC"/>
    <w:rsid w:val="00E01C0E"/>
    <w:rsid w:val="00E02086"/>
    <w:rsid w:val="00E02740"/>
    <w:rsid w:val="00E03B27"/>
    <w:rsid w:val="00E04694"/>
    <w:rsid w:val="00E049F6"/>
    <w:rsid w:val="00E04CA9"/>
    <w:rsid w:val="00E05B2B"/>
    <w:rsid w:val="00E06A2A"/>
    <w:rsid w:val="00E07F05"/>
    <w:rsid w:val="00E127E1"/>
    <w:rsid w:val="00E144D2"/>
    <w:rsid w:val="00E144D6"/>
    <w:rsid w:val="00E15346"/>
    <w:rsid w:val="00E15B7D"/>
    <w:rsid w:val="00E2097E"/>
    <w:rsid w:val="00E215EA"/>
    <w:rsid w:val="00E21CAB"/>
    <w:rsid w:val="00E221FC"/>
    <w:rsid w:val="00E24619"/>
    <w:rsid w:val="00E25223"/>
    <w:rsid w:val="00E30BEA"/>
    <w:rsid w:val="00E31764"/>
    <w:rsid w:val="00E32BC2"/>
    <w:rsid w:val="00E34985"/>
    <w:rsid w:val="00E34E4A"/>
    <w:rsid w:val="00E365B3"/>
    <w:rsid w:val="00E366BB"/>
    <w:rsid w:val="00E37C45"/>
    <w:rsid w:val="00E40AAA"/>
    <w:rsid w:val="00E42444"/>
    <w:rsid w:val="00E438CF"/>
    <w:rsid w:val="00E43C41"/>
    <w:rsid w:val="00E4500E"/>
    <w:rsid w:val="00E450CE"/>
    <w:rsid w:val="00E45A00"/>
    <w:rsid w:val="00E45CE7"/>
    <w:rsid w:val="00E4631F"/>
    <w:rsid w:val="00E47CB8"/>
    <w:rsid w:val="00E522BB"/>
    <w:rsid w:val="00E539E4"/>
    <w:rsid w:val="00E569C7"/>
    <w:rsid w:val="00E571F2"/>
    <w:rsid w:val="00E57429"/>
    <w:rsid w:val="00E61EA8"/>
    <w:rsid w:val="00E64EA1"/>
    <w:rsid w:val="00E70510"/>
    <w:rsid w:val="00E71262"/>
    <w:rsid w:val="00E71A58"/>
    <w:rsid w:val="00E737F6"/>
    <w:rsid w:val="00E7568F"/>
    <w:rsid w:val="00E7724B"/>
    <w:rsid w:val="00E84F21"/>
    <w:rsid w:val="00E8618A"/>
    <w:rsid w:val="00E90A4B"/>
    <w:rsid w:val="00E90F73"/>
    <w:rsid w:val="00E910A7"/>
    <w:rsid w:val="00E91607"/>
    <w:rsid w:val="00E921C7"/>
    <w:rsid w:val="00E92995"/>
    <w:rsid w:val="00E94612"/>
    <w:rsid w:val="00E95797"/>
    <w:rsid w:val="00E9682F"/>
    <w:rsid w:val="00E96A8D"/>
    <w:rsid w:val="00E972BA"/>
    <w:rsid w:val="00E97FA2"/>
    <w:rsid w:val="00EA06CB"/>
    <w:rsid w:val="00EA0C68"/>
    <w:rsid w:val="00EA19E2"/>
    <w:rsid w:val="00EA3EBE"/>
    <w:rsid w:val="00EA3FAC"/>
    <w:rsid w:val="00EA4153"/>
    <w:rsid w:val="00EA5CD6"/>
    <w:rsid w:val="00EA76FD"/>
    <w:rsid w:val="00EB03D4"/>
    <w:rsid w:val="00EB0555"/>
    <w:rsid w:val="00EB20A0"/>
    <w:rsid w:val="00EB30B6"/>
    <w:rsid w:val="00EB4FA4"/>
    <w:rsid w:val="00EB5146"/>
    <w:rsid w:val="00EB522B"/>
    <w:rsid w:val="00EB55E9"/>
    <w:rsid w:val="00EB5641"/>
    <w:rsid w:val="00EB5CA9"/>
    <w:rsid w:val="00EB5ED4"/>
    <w:rsid w:val="00EB6537"/>
    <w:rsid w:val="00EB70E1"/>
    <w:rsid w:val="00EB7EB5"/>
    <w:rsid w:val="00EC454B"/>
    <w:rsid w:val="00EC6153"/>
    <w:rsid w:val="00EC7F92"/>
    <w:rsid w:val="00ED00A8"/>
    <w:rsid w:val="00ED0A79"/>
    <w:rsid w:val="00ED2989"/>
    <w:rsid w:val="00ED2CA5"/>
    <w:rsid w:val="00ED336F"/>
    <w:rsid w:val="00ED40F0"/>
    <w:rsid w:val="00ED4AC0"/>
    <w:rsid w:val="00ED54D6"/>
    <w:rsid w:val="00ED5726"/>
    <w:rsid w:val="00EE0113"/>
    <w:rsid w:val="00EE0298"/>
    <w:rsid w:val="00EE0384"/>
    <w:rsid w:val="00EE10AA"/>
    <w:rsid w:val="00EE1637"/>
    <w:rsid w:val="00EE3B7A"/>
    <w:rsid w:val="00EE3E78"/>
    <w:rsid w:val="00EE495A"/>
    <w:rsid w:val="00EE5E02"/>
    <w:rsid w:val="00EE617D"/>
    <w:rsid w:val="00EE61BF"/>
    <w:rsid w:val="00EE6748"/>
    <w:rsid w:val="00EE6C6B"/>
    <w:rsid w:val="00EF0E75"/>
    <w:rsid w:val="00EF1F5A"/>
    <w:rsid w:val="00EF4685"/>
    <w:rsid w:val="00EF5397"/>
    <w:rsid w:val="00EF6BE3"/>
    <w:rsid w:val="00F00D0E"/>
    <w:rsid w:val="00F00D3C"/>
    <w:rsid w:val="00F04811"/>
    <w:rsid w:val="00F0488C"/>
    <w:rsid w:val="00F0496E"/>
    <w:rsid w:val="00F04D10"/>
    <w:rsid w:val="00F0625B"/>
    <w:rsid w:val="00F101FF"/>
    <w:rsid w:val="00F104DF"/>
    <w:rsid w:val="00F10A33"/>
    <w:rsid w:val="00F1186C"/>
    <w:rsid w:val="00F14ACD"/>
    <w:rsid w:val="00F15BEF"/>
    <w:rsid w:val="00F172BE"/>
    <w:rsid w:val="00F1776C"/>
    <w:rsid w:val="00F2037E"/>
    <w:rsid w:val="00F20D17"/>
    <w:rsid w:val="00F2103E"/>
    <w:rsid w:val="00F214FC"/>
    <w:rsid w:val="00F21C31"/>
    <w:rsid w:val="00F23825"/>
    <w:rsid w:val="00F23FFF"/>
    <w:rsid w:val="00F2441D"/>
    <w:rsid w:val="00F24FAA"/>
    <w:rsid w:val="00F26197"/>
    <w:rsid w:val="00F273D4"/>
    <w:rsid w:val="00F307DD"/>
    <w:rsid w:val="00F318FC"/>
    <w:rsid w:val="00F31F76"/>
    <w:rsid w:val="00F3364D"/>
    <w:rsid w:val="00F35ACD"/>
    <w:rsid w:val="00F365BF"/>
    <w:rsid w:val="00F36BF8"/>
    <w:rsid w:val="00F375BA"/>
    <w:rsid w:val="00F37760"/>
    <w:rsid w:val="00F403D1"/>
    <w:rsid w:val="00F43921"/>
    <w:rsid w:val="00F4524F"/>
    <w:rsid w:val="00F45530"/>
    <w:rsid w:val="00F4591F"/>
    <w:rsid w:val="00F4736B"/>
    <w:rsid w:val="00F47997"/>
    <w:rsid w:val="00F47D05"/>
    <w:rsid w:val="00F50030"/>
    <w:rsid w:val="00F502F5"/>
    <w:rsid w:val="00F50B9D"/>
    <w:rsid w:val="00F51FC9"/>
    <w:rsid w:val="00F541ED"/>
    <w:rsid w:val="00F54B31"/>
    <w:rsid w:val="00F54FD3"/>
    <w:rsid w:val="00F55605"/>
    <w:rsid w:val="00F57CD7"/>
    <w:rsid w:val="00F62F02"/>
    <w:rsid w:val="00F63DDE"/>
    <w:rsid w:val="00F63FB7"/>
    <w:rsid w:val="00F64726"/>
    <w:rsid w:val="00F6561A"/>
    <w:rsid w:val="00F70309"/>
    <w:rsid w:val="00F7078A"/>
    <w:rsid w:val="00F727D5"/>
    <w:rsid w:val="00F72F44"/>
    <w:rsid w:val="00F73A0C"/>
    <w:rsid w:val="00F759DC"/>
    <w:rsid w:val="00F7717C"/>
    <w:rsid w:val="00F771A5"/>
    <w:rsid w:val="00F817A4"/>
    <w:rsid w:val="00F81C3A"/>
    <w:rsid w:val="00F835FC"/>
    <w:rsid w:val="00F8373A"/>
    <w:rsid w:val="00F83E21"/>
    <w:rsid w:val="00F83FA4"/>
    <w:rsid w:val="00F84E18"/>
    <w:rsid w:val="00F852E5"/>
    <w:rsid w:val="00F9310A"/>
    <w:rsid w:val="00F95117"/>
    <w:rsid w:val="00FA05D7"/>
    <w:rsid w:val="00FA1C6C"/>
    <w:rsid w:val="00FA2447"/>
    <w:rsid w:val="00FA2C2A"/>
    <w:rsid w:val="00FA309A"/>
    <w:rsid w:val="00FA7644"/>
    <w:rsid w:val="00FB0A9A"/>
    <w:rsid w:val="00FB16AD"/>
    <w:rsid w:val="00FB483B"/>
    <w:rsid w:val="00FB56F1"/>
    <w:rsid w:val="00FB5FD4"/>
    <w:rsid w:val="00FB67F3"/>
    <w:rsid w:val="00FC0D8A"/>
    <w:rsid w:val="00FC0E5F"/>
    <w:rsid w:val="00FC135D"/>
    <w:rsid w:val="00FC3C84"/>
    <w:rsid w:val="00FC4660"/>
    <w:rsid w:val="00FC56DE"/>
    <w:rsid w:val="00FC5E01"/>
    <w:rsid w:val="00FD1261"/>
    <w:rsid w:val="00FD1627"/>
    <w:rsid w:val="00FD1BBD"/>
    <w:rsid w:val="00FD473D"/>
    <w:rsid w:val="00FD61C8"/>
    <w:rsid w:val="00FD63CE"/>
    <w:rsid w:val="00FD7D49"/>
    <w:rsid w:val="00FE1251"/>
    <w:rsid w:val="00FE16E6"/>
    <w:rsid w:val="00FE2F78"/>
    <w:rsid w:val="00FE3510"/>
    <w:rsid w:val="00FE371D"/>
    <w:rsid w:val="00FE375F"/>
    <w:rsid w:val="00FE3D8B"/>
    <w:rsid w:val="00FE4FCB"/>
    <w:rsid w:val="00FE705E"/>
    <w:rsid w:val="00FF02EB"/>
    <w:rsid w:val="00FF28E0"/>
    <w:rsid w:val="00FF2FB4"/>
    <w:rsid w:val="00FF30B3"/>
    <w:rsid w:val="00FF3DF3"/>
    <w:rsid w:val="00FF4027"/>
    <w:rsid w:val="00FF45A2"/>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s>
</file>

<file path=word/webSettings.xml><?xml version="1.0" encoding="utf-8"?>
<w:webSettings xmlns:r="http://schemas.openxmlformats.org/officeDocument/2006/relationships" xmlns:w="http://schemas.openxmlformats.org/wordprocessingml/2006/main">
  <w:divs>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kas.kucera@czso.cz" TargetMode="Externa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5.png"/><Relationship Id="rId33" Type="http://schemas.openxmlformats.org/officeDocument/2006/relationships/image" Target="media/image23.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png"/><Relationship Id="rId32" Type="http://schemas.openxmlformats.org/officeDocument/2006/relationships/image" Target="media/image22.emf"/><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oter" Target="footer2.xml"/><Relationship Id="rId10" Type="http://schemas.openxmlformats.org/officeDocument/2006/relationships/header" Target="header2.xml"/><Relationship Id="rId19" Type="http://schemas.openxmlformats.org/officeDocument/2006/relationships/image" Target="media/image9.emf"/><Relationship Id="rId31"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4.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5234B-8F94-46EE-A0F9-EC5323249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867</TotalTime>
  <Pages>23</Pages>
  <Words>11751</Words>
  <Characters>69333</Characters>
  <Application>Microsoft Office Word</Application>
  <DocSecurity>0</DocSecurity>
  <Lines>577</Lines>
  <Paragraphs>161</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80923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kucera4376</cp:lastModifiedBy>
  <cp:revision>293</cp:revision>
  <cp:lastPrinted>2015-06-19T06:21:00Z</cp:lastPrinted>
  <dcterms:created xsi:type="dcterms:W3CDTF">2015-12-16T13:30:00Z</dcterms:created>
  <dcterms:modified xsi:type="dcterms:W3CDTF">2016-03-23T14:16:00Z</dcterms:modified>
</cp:coreProperties>
</file>