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4F5F97">
      <w:pPr>
        <w:pStyle w:val="Nadpis1"/>
        <w:numPr>
          <w:ilvl w:val="0"/>
          <w:numId w:val="6"/>
        </w:numPr>
        <w:jc w:val="both"/>
      </w:pPr>
      <w:bookmarkStart w:id="0" w:name="_Toc437874299"/>
      <w:r>
        <w:t>Trh práce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282"/>
        <w:gridCol w:w="7495"/>
      </w:tblGrid>
      <w:tr w:rsidR="00886A8F" w:rsidRPr="00C66323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C66323">
              <w:rPr>
                <w:sz w:val="16"/>
                <w:szCs w:val="16"/>
              </w:rPr>
              <w:t>Silný růst ekonomiky ČR vylepšoval situaci na trhu práce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pStyle w:val="Textpoznpodarou"/>
              <w:jc w:val="both"/>
            </w:pPr>
            <w:r w:rsidRPr="00C66323">
              <w:t>Situace na trhu práce byla v prvních třech čtvrtletích roku 2015 velmi příznivá. Reflektovala silný růst ekonomiky ČR. Celková zaměstnanost</w:t>
            </w:r>
            <w:r>
              <w:t xml:space="preserve"> se</w:t>
            </w:r>
            <w:r w:rsidRPr="00C66323">
              <w:t xml:space="preserve"> meziročně </w:t>
            </w:r>
            <w:r>
              <w:t>zvyšovala</w:t>
            </w:r>
            <w:r w:rsidRPr="00C66323">
              <w:t xml:space="preserve">, její struktura se přitom měnila ve prospěch počtu zaměstnanců na úkor sebezaměstnaných. Počty volných pracovních míst překonaly ve 3. čtvrtletí již hranici 100 tisíc. V porovnání se stejným obdobím loňského roku ubylo osob, </w:t>
            </w:r>
            <w:r w:rsidRPr="00C66323">
              <w:rPr>
                <w:spacing w:val="-4"/>
              </w:rPr>
              <w:t>které hledaly práci, zmenšil se i jejich podíl na celkové pracovní síle. Nominální</w:t>
            </w:r>
            <w:r w:rsidRPr="00C66323">
              <w:t xml:space="preserve"> mzdy </w:t>
            </w:r>
            <w:r w:rsidRPr="00C66323">
              <w:rPr>
                <w:spacing w:val="-4"/>
              </w:rPr>
              <w:t xml:space="preserve">rostly téměř v celé ekonomice, přírůstek </w:t>
            </w:r>
            <w:r>
              <w:rPr>
                <w:spacing w:val="-4"/>
              </w:rPr>
              <w:t>průměrné mzdy</w:t>
            </w:r>
            <w:r w:rsidRPr="00C66323">
              <w:rPr>
                <w:spacing w:val="-4"/>
              </w:rPr>
              <w:t xml:space="preserve"> </w:t>
            </w:r>
            <w:r>
              <w:rPr>
                <w:spacing w:val="-4"/>
              </w:rPr>
              <w:t>ve</w:t>
            </w:r>
            <w:r w:rsidRPr="00C66323">
              <w:rPr>
                <w:spacing w:val="-4"/>
              </w:rPr>
              <w:t xml:space="preserve"> 3. čtvrtletí se přiblížil 4</w:t>
            </w:r>
            <w:r w:rsidRPr="00C66323">
              <w:t xml:space="preserve"> %.</w:t>
            </w:r>
          </w:p>
          <w:p w:rsidR="00886A8F" w:rsidRPr="00C66323" w:rsidRDefault="00886A8F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C66323">
              <w:rPr>
                <w:sz w:val="16"/>
                <w:szCs w:val="16"/>
              </w:rPr>
              <w:t>Celková zaměstnanost stoupla v</w:t>
            </w:r>
            <w:r>
              <w:rPr>
                <w:sz w:val="16"/>
                <w:szCs w:val="16"/>
              </w:rPr>
              <w:t xml:space="preserve">e 3. čtvrtletí </w:t>
            </w:r>
            <w:r w:rsidRPr="00C66323">
              <w:rPr>
                <w:sz w:val="16"/>
                <w:szCs w:val="16"/>
              </w:rPr>
              <w:t xml:space="preserve">2015 meziročně o 1,2 %, …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pStyle w:val="Textpoznpodarou"/>
              <w:jc w:val="both"/>
            </w:pPr>
            <w:r w:rsidRPr="00C66323">
              <w:t>Celková zaměstnanost</w:t>
            </w:r>
            <w:r w:rsidRPr="00C66323">
              <w:rPr>
                <w:rStyle w:val="Znakapoznpodarou"/>
              </w:rPr>
              <w:footnoteReference w:id="1"/>
            </w:r>
            <w:r w:rsidRPr="00C66323">
              <w:t xml:space="preserve"> byla v prvních třech čtvrtletích roku 2015 o 1,2 % vyšší než ve stejném období roku 2014. Stejný přírůstek zaměstnanosti přineslo i samotné 3. čtvrtletí. Práci mělo v lednu až září v průměru 5,168 mil. lidí, zaměstnanost byla nejvyšší od roku 2008.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66323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C66323">
              <w:rPr>
                <w:sz w:val="16"/>
                <w:szCs w:val="16"/>
              </w:rPr>
              <w:t>…což znamenalo, že trh práce absorboval 60,6 tis. osob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4008BC" w:rsidRDefault="00886A8F" w:rsidP="003C3686">
            <w:pPr>
              <w:pStyle w:val="Textpoznpodarou"/>
              <w:jc w:val="both"/>
            </w:pPr>
            <w:r w:rsidRPr="004008BC">
              <w:t>Mezi 3. čtvrtletím 2014 a 3. čtvrtletím 2015 trh práce absorboval 60,6 tis. osob. Nejvíce z nich nalezlo uplatnění v odvětví zahrnující obchod, dopravu, ubytování a pohostinství (+22,6 tis.). Počet pracujících ve zpracovatelském průmyslu narostl o 21,0 tis., samotných zaměstnanců přibylo v tomto odvětví dokonce 28,7 tis. V případě nárůstu počtu zaměstnanců je třeba ale dodat, že šlo pouze o</w:t>
            </w:r>
            <w:r>
              <w:t> </w:t>
            </w:r>
            <w:r w:rsidRPr="004008BC">
              <w:t xml:space="preserve">pracovníky, které firmy přijaly tzv. napřímo. Agenturní </w:t>
            </w:r>
            <w:r>
              <w:t>zaměstnanci</w:t>
            </w:r>
            <w:r w:rsidRPr="004008BC">
              <w:t xml:space="preserve"> totiž figurují v odvětví profesních, vědeckých, technických a administrativních činností.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886A8F">
              <w:rPr>
                <w:sz w:val="16"/>
                <w:szCs w:val="16"/>
              </w:rPr>
              <w:t>Navzdory aktuální dobré kondici stavebnictví, která byla dána intenzivní výstavbou infrastrukturních staveb, se počet zaměstnaných osob v tomto odvětví snížil i ve 3. čtvrtletí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886A8F">
              <w:rPr>
                <w:spacing w:val="-2"/>
              </w:rPr>
              <w:t xml:space="preserve">I přes celkově velmi dobrý vývoj na trhu práce lze nalézt odvětví, která ve 3. čtvrtletí 2015 evidovala nižší počet pracovníků než před rokem. Šlo především o stavebnictví (-10,0 tis.), kde se počet zaměstnaných osob zmenšoval bez přestání už pátým rokem, více než dva roky se zaměstnanost snižovala ale i v peněžnictví a pojišťovnictví (-1,0 tis.). Zatímco stavebnictví bylo i přes aktuální dobrou kondici stále zatíženo dlouhodobým útlumem stavební činnosti v letech předchozích a ani výhled na rok 2016 nebyl příliš příznivý, příčinou trvajícího poklesu zaměstnanosti v peněžnictví a pojišťovnictví byla především snaha o zefektivnění procesů. </w:t>
            </w:r>
            <w:r w:rsidRPr="00886A8F">
              <w:rPr>
                <w:spacing w:val="-4"/>
              </w:rPr>
              <w:t>O 0,6 tis. osob klesla zaměstnanost i v nezpracovatelských průmyslových odvětvích.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886A8F">
              <w:rPr>
                <w:sz w:val="16"/>
                <w:szCs w:val="16"/>
              </w:rPr>
              <w:t>Struktura zaměstnanosti se mění ve prospěch zaměstnanců. Jejich počty rostou, sebezaměstnaných ubývá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4"/>
              </w:rPr>
            </w:pPr>
            <w:r w:rsidRPr="00886A8F">
              <w:t>V nepříznivých obdobích firmy hledají úspory a přesouvají pracovníky z klasických zaměstnaneckých poměrů do tzv. švarc systému, kde tito lidé vykonávají stejnou činnost, avšak jako živnostníci a z pohledu firem tedy levněji. V obdobích příznivých si firmy tyto pracovníky chtějí pojistit a stahují je zpět. K této situaci dochází i nyní, ukazuje na to silnější meziroční růst počtu zaměstnanců než celkové zaměstnanosti. Trvá již pět čtvrtletí, v samotném 3. kvartále byl růst počtu zaměstnanců silnější o 0,6 pb. (+1,8 % vs. +1,2 %).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886A8F">
              <w:rPr>
                <w:sz w:val="16"/>
                <w:szCs w:val="16"/>
              </w:rPr>
              <w:t>Produktivita práce stoupla v prvních třech čtvrtletích roku 2015 v meziročním srovnání o 2,4 %, nejrychleji za posledních osm let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6"/>
              </w:rPr>
            </w:pPr>
            <w:r w:rsidRPr="00886A8F">
              <w:rPr>
                <w:spacing w:val="-6"/>
              </w:rPr>
              <w:t>Pro dlouhodobě udržitelný růst reálných mezd zaměstnanců je klíčové, aby byl podpořen růstem produktivity práce. A jak ukazují data za první tři kvartály roku 2015, tato podpora v tuzemské ekonomice byla více než zřetelná. Produktivita práce stoupla za celé období o 2,4 % meziročně, neboť hrubá přidaná hodnota se zvýšila reálně o 3,9 % a celkový počet odpracovaných hodin jen o 1,4 %. Produktivita práce narostla nejrychleji za posledních osm let. Jak ukazuje vývoj v jednotlivých odvětvích ekonomiky, její růst byl plošný. Produktivita práce klesla pouze v zemědělství, lesnictví a rybářství, v nezpracovatelských průmyslových odvětvích a v ostatních činnostech.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886A8F">
              <w:rPr>
                <w:sz w:val="16"/>
                <w:szCs w:val="16"/>
              </w:rPr>
              <w:t>Počet volných pracovních míst byl na konci 3. čtvrtletí nejvyšší od listopadu 2008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886A8F">
              <w:rPr>
                <w:spacing w:val="-2"/>
              </w:rPr>
              <w:t>I přes poměrné silný růst zaměstnanosti stoupaly v průběhu roku 2015 také počty neobsazených pozic. Jestliže na konci 1. čtvrtletí evidovalo Ministerstvo práce a sociálních věcí celkově 76,1 tis. volných pracovních míst a v závěru 2. čtvrtletí 97,0 tis., na konci 3. čtvrtletí 2015 jich bylo k dispozici již 108,6 tis. Více než 100 tisíc volných pracovních míst nabízel trh práce naposledy v listopadu 2008.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A1AB7" w:rsidRDefault="00886A8F" w:rsidP="003C3686">
            <w:pPr>
              <w:spacing w:line="240" w:lineRule="auto"/>
              <w:rPr>
                <w:spacing w:val="-6"/>
                <w:sz w:val="16"/>
                <w:szCs w:val="16"/>
              </w:rPr>
            </w:pPr>
            <w:r w:rsidRPr="00CA1AB7">
              <w:rPr>
                <w:sz w:val="16"/>
                <w:szCs w:val="16"/>
              </w:rPr>
              <w:t>Nesoulad mezi poptávkou po zaměstnancích</w:t>
            </w:r>
            <w:r w:rsidRPr="00CA1AB7">
              <w:rPr>
                <w:spacing w:val="-6"/>
                <w:sz w:val="16"/>
                <w:szCs w:val="16"/>
              </w:rPr>
              <w:t xml:space="preserve"> </w:t>
            </w:r>
            <w:r w:rsidRPr="00CA1AB7">
              <w:rPr>
                <w:spacing w:val="-4"/>
                <w:sz w:val="16"/>
                <w:szCs w:val="16"/>
              </w:rPr>
              <w:t>a nabídkou práce ze strany</w:t>
            </w:r>
            <w:r w:rsidRPr="00CA1AB7">
              <w:rPr>
                <w:spacing w:val="-6"/>
                <w:sz w:val="16"/>
                <w:szCs w:val="16"/>
              </w:rPr>
              <w:t xml:space="preserve"> </w:t>
            </w:r>
            <w:r w:rsidRPr="00CA1AB7">
              <w:rPr>
                <w:spacing w:val="-2"/>
                <w:sz w:val="16"/>
                <w:szCs w:val="16"/>
              </w:rPr>
              <w:t>uchazečů je dán odlišnými</w:t>
            </w:r>
            <w:r w:rsidRPr="00CA1AB7">
              <w:rPr>
                <w:spacing w:val="-6"/>
                <w:sz w:val="16"/>
                <w:szCs w:val="16"/>
              </w:rPr>
              <w:t xml:space="preserve"> </w:t>
            </w:r>
            <w:r w:rsidRPr="00CA1AB7">
              <w:rPr>
                <w:sz w:val="16"/>
                <w:szCs w:val="16"/>
              </w:rPr>
              <w:t>nároky na posty, 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886A8F">
              <w:rPr>
                <w:spacing w:val="-2"/>
              </w:rPr>
              <w:t xml:space="preserve">Volná pracovní místa se budou naplňovat jen s obtížemi, protože poptávka po zaměstnancích neodpovídá profilu uchazečů. Největší nesoulad mezi poptávkou a nabídkou byl na konci září 2015 patrný v případě kategorie „obsluha strojů a zařízení, montéři“, kde na jedno volné místo připadalo pouze 1,6 uchazeče. </w:t>
            </w:r>
            <w:r w:rsidRPr="00886A8F">
              <w:rPr>
                <w:spacing w:val="-2"/>
              </w:rPr>
              <w:lastRenderedPageBreak/>
              <w:t>S komplikacemi firmy hledaly i řemeslníky a opraváře, protože počet uchazečů o tyto pozice byl v porovnání s počtem volných pracovních míst jen zhruba dvojnásobný. Bez problémů se naopak obsazovaly úřednické posty, kde se na jedno volné pracovní místo hlásilo téměř 11 uchazečů.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A1AB7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CA1AB7">
              <w:rPr>
                <w:sz w:val="16"/>
                <w:szCs w:val="16"/>
              </w:rPr>
              <w:lastRenderedPageBreak/>
              <w:t>…ovlivňují ho ale i regionální disparity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4"/>
              </w:rPr>
            </w:pPr>
            <w:r w:rsidRPr="00886A8F">
              <w:rPr>
                <w:spacing w:val="-4"/>
              </w:rPr>
              <w:t>Rozdíl v poptávce a nabídce má i regionální rozměr. Zatímco v Plzeňském, Pardubickém a Jihočeském kraji, a také v Praze, se volná pracovní místa obsazují obtížně (na konci září na jedno volné pracovní místo připadalo v těchto krajích mezi 2 a 3 uchazeči), v Moravskoslezském a v Ústeckém kraji je problém opačný. Na jedno volné pracovní místo se v těchto krajích hlásilo téměř 6, resp. více než 8 uchazečů.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A1AB7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Obecná míra nezaměstnanosti klesla v srpnu 2015 pod 5 %, 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886A8F">
              <w:rPr>
                <w:spacing w:val="-2"/>
              </w:rPr>
              <w:t>Obecná míra nezaměstnanosti ve věkové kategorii 15-64 let se během léta 2015 snížila pod úroveň 5 %. V srpnu i září činila 4,9 % a byla nejnižší od prosince 2008. Přestože míra nezaměstnanosti žen setrvávala stále podstatně vyšší než míra nezaměstnanosti mužů, byly to především ženy, v jejichž případě se tento ukazatel zlepšil výrazněji. Zatímco u mužů činila v září letošního roku 4,0 % a byla meziročně nižší o 0,9 pb., míra nezaměstnanosti žen dosahovala 5,9 % a snížila se o 1,2 pb.</w:t>
            </w:r>
          </w:p>
          <w:p w:rsidR="00886A8F" w:rsidRPr="00886A8F" w:rsidRDefault="00886A8F" w:rsidP="003C3686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86A8F" w:rsidRPr="0002540B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CA1AB7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…což je úroveň, která nemá v EU s výjimkou Německa obdoby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5C03D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Default="00886A8F" w:rsidP="003C3686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>Podíl nezaměstnaných osob na celkové pracovní síle se postupně snižuje i v EU, stále však zůstává vysoký. V porovnání s ČR je zhruba dvojnásobný, přitom variabilita tohoto ukazatele napříč jednotlivými zeměmi je obrovská. Zatímco v Německu a v Česku hledalo na konci 3. čtvrtletí 2015 práci méně než 5 % ekonomicky aktivního obyvatelstva, v Řecku a ve Španělsku to byla více než pětina.</w:t>
            </w:r>
          </w:p>
          <w:p w:rsidR="00886A8F" w:rsidRPr="00860990" w:rsidRDefault="00886A8F" w:rsidP="003C3686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86A8F" w:rsidRPr="00B6444F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0A12D1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Mzdový vývoj ve 3. čtvrtletí pod taktovkou soukromých firem. Nedostává se jim kvalifikované pracovní síly a začínají se o pracovníky přetahovat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0A12D1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1656C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81656C">
              <w:rPr>
                <w:spacing w:val="-2"/>
              </w:rPr>
              <w:t>Průměrná hrubá měsíční mzda na přepočtené počty zaměstnanců stoupla za 1. až 3. čtvrtletí 2015 o 3,2 % meziročně, v samotném 3. čtvrtletí na tom byli zaměstnanci dokonce o 3,8 % lépe než před rokem. Poprvé po čtyřech čtvrtletích „táhly“ mzdový</w:t>
            </w:r>
            <w:r>
              <w:rPr>
                <w:spacing w:val="-2"/>
              </w:rPr>
              <w:t> </w:t>
            </w:r>
            <w:r w:rsidRPr="0081656C">
              <w:rPr>
                <w:spacing w:val="-2"/>
              </w:rPr>
              <w:t>vývoj soukromé firmy a nikoliv stát – v podnikatelské sféře byly výdělky ve</w:t>
            </w:r>
            <w:r>
              <w:rPr>
                <w:spacing w:val="-2"/>
              </w:rPr>
              <w:t> </w:t>
            </w:r>
            <w:r w:rsidRPr="0081656C">
              <w:rPr>
                <w:spacing w:val="-2"/>
              </w:rPr>
              <w:t>3.</w:t>
            </w:r>
            <w:r>
              <w:rPr>
                <w:spacing w:val="-2"/>
              </w:rPr>
              <w:t> </w:t>
            </w:r>
            <w:r w:rsidRPr="0081656C">
              <w:rPr>
                <w:spacing w:val="-2"/>
              </w:rPr>
              <w:t>čtvrtletí vyšší o 3,8 %, v nepodnikatelské sféře o 3,5 %. V relativním vyjádření si</w:t>
            </w:r>
            <w:r>
              <w:rPr>
                <w:spacing w:val="-2"/>
              </w:rPr>
              <w:t> </w:t>
            </w:r>
            <w:r w:rsidRPr="0081656C">
              <w:rPr>
                <w:spacing w:val="-2"/>
              </w:rPr>
              <w:t xml:space="preserve">nejvíce polepšili zaměstnanci v ubytování, stravování a pohostinství (+7,4 %), jelikož se ale jedná o odvětví s velmi nízkou úrovní mezd, v absolutním vyjádření stouply mzdy těmto pracovníkům pouze průměrně (+1 033 korun). K nejvyššímu absolutnímu přírůstku </w:t>
            </w:r>
            <w:r>
              <w:rPr>
                <w:spacing w:val="-2"/>
              </w:rPr>
              <w:t>mezd</w:t>
            </w:r>
            <w:r w:rsidRPr="0081656C">
              <w:rPr>
                <w:spacing w:val="-2"/>
              </w:rPr>
              <w:t xml:space="preserve"> došlo v informačních a komunikačních činnostech</w:t>
            </w:r>
            <w:r>
              <w:rPr>
                <w:spacing w:val="-2"/>
              </w:rPr>
              <w:t>,</w:t>
            </w:r>
            <w:r w:rsidRPr="0081656C">
              <w:rPr>
                <w:spacing w:val="-2"/>
              </w:rPr>
              <w:t xml:space="preserve"> v odvětví charakteristickém vysokými </w:t>
            </w:r>
            <w:r>
              <w:rPr>
                <w:spacing w:val="-2"/>
              </w:rPr>
              <w:t>výdělky</w:t>
            </w:r>
            <w:r w:rsidRPr="0081656C">
              <w:rPr>
                <w:spacing w:val="-2"/>
              </w:rPr>
              <w:t xml:space="preserve"> (+1 722 korun).</w:t>
            </w:r>
          </w:p>
          <w:p w:rsidR="00886A8F" w:rsidRPr="00860990" w:rsidRDefault="00886A8F" w:rsidP="003C3686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886A8F" w:rsidRPr="00B6444F" w:rsidTr="003C3686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0A12D1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Nízkoinflační prostředí přispívá k růstu kupní síly zaměstnanců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0A12D1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886A8F" w:rsidRPr="008621F3" w:rsidRDefault="00886A8F" w:rsidP="003C3686">
            <w:pPr>
              <w:pStyle w:val="Textpoznpodarou"/>
              <w:jc w:val="both"/>
            </w:pPr>
            <w:r w:rsidRPr="003B43AD">
              <w:rPr>
                <w:spacing w:val="-2"/>
              </w:rPr>
              <w:t>Nízká míra inflace a zrychlující růst průměrné mzdy se příznivě promítal</w:t>
            </w:r>
            <w:r>
              <w:rPr>
                <w:spacing w:val="-2"/>
              </w:rPr>
              <w:t xml:space="preserve">y do vývoje </w:t>
            </w:r>
            <w:r w:rsidRPr="008621F3">
              <w:t xml:space="preserve">kupní síly zaměstnanců. Zatímco v 1. čtvrtletí </w:t>
            </w:r>
            <w:r>
              <w:t xml:space="preserve">2015 </w:t>
            </w:r>
            <w:r w:rsidRPr="008621F3">
              <w:t xml:space="preserve">stoupla průměrná mzda v reálném vyjádření o 2,2 % meziročně, ve 2. již o 2,8 % a ve 3. čtvrtletí dokonce o 3,4 %. </w:t>
            </w:r>
            <w:r>
              <w:t>Narostla</w:t>
            </w:r>
            <w:r w:rsidRPr="008621F3">
              <w:t xml:space="preserve"> nejrychleji od posledních třech měsíců roku 2009, </w:t>
            </w:r>
            <w:r>
              <w:t>ve kterých</w:t>
            </w:r>
            <w:r w:rsidRPr="008621F3">
              <w:t xml:space="preserve"> vlivem hlubokého propadu</w:t>
            </w:r>
            <w:r>
              <w:t xml:space="preserve"> zahraniční poptávky </w:t>
            </w:r>
            <w:r w:rsidRPr="008621F3">
              <w:t>docházelo k propouštění méně kvalifikovaných a</w:t>
            </w:r>
            <w:r>
              <w:t> </w:t>
            </w:r>
            <w:r w:rsidRPr="008621F3">
              <w:t>tedy i nízkopříjmových zaměstnanců.</w:t>
            </w:r>
          </w:p>
        </w:tc>
      </w:tr>
    </w:tbl>
    <w:p w:rsidR="00886A8F" w:rsidRPr="00886A8F" w:rsidRDefault="00886A8F" w:rsidP="004762D8">
      <w:pPr>
        <w:rPr>
          <w:sz w:val="16"/>
          <w:szCs w:val="16"/>
          <w:lang w:eastAsia="ar-SA"/>
        </w:rPr>
      </w:pPr>
    </w:p>
    <w:tbl>
      <w:tblPr>
        <w:tblW w:w="5000" w:type="pct"/>
        <w:tblLook w:val="04A0"/>
      </w:tblPr>
      <w:tblGrid>
        <w:gridCol w:w="691"/>
        <w:gridCol w:w="4227"/>
        <w:gridCol w:w="716"/>
        <w:gridCol w:w="4220"/>
      </w:tblGrid>
      <w:tr w:rsidR="00886A8F" w:rsidRPr="007E77FB" w:rsidTr="00886A8F">
        <w:tc>
          <w:tcPr>
            <w:tcW w:w="351" w:type="pct"/>
          </w:tcPr>
          <w:p w:rsidR="00886A8F" w:rsidRPr="007E77FB" w:rsidRDefault="00886A8F" w:rsidP="003C3686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15</w:t>
            </w:r>
          </w:p>
        </w:tc>
        <w:tc>
          <w:tcPr>
            <w:tcW w:w="2147" w:type="pct"/>
          </w:tcPr>
          <w:p w:rsidR="00886A8F" w:rsidRPr="007E77FB" w:rsidRDefault="00886A8F" w:rsidP="003C3686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 xml:space="preserve">Počty zaměstnaných osob a zaměstnanců </w:t>
            </w:r>
            <w:r w:rsidRPr="007E77FB">
              <w:rPr>
                <w:lang w:eastAsia="en-US"/>
              </w:rPr>
              <w:t>(údaje národních účtů, očištěno o sezónní vlivy, y/y v %)</w:t>
            </w:r>
          </w:p>
        </w:tc>
        <w:tc>
          <w:tcPr>
            <w:tcW w:w="362" w:type="pct"/>
          </w:tcPr>
          <w:p w:rsidR="00886A8F" w:rsidRPr="007E77FB" w:rsidRDefault="00886A8F" w:rsidP="003C3686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16</w:t>
            </w:r>
          </w:p>
        </w:tc>
        <w:tc>
          <w:tcPr>
            <w:tcW w:w="2140" w:type="pct"/>
          </w:tcPr>
          <w:p w:rsidR="00886A8F" w:rsidRPr="00886A8F" w:rsidRDefault="00886A8F" w:rsidP="003C3686">
            <w:pPr>
              <w:pStyle w:val="Textpoznpodarou"/>
              <w:rPr>
                <w:spacing w:val="-2"/>
                <w:lang w:eastAsia="en-US"/>
              </w:rPr>
            </w:pPr>
            <w:r w:rsidRPr="00886A8F">
              <w:rPr>
                <w:b/>
                <w:spacing w:val="-2"/>
                <w:lang w:eastAsia="en-US"/>
              </w:rPr>
              <w:t xml:space="preserve">Průměrná hrubá měsíční mzda nominálně a reálně </w:t>
            </w:r>
            <w:r w:rsidRPr="00886A8F">
              <w:rPr>
                <w:spacing w:val="-2"/>
                <w:lang w:eastAsia="en-US"/>
              </w:rPr>
              <w:t>(na přepočtené počty zaměstnanců, y/y v %)</w:t>
            </w:r>
          </w:p>
        </w:tc>
      </w:tr>
      <w:tr w:rsidR="00886A8F" w:rsidRPr="007E77FB" w:rsidTr="00886A8F">
        <w:tc>
          <w:tcPr>
            <w:tcW w:w="2498" w:type="pct"/>
            <w:gridSpan w:val="2"/>
          </w:tcPr>
          <w:p w:rsidR="00886A8F" w:rsidRPr="007E77FB" w:rsidRDefault="00EC4471" w:rsidP="00886A8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502" w:type="pct"/>
            <w:gridSpan w:val="2"/>
          </w:tcPr>
          <w:p w:rsidR="00886A8F" w:rsidRPr="007E77FB" w:rsidRDefault="00EC4471" w:rsidP="00886A8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40" type="#_x0000_t75" style="width:237.75pt;height:187.5pt;visibility:visible;mso-wrap-style:square">
                  <v:imagedata r:id="rId9" o:title=""/>
                </v:shape>
              </w:pict>
            </w:r>
          </w:p>
        </w:tc>
      </w:tr>
      <w:tr w:rsidR="00886A8F" w:rsidRPr="007E77FB" w:rsidTr="00886A8F">
        <w:tc>
          <w:tcPr>
            <w:tcW w:w="5000" w:type="pct"/>
            <w:gridSpan w:val="4"/>
          </w:tcPr>
          <w:p w:rsidR="00886A8F" w:rsidRPr="00886A8F" w:rsidRDefault="00886A8F" w:rsidP="00886A8F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886A8F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B55BA8" w:rsidRPr="004F5F97" w:rsidRDefault="00B55BA8" w:rsidP="004F5F97">
      <w:pPr>
        <w:rPr>
          <w:rFonts w:cs="Arial"/>
          <w:color w:val="000000" w:themeColor="text1"/>
          <w:spacing w:val="-2"/>
          <w:sz w:val="18"/>
          <w:szCs w:val="18"/>
        </w:rPr>
      </w:pPr>
    </w:p>
    <w:sectPr w:rsidR="00B55BA8" w:rsidRPr="004F5F97" w:rsidSect="004F5F9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C4471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F5F97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C4471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EC4471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C4471" w:rsidRPr="00223E00">
      <w:rPr>
        <w:rFonts w:ascii="Arial" w:hAnsi="Arial" w:cs="Arial"/>
        <w:sz w:val="16"/>
        <w:szCs w:val="16"/>
      </w:rPr>
      <w:fldChar w:fldCharType="separate"/>
    </w:r>
    <w:r w:rsidR="004F5F97">
      <w:rPr>
        <w:rFonts w:ascii="Arial" w:hAnsi="Arial" w:cs="Arial"/>
        <w:noProof/>
        <w:sz w:val="16"/>
        <w:szCs w:val="16"/>
      </w:rPr>
      <w:t>17</w:t>
    </w:r>
    <w:r w:rsidR="00EC4471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Pr="00CA1AB7" w:rsidRDefault="00463B4B" w:rsidP="00886A8F">
      <w:pPr>
        <w:pStyle w:val="Textpoznpodarou"/>
        <w:rPr>
          <w:sz w:val="16"/>
          <w:szCs w:val="16"/>
        </w:rPr>
      </w:pPr>
      <w:r w:rsidRPr="00CA1AB7">
        <w:rPr>
          <w:rStyle w:val="Znakapoznpodarou"/>
        </w:rPr>
        <w:footnoteRef/>
      </w:r>
      <w:r w:rsidRPr="00CA1AB7">
        <w:t xml:space="preserve"> </w:t>
      </w:r>
      <w:r w:rsidRPr="00CA1AB7">
        <w:rPr>
          <w:sz w:val="16"/>
          <w:szCs w:val="16"/>
        </w:rPr>
        <w:t>Pokud není uvedeno jinak, jedná se o údaje národních účtů v očištění o sezónní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5E6"/>
    <w:multiLevelType w:val="hybridMultilevel"/>
    <w:tmpl w:val="F32C64A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4F5F97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471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2BCD-C4F7-4292-815E-692EDFE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198</TotalTime>
  <Pages>2</Pages>
  <Words>1269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2015-12-18T12:40:00Z</dcterms:modified>
</cp:coreProperties>
</file>