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81" w:rsidRPr="000732DB" w:rsidRDefault="007D4281" w:rsidP="00FC3C84">
      <w:pPr>
        <w:pStyle w:val="Nadpis1"/>
        <w:numPr>
          <w:ilvl w:val="0"/>
          <w:numId w:val="3"/>
        </w:numPr>
        <w:jc w:val="both"/>
      </w:pPr>
      <w:bookmarkStart w:id="0" w:name="_Toc437874295"/>
      <w:r w:rsidRPr="000732DB">
        <w:t>Souhrnná výkonnost</w:t>
      </w:r>
      <w:bookmarkEnd w:id="0"/>
    </w:p>
    <w:tbl>
      <w:tblPr>
        <w:tblW w:w="5000" w:type="pct"/>
        <w:tblLayout w:type="fixed"/>
        <w:tblLook w:val="00A0"/>
      </w:tblPr>
      <w:tblGrid>
        <w:gridCol w:w="2077"/>
        <w:gridCol w:w="282"/>
        <w:gridCol w:w="7495"/>
      </w:tblGrid>
      <w:tr w:rsidR="009A3A87" w:rsidRPr="002A7D6D" w:rsidTr="003C3686">
        <w:tc>
          <w:tcPr>
            <w:tcW w:w="1054" w:type="pct"/>
          </w:tcPr>
          <w:p w:rsidR="009A3A87" w:rsidRPr="002A7D6D" w:rsidRDefault="009A3A87" w:rsidP="003C3686">
            <w:pPr>
              <w:spacing w:line="240" w:lineRule="auto"/>
              <w:rPr>
                <w:sz w:val="16"/>
                <w:szCs w:val="16"/>
              </w:rPr>
            </w:pPr>
            <w:r w:rsidRPr="002A7D6D">
              <w:rPr>
                <w:sz w:val="16"/>
                <w:szCs w:val="16"/>
              </w:rPr>
              <w:t>Silný růst ekonomiky ČR pokračoval i ve 3. čtvrtletí 2015. HDP se zvýšil v meziročním srovnání o 4,5 %, hrubá přidaná hodnota o 4,3 %…</w:t>
            </w:r>
          </w:p>
        </w:tc>
        <w:tc>
          <w:tcPr>
            <w:tcW w:w="143" w:type="pct"/>
          </w:tcPr>
          <w:p w:rsidR="009A3A87" w:rsidRPr="002A7D6D" w:rsidRDefault="009A3A87" w:rsidP="003C3686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9A3A87" w:rsidRPr="002A7D6D" w:rsidRDefault="009A3A87" w:rsidP="003C3686">
            <w:pPr>
              <w:pStyle w:val="Textpoznpodarou"/>
              <w:jc w:val="both"/>
            </w:pPr>
            <w:r w:rsidRPr="002A7D6D">
              <w:t>Pr</w:t>
            </w:r>
            <w:r w:rsidR="00FE371D">
              <w:t>vní tři čtvrtletí roku 2015 byla</w:t>
            </w:r>
            <w:r w:rsidRPr="002A7D6D">
              <w:t xml:space="preserve"> ve znamení pokračujícího růstu ekonomiky ČR.</w:t>
            </w:r>
            <w:r w:rsidRPr="002A7D6D">
              <w:rPr>
                <w:rStyle w:val="Znakapoznpodarou"/>
              </w:rPr>
              <w:footnoteReference w:id="1"/>
            </w:r>
            <w:r w:rsidRPr="002A7D6D">
              <w:t xml:space="preserve"> </w:t>
            </w:r>
            <w:r w:rsidRPr="002A7D6D">
              <w:rPr>
                <w:spacing w:val="-2"/>
              </w:rPr>
              <w:t>Hrubý domácí produkt (HDP) stoupl v meziročním srovnání v tomto období o 4,4</w:t>
            </w:r>
            <w:r w:rsidRPr="002A7D6D">
              <w:t xml:space="preserve"> %, </w:t>
            </w:r>
            <w:r w:rsidRPr="002A7D6D">
              <w:rPr>
                <w:spacing w:val="-2"/>
              </w:rPr>
              <w:t>když po jednotlivých čtvrtletích jeho přírůstky dosahovaly +4,1 %, +4,6 % a +4,</w:t>
            </w:r>
            <w:r w:rsidRPr="002A7D6D">
              <w:t xml:space="preserve">5 %. Také z hlediska hrubé přidané hodnoty se české ekonomice dařilo. Její celkový nárůst činil +3,9 %, a co se týče dynamiky hrubé přidané hodnoty po jednotlivých </w:t>
            </w:r>
            <w:r w:rsidRPr="002A7D6D">
              <w:rPr>
                <w:spacing w:val="-2"/>
              </w:rPr>
              <w:t>kvartálech roku 2015, ta zrychlila z +3,4 % v 1. čtvrtletí přes +3,9 % ve 2. na +4,3</w:t>
            </w:r>
            <w:r w:rsidRPr="002A7D6D">
              <w:t xml:space="preserve"> % ve 3. čtvrtletí. Česká ekonomika rostla již </w:t>
            </w:r>
            <w:r>
              <w:t>osm čtvrtletí</w:t>
            </w:r>
            <w:r w:rsidRPr="002A7D6D">
              <w:t>, velmi dobré výsledky v roce 2015 byly však dány z velké části souhrou mimořádných faktorů. Šlo především o dočerpávání finančních prostředků z fondů EU, o nízké ceny ropy redukující firmám náklady a také o vysoké zisky firem v roce 2014, které firmy začaly uvolňovat na investice.</w:t>
            </w:r>
          </w:p>
          <w:p w:rsidR="009A3A87" w:rsidRPr="00880150" w:rsidRDefault="009A3A87" w:rsidP="003C3686">
            <w:pPr>
              <w:pStyle w:val="Textpoznpodarou"/>
              <w:jc w:val="both"/>
              <w:rPr>
                <w:spacing w:val="-2"/>
              </w:rPr>
            </w:pPr>
          </w:p>
        </w:tc>
      </w:tr>
      <w:tr w:rsidR="009A3A87" w:rsidRPr="002A7D6D" w:rsidTr="003C3686">
        <w:tc>
          <w:tcPr>
            <w:tcW w:w="1054" w:type="pct"/>
          </w:tcPr>
          <w:p w:rsidR="009A3A87" w:rsidRPr="002A7D6D" w:rsidRDefault="009A3A87" w:rsidP="003C3686">
            <w:pPr>
              <w:spacing w:line="240" w:lineRule="auto"/>
              <w:rPr>
                <w:sz w:val="16"/>
                <w:szCs w:val="16"/>
              </w:rPr>
            </w:pPr>
            <w:r w:rsidRPr="002A7D6D">
              <w:rPr>
                <w:sz w:val="16"/>
                <w:szCs w:val="16"/>
              </w:rPr>
              <w:t>…příznivě se jevil i </w:t>
            </w:r>
            <w:proofErr w:type="spellStart"/>
            <w:r w:rsidRPr="002A7D6D">
              <w:rPr>
                <w:sz w:val="16"/>
                <w:szCs w:val="16"/>
              </w:rPr>
              <w:t>mezikvartální</w:t>
            </w:r>
            <w:proofErr w:type="spellEnd"/>
            <w:r w:rsidRPr="002A7D6D">
              <w:rPr>
                <w:sz w:val="16"/>
                <w:szCs w:val="16"/>
              </w:rPr>
              <w:t xml:space="preserve"> výsledek. HDP stoupl o 0,5 %, hrubá přidaná hodnota dokonce o 1,2 %</w:t>
            </w:r>
          </w:p>
        </w:tc>
        <w:tc>
          <w:tcPr>
            <w:tcW w:w="143" w:type="pct"/>
          </w:tcPr>
          <w:p w:rsidR="009A3A87" w:rsidRPr="002A7D6D" w:rsidRDefault="009A3A87" w:rsidP="003C3686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9A3A87" w:rsidRPr="002A7D6D" w:rsidRDefault="009A3A87" w:rsidP="003C3686">
            <w:pPr>
              <w:pStyle w:val="Textpoznpodarou"/>
              <w:jc w:val="both"/>
              <w:rPr>
                <w:spacing w:val="-2"/>
              </w:rPr>
            </w:pPr>
            <w:r w:rsidRPr="002A7D6D">
              <w:rPr>
                <w:spacing w:val="-2"/>
              </w:rPr>
              <w:t>Na dobrou kondici české ekonomiky poukazoval i vývoj HDP a hrubé přidané hodnoty v </w:t>
            </w:r>
            <w:proofErr w:type="spellStart"/>
            <w:r w:rsidRPr="002A7D6D">
              <w:rPr>
                <w:spacing w:val="-2"/>
              </w:rPr>
              <w:t>mezičtvrtletním</w:t>
            </w:r>
            <w:proofErr w:type="spellEnd"/>
            <w:r w:rsidRPr="002A7D6D">
              <w:rPr>
                <w:spacing w:val="-2"/>
              </w:rPr>
              <w:t xml:space="preserve"> srovnání. V průběhu roku 2015 se HDP postupně zvyšoval o 2,5 %, 1,0 % a 0,5 %. Hrubá přidaná hodnota posilovala rovnoměrněji, neboť jí neovlivňoval rozkolísaný vývoj salda daní z produktů a dotací na produkty. </w:t>
            </w:r>
            <w:r w:rsidRPr="002A7D6D">
              <w:rPr>
                <w:spacing w:val="-4"/>
              </w:rPr>
              <w:t xml:space="preserve">V 1. čtvrtletí se zvýšila </w:t>
            </w:r>
            <w:proofErr w:type="spellStart"/>
            <w:r w:rsidR="005D757A">
              <w:rPr>
                <w:spacing w:val="-4"/>
              </w:rPr>
              <w:t>mezičtvrtletně</w:t>
            </w:r>
            <w:proofErr w:type="spellEnd"/>
            <w:r w:rsidRPr="002A7D6D">
              <w:rPr>
                <w:spacing w:val="-4"/>
              </w:rPr>
              <w:t xml:space="preserve"> o 1,2 %,</w:t>
            </w:r>
            <w:r w:rsidRPr="002A7D6D">
              <w:rPr>
                <w:rStyle w:val="Znakapoznpodarou"/>
                <w:spacing w:val="-4"/>
              </w:rPr>
              <w:footnoteReference w:id="2"/>
            </w:r>
            <w:r w:rsidRPr="002A7D6D">
              <w:rPr>
                <w:spacing w:val="-4"/>
              </w:rPr>
              <w:t xml:space="preserve"> ve 2. o 1,0 % a ve 3. čtvrtletí o 1,2 %.</w:t>
            </w:r>
          </w:p>
          <w:p w:rsidR="009A3A87" w:rsidRPr="002A7D6D" w:rsidRDefault="009A3A87" w:rsidP="003C3686">
            <w:pPr>
              <w:pStyle w:val="Textpoznpodarou"/>
              <w:jc w:val="both"/>
            </w:pPr>
          </w:p>
        </w:tc>
      </w:tr>
      <w:tr w:rsidR="009A3A87" w:rsidRPr="002A7D6D" w:rsidTr="003C3686">
        <w:tc>
          <w:tcPr>
            <w:tcW w:w="1054" w:type="pct"/>
          </w:tcPr>
          <w:p w:rsidR="009A3A87" w:rsidRPr="00EF0587" w:rsidRDefault="009A3A87" w:rsidP="003C3686">
            <w:pPr>
              <w:spacing w:line="240" w:lineRule="auto"/>
              <w:rPr>
                <w:sz w:val="16"/>
                <w:szCs w:val="16"/>
              </w:rPr>
            </w:pPr>
            <w:r w:rsidRPr="00EF0587">
              <w:rPr>
                <w:sz w:val="16"/>
                <w:szCs w:val="16"/>
              </w:rPr>
              <w:t>Nárůst HDP za první tři kvartály roku 2015 činil +4,4 % meziročně. Byl nejsilnější za posledních osm let …</w:t>
            </w:r>
          </w:p>
        </w:tc>
        <w:tc>
          <w:tcPr>
            <w:tcW w:w="143" w:type="pct"/>
          </w:tcPr>
          <w:p w:rsidR="009A3A87" w:rsidRPr="00EF0587" w:rsidRDefault="009A3A87" w:rsidP="003C3686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0D342A" w:rsidRPr="00EF0587" w:rsidRDefault="009A3A87" w:rsidP="003C3686">
            <w:pPr>
              <w:pStyle w:val="Textpoznpodarou"/>
              <w:jc w:val="both"/>
            </w:pPr>
            <w:r w:rsidRPr="00EF0587">
              <w:t>Nárůst HDP v 1. až 3. čtvrt</w:t>
            </w:r>
            <w:r w:rsidR="000D342A">
              <w:t>letí 2015 v meziročním srovnání</w:t>
            </w:r>
            <w:r w:rsidRPr="00EF0587">
              <w:t xml:space="preserve"> </w:t>
            </w:r>
            <w:r w:rsidR="000D342A">
              <w:t>(+4,4 %)</w:t>
            </w:r>
            <w:r w:rsidRPr="00EF0587">
              <w:t xml:space="preserve"> byl nejsilnější</w:t>
            </w:r>
            <w:r w:rsidR="000D342A">
              <w:t xml:space="preserve"> za posledních osm let, tj.</w:t>
            </w:r>
            <w:r w:rsidRPr="00EF0587">
              <w:t xml:space="preserve"> od srovnatelného období konjunkturního roku 2007 (+5,6 %). </w:t>
            </w:r>
            <w:r w:rsidR="000D342A">
              <w:t>V případě hrubé přidané hodnoty (+</w:t>
            </w:r>
            <w:r w:rsidRPr="00EF0587">
              <w:t>3,9 %</w:t>
            </w:r>
            <w:r w:rsidR="000D342A">
              <w:t>)</w:t>
            </w:r>
            <w:r w:rsidRPr="00EF0587">
              <w:t xml:space="preserve"> se jednalo o nejsilnější růst od roku 2008 (+4,2 %).</w:t>
            </w:r>
          </w:p>
          <w:p w:rsidR="009A3A87" w:rsidRPr="00880150" w:rsidRDefault="009A3A87" w:rsidP="003C3686">
            <w:pPr>
              <w:pStyle w:val="Textpoznpodarou"/>
              <w:jc w:val="both"/>
            </w:pPr>
          </w:p>
        </w:tc>
      </w:tr>
      <w:tr w:rsidR="009A3A87" w:rsidRPr="002A7D6D" w:rsidTr="003C3686">
        <w:trPr>
          <w:trHeight w:val="1095"/>
        </w:trPr>
        <w:tc>
          <w:tcPr>
            <w:tcW w:w="1054" w:type="pct"/>
          </w:tcPr>
          <w:p w:rsidR="009A3A87" w:rsidRPr="00EF0587" w:rsidRDefault="009A3A87" w:rsidP="003C3686">
            <w:pPr>
              <w:spacing w:line="240" w:lineRule="auto"/>
              <w:rPr>
                <w:sz w:val="16"/>
                <w:szCs w:val="16"/>
              </w:rPr>
            </w:pPr>
            <w:r w:rsidRPr="00EF0587">
              <w:rPr>
                <w:sz w:val="16"/>
                <w:szCs w:val="16"/>
              </w:rPr>
              <w:t xml:space="preserve">… a co se týče srovnání se zeměmi EU, dynamičtěji se HDP zvýšil podle dostupných dat jen na Maltě </w:t>
            </w:r>
          </w:p>
        </w:tc>
        <w:tc>
          <w:tcPr>
            <w:tcW w:w="143" w:type="pct"/>
          </w:tcPr>
          <w:p w:rsidR="009A3A87" w:rsidRPr="00EF0587" w:rsidRDefault="009A3A87" w:rsidP="003C3686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9A3A87" w:rsidRPr="00EF0587" w:rsidRDefault="009A3A87" w:rsidP="003C3686">
            <w:pPr>
              <w:pStyle w:val="Textpoznpodarou"/>
              <w:jc w:val="both"/>
            </w:pPr>
            <w:r w:rsidRPr="00EF0587">
              <w:t>Česká ekonomika rostla v průběhu roku 2015 velmi silně i v kontextu zemí evropské osmadvacítky. Zatímco v 1. čtvrtletí byl meziroční růst HDP v ČR mezi členskými zeměmi podle dostupných údajů</w:t>
            </w:r>
            <w:r w:rsidR="00B13681">
              <w:rPr>
                <w:rStyle w:val="Znakapoznpodarou"/>
              </w:rPr>
              <w:footnoteReference w:id="3"/>
            </w:r>
            <w:r w:rsidRPr="00EF0587">
              <w:t xml:space="preserve"> třetí nejvyšší, ve 2. a 3. čtvrtletí připadla tuzemské ekonomice druhá příčka. Podle výsledku za celých devět měsíců předstihla Česko v růstu pouze Malta.</w:t>
            </w:r>
          </w:p>
          <w:p w:rsidR="009A3A87" w:rsidRPr="008B7D13" w:rsidRDefault="009A3A87" w:rsidP="003C3686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9A3A87" w:rsidRPr="002A7D6D" w:rsidTr="003C3686">
        <w:tc>
          <w:tcPr>
            <w:tcW w:w="1054" w:type="pct"/>
          </w:tcPr>
          <w:p w:rsidR="009A3A87" w:rsidRPr="00EF0587" w:rsidRDefault="009A3A87" w:rsidP="003C3686">
            <w:pPr>
              <w:spacing w:line="240" w:lineRule="auto"/>
              <w:rPr>
                <w:sz w:val="16"/>
                <w:szCs w:val="16"/>
              </w:rPr>
            </w:pPr>
            <w:r w:rsidRPr="00EF0587">
              <w:rPr>
                <w:sz w:val="16"/>
                <w:szCs w:val="16"/>
              </w:rPr>
              <w:t xml:space="preserve">Meziroční přírůstek HDP v ČR v prvních devíti měsících roku v porovnání s EU více než dvojnásobný, proti </w:t>
            </w:r>
            <w:proofErr w:type="spellStart"/>
            <w:r w:rsidRPr="00EF0587">
              <w:rPr>
                <w:sz w:val="16"/>
                <w:szCs w:val="16"/>
              </w:rPr>
              <w:t>eurozóně</w:t>
            </w:r>
            <w:proofErr w:type="spellEnd"/>
            <w:r w:rsidRPr="00EF0587">
              <w:rPr>
                <w:sz w:val="16"/>
                <w:szCs w:val="16"/>
              </w:rPr>
              <w:t xml:space="preserve"> trojnásobný</w:t>
            </w:r>
          </w:p>
        </w:tc>
        <w:tc>
          <w:tcPr>
            <w:tcW w:w="143" w:type="pct"/>
          </w:tcPr>
          <w:p w:rsidR="009A3A87" w:rsidRPr="00EF0587" w:rsidRDefault="009A3A87" w:rsidP="003C3686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9A3A87" w:rsidRPr="00EF0587" w:rsidRDefault="009A3A87" w:rsidP="003C3686">
            <w:pPr>
              <w:pStyle w:val="Textpoznpodarou"/>
              <w:jc w:val="both"/>
              <w:rPr>
                <w:spacing w:val="-4"/>
              </w:rPr>
            </w:pPr>
            <w:r w:rsidRPr="00EF0587">
              <w:rPr>
                <w:spacing w:val="-4"/>
              </w:rPr>
              <w:t xml:space="preserve">V porovnání s celou EU, kde se HDP v prvních třech čtvrtletích roku zvýšil meziročně o 1,8 %, byl tuzemský růst více než dvojnásobný. Ve srovnání s </w:t>
            </w:r>
            <w:proofErr w:type="spellStart"/>
            <w:r w:rsidRPr="00EF0587">
              <w:rPr>
                <w:spacing w:val="-4"/>
              </w:rPr>
              <w:t>eurozónou</w:t>
            </w:r>
            <w:proofErr w:type="spellEnd"/>
            <w:r w:rsidRPr="00EF0587">
              <w:rPr>
                <w:spacing w:val="-4"/>
              </w:rPr>
              <w:t xml:space="preserve"> (+1,5 %) stoupl výkon české ekonomiky dokonce trojnásobně rychle. Tyto výsledky dávají velkou naději, že i rok 2015 bude ve znamení reálné konvergence, kdy se ekonomická vyspělost ČR přiblíží průměrné vyspělosti zemí EU a </w:t>
            </w:r>
            <w:proofErr w:type="spellStart"/>
            <w:r w:rsidRPr="00EF0587">
              <w:rPr>
                <w:spacing w:val="-4"/>
              </w:rPr>
              <w:t>eurozóny</w:t>
            </w:r>
            <w:proofErr w:type="spellEnd"/>
            <w:r w:rsidRPr="00EF0587">
              <w:rPr>
                <w:spacing w:val="-4"/>
              </w:rPr>
              <w:t>.</w:t>
            </w:r>
          </w:p>
          <w:p w:rsidR="009A3A87" w:rsidRPr="00880150" w:rsidRDefault="009A3A87" w:rsidP="003C3686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9A3A87" w:rsidRPr="002A7D6D" w:rsidTr="003C3686">
        <w:tc>
          <w:tcPr>
            <w:tcW w:w="1054" w:type="pct"/>
          </w:tcPr>
          <w:p w:rsidR="009A3A87" w:rsidRPr="002A7D6D" w:rsidRDefault="009A3A87" w:rsidP="003C3686">
            <w:pPr>
              <w:spacing w:line="240" w:lineRule="auto"/>
              <w:rPr>
                <w:sz w:val="16"/>
                <w:szCs w:val="16"/>
              </w:rPr>
            </w:pPr>
            <w:r w:rsidRPr="002A7D6D">
              <w:rPr>
                <w:sz w:val="16"/>
                <w:szCs w:val="16"/>
              </w:rPr>
              <w:t>K meziročnímu růstu HDP ve 3. čtvrtletí 2015 přispěly pozitivně všechny složky domácí poptávky. „Tahounem“ byly investice, a to jak v klasickém pojetí, …</w:t>
            </w:r>
          </w:p>
        </w:tc>
        <w:tc>
          <w:tcPr>
            <w:tcW w:w="143" w:type="pct"/>
          </w:tcPr>
          <w:p w:rsidR="009A3A87" w:rsidRPr="002A7D6D" w:rsidRDefault="009A3A87" w:rsidP="003C3686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9A3A87" w:rsidRPr="005C21D6" w:rsidRDefault="009A3A87" w:rsidP="003C3686">
            <w:pPr>
              <w:pStyle w:val="Textpoznpodarou"/>
              <w:jc w:val="both"/>
              <w:rPr>
                <w:spacing w:val="-4"/>
              </w:rPr>
            </w:pPr>
            <w:r w:rsidRPr="005C21D6">
              <w:rPr>
                <w:spacing w:val="-4"/>
              </w:rPr>
              <w:t>Růst HDP ve 3. čtvrtletí 2015 – dosahující +4,5 % meziročně – byl robustní. Přispěly k němu pozitivně všechny složky poptávky s výjimkou výsledku zahraničního obchodu.</w:t>
            </w:r>
            <w:r w:rsidRPr="005C21D6">
              <w:rPr>
                <w:rStyle w:val="Znakapoznpodarou"/>
                <w:spacing w:val="-4"/>
              </w:rPr>
              <w:footnoteReference w:id="4"/>
            </w:r>
            <w:r w:rsidRPr="005C21D6">
              <w:rPr>
                <w:spacing w:val="-4"/>
              </w:rPr>
              <w:t xml:space="preserve"> Výdaje na konečnou spotřebu domácností se na růstu ekonomiky podílely +1,4 </w:t>
            </w:r>
            <w:proofErr w:type="spellStart"/>
            <w:r w:rsidRPr="005C21D6">
              <w:rPr>
                <w:spacing w:val="-4"/>
              </w:rPr>
              <w:t>pb</w:t>
            </w:r>
            <w:proofErr w:type="spellEnd"/>
            <w:r w:rsidRPr="005C21D6">
              <w:rPr>
                <w:spacing w:val="-4"/>
              </w:rPr>
              <w:t>., tedy stejnou silou jako ve dvou předchozích čtvrtletích. Příspěvek výdajů na</w:t>
            </w:r>
            <w:r w:rsidR="005C21D6">
              <w:rPr>
                <w:spacing w:val="-4"/>
              </w:rPr>
              <w:t> </w:t>
            </w:r>
            <w:r w:rsidRPr="005C21D6">
              <w:rPr>
                <w:spacing w:val="-4"/>
              </w:rPr>
              <w:t xml:space="preserve">konečnou spotřebu vládních institucí dosáhl výjimečných +0,9 </w:t>
            </w:r>
            <w:proofErr w:type="spellStart"/>
            <w:r w:rsidRPr="005C21D6">
              <w:rPr>
                <w:spacing w:val="-4"/>
              </w:rPr>
              <w:t>pb</w:t>
            </w:r>
            <w:proofErr w:type="spellEnd"/>
            <w:r w:rsidRPr="005C21D6">
              <w:rPr>
                <w:spacing w:val="-4"/>
              </w:rPr>
              <w:t>. a byl nejvyšší od posledního čtvrtletí roku 2003. Motorem růstu národního hospodářství byly však</w:t>
            </w:r>
            <w:r w:rsidR="005C21D6">
              <w:rPr>
                <w:spacing w:val="-4"/>
              </w:rPr>
              <w:t> </w:t>
            </w:r>
            <w:r w:rsidRPr="005C21D6">
              <w:rPr>
                <w:spacing w:val="-4"/>
              </w:rPr>
              <w:t xml:space="preserve">investice (tvorba hrubého fixního kapitálu) které přidaly +2,1 </w:t>
            </w:r>
            <w:proofErr w:type="spellStart"/>
            <w:r w:rsidRPr="005C21D6">
              <w:rPr>
                <w:spacing w:val="-4"/>
              </w:rPr>
              <w:t>pb</w:t>
            </w:r>
            <w:proofErr w:type="spellEnd"/>
            <w:r w:rsidRPr="005C21D6">
              <w:rPr>
                <w:spacing w:val="-4"/>
              </w:rPr>
              <w:t>. Přestože příspěvek změny zásob v průběhu roku zeslabil z mimořádných +2,1 </w:t>
            </w:r>
            <w:proofErr w:type="spellStart"/>
            <w:r w:rsidRPr="005C21D6">
              <w:rPr>
                <w:spacing w:val="-4"/>
              </w:rPr>
              <w:t>pb</w:t>
            </w:r>
            <w:proofErr w:type="spellEnd"/>
            <w:r w:rsidRPr="005C21D6">
              <w:rPr>
                <w:spacing w:val="-4"/>
              </w:rPr>
              <w:t>. v 1. čtvrtletí přes +1,2</w:t>
            </w:r>
            <w:r w:rsidR="005C21D6">
              <w:rPr>
                <w:spacing w:val="-4"/>
              </w:rPr>
              <w:t> </w:t>
            </w:r>
            <w:proofErr w:type="spellStart"/>
            <w:r w:rsidRPr="005C21D6">
              <w:rPr>
                <w:spacing w:val="-4"/>
              </w:rPr>
              <w:t>pb</w:t>
            </w:r>
            <w:proofErr w:type="spellEnd"/>
            <w:r w:rsidRPr="005C21D6">
              <w:rPr>
                <w:spacing w:val="-4"/>
              </w:rPr>
              <w:t xml:space="preserve">. ve 2. na +0,3 </w:t>
            </w:r>
            <w:proofErr w:type="spellStart"/>
            <w:r w:rsidRPr="005C21D6">
              <w:rPr>
                <w:spacing w:val="-4"/>
              </w:rPr>
              <w:t>pb</w:t>
            </w:r>
            <w:proofErr w:type="spellEnd"/>
            <w:r w:rsidRPr="005C21D6">
              <w:rPr>
                <w:spacing w:val="-4"/>
              </w:rPr>
              <w:t>. ve 3. čtvrtletí, podílela se i tato složka na růstu české</w:t>
            </w:r>
            <w:r w:rsidR="005C21D6">
              <w:rPr>
                <w:spacing w:val="-4"/>
              </w:rPr>
              <w:t> </w:t>
            </w:r>
            <w:r w:rsidRPr="005C21D6">
              <w:rPr>
                <w:spacing w:val="-4"/>
              </w:rPr>
              <w:t xml:space="preserve">ekonomiky pozitivně. Výsledek zahraničního obchodu působil nepatrně proti růstu národního hospodářství (-0,1 </w:t>
            </w:r>
            <w:proofErr w:type="spellStart"/>
            <w:r w:rsidRPr="005C21D6">
              <w:rPr>
                <w:spacing w:val="-4"/>
              </w:rPr>
              <w:t>pb</w:t>
            </w:r>
            <w:proofErr w:type="spellEnd"/>
            <w:r w:rsidRPr="005C21D6">
              <w:rPr>
                <w:spacing w:val="-4"/>
              </w:rPr>
              <w:t>.), šlo přitom o důsledek silnějšího růstu dovozu</w:t>
            </w:r>
            <w:r w:rsidR="005C21D6">
              <w:rPr>
                <w:spacing w:val="-4"/>
              </w:rPr>
              <w:t> </w:t>
            </w:r>
            <w:r w:rsidRPr="005C21D6">
              <w:rPr>
                <w:spacing w:val="-4"/>
              </w:rPr>
              <w:t>oproti vývozu. Jeho příčinu lze hledat v silné domácí poptávce.</w:t>
            </w:r>
          </w:p>
          <w:p w:rsidR="009A3A87" w:rsidRPr="008B7D13" w:rsidRDefault="009A3A87" w:rsidP="003C3686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9A3A87" w:rsidRPr="002A7D6D" w:rsidTr="003C3686">
        <w:tc>
          <w:tcPr>
            <w:tcW w:w="1054" w:type="pct"/>
          </w:tcPr>
          <w:p w:rsidR="009A3A87" w:rsidRPr="002A7D6D" w:rsidRDefault="009A3A87" w:rsidP="003C3686">
            <w:pPr>
              <w:spacing w:line="240" w:lineRule="auto"/>
              <w:rPr>
                <w:sz w:val="16"/>
                <w:szCs w:val="16"/>
              </w:rPr>
            </w:pPr>
            <w:r w:rsidRPr="002A7D6D">
              <w:rPr>
                <w:sz w:val="16"/>
                <w:szCs w:val="16"/>
              </w:rPr>
              <w:t>…tak v pojetí, kdy se z celkového objemu dovozu do ČR vyloučí dovoz určený pro konečné užití</w:t>
            </w:r>
          </w:p>
        </w:tc>
        <w:tc>
          <w:tcPr>
            <w:tcW w:w="143" w:type="pct"/>
          </w:tcPr>
          <w:p w:rsidR="009A3A87" w:rsidRPr="002A7D6D" w:rsidRDefault="009A3A87" w:rsidP="003C3686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9A3A87" w:rsidRPr="002A7D6D" w:rsidRDefault="009A3A87" w:rsidP="003C3686">
            <w:pPr>
              <w:pStyle w:val="Textpoznpodarou"/>
              <w:jc w:val="both"/>
            </w:pPr>
            <w:r w:rsidRPr="002A7D6D">
              <w:t xml:space="preserve">Jestliže z celkového objemu dovozu zboží a služeb do české ekonomiky vyloučíme dovoz určený pro konečné užití, potom se příspěvky výdajů na konečnou spotřebu domácností a vládních institucí, a také investic, snižují. Je to </w:t>
            </w:r>
            <w:r w:rsidRPr="00F375BA">
              <w:rPr>
                <w:spacing w:val="-2"/>
              </w:rPr>
              <w:t xml:space="preserve">dané tím, že jejich růst byl z části </w:t>
            </w:r>
            <w:r w:rsidR="00F375BA" w:rsidRPr="00F375BA">
              <w:rPr>
                <w:spacing w:val="-2"/>
              </w:rPr>
              <w:t>uspokojen</w:t>
            </w:r>
            <w:r w:rsidRPr="00F375BA">
              <w:rPr>
                <w:spacing w:val="-2"/>
              </w:rPr>
              <w:t xml:space="preserve"> vyšším dovozem. Příspěvek</w:t>
            </w:r>
            <w:r w:rsidRPr="002A7D6D">
              <w:t xml:space="preserve"> výdajů </w:t>
            </w:r>
            <w:r w:rsidRPr="002A7D6D">
              <w:lastRenderedPageBreak/>
              <w:t xml:space="preserve">na konečnou spotřebu domácností v tomto pojetí činil ve 3. čtvrtletí 2015 pouze +0,8 </w:t>
            </w:r>
            <w:proofErr w:type="spellStart"/>
            <w:r w:rsidRPr="002A7D6D">
              <w:t>pb</w:t>
            </w:r>
            <w:proofErr w:type="spellEnd"/>
            <w:r w:rsidRPr="002A7D6D">
              <w:t>. a byl stejně vysoký jako příspěvek výdajů vládních institucí. Investice se na růstu české ekonomiky podílely také méně</w:t>
            </w:r>
            <w:r>
              <w:t xml:space="preserve"> než v klasickém pojetí</w:t>
            </w:r>
            <w:r w:rsidRPr="002A7D6D">
              <w:t xml:space="preserve"> (+1,6 </w:t>
            </w:r>
            <w:proofErr w:type="spellStart"/>
            <w:r w:rsidRPr="002A7D6D">
              <w:t>pb</w:t>
            </w:r>
            <w:proofErr w:type="spellEnd"/>
            <w:r w:rsidRPr="002A7D6D">
              <w:t xml:space="preserve">.), </w:t>
            </w:r>
            <w:r w:rsidRPr="00913548">
              <w:rPr>
                <w:spacing w:val="-4"/>
              </w:rPr>
              <w:t>zůstaly však pomyslným „tahounem“. Příspěvek změny zásob zůstal stejný (+0,3</w:t>
            </w:r>
            <w:r w:rsidRPr="002A7D6D">
              <w:t xml:space="preserve"> </w:t>
            </w:r>
            <w:proofErr w:type="spellStart"/>
            <w:r w:rsidRPr="002A7D6D">
              <w:t>pb</w:t>
            </w:r>
            <w:proofErr w:type="spellEnd"/>
            <w:r w:rsidRPr="002A7D6D">
              <w:t>.) a</w:t>
            </w:r>
            <w:r>
              <w:t xml:space="preserve"> tím</w:t>
            </w:r>
            <w:r w:rsidRPr="002A7D6D">
              <w:t xml:space="preserve"> naz</w:t>
            </w:r>
            <w:r>
              <w:t>načoval, že zdrojem pro silnější růst zásob než před rokem byla domácí produkce</w:t>
            </w:r>
            <w:r w:rsidRPr="002A7D6D">
              <w:t>. Výsledek zahraničního obchodu, modifikovaný o vyloučení dovozu pro</w:t>
            </w:r>
            <w:r>
              <w:t> </w:t>
            </w:r>
            <w:r w:rsidRPr="002A7D6D">
              <w:t xml:space="preserve">konečné užití, přispěl k růstu ekonomiky ČR +1,1 </w:t>
            </w:r>
            <w:proofErr w:type="spellStart"/>
            <w:r w:rsidRPr="002A7D6D">
              <w:t>pb</w:t>
            </w:r>
            <w:proofErr w:type="spellEnd"/>
            <w:r w:rsidRPr="002A7D6D">
              <w:t>.</w:t>
            </w:r>
          </w:p>
          <w:p w:rsidR="009A3A87" w:rsidRPr="008B7D13" w:rsidRDefault="009A3A87" w:rsidP="003C3686">
            <w:pPr>
              <w:pStyle w:val="Textpoznpodarou"/>
              <w:jc w:val="both"/>
            </w:pPr>
          </w:p>
        </w:tc>
      </w:tr>
      <w:tr w:rsidR="009A3A87" w:rsidRPr="002A7D6D" w:rsidTr="003C3686">
        <w:tc>
          <w:tcPr>
            <w:tcW w:w="1054" w:type="pct"/>
          </w:tcPr>
          <w:p w:rsidR="009A3A87" w:rsidRPr="002A7D6D" w:rsidRDefault="009A3A87" w:rsidP="003C3686">
            <w:pPr>
              <w:spacing w:line="240" w:lineRule="auto"/>
              <w:rPr>
                <w:sz w:val="16"/>
                <w:szCs w:val="16"/>
              </w:rPr>
            </w:pPr>
            <w:r w:rsidRPr="002A7D6D">
              <w:rPr>
                <w:sz w:val="16"/>
                <w:szCs w:val="16"/>
              </w:rPr>
              <w:lastRenderedPageBreak/>
              <w:t>Výdaje na konečnou spotřebu domácností v prvních třech čtvrtletích roku 2015 o 2,9 % vyšší než před rokem …</w:t>
            </w:r>
          </w:p>
        </w:tc>
        <w:tc>
          <w:tcPr>
            <w:tcW w:w="143" w:type="pct"/>
          </w:tcPr>
          <w:p w:rsidR="009A3A87" w:rsidRPr="002A7D6D" w:rsidRDefault="009A3A87" w:rsidP="003C3686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9A3A87" w:rsidRPr="002A7D6D" w:rsidRDefault="009A3A87" w:rsidP="003C3686">
            <w:pPr>
              <w:pStyle w:val="Textpoznpodarou"/>
              <w:jc w:val="both"/>
            </w:pPr>
            <w:r w:rsidRPr="002A7D6D">
              <w:t>Meziroční tempa růstu výdajů na konečnou spotřebu domácností byla v prvních třech čtvrtletích roku 2015 srovnatelná s tempy z předkrizového roku 2008. Spotřeba domácností se zvyšovala postupně o 2,8 %, 3,0 % a 3,0 %. Celkově stoupla o 2,9 %. Zvýšila se především poptávka po předmětech dlouhodobé spotřeby, například po automobilech. Nad úrovní prvních devíti měsíců roku 2014 byly ovšem i výdaje domácností na předměty střednědobé spotřeby</w:t>
            </w:r>
            <w:r>
              <w:t>. Mírně stouply i výdaje</w:t>
            </w:r>
            <w:r w:rsidRPr="002A7D6D">
              <w:t xml:space="preserve"> na předměty</w:t>
            </w:r>
            <w:r>
              <w:t> krátkodobé spotřeby</w:t>
            </w:r>
            <w:r w:rsidRPr="002A7D6D">
              <w:t xml:space="preserve"> </w:t>
            </w:r>
            <w:r>
              <w:t xml:space="preserve">a </w:t>
            </w:r>
            <w:r w:rsidRPr="002A7D6D">
              <w:t>na služby.</w:t>
            </w:r>
          </w:p>
          <w:p w:rsidR="009A3A87" w:rsidRPr="008B7D13" w:rsidRDefault="009A3A87" w:rsidP="003C3686">
            <w:pPr>
              <w:pStyle w:val="Textpoznpodarou"/>
              <w:jc w:val="both"/>
              <w:rPr>
                <w:spacing w:val="-2"/>
              </w:rPr>
            </w:pPr>
          </w:p>
        </w:tc>
      </w:tr>
      <w:tr w:rsidR="009A3A87" w:rsidRPr="002A7D6D" w:rsidTr="003C3686">
        <w:tc>
          <w:tcPr>
            <w:tcW w:w="1054" w:type="pct"/>
          </w:tcPr>
          <w:p w:rsidR="009A3A87" w:rsidRPr="002A7D6D" w:rsidRDefault="009A3A87" w:rsidP="003C3686">
            <w:pPr>
              <w:spacing w:line="240" w:lineRule="auto"/>
              <w:rPr>
                <w:sz w:val="16"/>
                <w:szCs w:val="16"/>
              </w:rPr>
            </w:pPr>
            <w:r w:rsidRPr="002A7D6D">
              <w:rPr>
                <w:sz w:val="16"/>
                <w:szCs w:val="16"/>
              </w:rPr>
              <w:t>…díky narůstajícím příjmům a vyšší důvěře v ekonomiku</w:t>
            </w:r>
          </w:p>
        </w:tc>
        <w:tc>
          <w:tcPr>
            <w:tcW w:w="143" w:type="pct"/>
          </w:tcPr>
          <w:p w:rsidR="009A3A87" w:rsidRPr="002A7D6D" w:rsidRDefault="009A3A87" w:rsidP="003C3686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9A3A87" w:rsidRPr="00590C71" w:rsidRDefault="009A3A87" w:rsidP="003C3686">
            <w:pPr>
              <w:pStyle w:val="Textpoznpodarou"/>
              <w:jc w:val="both"/>
              <w:rPr>
                <w:spacing w:val="-4"/>
              </w:rPr>
            </w:pPr>
            <w:r w:rsidRPr="00590C71">
              <w:rPr>
                <w:spacing w:val="-4"/>
              </w:rPr>
              <w:t xml:space="preserve">Nárůst spotřeby domácností byl odrazem zvyšujících se příjmů. Na ně poukazovala jak dynamika průměrné reálné mzdy, tak vývoj počtu osob, které měly práci. Zatímco průměrná reálná mzda byla v prvních třech čtvrtletích roku 2015 o 2,8 % vyšší než před rokem, celková zaměstnanost se v tomto období zvýšila o 1,2 %. Také důvěra spotřebitelů v ekonomiku se promítala ve </w:t>
            </w:r>
            <w:r>
              <w:rPr>
                <w:spacing w:val="-4"/>
              </w:rPr>
              <w:t>spotřebě</w:t>
            </w:r>
            <w:r w:rsidRPr="00590C71">
              <w:rPr>
                <w:spacing w:val="-4"/>
              </w:rPr>
              <w:t xml:space="preserve"> domácností pozitivně. V každém jednotlivém měsíci roku 2015 byla vyšší než ve stejném měsíci roku 2014.</w:t>
            </w:r>
          </w:p>
          <w:p w:rsidR="009A3A87" w:rsidRPr="008B7D13" w:rsidRDefault="009A3A87" w:rsidP="003C3686">
            <w:pPr>
              <w:pStyle w:val="Textpoznpodarou"/>
              <w:jc w:val="both"/>
              <w:rPr>
                <w:spacing w:val="-2"/>
              </w:rPr>
            </w:pPr>
          </w:p>
        </w:tc>
      </w:tr>
      <w:tr w:rsidR="009A3A87" w:rsidRPr="002A7D6D" w:rsidTr="003C3686">
        <w:tc>
          <w:tcPr>
            <w:tcW w:w="1054" w:type="pct"/>
          </w:tcPr>
          <w:p w:rsidR="009A3A87" w:rsidRPr="002A7D6D" w:rsidRDefault="009A3A87" w:rsidP="003C3686">
            <w:pPr>
              <w:spacing w:line="240" w:lineRule="auto"/>
              <w:rPr>
                <w:sz w:val="16"/>
                <w:szCs w:val="16"/>
              </w:rPr>
            </w:pPr>
            <w:r w:rsidRPr="002A7D6D">
              <w:rPr>
                <w:sz w:val="16"/>
                <w:szCs w:val="16"/>
              </w:rPr>
              <w:t>Nárůst výdajů na konečnou spotřebu vládních institucí nejvyšší za posledních jedenáct let a tři čtvrtě</w:t>
            </w:r>
          </w:p>
        </w:tc>
        <w:tc>
          <w:tcPr>
            <w:tcW w:w="143" w:type="pct"/>
          </w:tcPr>
          <w:p w:rsidR="009A3A87" w:rsidRPr="002A7D6D" w:rsidRDefault="009A3A87" w:rsidP="003C3686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9A3A87" w:rsidRPr="00494D7D" w:rsidRDefault="009A3A87" w:rsidP="003C3686">
            <w:pPr>
              <w:pStyle w:val="Textpoznpodarou"/>
              <w:jc w:val="both"/>
              <w:rPr>
                <w:spacing w:val="-4"/>
              </w:rPr>
            </w:pPr>
            <w:r w:rsidRPr="00494D7D">
              <w:rPr>
                <w:spacing w:val="-4"/>
              </w:rPr>
              <w:t>Výdaje na konečnou spotřebu vládních institucí stouply ve 3. čtvrtletí 2015 o 4,4 % meziročně, tedy téměř dvakrát rychleji než v 1. i ve 2. čtvrtletí (+2,6 %, +2,3 %). Šlo o</w:t>
            </w:r>
            <w:r>
              <w:rPr>
                <w:spacing w:val="-4"/>
              </w:rPr>
              <w:t> </w:t>
            </w:r>
            <w:r w:rsidRPr="00494D7D">
              <w:rPr>
                <w:spacing w:val="-4"/>
              </w:rPr>
              <w:t xml:space="preserve">nejsilnější nárůst za posledních </w:t>
            </w:r>
            <w:r w:rsidR="000C6498">
              <w:rPr>
                <w:spacing w:val="-4"/>
              </w:rPr>
              <w:t>téměř dvanáct let</w:t>
            </w:r>
            <w:r w:rsidRPr="00494D7D">
              <w:rPr>
                <w:spacing w:val="-4"/>
              </w:rPr>
              <w:t>. Silný přírůstek výdajů byl odrazem rozsáhlých oprav a údržby dopravní infrastruktury v letních měsících, ke</w:t>
            </w:r>
            <w:r>
              <w:rPr>
                <w:spacing w:val="-4"/>
              </w:rPr>
              <w:t> </w:t>
            </w:r>
            <w:r w:rsidRPr="00494D7D">
              <w:rPr>
                <w:spacing w:val="-4"/>
              </w:rPr>
              <w:t>kterým docházelo za přispění finančních prostředků pocházejících z EU.</w:t>
            </w:r>
          </w:p>
          <w:p w:rsidR="009A3A87" w:rsidRPr="008B7D13" w:rsidRDefault="009A3A87" w:rsidP="003C3686">
            <w:pPr>
              <w:pStyle w:val="Textpoznpodarou"/>
              <w:jc w:val="both"/>
            </w:pPr>
          </w:p>
        </w:tc>
      </w:tr>
      <w:tr w:rsidR="009A3A87" w:rsidRPr="002A7D6D" w:rsidTr="003C3686">
        <w:trPr>
          <w:trHeight w:val="1365"/>
        </w:trPr>
        <w:tc>
          <w:tcPr>
            <w:tcW w:w="1054" w:type="pct"/>
          </w:tcPr>
          <w:p w:rsidR="009A3A87" w:rsidRPr="002A7D6D" w:rsidRDefault="009A3A87" w:rsidP="003C3686">
            <w:pPr>
              <w:spacing w:line="240" w:lineRule="auto"/>
              <w:rPr>
                <w:sz w:val="16"/>
                <w:szCs w:val="16"/>
              </w:rPr>
            </w:pPr>
            <w:r w:rsidRPr="002A7D6D">
              <w:rPr>
                <w:sz w:val="16"/>
                <w:szCs w:val="16"/>
              </w:rPr>
              <w:t>Zdrojem zrychlujícího meziročního růstu investic v prvních třech čtvrtletích roku 2015 byla především snaha dočerpat finanční prostředky z fondů EU, …</w:t>
            </w:r>
          </w:p>
        </w:tc>
        <w:tc>
          <w:tcPr>
            <w:tcW w:w="143" w:type="pct"/>
          </w:tcPr>
          <w:p w:rsidR="009A3A87" w:rsidRPr="002A7D6D" w:rsidRDefault="009A3A87" w:rsidP="003C3686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9A3A87" w:rsidRPr="004D4D18" w:rsidRDefault="009A3A87" w:rsidP="003C3686">
            <w:pPr>
              <w:pStyle w:val="Textpoznpodarou"/>
              <w:jc w:val="both"/>
            </w:pPr>
            <w:r w:rsidRPr="004D4D18">
              <w:t xml:space="preserve">Klíčovou složkou poptávky, co se týče růstu české ekonomiky v roce 2015, byly </w:t>
            </w:r>
            <w:r w:rsidRPr="004D4D18">
              <w:rPr>
                <w:spacing w:val="-2"/>
              </w:rPr>
              <w:t>investice. Zatímco v 1. čtvrtletí stouply v meziročním srovnání o 3,0 %, ve 2.</w:t>
            </w:r>
            <w:r w:rsidRPr="004D4D18">
              <w:t xml:space="preserve"> čtvrtletí byly vyšší již o 7,4 % a ve 3. čtvrtletí dokonce o 8,3 %. Zdrojem zrychlujícího růstu investic byla jednak snaha vládních institucí dočerpat co nejvíce peněz</w:t>
            </w:r>
            <w:r>
              <w:t xml:space="preserve"> z fondů Evropské unie</w:t>
            </w:r>
            <w:r w:rsidRPr="004D4D18">
              <w:t>, které byly ČR přiděleny v rámci programového období 2007–2013, jednak zvětšující se ochota firem investovat do obnovy a rozvoje. Firmy na</w:t>
            </w:r>
            <w:r>
              <w:t> </w:t>
            </w:r>
            <w:r w:rsidRPr="004D4D18">
              <w:t>investice uvolňovaly vysoké zisky z roku 2014,</w:t>
            </w:r>
            <w:r>
              <w:t xml:space="preserve"> a jak ukazuje bankovní statistika,</w:t>
            </w:r>
            <w:r w:rsidRPr="004D4D18">
              <w:t xml:space="preserve"> </w:t>
            </w:r>
            <w:r>
              <w:t>přestaly se obávat zadlužení a začaly si na investice i více půjčovat.</w:t>
            </w:r>
          </w:p>
          <w:p w:rsidR="009A3A87" w:rsidRPr="008B7D13" w:rsidRDefault="009A3A87" w:rsidP="003C3686">
            <w:pPr>
              <w:pStyle w:val="Textpoznpodarou"/>
              <w:jc w:val="both"/>
              <w:rPr>
                <w:spacing w:val="-2"/>
              </w:rPr>
            </w:pPr>
          </w:p>
        </w:tc>
      </w:tr>
      <w:tr w:rsidR="009A3A87" w:rsidRPr="002A7D6D" w:rsidTr="003C3686">
        <w:trPr>
          <w:trHeight w:val="2085"/>
        </w:trPr>
        <w:tc>
          <w:tcPr>
            <w:tcW w:w="1054" w:type="pct"/>
          </w:tcPr>
          <w:p w:rsidR="009A3A87" w:rsidRPr="002A7D6D" w:rsidRDefault="009A3A87" w:rsidP="003C3686">
            <w:pPr>
              <w:spacing w:line="240" w:lineRule="auto"/>
              <w:rPr>
                <w:sz w:val="16"/>
                <w:szCs w:val="16"/>
              </w:rPr>
            </w:pPr>
            <w:r w:rsidRPr="002A7D6D">
              <w:rPr>
                <w:sz w:val="16"/>
                <w:szCs w:val="16"/>
              </w:rPr>
              <w:t xml:space="preserve">…investice do budov a staveb byly ve 3. čtvrtletí meziročně </w:t>
            </w:r>
            <w:r w:rsidRPr="00887894">
              <w:rPr>
                <w:spacing w:val="-4"/>
                <w:sz w:val="16"/>
                <w:szCs w:val="16"/>
              </w:rPr>
              <w:t>vyšší o výjimečných 12,5 %</w:t>
            </w:r>
          </w:p>
        </w:tc>
        <w:tc>
          <w:tcPr>
            <w:tcW w:w="143" w:type="pct"/>
          </w:tcPr>
          <w:p w:rsidR="009A3A87" w:rsidRPr="002A7D6D" w:rsidRDefault="009A3A87" w:rsidP="003C3686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9A3A87" w:rsidRPr="002A7D6D" w:rsidRDefault="009A3A87" w:rsidP="003C3686">
            <w:pPr>
              <w:pStyle w:val="Textpoznpodarou"/>
              <w:jc w:val="both"/>
              <w:rPr>
                <w:spacing w:val="-2"/>
              </w:rPr>
            </w:pPr>
            <w:r w:rsidRPr="002A7D6D">
              <w:rPr>
                <w:spacing w:val="-2"/>
              </w:rPr>
              <w:t>Podle věcného členění tvorby hrubého fixního kapitálu</w:t>
            </w:r>
            <w:r w:rsidRPr="002A7D6D">
              <w:rPr>
                <w:rStyle w:val="Znakapoznpodarou"/>
                <w:spacing w:val="-2"/>
              </w:rPr>
              <w:footnoteReference w:id="5"/>
            </w:r>
            <w:r w:rsidRPr="002A7D6D">
              <w:rPr>
                <w:spacing w:val="-2"/>
              </w:rPr>
              <w:t xml:space="preserve"> stouply ve 3. čtvrtletí 2015 v meziročním srovnání velmi výrazně investice do budov a staveb. Narostly o 12,5 %, nejrychleji za celé sledované období od počátku roku 1997. Obnova a rozšiřování firemního vozového parku se promítala v růstu investic do dopravních prostředků a zařízení (+15,3 %), více než před rokem se ve 3. čtvrtletí 2015 </w:t>
            </w:r>
            <w:r w:rsidRPr="002A7D6D">
              <w:t>v České republice investovalo ale i do ICT, strojů a zařízení (+4,4 %) a do produktů duševního vlastnictví (+2,3 %). Přírůstek investic do staveb pro bydlení činil navzdory rostoucím příjmům domácností a stále nízkým úrokovým sazbám z úvěrů na bydlení pouze +0,3 %. Byl nejslabší od 1. čtvrtletí 2014, kdy investice do staveb pro bydlení o 1,2 % klesly.</w:t>
            </w:r>
          </w:p>
          <w:p w:rsidR="009A3A87" w:rsidRPr="008B7D13" w:rsidRDefault="009A3A87" w:rsidP="003C3686">
            <w:pPr>
              <w:pStyle w:val="Textpoznpodarou"/>
              <w:jc w:val="both"/>
              <w:rPr>
                <w:spacing w:val="-2"/>
                <w:sz w:val="18"/>
                <w:szCs w:val="18"/>
              </w:rPr>
            </w:pPr>
          </w:p>
        </w:tc>
      </w:tr>
      <w:tr w:rsidR="009A3A87" w:rsidRPr="002A7D6D" w:rsidTr="003C3686">
        <w:tc>
          <w:tcPr>
            <w:tcW w:w="1054" w:type="pct"/>
          </w:tcPr>
          <w:p w:rsidR="009A3A87" w:rsidRPr="002A7D6D" w:rsidRDefault="009A3A87" w:rsidP="003C3686">
            <w:pPr>
              <w:spacing w:line="240" w:lineRule="auto"/>
              <w:rPr>
                <w:sz w:val="16"/>
                <w:szCs w:val="16"/>
              </w:rPr>
            </w:pPr>
            <w:r w:rsidRPr="002A7D6D">
              <w:rPr>
                <w:sz w:val="16"/>
                <w:szCs w:val="16"/>
              </w:rPr>
              <w:t>Zásoby rostly i v průběhu 3. čtvrtletí. Zvyšovaly se zásoby související s výrobní činností a zásoby obchodního zboží</w:t>
            </w:r>
          </w:p>
        </w:tc>
        <w:tc>
          <w:tcPr>
            <w:tcW w:w="143" w:type="pct"/>
          </w:tcPr>
          <w:p w:rsidR="009A3A87" w:rsidRPr="002A7D6D" w:rsidRDefault="009A3A87" w:rsidP="003C3686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9A3A87" w:rsidRPr="002A7D6D" w:rsidRDefault="009A3A87" w:rsidP="003C3686">
            <w:pPr>
              <w:pStyle w:val="Textpoznpodarou"/>
              <w:jc w:val="both"/>
            </w:pPr>
            <w:r w:rsidRPr="002A7D6D">
              <w:t>Změna zásob jakožto jedna ze složek poptávky byla kladná i ve 3. čtvrtletí 2015. Hodnota zásob na skladech narostla v běžných cenách o 7,9 mld. korun. Vzhledem k pokračujícímu růstu zpracovatelského průmyslu a intenzivní výstavbě a opravám infrastrukturních staveb se navyšovaly zejména zásoby produktů, které souvisejí s výrobní činností. Zvyšovaly se však i zásoby obchodního zboží.</w:t>
            </w:r>
          </w:p>
          <w:p w:rsidR="009A3A87" w:rsidRPr="008B7D13" w:rsidRDefault="009A3A87" w:rsidP="003C3686">
            <w:pPr>
              <w:pStyle w:val="Textpoznpodarou"/>
              <w:jc w:val="both"/>
              <w:rPr>
                <w:spacing w:val="-2"/>
              </w:rPr>
            </w:pPr>
          </w:p>
        </w:tc>
      </w:tr>
      <w:tr w:rsidR="009A3A87" w:rsidRPr="002A7D6D" w:rsidTr="003C3686">
        <w:tc>
          <w:tcPr>
            <w:tcW w:w="1054" w:type="pct"/>
          </w:tcPr>
          <w:p w:rsidR="009A3A87" w:rsidRPr="002A7D6D" w:rsidRDefault="009A3A87" w:rsidP="003C3686">
            <w:pPr>
              <w:spacing w:line="240" w:lineRule="auto"/>
              <w:rPr>
                <w:sz w:val="16"/>
                <w:szCs w:val="16"/>
              </w:rPr>
            </w:pPr>
            <w:r w:rsidRPr="002A7D6D">
              <w:rPr>
                <w:sz w:val="16"/>
                <w:szCs w:val="16"/>
              </w:rPr>
              <w:t>Silná domácí poptávka příčinou vyššího růstu dovozu v porovnání s vývozem…</w:t>
            </w:r>
          </w:p>
        </w:tc>
        <w:tc>
          <w:tcPr>
            <w:tcW w:w="143" w:type="pct"/>
          </w:tcPr>
          <w:p w:rsidR="009A3A87" w:rsidRPr="002A7D6D" w:rsidRDefault="009A3A87" w:rsidP="003C3686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9A3A87" w:rsidRPr="002A7D6D" w:rsidRDefault="009A3A87" w:rsidP="003C3686">
            <w:pPr>
              <w:pStyle w:val="Textpoznpodarou"/>
              <w:jc w:val="both"/>
            </w:pPr>
            <w:r w:rsidRPr="002A7D6D">
              <w:t>Nárůst výdajů na konečnou spotřebu domácností a investic byl v roce 2015 z velké části uspokojován produkty, které pocházely ze zahraničí. Není proto překvapivé, že dovoz zboží a služeb do ČR rostl ve všech třech čtvrtletích silněji než vývoz do zahraničí. Za celých devět měsíců se dovoz zvýšil v meziročním srovnání o 8,6 %, vývoz stoupl v tomto období o 7,5 %.</w:t>
            </w:r>
          </w:p>
        </w:tc>
      </w:tr>
      <w:tr w:rsidR="009A3A87" w:rsidRPr="002A7D6D" w:rsidTr="003C3686">
        <w:tc>
          <w:tcPr>
            <w:tcW w:w="1054" w:type="pct"/>
          </w:tcPr>
          <w:p w:rsidR="009A3A87" w:rsidRPr="002A7D6D" w:rsidRDefault="009A3A87" w:rsidP="003C3686">
            <w:pPr>
              <w:spacing w:line="240" w:lineRule="auto"/>
              <w:rPr>
                <w:sz w:val="16"/>
                <w:szCs w:val="16"/>
              </w:rPr>
            </w:pPr>
            <w:r w:rsidRPr="002A7D6D">
              <w:rPr>
                <w:sz w:val="16"/>
                <w:szCs w:val="16"/>
              </w:rPr>
              <w:lastRenderedPageBreak/>
              <w:t>…a rovněž menšího přebytku</w:t>
            </w:r>
            <w:r>
              <w:rPr>
                <w:sz w:val="16"/>
                <w:szCs w:val="16"/>
              </w:rPr>
              <w:t xml:space="preserve"> zahraničního obchodu</w:t>
            </w:r>
            <w:r w:rsidRPr="002A7D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 meziročním srovnání</w:t>
            </w:r>
          </w:p>
        </w:tc>
        <w:tc>
          <w:tcPr>
            <w:tcW w:w="143" w:type="pct"/>
          </w:tcPr>
          <w:p w:rsidR="009A3A87" w:rsidRPr="002A7D6D" w:rsidRDefault="009A3A87" w:rsidP="003C3686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9A3A87" w:rsidRPr="002A7D6D" w:rsidRDefault="009A3A87" w:rsidP="003C3686">
            <w:pPr>
              <w:pStyle w:val="Textpoznpodarou"/>
              <w:jc w:val="both"/>
            </w:pPr>
            <w:r w:rsidRPr="002A7D6D">
              <w:t xml:space="preserve">Přebytek zahraničního obchodu se zbožím a službami za první tři čtvrtletí roku 2015 činil v běžných cenách 212,5 mld. korun. V meziročním srovnání se zmenšil o 6,6 mld. Při směnných relacích, které v jednotlivých čtvrtletích činily 100,7 %, 99,9 % a 100,1 % bylo zřejmé, že nižší přebytek nebyl důsledkem cenového </w:t>
            </w:r>
            <w:r w:rsidRPr="00D232E8">
              <w:rPr>
                <w:spacing w:val="-2"/>
              </w:rPr>
              <w:t>vývoje. Byl výsledkem rozdílného vývoje reálných toků, tj. již zmíněného</w:t>
            </w:r>
            <w:r w:rsidRPr="002A7D6D">
              <w:t xml:space="preserve"> </w:t>
            </w:r>
            <w:r>
              <w:t xml:space="preserve">rychlejšího </w:t>
            </w:r>
            <w:r w:rsidRPr="002A7D6D">
              <w:t>růstu dovozu oproti vývozu.</w:t>
            </w:r>
          </w:p>
          <w:p w:rsidR="009A3A87" w:rsidRPr="002A7D6D" w:rsidRDefault="009A3A87" w:rsidP="003C3686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9A3A87" w:rsidRPr="002A7D6D" w:rsidTr="003C3686">
        <w:tc>
          <w:tcPr>
            <w:tcW w:w="1054" w:type="pct"/>
          </w:tcPr>
          <w:p w:rsidR="009A3A87" w:rsidRPr="002A7D6D" w:rsidRDefault="009A3A87" w:rsidP="003C3686">
            <w:pPr>
              <w:spacing w:line="240" w:lineRule="auto"/>
              <w:rPr>
                <w:sz w:val="16"/>
                <w:szCs w:val="16"/>
              </w:rPr>
            </w:pPr>
            <w:r w:rsidRPr="002A7D6D">
              <w:rPr>
                <w:sz w:val="16"/>
                <w:szCs w:val="16"/>
              </w:rPr>
              <w:t>Na růstu hrubé přidané hodnoty ve 3. čtvrtletí 2015 o 4,3 % meziročně se podílel především zpracovatelský průmysl a služby</w:t>
            </w:r>
          </w:p>
        </w:tc>
        <w:tc>
          <w:tcPr>
            <w:tcW w:w="143" w:type="pct"/>
          </w:tcPr>
          <w:p w:rsidR="009A3A87" w:rsidRPr="002A7D6D" w:rsidRDefault="009A3A87" w:rsidP="003C3686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9A3A87" w:rsidRPr="00D232E8" w:rsidRDefault="009A3A87" w:rsidP="003C3686">
            <w:pPr>
              <w:pStyle w:val="Textpoznpodarou"/>
              <w:jc w:val="both"/>
              <w:rPr>
                <w:spacing w:val="-2"/>
              </w:rPr>
            </w:pPr>
            <w:r w:rsidRPr="00D232E8">
              <w:rPr>
                <w:spacing w:val="-2"/>
              </w:rPr>
              <w:t xml:space="preserve">Na meziročním růstu hrubé přidané hodnoty se ve 3. čtvrtletí 2015 podílel v největším rozsahu zpracovatelský průmysl (+2,1 </w:t>
            </w:r>
            <w:proofErr w:type="spellStart"/>
            <w:r w:rsidRPr="00D232E8">
              <w:rPr>
                <w:spacing w:val="-2"/>
              </w:rPr>
              <w:t>pb</w:t>
            </w:r>
            <w:proofErr w:type="spellEnd"/>
            <w:r w:rsidRPr="00D232E8">
              <w:rPr>
                <w:spacing w:val="-2"/>
              </w:rPr>
              <w:t xml:space="preserve">.), který těžil především z vyšší poptávky v zahraničí, a </w:t>
            </w:r>
            <w:r>
              <w:rPr>
                <w:spacing w:val="-2"/>
              </w:rPr>
              <w:t>rovněž</w:t>
            </w:r>
            <w:r w:rsidRPr="00D232E8">
              <w:rPr>
                <w:spacing w:val="-2"/>
              </w:rPr>
              <w:t xml:space="preserve"> služby (také +2,1 </w:t>
            </w:r>
            <w:proofErr w:type="spellStart"/>
            <w:r w:rsidRPr="00D232E8">
              <w:rPr>
                <w:spacing w:val="-2"/>
              </w:rPr>
              <w:t>pb</w:t>
            </w:r>
            <w:proofErr w:type="spellEnd"/>
            <w:r w:rsidRPr="00D232E8">
              <w:rPr>
                <w:spacing w:val="-2"/>
              </w:rPr>
              <w:t>.). Z nich se z hlediska dynamiky dařilo zejména informačním a komunikačním činnostem (+6,6 %), peněžnictví a pojišťovnictví (+5,5 %) a profesním, vědeckým, technickým a administrativním činnostem (+5,2 %), nejsilněji však k růstu hospodářství přispěl váhově významný segment zahrnující obchod, dopravu, u</w:t>
            </w:r>
            <w:r>
              <w:rPr>
                <w:spacing w:val="-2"/>
              </w:rPr>
              <w:t xml:space="preserve">bytování a pohostinství (růst o </w:t>
            </w:r>
            <w:r w:rsidRPr="00D232E8">
              <w:rPr>
                <w:spacing w:val="-2"/>
              </w:rPr>
              <w:t xml:space="preserve">3,3 %, příspěvek +0,6 </w:t>
            </w:r>
            <w:proofErr w:type="spellStart"/>
            <w:r w:rsidRPr="00D232E8">
              <w:rPr>
                <w:spacing w:val="-2"/>
              </w:rPr>
              <w:t>pb</w:t>
            </w:r>
            <w:proofErr w:type="spellEnd"/>
            <w:r w:rsidRPr="00D232E8">
              <w:rPr>
                <w:spacing w:val="-2"/>
              </w:rPr>
              <w:t xml:space="preserve">.). Díky zakázkám veřejného sektoru se na růstu hrubé přidané hodnoty podílelo i stavebnictví, přidalo +0,3 </w:t>
            </w:r>
            <w:proofErr w:type="spellStart"/>
            <w:r w:rsidRPr="00D232E8">
              <w:rPr>
                <w:spacing w:val="-2"/>
              </w:rPr>
              <w:t>pb</w:t>
            </w:r>
            <w:proofErr w:type="spellEnd"/>
            <w:r w:rsidRPr="00D232E8">
              <w:rPr>
                <w:spacing w:val="-2"/>
              </w:rPr>
              <w:t>. Zemědělství, lesnictví a rybářství k vyššímu výkonu hospodářství nepřispělo</w:t>
            </w:r>
            <w:r>
              <w:rPr>
                <w:spacing w:val="-2"/>
              </w:rPr>
              <w:t xml:space="preserve"> (</w:t>
            </w:r>
            <w:r w:rsidRPr="00D232E8">
              <w:rPr>
                <w:spacing w:val="-2"/>
              </w:rPr>
              <w:t xml:space="preserve">0,0 </w:t>
            </w:r>
            <w:proofErr w:type="spellStart"/>
            <w:r w:rsidRPr="00D232E8">
              <w:rPr>
                <w:spacing w:val="-2"/>
              </w:rPr>
              <w:t>pb</w:t>
            </w:r>
            <w:proofErr w:type="spellEnd"/>
            <w:r w:rsidRPr="00D232E8">
              <w:rPr>
                <w:spacing w:val="-2"/>
              </w:rPr>
              <w:t>.), průmyslová odvětví mimo zpracovatelský průmysl</w:t>
            </w:r>
            <w:r w:rsidRPr="00D232E8">
              <w:rPr>
                <w:rStyle w:val="Znakapoznpodarou"/>
                <w:spacing w:val="-2"/>
              </w:rPr>
              <w:footnoteReference w:id="6"/>
            </w:r>
            <w:r w:rsidRPr="00D232E8">
              <w:rPr>
                <w:spacing w:val="-2"/>
              </w:rPr>
              <w:t xml:space="preserve"> růst ekonomiky mírně brzdila (-0,1 </w:t>
            </w:r>
            <w:proofErr w:type="spellStart"/>
            <w:r w:rsidRPr="00D232E8">
              <w:rPr>
                <w:spacing w:val="-2"/>
              </w:rPr>
              <w:t>pb</w:t>
            </w:r>
            <w:proofErr w:type="spellEnd"/>
            <w:r w:rsidRPr="00D232E8">
              <w:rPr>
                <w:spacing w:val="-2"/>
              </w:rPr>
              <w:t>.).</w:t>
            </w:r>
          </w:p>
        </w:tc>
      </w:tr>
    </w:tbl>
    <w:p w:rsidR="009A3A87" w:rsidRPr="009A3A87" w:rsidRDefault="009A3A87" w:rsidP="00D301CA">
      <w:pPr>
        <w:rPr>
          <w:sz w:val="16"/>
          <w:szCs w:val="16"/>
          <w:lang w:eastAsia="ar-SA"/>
        </w:rPr>
      </w:pPr>
    </w:p>
    <w:tbl>
      <w:tblPr>
        <w:tblW w:w="5000" w:type="pct"/>
        <w:tblLook w:val="04A0"/>
      </w:tblPr>
      <w:tblGrid>
        <w:gridCol w:w="1056"/>
        <w:gridCol w:w="3871"/>
        <w:gridCol w:w="622"/>
        <w:gridCol w:w="4305"/>
      </w:tblGrid>
      <w:tr w:rsidR="009A3A87" w:rsidRPr="002A7D6D" w:rsidTr="009A3A87">
        <w:tc>
          <w:tcPr>
            <w:tcW w:w="536" w:type="pct"/>
          </w:tcPr>
          <w:p w:rsidR="009A3A87" w:rsidRPr="00EF0587" w:rsidRDefault="009A3A87" w:rsidP="003C3686">
            <w:pPr>
              <w:pStyle w:val="Textpoznpodarou"/>
              <w:rPr>
                <w:lang w:eastAsia="en-US"/>
              </w:rPr>
            </w:pPr>
            <w:r w:rsidRPr="00EF0587">
              <w:rPr>
                <w:lang w:eastAsia="en-US"/>
              </w:rPr>
              <w:t>Graf č. 1</w:t>
            </w:r>
          </w:p>
        </w:tc>
        <w:tc>
          <w:tcPr>
            <w:tcW w:w="1965" w:type="pct"/>
          </w:tcPr>
          <w:p w:rsidR="009A3A87" w:rsidRPr="00EF0587" w:rsidRDefault="009A3A87" w:rsidP="003C3686">
            <w:pPr>
              <w:pStyle w:val="Textpoznpodarou"/>
              <w:rPr>
                <w:lang w:eastAsia="en-US"/>
              </w:rPr>
            </w:pPr>
            <w:r w:rsidRPr="009A3A87">
              <w:rPr>
                <w:b/>
                <w:lang w:eastAsia="en-US"/>
              </w:rPr>
              <w:t xml:space="preserve">HDP </w:t>
            </w:r>
            <w:r w:rsidRPr="00EF0587">
              <w:rPr>
                <w:lang w:eastAsia="en-US"/>
              </w:rPr>
              <w:t>(stálé ceny, očištěno o sezónní a kalendářní vlivy, v %)</w:t>
            </w:r>
          </w:p>
        </w:tc>
        <w:tc>
          <w:tcPr>
            <w:tcW w:w="315" w:type="pct"/>
          </w:tcPr>
          <w:p w:rsidR="009A3A87" w:rsidRPr="002A7D6D" w:rsidRDefault="009A3A87" w:rsidP="003C3686">
            <w:pPr>
              <w:pStyle w:val="Textpoznpodarou"/>
              <w:rPr>
                <w:lang w:eastAsia="en-US"/>
              </w:rPr>
            </w:pPr>
            <w:r w:rsidRPr="002A7D6D">
              <w:rPr>
                <w:lang w:eastAsia="en-US"/>
              </w:rPr>
              <w:t>Graf č. 2</w:t>
            </w:r>
          </w:p>
        </w:tc>
        <w:tc>
          <w:tcPr>
            <w:tcW w:w="2185" w:type="pct"/>
          </w:tcPr>
          <w:p w:rsidR="009A3A87" w:rsidRPr="009A3A87" w:rsidRDefault="009A3A87" w:rsidP="003C3686">
            <w:pPr>
              <w:pStyle w:val="Textpoznpodarou"/>
              <w:rPr>
                <w:spacing w:val="-2"/>
                <w:lang w:eastAsia="en-US"/>
              </w:rPr>
            </w:pPr>
            <w:r w:rsidRPr="009A3A87">
              <w:rPr>
                <w:b/>
                <w:spacing w:val="-2"/>
                <w:lang w:eastAsia="en-US"/>
              </w:rPr>
              <w:t xml:space="preserve">HDP </w:t>
            </w:r>
            <w:r w:rsidRPr="009A3A87">
              <w:rPr>
                <w:spacing w:val="-2"/>
                <w:lang w:eastAsia="en-US"/>
              </w:rPr>
              <w:t xml:space="preserve">(stálé ceny, očištěno o sezónní a kalendářní vlivy, y/y v %, pravá osa) </w:t>
            </w:r>
            <w:r w:rsidRPr="009A3A87">
              <w:rPr>
                <w:b/>
                <w:spacing w:val="-2"/>
                <w:lang w:eastAsia="en-US"/>
              </w:rPr>
              <w:t>a indikátory důvěry</w:t>
            </w:r>
            <w:r w:rsidRPr="009A3A87">
              <w:rPr>
                <w:spacing w:val="-2"/>
                <w:lang w:eastAsia="en-US"/>
              </w:rPr>
              <w:t xml:space="preserve"> (2005=100, levá osa)</w:t>
            </w:r>
          </w:p>
        </w:tc>
      </w:tr>
      <w:tr w:rsidR="009A3A87" w:rsidRPr="002A7D6D" w:rsidTr="009A3A87">
        <w:tc>
          <w:tcPr>
            <w:tcW w:w="2501" w:type="pct"/>
            <w:gridSpan w:val="2"/>
          </w:tcPr>
          <w:p w:rsidR="009A3A87" w:rsidRPr="002A7D6D" w:rsidRDefault="00152B02" w:rsidP="009A3A87">
            <w:pPr>
              <w:pStyle w:val="Textpoznpodarou"/>
              <w:jc w:val="both"/>
              <w:rPr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i1025" type="#_x0000_t75" style="width:237pt;height:187.5pt;visibility:visible;mso-wrap-style:square">
                  <v:imagedata r:id="rId8" o:title=""/>
                </v:shape>
              </w:pict>
            </w:r>
          </w:p>
        </w:tc>
        <w:tc>
          <w:tcPr>
            <w:tcW w:w="2499" w:type="pct"/>
            <w:gridSpan w:val="2"/>
          </w:tcPr>
          <w:p w:rsidR="009A3A87" w:rsidRPr="002A7D6D" w:rsidRDefault="00152B02" w:rsidP="009A3A87">
            <w:pPr>
              <w:pStyle w:val="Textpoznpodarou"/>
              <w:jc w:val="both"/>
              <w:rPr>
                <w:lang w:eastAsia="en-US"/>
              </w:rPr>
            </w:pPr>
            <w:r>
              <w:rPr>
                <w:noProof/>
              </w:rPr>
              <w:pict>
                <v:shape id="obrázek 3" o:spid="_x0000_i1026" type="#_x0000_t75" style="width:237pt;height:187.5pt;visibility:visible;mso-wrap-style:square">
                  <v:imagedata r:id="rId9" o:title=""/>
                </v:shape>
              </w:pict>
            </w:r>
          </w:p>
        </w:tc>
      </w:tr>
      <w:tr w:rsidR="009A3A87" w:rsidRPr="002A7D6D" w:rsidTr="009A3A87">
        <w:tc>
          <w:tcPr>
            <w:tcW w:w="5000" w:type="pct"/>
            <w:gridSpan w:val="4"/>
          </w:tcPr>
          <w:p w:rsidR="009A3A87" w:rsidRPr="009A3A87" w:rsidRDefault="009A3A87" w:rsidP="009A3A87">
            <w:pPr>
              <w:pStyle w:val="Textpoznpodarou"/>
              <w:jc w:val="right"/>
              <w:rPr>
                <w:sz w:val="18"/>
                <w:szCs w:val="18"/>
                <w:lang w:eastAsia="en-US"/>
              </w:rPr>
            </w:pPr>
            <w:r w:rsidRPr="009A3A87">
              <w:rPr>
                <w:sz w:val="18"/>
                <w:szCs w:val="18"/>
                <w:lang w:eastAsia="en-US"/>
              </w:rPr>
              <w:t>Zdroj: ČSÚ, Eurostat</w:t>
            </w:r>
          </w:p>
        </w:tc>
      </w:tr>
    </w:tbl>
    <w:p w:rsidR="009A3A87" w:rsidRDefault="009A3A87" w:rsidP="00D301CA">
      <w:pPr>
        <w:rPr>
          <w:sz w:val="16"/>
          <w:szCs w:val="16"/>
          <w:lang w:eastAsia="ar-SA"/>
        </w:rPr>
      </w:pPr>
    </w:p>
    <w:tbl>
      <w:tblPr>
        <w:tblW w:w="5000" w:type="pct"/>
        <w:tblLook w:val="04A0"/>
      </w:tblPr>
      <w:tblGrid>
        <w:gridCol w:w="630"/>
        <w:gridCol w:w="4287"/>
        <w:gridCol w:w="1008"/>
        <w:gridCol w:w="1395"/>
        <w:gridCol w:w="2534"/>
      </w:tblGrid>
      <w:tr w:rsidR="009A3A87" w:rsidRPr="002A7D6D" w:rsidTr="009A3A87">
        <w:tc>
          <w:tcPr>
            <w:tcW w:w="319" w:type="pct"/>
          </w:tcPr>
          <w:p w:rsidR="009A3A87" w:rsidRPr="002A7D6D" w:rsidRDefault="009A3A87" w:rsidP="003C3686">
            <w:pPr>
              <w:pStyle w:val="Textpoznpodarou"/>
              <w:rPr>
                <w:lang w:eastAsia="en-US"/>
              </w:rPr>
            </w:pPr>
            <w:r w:rsidRPr="002A7D6D">
              <w:rPr>
                <w:lang w:eastAsia="en-US"/>
              </w:rPr>
              <w:t>Graf č. 3</w:t>
            </w:r>
          </w:p>
        </w:tc>
        <w:tc>
          <w:tcPr>
            <w:tcW w:w="2178" w:type="pct"/>
          </w:tcPr>
          <w:p w:rsidR="009A3A87" w:rsidRPr="009A3A87" w:rsidRDefault="009A3A87" w:rsidP="003C3686">
            <w:pPr>
              <w:pStyle w:val="Textpoznpodarou"/>
              <w:rPr>
                <w:spacing w:val="-6"/>
                <w:lang w:eastAsia="en-US"/>
              </w:rPr>
            </w:pPr>
            <w:r w:rsidRPr="009A3A87">
              <w:rPr>
                <w:b/>
                <w:spacing w:val="-6"/>
                <w:lang w:eastAsia="en-US"/>
              </w:rPr>
              <w:t>Příspěvky výdajových složek ke změně HDP*</w:t>
            </w:r>
            <w:r w:rsidRPr="009A3A87">
              <w:rPr>
                <w:spacing w:val="-6"/>
                <w:lang w:eastAsia="en-US"/>
              </w:rPr>
              <w:t xml:space="preserve"> (stálé ceny, y/y, příspěvky v pb., HDP v %)</w:t>
            </w:r>
          </w:p>
        </w:tc>
        <w:tc>
          <w:tcPr>
            <w:tcW w:w="511" w:type="pct"/>
          </w:tcPr>
          <w:p w:rsidR="009A3A87" w:rsidRPr="002A7D6D" w:rsidRDefault="009A3A87" w:rsidP="003C3686">
            <w:pPr>
              <w:pStyle w:val="Textpoznpodarou"/>
              <w:rPr>
                <w:lang w:eastAsia="en-US"/>
              </w:rPr>
            </w:pPr>
            <w:r w:rsidRPr="002A7D6D">
              <w:rPr>
                <w:lang w:eastAsia="en-US"/>
              </w:rPr>
              <w:t>Graf č. 4</w:t>
            </w:r>
          </w:p>
        </w:tc>
        <w:tc>
          <w:tcPr>
            <w:tcW w:w="1992" w:type="pct"/>
            <w:gridSpan w:val="2"/>
          </w:tcPr>
          <w:p w:rsidR="009A3A87" w:rsidRPr="002A7D6D" w:rsidRDefault="009A3A87" w:rsidP="003C3686">
            <w:pPr>
              <w:pStyle w:val="Textpoznpodarou"/>
              <w:rPr>
                <w:lang w:eastAsia="en-US"/>
              </w:rPr>
            </w:pPr>
            <w:r w:rsidRPr="009A3A87">
              <w:rPr>
                <w:b/>
                <w:lang w:eastAsia="en-US"/>
              </w:rPr>
              <w:t>Příspěvky odvětví ke změně HPH</w:t>
            </w:r>
            <w:r w:rsidRPr="002A7D6D">
              <w:rPr>
                <w:lang w:eastAsia="en-US"/>
              </w:rPr>
              <w:t xml:space="preserve"> (stálé ceny, y/y, příspěvky v pb., HPH v %)</w:t>
            </w:r>
          </w:p>
        </w:tc>
      </w:tr>
      <w:tr w:rsidR="009A3A87" w:rsidRPr="002A7D6D" w:rsidTr="009A3A87">
        <w:tc>
          <w:tcPr>
            <w:tcW w:w="2497" w:type="pct"/>
            <w:gridSpan w:val="2"/>
          </w:tcPr>
          <w:p w:rsidR="009A3A87" w:rsidRPr="009A3A87" w:rsidRDefault="00152B02" w:rsidP="009A3A87">
            <w:pPr>
              <w:pStyle w:val="Textpoznpodarou"/>
              <w:jc w:val="both"/>
              <w:rPr>
                <w:sz w:val="22"/>
                <w:lang w:eastAsia="en-US"/>
              </w:rPr>
            </w:pPr>
            <w:r w:rsidRPr="00E45AF9">
              <w:rPr>
                <w:noProof/>
                <w:sz w:val="22"/>
              </w:rPr>
              <w:pict>
                <v:shape id="obrázek 4" o:spid="_x0000_i1027" type="#_x0000_t75" style="width:237pt;height:187.5pt;visibility:visible;mso-wrap-style:square">
                  <v:imagedata r:id="rId10" o:title=""/>
                </v:shape>
              </w:pict>
            </w:r>
          </w:p>
        </w:tc>
        <w:tc>
          <w:tcPr>
            <w:tcW w:w="2503" w:type="pct"/>
            <w:gridSpan w:val="3"/>
          </w:tcPr>
          <w:p w:rsidR="009A3A87" w:rsidRPr="009A3A87" w:rsidRDefault="00152B02" w:rsidP="009A3A87">
            <w:pPr>
              <w:pStyle w:val="Textpoznpodarou"/>
              <w:jc w:val="both"/>
              <w:rPr>
                <w:sz w:val="22"/>
                <w:lang w:eastAsia="en-US"/>
              </w:rPr>
            </w:pPr>
            <w:r w:rsidRPr="00E45AF9">
              <w:rPr>
                <w:noProof/>
                <w:sz w:val="22"/>
              </w:rPr>
              <w:pict>
                <v:shape id="obrázek 5" o:spid="_x0000_i1028" type="#_x0000_t75" style="width:237.75pt;height:187.5pt;visibility:visible;mso-wrap-style:square">
                  <v:imagedata r:id="rId11" o:title=""/>
                </v:shape>
              </w:pict>
            </w:r>
          </w:p>
        </w:tc>
      </w:tr>
      <w:tr w:rsidR="009A3A87" w:rsidRPr="002A7D6D" w:rsidTr="009A3A87">
        <w:tc>
          <w:tcPr>
            <w:tcW w:w="3715" w:type="pct"/>
            <w:gridSpan w:val="4"/>
          </w:tcPr>
          <w:p w:rsidR="009A3A87" w:rsidRPr="009A3A87" w:rsidRDefault="009A3A87" w:rsidP="003C3686">
            <w:pPr>
              <w:pStyle w:val="Textpoznpodarou"/>
              <w:rPr>
                <w:sz w:val="18"/>
                <w:szCs w:val="18"/>
                <w:lang w:eastAsia="en-US"/>
              </w:rPr>
            </w:pPr>
            <w:r w:rsidRPr="009A3A87">
              <w:rPr>
                <w:sz w:val="18"/>
                <w:szCs w:val="18"/>
                <w:lang w:eastAsia="en-US"/>
              </w:rPr>
              <w:t>*příspěvky ke změně HDP bez vyloučení dovozu pro konečné užití</w:t>
            </w:r>
          </w:p>
        </w:tc>
        <w:tc>
          <w:tcPr>
            <w:tcW w:w="1285" w:type="pct"/>
          </w:tcPr>
          <w:p w:rsidR="009A3A87" w:rsidRPr="009A3A87" w:rsidRDefault="009A3A87" w:rsidP="009A3A87">
            <w:pPr>
              <w:pStyle w:val="Textpoznpodarou"/>
              <w:jc w:val="right"/>
              <w:rPr>
                <w:sz w:val="18"/>
                <w:szCs w:val="18"/>
                <w:lang w:eastAsia="en-US"/>
              </w:rPr>
            </w:pPr>
            <w:r w:rsidRPr="009A3A87">
              <w:rPr>
                <w:sz w:val="18"/>
                <w:szCs w:val="18"/>
                <w:lang w:eastAsia="en-US"/>
              </w:rPr>
              <w:t>Zdroj: ČSÚ</w:t>
            </w:r>
          </w:p>
        </w:tc>
      </w:tr>
    </w:tbl>
    <w:p w:rsidR="00B55BA8" w:rsidRPr="00152B02" w:rsidRDefault="00B55BA8" w:rsidP="00152B02">
      <w:pPr>
        <w:pStyle w:val="Nadpis1"/>
        <w:jc w:val="both"/>
        <w:rPr>
          <w:rFonts w:cs="Arial"/>
          <w:color w:val="000000" w:themeColor="text1"/>
          <w:spacing w:val="-2"/>
          <w:sz w:val="6"/>
          <w:szCs w:val="6"/>
        </w:rPr>
      </w:pPr>
    </w:p>
    <w:sectPr w:rsidR="00B55BA8" w:rsidRPr="00152B02" w:rsidSect="00152B02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 w:code="9"/>
      <w:pgMar w:top="1134" w:right="1134" w:bottom="1418" w:left="1134" w:header="680" w:footer="680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B4B" w:rsidRDefault="00463B4B" w:rsidP="00E71A58">
      <w:r>
        <w:separator/>
      </w:r>
    </w:p>
  </w:endnote>
  <w:endnote w:type="continuationSeparator" w:id="0">
    <w:p w:rsidR="00463B4B" w:rsidRDefault="00463B4B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4B" w:rsidRDefault="00E45AF9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51657728;visibility:visible">
          <v:imagedata r:id="rId1" o:title="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463B4B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152B02">
      <w:rPr>
        <w:rFonts w:ascii="Arial" w:hAnsi="Arial" w:cs="Arial"/>
        <w:noProof/>
        <w:sz w:val="16"/>
        <w:szCs w:val="16"/>
      </w:rPr>
      <w:t>6</w:t>
    </w:r>
    <w:r w:rsidRPr="005A21E0">
      <w:rPr>
        <w:rFonts w:ascii="Arial" w:hAnsi="Arial" w:cs="Arial"/>
        <w:sz w:val="16"/>
        <w:szCs w:val="16"/>
      </w:rPr>
      <w:fldChar w:fldCharType="end"/>
    </w:r>
    <w:r w:rsidR="00463B4B">
      <w:rPr>
        <w:rFonts w:ascii="Arial" w:hAnsi="Arial" w:cs="Arial"/>
        <w:sz w:val="16"/>
        <w:szCs w:val="16"/>
      </w:rPr>
      <w:tab/>
      <w:t>2015</w:t>
    </w:r>
    <w:r w:rsidR="00463B4B">
      <w:tab/>
    </w:r>
    <w:r w:rsidR="00463B4B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4B" w:rsidRDefault="00E45AF9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Description: 3" style="position:absolute;margin-left:.3pt;margin-top:7.1pt;width:39pt;height:21pt;z-index:251658752;visibility:visible">
          <v:imagedata r:id="rId1" o:title=""/>
        </v:shape>
      </w:pict>
    </w:r>
    <w:r w:rsidR="00463B4B">
      <w:tab/>
    </w:r>
    <w:r w:rsidR="00463B4B">
      <w:tab/>
    </w:r>
    <w:r w:rsidR="00463B4B" w:rsidRPr="00DC5B3B">
      <w:t xml:space="preserve">                              </w:t>
    </w:r>
  </w:p>
  <w:p w:rsidR="00463B4B" w:rsidRPr="00223E00" w:rsidRDefault="00463B4B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2015</w:t>
    </w:r>
    <w:r>
      <w:rPr>
        <w:rFonts w:ascii="Arial" w:hAnsi="Arial" w:cs="Arial"/>
        <w:sz w:val="16"/>
        <w:szCs w:val="16"/>
      </w:rPr>
      <w:tab/>
    </w:r>
    <w:r w:rsidR="00E45AF9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E45AF9" w:rsidRPr="00223E00">
      <w:rPr>
        <w:rFonts w:ascii="Arial" w:hAnsi="Arial" w:cs="Arial"/>
        <w:sz w:val="16"/>
        <w:szCs w:val="16"/>
      </w:rPr>
      <w:fldChar w:fldCharType="separate"/>
    </w:r>
    <w:r w:rsidR="00152B02">
      <w:rPr>
        <w:rFonts w:ascii="Arial" w:hAnsi="Arial" w:cs="Arial"/>
        <w:noProof/>
        <w:sz w:val="16"/>
        <w:szCs w:val="16"/>
      </w:rPr>
      <w:t>7</w:t>
    </w:r>
    <w:r w:rsidR="00E45AF9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B4B" w:rsidRDefault="00463B4B" w:rsidP="00E71A58">
      <w:r>
        <w:separator/>
      </w:r>
    </w:p>
  </w:footnote>
  <w:footnote w:type="continuationSeparator" w:id="0">
    <w:p w:rsidR="00463B4B" w:rsidRDefault="00463B4B" w:rsidP="00E71A58">
      <w:r>
        <w:continuationSeparator/>
      </w:r>
    </w:p>
  </w:footnote>
  <w:footnote w:id="1">
    <w:p w:rsidR="00463B4B" w:rsidRPr="002A7D6D" w:rsidRDefault="00463B4B" w:rsidP="009A3A87">
      <w:pPr>
        <w:pStyle w:val="Textpoznpodarou"/>
        <w:jc w:val="both"/>
      </w:pPr>
      <w:r w:rsidRPr="002A7D6D">
        <w:rPr>
          <w:rStyle w:val="Znakapoznpodarou"/>
        </w:rPr>
        <w:footnoteRef/>
      </w:r>
      <w:r w:rsidRPr="002A7D6D">
        <w:t xml:space="preserve"> </w:t>
      </w:r>
      <w:r w:rsidRPr="002A7D6D">
        <w:rPr>
          <w:sz w:val="16"/>
          <w:szCs w:val="16"/>
        </w:rPr>
        <w:t>Pokud není uvedeno jinak, jsou data o HDP a jeho složkách vyjádřena reálně a v očištění o sezónní a kalendářní vlivy. Stejné platí i pro hrubou přidanou hodnotu.</w:t>
      </w:r>
    </w:p>
  </w:footnote>
  <w:footnote w:id="2">
    <w:p w:rsidR="00463B4B" w:rsidRPr="00B13681" w:rsidRDefault="00463B4B" w:rsidP="009A3A87">
      <w:pPr>
        <w:pStyle w:val="Textpoznpodarou"/>
        <w:jc w:val="both"/>
      </w:pPr>
      <w:r w:rsidRPr="00B13681">
        <w:rPr>
          <w:rStyle w:val="Znakapoznpodarou"/>
        </w:rPr>
        <w:footnoteRef/>
      </w:r>
      <w:r w:rsidRPr="00B13681">
        <w:t xml:space="preserve"> </w:t>
      </w:r>
      <w:r w:rsidRPr="00B13681">
        <w:rPr>
          <w:sz w:val="16"/>
          <w:szCs w:val="16"/>
        </w:rPr>
        <w:t xml:space="preserve">Výrazně silnější </w:t>
      </w:r>
      <w:proofErr w:type="spellStart"/>
      <w:r w:rsidRPr="00B13681">
        <w:rPr>
          <w:sz w:val="16"/>
          <w:szCs w:val="16"/>
        </w:rPr>
        <w:t>mezičtvrtletní</w:t>
      </w:r>
      <w:proofErr w:type="spellEnd"/>
      <w:r w:rsidRPr="00B13681">
        <w:rPr>
          <w:sz w:val="16"/>
          <w:szCs w:val="16"/>
        </w:rPr>
        <w:t xml:space="preserve"> růst HDP v 1. čtvrtletí 2015 (+2,5 %) v porovnání s růstem hrubé přidané hodnoty (+1,2 %) byl dán nízkou srovnávací základnou salda daní</w:t>
      </w:r>
      <w:r>
        <w:rPr>
          <w:sz w:val="16"/>
          <w:szCs w:val="16"/>
        </w:rPr>
        <w:t xml:space="preserve"> z produktů a dotací na produkty</w:t>
      </w:r>
      <w:r w:rsidRPr="00B13681">
        <w:rPr>
          <w:sz w:val="16"/>
          <w:szCs w:val="16"/>
        </w:rPr>
        <w:t>. Ta souvisela s</w:t>
      </w:r>
      <w:r>
        <w:rPr>
          <w:sz w:val="16"/>
          <w:szCs w:val="16"/>
        </w:rPr>
        <w:t>e slabším výběrem spotřebních daní, ke kterému došlo vlivem předzásobení</w:t>
      </w:r>
      <w:r w:rsidRPr="00B13681">
        <w:rPr>
          <w:sz w:val="16"/>
          <w:szCs w:val="16"/>
        </w:rPr>
        <w:t xml:space="preserve"> tabáko</w:t>
      </w:r>
      <w:r>
        <w:rPr>
          <w:sz w:val="16"/>
          <w:szCs w:val="16"/>
        </w:rPr>
        <w:t>vými výrobky na konci roku 2013.</w:t>
      </w:r>
    </w:p>
  </w:footnote>
  <w:footnote w:id="3">
    <w:p w:rsidR="00463B4B" w:rsidRPr="00B13681" w:rsidRDefault="00463B4B" w:rsidP="00B13681">
      <w:pPr>
        <w:pStyle w:val="Textpoznpodarou"/>
        <w:jc w:val="both"/>
        <w:rPr>
          <w:spacing w:val="-4"/>
          <w:sz w:val="16"/>
          <w:szCs w:val="16"/>
        </w:rPr>
      </w:pPr>
      <w:r w:rsidRPr="00B13681">
        <w:rPr>
          <w:rStyle w:val="Znakapoznpodarou"/>
          <w:spacing w:val="-4"/>
        </w:rPr>
        <w:footnoteRef/>
      </w:r>
      <w:r w:rsidRPr="00B13681">
        <w:rPr>
          <w:spacing w:val="-4"/>
        </w:rPr>
        <w:t xml:space="preserve"> </w:t>
      </w:r>
      <w:r>
        <w:rPr>
          <w:spacing w:val="-4"/>
          <w:sz w:val="16"/>
          <w:szCs w:val="16"/>
        </w:rPr>
        <w:t>Údaje v očištění</w:t>
      </w:r>
      <w:r w:rsidRPr="00B13681">
        <w:rPr>
          <w:spacing w:val="-4"/>
          <w:sz w:val="16"/>
          <w:szCs w:val="16"/>
        </w:rPr>
        <w:t xml:space="preserve"> o sezónní a kalendářní vlivy jsou standardně nedostupné za Irsko a Slovensko. Za 3. </w:t>
      </w:r>
      <w:r>
        <w:rPr>
          <w:spacing w:val="-4"/>
          <w:sz w:val="16"/>
          <w:szCs w:val="16"/>
        </w:rPr>
        <w:t>č</w:t>
      </w:r>
      <w:r w:rsidRPr="00B13681">
        <w:rPr>
          <w:spacing w:val="-4"/>
          <w:sz w:val="16"/>
          <w:szCs w:val="16"/>
        </w:rPr>
        <w:t>tvrtletí nedostupný údaj i za LUX.</w:t>
      </w:r>
    </w:p>
  </w:footnote>
  <w:footnote w:id="4">
    <w:p w:rsidR="00463B4B" w:rsidRPr="00B52BAF" w:rsidRDefault="00463B4B" w:rsidP="009A3A87">
      <w:pPr>
        <w:pStyle w:val="Textpoznpodarou"/>
        <w:rPr>
          <w:color w:val="FF0000"/>
          <w:sz w:val="16"/>
          <w:szCs w:val="16"/>
        </w:rPr>
      </w:pPr>
      <w:r w:rsidRPr="002A7D6D">
        <w:rPr>
          <w:rStyle w:val="Znakapoznpodarou"/>
        </w:rPr>
        <w:footnoteRef/>
      </w:r>
      <w:r w:rsidRPr="002A7D6D">
        <w:rPr>
          <w:sz w:val="16"/>
          <w:szCs w:val="16"/>
        </w:rPr>
        <w:t xml:space="preserve"> Příspěvky ke změně HDP bez vyloučení dovozu pro konečné užití.</w:t>
      </w:r>
    </w:p>
  </w:footnote>
  <w:footnote w:id="5">
    <w:p w:rsidR="00463B4B" w:rsidRPr="002A7D6D" w:rsidRDefault="00463B4B" w:rsidP="009A3A87">
      <w:pPr>
        <w:pStyle w:val="Textpoznpodarou"/>
      </w:pPr>
      <w:r w:rsidRPr="002A7D6D">
        <w:rPr>
          <w:rStyle w:val="Znakapoznpodarou"/>
        </w:rPr>
        <w:footnoteRef/>
      </w:r>
      <w:r w:rsidRPr="002A7D6D">
        <w:t xml:space="preserve"> </w:t>
      </w:r>
      <w:r w:rsidRPr="002A7D6D">
        <w:rPr>
          <w:sz w:val="16"/>
          <w:szCs w:val="16"/>
        </w:rPr>
        <w:t>Bez očištění o sezónní a kalendářní vlivy.</w:t>
      </w:r>
    </w:p>
  </w:footnote>
  <w:footnote w:id="6">
    <w:p w:rsidR="00463B4B" w:rsidRPr="002A7D6D" w:rsidRDefault="00463B4B" w:rsidP="009A3A87">
      <w:pPr>
        <w:pStyle w:val="Textpoznpodarou"/>
      </w:pPr>
      <w:r w:rsidRPr="002A7D6D">
        <w:rPr>
          <w:rStyle w:val="Znakapoznpodarou"/>
        </w:rPr>
        <w:footnoteRef/>
      </w:r>
      <w:r w:rsidRPr="002A7D6D">
        <w:t xml:space="preserve"> </w:t>
      </w:r>
      <w:r w:rsidRPr="002A7D6D">
        <w:rPr>
          <w:sz w:val="16"/>
          <w:szCs w:val="16"/>
        </w:rPr>
        <w:t>Těžba a dobývání</w:t>
      </w:r>
      <w:r w:rsidRPr="002A7D6D">
        <w:rPr>
          <w:sz w:val="16"/>
          <w:szCs w:val="16"/>
          <w:lang w:val="en-US"/>
        </w:rPr>
        <w:t>;</w:t>
      </w:r>
      <w:r w:rsidRPr="002A7D6D">
        <w:rPr>
          <w:sz w:val="16"/>
          <w:szCs w:val="16"/>
        </w:rPr>
        <w:t xml:space="preserve"> energetika; zásobování vodou a činnosti související s odpady.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4B" w:rsidRPr="00D766EF" w:rsidRDefault="00463B4B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až 3. čtvrtletí 2015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4B" w:rsidRPr="00D766EF" w:rsidRDefault="00463B4B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až 3. čtvrtletí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D0FE2"/>
    <w:multiLevelType w:val="hybridMultilevel"/>
    <w:tmpl w:val="03541C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0BD"/>
    <w:rsid w:val="00000FA7"/>
    <w:rsid w:val="00003687"/>
    <w:rsid w:val="00003C43"/>
    <w:rsid w:val="00007498"/>
    <w:rsid w:val="0000767A"/>
    <w:rsid w:val="000101F5"/>
    <w:rsid w:val="000104B9"/>
    <w:rsid w:val="00010702"/>
    <w:rsid w:val="00011191"/>
    <w:rsid w:val="0001159B"/>
    <w:rsid w:val="00012986"/>
    <w:rsid w:val="00015195"/>
    <w:rsid w:val="0001572B"/>
    <w:rsid w:val="0001573E"/>
    <w:rsid w:val="000162DB"/>
    <w:rsid w:val="00017F05"/>
    <w:rsid w:val="000202C6"/>
    <w:rsid w:val="00020946"/>
    <w:rsid w:val="00024887"/>
    <w:rsid w:val="00024CBA"/>
    <w:rsid w:val="00025501"/>
    <w:rsid w:val="00026998"/>
    <w:rsid w:val="000304C4"/>
    <w:rsid w:val="0003066A"/>
    <w:rsid w:val="00030F14"/>
    <w:rsid w:val="000311C5"/>
    <w:rsid w:val="00032838"/>
    <w:rsid w:val="00032C12"/>
    <w:rsid w:val="00035CCF"/>
    <w:rsid w:val="00035FC6"/>
    <w:rsid w:val="00037667"/>
    <w:rsid w:val="000411E1"/>
    <w:rsid w:val="00043E05"/>
    <w:rsid w:val="0004694F"/>
    <w:rsid w:val="000500DC"/>
    <w:rsid w:val="00052172"/>
    <w:rsid w:val="00055059"/>
    <w:rsid w:val="000553E4"/>
    <w:rsid w:val="00060F26"/>
    <w:rsid w:val="00062D43"/>
    <w:rsid w:val="00062EC5"/>
    <w:rsid w:val="00064256"/>
    <w:rsid w:val="000706A4"/>
    <w:rsid w:val="00072118"/>
    <w:rsid w:val="00073173"/>
    <w:rsid w:val="000779AC"/>
    <w:rsid w:val="00083803"/>
    <w:rsid w:val="0008716A"/>
    <w:rsid w:val="00087634"/>
    <w:rsid w:val="00091237"/>
    <w:rsid w:val="0009191B"/>
    <w:rsid w:val="000920EC"/>
    <w:rsid w:val="00092208"/>
    <w:rsid w:val="00092505"/>
    <w:rsid w:val="00097D02"/>
    <w:rsid w:val="000A1183"/>
    <w:rsid w:val="000A2121"/>
    <w:rsid w:val="000A2484"/>
    <w:rsid w:val="000B1CFE"/>
    <w:rsid w:val="000B210A"/>
    <w:rsid w:val="000B249B"/>
    <w:rsid w:val="000B3DB9"/>
    <w:rsid w:val="000B3F02"/>
    <w:rsid w:val="000B48E7"/>
    <w:rsid w:val="000B4F41"/>
    <w:rsid w:val="000B7663"/>
    <w:rsid w:val="000C11D3"/>
    <w:rsid w:val="000C12F5"/>
    <w:rsid w:val="000C3408"/>
    <w:rsid w:val="000C6498"/>
    <w:rsid w:val="000D0D51"/>
    <w:rsid w:val="000D14B3"/>
    <w:rsid w:val="000D208B"/>
    <w:rsid w:val="000D2B8D"/>
    <w:rsid w:val="000D2E41"/>
    <w:rsid w:val="000D342A"/>
    <w:rsid w:val="000D5E7A"/>
    <w:rsid w:val="000D5FAA"/>
    <w:rsid w:val="000D65A4"/>
    <w:rsid w:val="000D6AEF"/>
    <w:rsid w:val="000E025B"/>
    <w:rsid w:val="000E153A"/>
    <w:rsid w:val="000E19A8"/>
    <w:rsid w:val="000E4A42"/>
    <w:rsid w:val="000E6476"/>
    <w:rsid w:val="000E78D2"/>
    <w:rsid w:val="000F3332"/>
    <w:rsid w:val="000F33EE"/>
    <w:rsid w:val="000F401E"/>
    <w:rsid w:val="000F5445"/>
    <w:rsid w:val="000F5673"/>
    <w:rsid w:val="000F67B2"/>
    <w:rsid w:val="000F790F"/>
    <w:rsid w:val="000F7E1B"/>
    <w:rsid w:val="00100014"/>
    <w:rsid w:val="0010039A"/>
    <w:rsid w:val="00101FB2"/>
    <w:rsid w:val="00102F02"/>
    <w:rsid w:val="0010385D"/>
    <w:rsid w:val="001041B6"/>
    <w:rsid w:val="001070EA"/>
    <w:rsid w:val="0011002A"/>
    <w:rsid w:val="001107CE"/>
    <w:rsid w:val="0011110A"/>
    <w:rsid w:val="001118AF"/>
    <w:rsid w:val="0011256E"/>
    <w:rsid w:val="0011352E"/>
    <w:rsid w:val="00116DB9"/>
    <w:rsid w:val="00116F28"/>
    <w:rsid w:val="00121C39"/>
    <w:rsid w:val="00123255"/>
    <w:rsid w:val="00124D2D"/>
    <w:rsid w:val="00125326"/>
    <w:rsid w:val="001307BE"/>
    <w:rsid w:val="00130C8F"/>
    <w:rsid w:val="001314F2"/>
    <w:rsid w:val="001317DA"/>
    <w:rsid w:val="001323BA"/>
    <w:rsid w:val="0013254D"/>
    <w:rsid w:val="00133AAC"/>
    <w:rsid w:val="00136561"/>
    <w:rsid w:val="001400E1"/>
    <w:rsid w:val="001405FA"/>
    <w:rsid w:val="001413B3"/>
    <w:rsid w:val="001425C3"/>
    <w:rsid w:val="00142F16"/>
    <w:rsid w:val="00143E03"/>
    <w:rsid w:val="00143E93"/>
    <w:rsid w:val="00151AC0"/>
    <w:rsid w:val="00151B27"/>
    <w:rsid w:val="00152046"/>
    <w:rsid w:val="00152B02"/>
    <w:rsid w:val="00154147"/>
    <w:rsid w:val="00155746"/>
    <w:rsid w:val="00156318"/>
    <w:rsid w:val="0015639A"/>
    <w:rsid w:val="0016081D"/>
    <w:rsid w:val="00160CF3"/>
    <w:rsid w:val="001620FA"/>
    <w:rsid w:val="00162853"/>
    <w:rsid w:val="00163793"/>
    <w:rsid w:val="001707DE"/>
    <w:rsid w:val="00170B04"/>
    <w:rsid w:val="00170F47"/>
    <w:rsid w:val="001714F2"/>
    <w:rsid w:val="00173642"/>
    <w:rsid w:val="00173CB0"/>
    <w:rsid w:val="00174CE8"/>
    <w:rsid w:val="00175351"/>
    <w:rsid w:val="00176050"/>
    <w:rsid w:val="001764D8"/>
    <w:rsid w:val="00176A8F"/>
    <w:rsid w:val="00180D58"/>
    <w:rsid w:val="00182981"/>
    <w:rsid w:val="00184CF9"/>
    <w:rsid w:val="00185010"/>
    <w:rsid w:val="001852EC"/>
    <w:rsid w:val="00186447"/>
    <w:rsid w:val="001874CF"/>
    <w:rsid w:val="00190D9B"/>
    <w:rsid w:val="00191BAE"/>
    <w:rsid w:val="00193432"/>
    <w:rsid w:val="0019346C"/>
    <w:rsid w:val="00195444"/>
    <w:rsid w:val="001A2BDB"/>
    <w:rsid w:val="001A30F4"/>
    <w:rsid w:val="001A552F"/>
    <w:rsid w:val="001A56F3"/>
    <w:rsid w:val="001A750C"/>
    <w:rsid w:val="001B1D89"/>
    <w:rsid w:val="001B3110"/>
    <w:rsid w:val="001B4198"/>
    <w:rsid w:val="001B44BC"/>
    <w:rsid w:val="001B6545"/>
    <w:rsid w:val="001B681B"/>
    <w:rsid w:val="001B6A49"/>
    <w:rsid w:val="001B74FB"/>
    <w:rsid w:val="001B77A1"/>
    <w:rsid w:val="001C0422"/>
    <w:rsid w:val="001C0E0E"/>
    <w:rsid w:val="001C1219"/>
    <w:rsid w:val="001C357A"/>
    <w:rsid w:val="001C3A37"/>
    <w:rsid w:val="001C4384"/>
    <w:rsid w:val="001C65FF"/>
    <w:rsid w:val="001D47E5"/>
    <w:rsid w:val="001D584C"/>
    <w:rsid w:val="001D66C1"/>
    <w:rsid w:val="001E0024"/>
    <w:rsid w:val="001E0C65"/>
    <w:rsid w:val="001E23E3"/>
    <w:rsid w:val="001E387A"/>
    <w:rsid w:val="001E3DA4"/>
    <w:rsid w:val="001E5830"/>
    <w:rsid w:val="001E684C"/>
    <w:rsid w:val="001E701C"/>
    <w:rsid w:val="001E7C03"/>
    <w:rsid w:val="001F02AF"/>
    <w:rsid w:val="001F0649"/>
    <w:rsid w:val="001F28F4"/>
    <w:rsid w:val="001F378E"/>
    <w:rsid w:val="001F3C79"/>
    <w:rsid w:val="001F3E68"/>
    <w:rsid w:val="001F4597"/>
    <w:rsid w:val="001F56A9"/>
    <w:rsid w:val="00200D15"/>
    <w:rsid w:val="00203074"/>
    <w:rsid w:val="00203B46"/>
    <w:rsid w:val="002048E1"/>
    <w:rsid w:val="00207DB6"/>
    <w:rsid w:val="00210278"/>
    <w:rsid w:val="00210CC2"/>
    <w:rsid w:val="00210F5B"/>
    <w:rsid w:val="00211262"/>
    <w:rsid w:val="00211AC9"/>
    <w:rsid w:val="0021355B"/>
    <w:rsid w:val="002205F2"/>
    <w:rsid w:val="0022080E"/>
    <w:rsid w:val="0022139E"/>
    <w:rsid w:val="0022272B"/>
    <w:rsid w:val="00222A99"/>
    <w:rsid w:val="00223678"/>
    <w:rsid w:val="002236F7"/>
    <w:rsid w:val="00223E00"/>
    <w:rsid w:val="002252E0"/>
    <w:rsid w:val="002255F6"/>
    <w:rsid w:val="00226466"/>
    <w:rsid w:val="002266D0"/>
    <w:rsid w:val="00226887"/>
    <w:rsid w:val="00230DAD"/>
    <w:rsid w:val="0023229C"/>
    <w:rsid w:val="00234280"/>
    <w:rsid w:val="00235000"/>
    <w:rsid w:val="002350E3"/>
    <w:rsid w:val="00235330"/>
    <w:rsid w:val="00236443"/>
    <w:rsid w:val="00240773"/>
    <w:rsid w:val="00240A5B"/>
    <w:rsid w:val="002436BA"/>
    <w:rsid w:val="002444ED"/>
    <w:rsid w:val="00244A15"/>
    <w:rsid w:val="00244D40"/>
    <w:rsid w:val="00246AE9"/>
    <w:rsid w:val="0024799E"/>
    <w:rsid w:val="00250C59"/>
    <w:rsid w:val="00251D59"/>
    <w:rsid w:val="00252602"/>
    <w:rsid w:val="00252FDC"/>
    <w:rsid w:val="00257613"/>
    <w:rsid w:val="00261E5B"/>
    <w:rsid w:val="00263470"/>
    <w:rsid w:val="00263733"/>
    <w:rsid w:val="00264676"/>
    <w:rsid w:val="00265536"/>
    <w:rsid w:val="00265E54"/>
    <w:rsid w:val="00266F3E"/>
    <w:rsid w:val="00272464"/>
    <w:rsid w:val="00273DCD"/>
    <w:rsid w:val="00274291"/>
    <w:rsid w:val="00276CFE"/>
    <w:rsid w:val="00277071"/>
    <w:rsid w:val="0027786C"/>
    <w:rsid w:val="00277BF7"/>
    <w:rsid w:val="00281416"/>
    <w:rsid w:val="00285CD3"/>
    <w:rsid w:val="0028686A"/>
    <w:rsid w:val="00286E66"/>
    <w:rsid w:val="002919B5"/>
    <w:rsid w:val="00293441"/>
    <w:rsid w:val="00294238"/>
    <w:rsid w:val="0029493E"/>
    <w:rsid w:val="00296C2E"/>
    <w:rsid w:val="002A1B05"/>
    <w:rsid w:val="002A3354"/>
    <w:rsid w:val="002A35EA"/>
    <w:rsid w:val="002A37B6"/>
    <w:rsid w:val="002A3BD5"/>
    <w:rsid w:val="002A43A2"/>
    <w:rsid w:val="002A4612"/>
    <w:rsid w:val="002A5263"/>
    <w:rsid w:val="002A6821"/>
    <w:rsid w:val="002A74D2"/>
    <w:rsid w:val="002A7CDA"/>
    <w:rsid w:val="002B1544"/>
    <w:rsid w:val="002B36C8"/>
    <w:rsid w:val="002B7240"/>
    <w:rsid w:val="002C2668"/>
    <w:rsid w:val="002C43BD"/>
    <w:rsid w:val="002C5261"/>
    <w:rsid w:val="002C6091"/>
    <w:rsid w:val="002D0562"/>
    <w:rsid w:val="002D1B5A"/>
    <w:rsid w:val="002D3F00"/>
    <w:rsid w:val="002D4D59"/>
    <w:rsid w:val="002D54BF"/>
    <w:rsid w:val="002D5E94"/>
    <w:rsid w:val="002D632D"/>
    <w:rsid w:val="002E02A1"/>
    <w:rsid w:val="002E0982"/>
    <w:rsid w:val="002E0DB9"/>
    <w:rsid w:val="002E2CE4"/>
    <w:rsid w:val="002E73F2"/>
    <w:rsid w:val="002F33FB"/>
    <w:rsid w:val="002F7594"/>
    <w:rsid w:val="00301357"/>
    <w:rsid w:val="00301D04"/>
    <w:rsid w:val="00303DCB"/>
    <w:rsid w:val="00304771"/>
    <w:rsid w:val="00305736"/>
    <w:rsid w:val="00306C5B"/>
    <w:rsid w:val="00306E3B"/>
    <w:rsid w:val="003119B6"/>
    <w:rsid w:val="00312C3D"/>
    <w:rsid w:val="00314331"/>
    <w:rsid w:val="00317E31"/>
    <w:rsid w:val="00320214"/>
    <w:rsid w:val="003209D6"/>
    <w:rsid w:val="0032109A"/>
    <w:rsid w:val="0032214F"/>
    <w:rsid w:val="00322164"/>
    <w:rsid w:val="0032513D"/>
    <w:rsid w:val="00326251"/>
    <w:rsid w:val="0032739C"/>
    <w:rsid w:val="00327DEE"/>
    <w:rsid w:val="003329F3"/>
    <w:rsid w:val="0033352E"/>
    <w:rsid w:val="00333690"/>
    <w:rsid w:val="00333D20"/>
    <w:rsid w:val="003340EF"/>
    <w:rsid w:val="00334A49"/>
    <w:rsid w:val="0033536F"/>
    <w:rsid w:val="00335BB0"/>
    <w:rsid w:val="0033627B"/>
    <w:rsid w:val="003406BD"/>
    <w:rsid w:val="00343F84"/>
    <w:rsid w:val="00344135"/>
    <w:rsid w:val="00351B63"/>
    <w:rsid w:val="00352E57"/>
    <w:rsid w:val="003541B0"/>
    <w:rsid w:val="00355885"/>
    <w:rsid w:val="0035605E"/>
    <w:rsid w:val="00357449"/>
    <w:rsid w:val="0036238B"/>
    <w:rsid w:val="00365680"/>
    <w:rsid w:val="003657F3"/>
    <w:rsid w:val="00367038"/>
    <w:rsid w:val="0037144E"/>
    <w:rsid w:val="003736B5"/>
    <w:rsid w:val="00374F1E"/>
    <w:rsid w:val="00376DEC"/>
    <w:rsid w:val="00380E04"/>
    <w:rsid w:val="00383227"/>
    <w:rsid w:val="00384D8F"/>
    <w:rsid w:val="00385D98"/>
    <w:rsid w:val="00385EC5"/>
    <w:rsid w:val="0039066E"/>
    <w:rsid w:val="00391C95"/>
    <w:rsid w:val="00394D49"/>
    <w:rsid w:val="00396DAC"/>
    <w:rsid w:val="003A0214"/>
    <w:rsid w:val="003A027D"/>
    <w:rsid w:val="003A1D74"/>
    <w:rsid w:val="003A2B4D"/>
    <w:rsid w:val="003A2D2B"/>
    <w:rsid w:val="003A2DD4"/>
    <w:rsid w:val="003A3B1C"/>
    <w:rsid w:val="003A4088"/>
    <w:rsid w:val="003A478C"/>
    <w:rsid w:val="003A4F82"/>
    <w:rsid w:val="003A5525"/>
    <w:rsid w:val="003A6B38"/>
    <w:rsid w:val="003B2E63"/>
    <w:rsid w:val="003B3189"/>
    <w:rsid w:val="003B3A9D"/>
    <w:rsid w:val="003B5031"/>
    <w:rsid w:val="003B5A32"/>
    <w:rsid w:val="003B6105"/>
    <w:rsid w:val="003C04C4"/>
    <w:rsid w:val="003C26F4"/>
    <w:rsid w:val="003C3686"/>
    <w:rsid w:val="003C4852"/>
    <w:rsid w:val="003C601E"/>
    <w:rsid w:val="003D2C4E"/>
    <w:rsid w:val="003D3600"/>
    <w:rsid w:val="003D3825"/>
    <w:rsid w:val="003D3EC4"/>
    <w:rsid w:val="003D4760"/>
    <w:rsid w:val="003D49DC"/>
    <w:rsid w:val="003D5D7A"/>
    <w:rsid w:val="003E0663"/>
    <w:rsid w:val="003E133F"/>
    <w:rsid w:val="003E699C"/>
    <w:rsid w:val="003E69F3"/>
    <w:rsid w:val="003E782E"/>
    <w:rsid w:val="003E7A0B"/>
    <w:rsid w:val="003E7B2B"/>
    <w:rsid w:val="003F1A48"/>
    <w:rsid w:val="003F2B0A"/>
    <w:rsid w:val="003F313C"/>
    <w:rsid w:val="003F37FC"/>
    <w:rsid w:val="003F49A6"/>
    <w:rsid w:val="003F5098"/>
    <w:rsid w:val="003F5568"/>
    <w:rsid w:val="003F5A95"/>
    <w:rsid w:val="003F6D19"/>
    <w:rsid w:val="004000D5"/>
    <w:rsid w:val="004005C1"/>
    <w:rsid w:val="00401716"/>
    <w:rsid w:val="0040273A"/>
    <w:rsid w:val="00402C25"/>
    <w:rsid w:val="004050D7"/>
    <w:rsid w:val="004078BD"/>
    <w:rsid w:val="00410132"/>
    <w:rsid w:val="00410BCD"/>
    <w:rsid w:val="0041175D"/>
    <w:rsid w:val="004123BE"/>
    <w:rsid w:val="00414CE5"/>
    <w:rsid w:val="00416673"/>
    <w:rsid w:val="0042160D"/>
    <w:rsid w:val="00423A3C"/>
    <w:rsid w:val="0042681B"/>
    <w:rsid w:val="0043068A"/>
    <w:rsid w:val="004306E0"/>
    <w:rsid w:val="00431D54"/>
    <w:rsid w:val="004329BE"/>
    <w:rsid w:val="00432C38"/>
    <w:rsid w:val="00437C76"/>
    <w:rsid w:val="0044105C"/>
    <w:rsid w:val="004441A0"/>
    <w:rsid w:val="00444268"/>
    <w:rsid w:val="004443BF"/>
    <w:rsid w:val="00444C19"/>
    <w:rsid w:val="00446892"/>
    <w:rsid w:val="00450C30"/>
    <w:rsid w:val="004540FF"/>
    <w:rsid w:val="004541F1"/>
    <w:rsid w:val="00455ECA"/>
    <w:rsid w:val="00460164"/>
    <w:rsid w:val="0046039A"/>
    <w:rsid w:val="00460A6B"/>
    <w:rsid w:val="00461977"/>
    <w:rsid w:val="004629FD"/>
    <w:rsid w:val="00463B4B"/>
    <w:rsid w:val="00463F4D"/>
    <w:rsid w:val="0046471F"/>
    <w:rsid w:val="00464BE8"/>
    <w:rsid w:val="00465019"/>
    <w:rsid w:val="0046613F"/>
    <w:rsid w:val="0046655D"/>
    <w:rsid w:val="0046765E"/>
    <w:rsid w:val="004676E2"/>
    <w:rsid w:val="00471EDD"/>
    <w:rsid w:val="00473E94"/>
    <w:rsid w:val="0047400C"/>
    <w:rsid w:val="004745D9"/>
    <w:rsid w:val="004762D8"/>
    <w:rsid w:val="004765B3"/>
    <w:rsid w:val="00476D29"/>
    <w:rsid w:val="00477241"/>
    <w:rsid w:val="00477EAF"/>
    <w:rsid w:val="00477EE0"/>
    <w:rsid w:val="0048139F"/>
    <w:rsid w:val="00483053"/>
    <w:rsid w:val="00485230"/>
    <w:rsid w:val="004879E9"/>
    <w:rsid w:val="00487F81"/>
    <w:rsid w:val="00490247"/>
    <w:rsid w:val="0049104F"/>
    <w:rsid w:val="00491218"/>
    <w:rsid w:val="00491CFD"/>
    <w:rsid w:val="00493362"/>
    <w:rsid w:val="00496C2F"/>
    <w:rsid w:val="0049740D"/>
    <w:rsid w:val="004978D3"/>
    <w:rsid w:val="004A11F8"/>
    <w:rsid w:val="004A22FA"/>
    <w:rsid w:val="004A269A"/>
    <w:rsid w:val="004A30FB"/>
    <w:rsid w:val="004A35DD"/>
    <w:rsid w:val="004A37D3"/>
    <w:rsid w:val="004A3AD6"/>
    <w:rsid w:val="004A5865"/>
    <w:rsid w:val="004A77DF"/>
    <w:rsid w:val="004B0295"/>
    <w:rsid w:val="004B10A8"/>
    <w:rsid w:val="004B22DA"/>
    <w:rsid w:val="004B3CB7"/>
    <w:rsid w:val="004B3D55"/>
    <w:rsid w:val="004B55B7"/>
    <w:rsid w:val="004C00A6"/>
    <w:rsid w:val="004C0BBB"/>
    <w:rsid w:val="004C1AD6"/>
    <w:rsid w:val="004C1B86"/>
    <w:rsid w:val="004C3382"/>
    <w:rsid w:val="004C3867"/>
    <w:rsid w:val="004C4AB7"/>
    <w:rsid w:val="004C4CD0"/>
    <w:rsid w:val="004C57B5"/>
    <w:rsid w:val="004C5C25"/>
    <w:rsid w:val="004C6717"/>
    <w:rsid w:val="004C6CFF"/>
    <w:rsid w:val="004C70DC"/>
    <w:rsid w:val="004C7268"/>
    <w:rsid w:val="004D0211"/>
    <w:rsid w:val="004D1C9C"/>
    <w:rsid w:val="004D504B"/>
    <w:rsid w:val="004D536E"/>
    <w:rsid w:val="004E1839"/>
    <w:rsid w:val="004E4A75"/>
    <w:rsid w:val="004E541A"/>
    <w:rsid w:val="004E5A5C"/>
    <w:rsid w:val="004E76D6"/>
    <w:rsid w:val="004F06F5"/>
    <w:rsid w:val="004F191F"/>
    <w:rsid w:val="004F2A73"/>
    <w:rsid w:val="004F33A0"/>
    <w:rsid w:val="004F4353"/>
    <w:rsid w:val="004F447D"/>
    <w:rsid w:val="004F4C28"/>
    <w:rsid w:val="004F5CC5"/>
    <w:rsid w:val="0050692E"/>
    <w:rsid w:val="00507040"/>
    <w:rsid w:val="005079F8"/>
    <w:rsid w:val="00510189"/>
    <w:rsid w:val="005108C0"/>
    <w:rsid w:val="00511873"/>
    <w:rsid w:val="00513B7E"/>
    <w:rsid w:val="00514474"/>
    <w:rsid w:val="005215EF"/>
    <w:rsid w:val="00524637"/>
    <w:rsid w:val="00525137"/>
    <w:rsid w:val="005251DD"/>
    <w:rsid w:val="0053017A"/>
    <w:rsid w:val="00530492"/>
    <w:rsid w:val="00532854"/>
    <w:rsid w:val="005350F2"/>
    <w:rsid w:val="00535152"/>
    <w:rsid w:val="00535359"/>
    <w:rsid w:val="005357A2"/>
    <w:rsid w:val="00535D87"/>
    <w:rsid w:val="00535EF0"/>
    <w:rsid w:val="0053734B"/>
    <w:rsid w:val="005375B1"/>
    <w:rsid w:val="00537AFD"/>
    <w:rsid w:val="00537CB4"/>
    <w:rsid w:val="0054516B"/>
    <w:rsid w:val="0054559E"/>
    <w:rsid w:val="005513D5"/>
    <w:rsid w:val="005523B9"/>
    <w:rsid w:val="005545E0"/>
    <w:rsid w:val="00554865"/>
    <w:rsid w:val="00554E57"/>
    <w:rsid w:val="00562749"/>
    <w:rsid w:val="00562DE9"/>
    <w:rsid w:val="005638A5"/>
    <w:rsid w:val="00566381"/>
    <w:rsid w:val="00566A03"/>
    <w:rsid w:val="00571932"/>
    <w:rsid w:val="00573C97"/>
    <w:rsid w:val="00574240"/>
    <w:rsid w:val="00575CDC"/>
    <w:rsid w:val="005765D5"/>
    <w:rsid w:val="00576A3E"/>
    <w:rsid w:val="0057703D"/>
    <w:rsid w:val="00583D5B"/>
    <w:rsid w:val="00583FFD"/>
    <w:rsid w:val="00587CCD"/>
    <w:rsid w:val="005908AE"/>
    <w:rsid w:val="0059176E"/>
    <w:rsid w:val="00593152"/>
    <w:rsid w:val="00593CA3"/>
    <w:rsid w:val="00594161"/>
    <w:rsid w:val="00594969"/>
    <w:rsid w:val="00596C5E"/>
    <w:rsid w:val="005A2194"/>
    <w:rsid w:val="005A21E0"/>
    <w:rsid w:val="005A33A1"/>
    <w:rsid w:val="005A54EE"/>
    <w:rsid w:val="005A7500"/>
    <w:rsid w:val="005B1BDB"/>
    <w:rsid w:val="005B2BAA"/>
    <w:rsid w:val="005B2D53"/>
    <w:rsid w:val="005B3247"/>
    <w:rsid w:val="005B3409"/>
    <w:rsid w:val="005B7B12"/>
    <w:rsid w:val="005C16CB"/>
    <w:rsid w:val="005C21D6"/>
    <w:rsid w:val="005C3F9F"/>
    <w:rsid w:val="005C4A23"/>
    <w:rsid w:val="005C562C"/>
    <w:rsid w:val="005C5812"/>
    <w:rsid w:val="005C6400"/>
    <w:rsid w:val="005C7F1E"/>
    <w:rsid w:val="005D374F"/>
    <w:rsid w:val="005D5802"/>
    <w:rsid w:val="005D6CFC"/>
    <w:rsid w:val="005D73E2"/>
    <w:rsid w:val="005D757A"/>
    <w:rsid w:val="005E1E4B"/>
    <w:rsid w:val="005E362D"/>
    <w:rsid w:val="005E492C"/>
    <w:rsid w:val="005E4BAA"/>
    <w:rsid w:val="005E52EF"/>
    <w:rsid w:val="005E5B56"/>
    <w:rsid w:val="005E6088"/>
    <w:rsid w:val="005E61DF"/>
    <w:rsid w:val="005E6B78"/>
    <w:rsid w:val="005F4057"/>
    <w:rsid w:val="005F4088"/>
    <w:rsid w:val="005F601D"/>
    <w:rsid w:val="005F6119"/>
    <w:rsid w:val="0060107A"/>
    <w:rsid w:val="00601AFF"/>
    <w:rsid w:val="00602D1D"/>
    <w:rsid w:val="00604307"/>
    <w:rsid w:val="0060487F"/>
    <w:rsid w:val="00605814"/>
    <w:rsid w:val="00606B93"/>
    <w:rsid w:val="00607727"/>
    <w:rsid w:val="006118AA"/>
    <w:rsid w:val="006139C7"/>
    <w:rsid w:val="006153E3"/>
    <w:rsid w:val="006167AB"/>
    <w:rsid w:val="00617D2D"/>
    <w:rsid w:val="00617D83"/>
    <w:rsid w:val="00620AC5"/>
    <w:rsid w:val="00621575"/>
    <w:rsid w:val="006215FC"/>
    <w:rsid w:val="00624093"/>
    <w:rsid w:val="00630F66"/>
    <w:rsid w:val="00631FC2"/>
    <w:rsid w:val="00632171"/>
    <w:rsid w:val="0063332A"/>
    <w:rsid w:val="006347F9"/>
    <w:rsid w:val="0063494E"/>
    <w:rsid w:val="00634C90"/>
    <w:rsid w:val="00635E79"/>
    <w:rsid w:val="00636E5E"/>
    <w:rsid w:val="006404A7"/>
    <w:rsid w:val="006407F3"/>
    <w:rsid w:val="00644DFC"/>
    <w:rsid w:val="006451E4"/>
    <w:rsid w:val="006460B8"/>
    <w:rsid w:val="006504A0"/>
    <w:rsid w:val="006520C7"/>
    <w:rsid w:val="00652CBB"/>
    <w:rsid w:val="006530B8"/>
    <w:rsid w:val="006535D6"/>
    <w:rsid w:val="006572ED"/>
    <w:rsid w:val="00657E87"/>
    <w:rsid w:val="00660457"/>
    <w:rsid w:val="00660E1E"/>
    <w:rsid w:val="006637B1"/>
    <w:rsid w:val="00664B64"/>
    <w:rsid w:val="00665D67"/>
    <w:rsid w:val="00665D77"/>
    <w:rsid w:val="006660CD"/>
    <w:rsid w:val="00666EC8"/>
    <w:rsid w:val="00666F4B"/>
    <w:rsid w:val="006676D0"/>
    <w:rsid w:val="00670FAC"/>
    <w:rsid w:val="006710C9"/>
    <w:rsid w:val="006716A5"/>
    <w:rsid w:val="00675E37"/>
    <w:rsid w:val="00676F11"/>
    <w:rsid w:val="00680079"/>
    <w:rsid w:val="00680F68"/>
    <w:rsid w:val="0068260E"/>
    <w:rsid w:val="0068373D"/>
    <w:rsid w:val="00683BFE"/>
    <w:rsid w:val="006857DF"/>
    <w:rsid w:val="00685E66"/>
    <w:rsid w:val="00686B72"/>
    <w:rsid w:val="00686BF1"/>
    <w:rsid w:val="00690A09"/>
    <w:rsid w:val="00693EA1"/>
    <w:rsid w:val="00693FEA"/>
    <w:rsid w:val="00694930"/>
    <w:rsid w:val="00695170"/>
    <w:rsid w:val="00695BEF"/>
    <w:rsid w:val="006960D6"/>
    <w:rsid w:val="00696AA5"/>
    <w:rsid w:val="006977F6"/>
    <w:rsid w:val="00697A13"/>
    <w:rsid w:val="006A109C"/>
    <w:rsid w:val="006A2EE8"/>
    <w:rsid w:val="006A3CF3"/>
    <w:rsid w:val="006A568F"/>
    <w:rsid w:val="006A672B"/>
    <w:rsid w:val="006B3F8A"/>
    <w:rsid w:val="006B5CA3"/>
    <w:rsid w:val="006B6B3B"/>
    <w:rsid w:val="006B7714"/>
    <w:rsid w:val="006B78D8"/>
    <w:rsid w:val="006C090F"/>
    <w:rsid w:val="006C113F"/>
    <w:rsid w:val="006C2AED"/>
    <w:rsid w:val="006C38DD"/>
    <w:rsid w:val="006C5577"/>
    <w:rsid w:val="006C559A"/>
    <w:rsid w:val="006C58FA"/>
    <w:rsid w:val="006D042D"/>
    <w:rsid w:val="006D06EF"/>
    <w:rsid w:val="006D142E"/>
    <w:rsid w:val="006D4497"/>
    <w:rsid w:val="006D4E6F"/>
    <w:rsid w:val="006D61F6"/>
    <w:rsid w:val="006E1F4C"/>
    <w:rsid w:val="006E279A"/>
    <w:rsid w:val="006E2F3F"/>
    <w:rsid w:val="006E313B"/>
    <w:rsid w:val="006E442A"/>
    <w:rsid w:val="006E4434"/>
    <w:rsid w:val="006E5CFD"/>
    <w:rsid w:val="006F1326"/>
    <w:rsid w:val="006F2BEE"/>
    <w:rsid w:val="006F3708"/>
    <w:rsid w:val="006F3E6B"/>
    <w:rsid w:val="006F4619"/>
    <w:rsid w:val="006F4A59"/>
    <w:rsid w:val="007014C7"/>
    <w:rsid w:val="00702D6F"/>
    <w:rsid w:val="00703B6C"/>
    <w:rsid w:val="007047D5"/>
    <w:rsid w:val="00705D98"/>
    <w:rsid w:val="00707891"/>
    <w:rsid w:val="00707D43"/>
    <w:rsid w:val="00711EF1"/>
    <w:rsid w:val="0071229A"/>
    <w:rsid w:val="00712572"/>
    <w:rsid w:val="00713495"/>
    <w:rsid w:val="00713EEB"/>
    <w:rsid w:val="00720FA2"/>
    <w:rsid w:val="007211F5"/>
    <w:rsid w:val="00724666"/>
    <w:rsid w:val="00726043"/>
    <w:rsid w:val="0072704A"/>
    <w:rsid w:val="00730AE8"/>
    <w:rsid w:val="00731963"/>
    <w:rsid w:val="00734321"/>
    <w:rsid w:val="00740310"/>
    <w:rsid w:val="00740652"/>
    <w:rsid w:val="00740F02"/>
    <w:rsid w:val="00740FEC"/>
    <w:rsid w:val="0074132E"/>
    <w:rsid w:val="00741493"/>
    <w:rsid w:val="007426B3"/>
    <w:rsid w:val="007426FD"/>
    <w:rsid w:val="0074329D"/>
    <w:rsid w:val="00744376"/>
    <w:rsid w:val="007449EA"/>
    <w:rsid w:val="00746DD9"/>
    <w:rsid w:val="0075057A"/>
    <w:rsid w:val="00751771"/>
    <w:rsid w:val="00751C1C"/>
    <w:rsid w:val="00752180"/>
    <w:rsid w:val="007521A1"/>
    <w:rsid w:val="0075315D"/>
    <w:rsid w:val="007538F9"/>
    <w:rsid w:val="00754253"/>
    <w:rsid w:val="007552BB"/>
    <w:rsid w:val="007558D3"/>
    <w:rsid w:val="007559D7"/>
    <w:rsid w:val="00755D3A"/>
    <w:rsid w:val="00760141"/>
    <w:rsid w:val="007609C6"/>
    <w:rsid w:val="007610A0"/>
    <w:rsid w:val="007620F2"/>
    <w:rsid w:val="00762EBA"/>
    <w:rsid w:val="0076359D"/>
    <w:rsid w:val="0077058D"/>
    <w:rsid w:val="00772536"/>
    <w:rsid w:val="00773613"/>
    <w:rsid w:val="00774782"/>
    <w:rsid w:val="00776476"/>
    <w:rsid w:val="00776527"/>
    <w:rsid w:val="007805E1"/>
    <w:rsid w:val="0078113E"/>
    <w:rsid w:val="00781834"/>
    <w:rsid w:val="007821DB"/>
    <w:rsid w:val="00782818"/>
    <w:rsid w:val="007838F1"/>
    <w:rsid w:val="00784C4A"/>
    <w:rsid w:val="00787432"/>
    <w:rsid w:val="00787507"/>
    <w:rsid w:val="007879F2"/>
    <w:rsid w:val="00791CF8"/>
    <w:rsid w:val="00792262"/>
    <w:rsid w:val="00793387"/>
    <w:rsid w:val="00793BAE"/>
    <w:rsid w:val="00794E0A"/>
    <w:rsid w:val="00796642"/>
    <w:rsid w:val="007A11D9"/>
    <w:rsid w:val="007A327B"/>
    <w:rsid w:val="007A4606"/>
    <w:rsid w:val="007B1966"/>
    <w:rsid w:val="007B3DCC"/>
    <w:rsid w:val="007B4518"/>
    <w:rsid w:val="007B5031"/>
    <w:rsid w:val="007B573F"/>
    <w:rsid w:val="007C605B"/>
    <w:rsid w:val="007D2A5A"/>
    <w:rsid w:val="007D2AD8"/>
    <w:rsid w:val="007D2C47"/>
    <w:rsid w:val="007D3167"/>
    <w:rsid w:val="007D4281"/>
    <w:rsid w:val="007D42F5"/>
    <w:rsid w:val="007D44C3"/>
    <w:rsid w:val="007D5947"/>
    <w:rsid w:val="007D65C1"/>
    <w:rsid w:val="007E030F"/>
    <w:rsid w:val="007E0E59"/>
    <w:rsid w:val="007E0F4B"/>
    <w:rsid w:val="007E7E61"/>
    <w:rsid w:val="007F0845"/>
    <w:rsid w:val="007F16F9"/>
    <w:rsid w:val="007F3E3E"/>
    <w:rsid w:val="007F500D"/>
    <w:rsid w:val="007F5F14"/>
    <w:rsid w:val="007F7B54"/>
    <w:rsid w:val="008005D7"/>
    <w:rsid w:val="00801FDD"/>
    <w:rsid w:val="008020C2"/>
    <w:rsid w:val="0080255C"/>
    <w:rsid w:val="0081187C"/>
    <w:rsid w:val="00811E24"/>
    <w:rsid w:val="00812E2B"/>
    <w:rsid w:val="00813A70"/>
    <w:rsid w:val="00813FE6"/>
    <w:rsid w:val="00815C6E"/>
    <w:rsid w:val="0081645F"/>
    <w:rsid w:val="008178C2"/>
    <w:rsid w:val="008178CF"/>
    <w:rsid w:val="00817C98"/>
    <w:rsid w:val="00820C9F"/>
    <w:rsid w:val="00821FF6"/>
    <w:rsid w:val="00823AAF"/>
    <w:rsid w:val="00824081"/>
    <w:rsid w:val="0082409A"/>
    <w:rsid w:val="008252D7"/>
    <w:rsid w:val="00827181"/>
    <w:rsid w:val="0082733C"/>
    <w:rsid w:val="00827746"/>
    <w:rsid w:val="0083143E"/>
    <w:rsid w:val="0083159D"/>
    <w:rsid w:val="008318FF"/>
    <w:rsid w:val="00832187"/>
    <w:rsid w:val="00832493"/>
    <w:rsid w:val="008336D8"/>
    <w:rsid w:val="008339C4"/>
    <w:rsid w:val="00834F0A"/>
    <w:rsid w:val="00834FAA"/>
    <w:rsid w:val="00835181"/>
    <w:rsid w:val="00836086"/>
    <w:rsid w:val="00841D9F"/>
    <w:rsid w:val="00842604"/>
    <w:rsid w:val="00843ECF"/>
    <w:rsid w:val="00846673"/>
    <w:rsid w:val="0085281A"/>
    <w:rsid w:val="008559FE"/>
    <w:rsid w:val="00857339"/>
    <w:rsid w:val="00860706"/>
    <w:rsid w:val="00862A7A"/>
    <w:rsid w:val="00863104"/>
    <w:rsid w:val="00863D9E"/>
    <w:rsid w:val="008642AF"/>
    <w:rsid w:val="00865ED4"/>
    <w:rsid w:val="008669A7"/>
    <w:rsid w:val="00867E29"/>
    <w:rsid w:val="00870F2B"/>
    <w:rsid w:val="008746E6"/>
    <w:rsid w:val="0087594C"/>
    <w:rsid w:val="00876086"/>
    <w:rsid w:val="008768D6"/>
    <w:rsid w:val="008775D1"/>
    <w:rsid w:val="008777BB"/>
    <w:rsid w:val="00877D68"/>
    <w:rsid w:val="00877E5D"/>
    <w:rsid w:val="00880150"/>
    <w:rsid w:val="00884D69"/>
    <w:rsid w:val="00886A8F"/>
    <w:rsid w:val="0088733A"/>
    <w:rsid w:val="00891BE0"/>
    <w:rsid w:val="00893302"/>
    <w:rsid w:val="00893F3C"/>
    <w:rsid w:val="008945A1"/>
    <w:rsid w:val="00894A63"/>
    <w:rsid w:val="00895A54"/>
    <w:rsid w:val="00896916"/>
    <w:rsid w:val="00896B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B190E"/>
    <w:rsid w:val="008B1A8A"/>
    <w:rsid w:val="008B7306"/>
    <w:rsid w:val="008B775F"/>
    <w:rsid w:val="008B7C02"/>
    <w:rsid w:val="008B7D13"/>
    <w:rsid w:val="008B7F9E"/>
    <w:rsid w:val="008C0E88"/>
    <w:rsid w:val="008C1AA8"/>
    <w:rsid w:val="008C22A8"/>
    <w:rsid w:val="008C63FD"/>
    <w:rsid w:val="008C6CB8"/>
    <w:rsid w:val="008C7815"/>
    <w:rsid w:val="008C7A07"/>
    <w:rsid w:val="008D0171"/>
    <w:rsid w:val="008D13EA"/>
    <w:rsid w:val="008D2A16"/>
    <w:rsid w:val="008D2ECF"/>
    <w:rsid w:val="008D3F3D"/>
    <w:rsid w:val="008E308D"/>
    <w:rsid w:val="008E31FF"/>
    <w:rsid w:val="008E5DE6"/>
    <w:rsid w:val="008E6113"/>
    <w:rsid w:val="008E6AB3"/>
    <w:rsid w:val="008E6AD3"/>
    <w:rsid w:val="008E71A6"/>
    <w:rsid w:val="008E77B6"/>
    <w:rsid w:val="008E7C55"/>
    <w:rsid w:val="008F032E"/>
    <w:rsid w:val="008F0F14"/>
    <w:rsid w:val="008F4FCE"/>
    <w:rsid w:val="008F5301"/>
    <w:rsid w:val="008F6A0C"/>
    <w:rsid w:val="008F7D28"/>
    <w:rsid w:val="009003A8"/>
    <w:rsid w:val="00902CBE"/>
    <w:rsid w:val="00902D74"/>
    <w:rsid w:val="00902EFF"/>
    <w:rsid w:val="00903E06"/>
    <w:rsid w:val="00904B9D"/>
    <w:rsid w:val="009066E1"/>
    <w:rsid w:val="00907A41"/>
    <w:rsid w:val="009102BD"/>
    <w:rsid w:val="00910F93"/>
    <w:rsid w:val="0091255A"/>
    <w:rsid w:val="00914426"/>
    <w:rsid w:val="0091675F"/>
    <w:rsid w:val="00917709"/>
    <w:rsid w:val="00917918"/>
    <w:rsid w:val="00920874"/>
    <w:rsid w:val="00921F14"/>
    <w:rsid w:val="00923750"/>
    <w:rsid w:val="009243A5"/>
    <w:rsid w:val="009250D2"/>
    <w:rsid w:val="00926283"/>
    <w:rsid w:val="00937B11"/>
    <w:rsid w:val="00940F1F"/>
    <w:rsid w:val="00941250"/>
    <w:rsid w:val="0094427A"/>
    <w:rsid w:val="009459C5"/>
    <w:rsid w:val="0094626C"/>
    <w:rsid w:val="0095013A"/>
    <w:rsid w:val="00953AEF"/>
    <w:rsid w:val="009551E2"/>
    <w:rsid w:val="00955783"/>
    <w:rsid w:val="00955E5F"/>
    <w:rsid w:val="009560B0"/>
    <w:rsid w:val="00957871"/>
    <w:rsid w:val="00960077"/>
    <w:rsid w:val="00962D2E"/>
    <w:rsid w:val="00964498"/>
    <w:rsid w:val="0096504D"/>
    <w:rsid w:val="00965A2D"/>
    <w:rsid w:val="009663EB"/>
    <w:rsid w:val="0096650F"/>
    <w:rsid w:val="009700DB"/>
    <w:rsid w:val="00972263"/>
    <w:rsid w:val="00972D8D"/>
    <w:rsid w:val="00973AAE"/>
    <w:rsid w:val="0097476C"/>
    <w:rsid w:val="00974923"/>
    <w:rsid w:val="00974D48"/>
    <w:rsid w:val="00974D5F"/>
    <w:rsid w:val="00975017"/>
    <w:rsid w:val="009759DF"/>
    <w:rsid w:val="00980621"/>
    <w:rsid w:val="00982072"/>
    <w:rsid w:val="00983DBB"/>
    <w:rsid w:val="00983ECF"/>
    <w:rsid w:val="00986745"/>
    <w:rsid w:val="00987109"/>
    <w:rsid w:val="00987309"/>
    <w:rsid w:val="0099012D"/>
    <w:rsid w:val="00990363"/>
    <w:rsid w:val="009954FF"/>
    <w:rsid w:val="009961BC"/>
    <w:rsid w:val="00996355"/>
    <w:rsid w:val="009A2014"/>
    <w:rsid w:val="009A3A87"/>
    <w:rsid w:val="009A4E12"/>
    <w:rsid w:val="009A5C68"/>
    <w:rsid w:val="009B04D0"/>
    <w:rsid w:val="009B052C"/>
    <w:rsid w:val="009B0EF2"/>
    <w:rsid w:val="009B23A3"/>
    <w:rsid w:val="009B4925"/>
    <w:rsid w:val="009B4B4B"/>
    <w:rsid w:val="009B6FD3"/>
    <w:rsid w:val="009B70BD"/>
    <w:rsid w:val="009C07A5"/>
    <w:rsid w:val="009C7388"/>
    <w:rsid w:val="009D1551"/>
    <w:rsid w:val="009D2859"/>
    <w:rsid w:val="009D4173"/>
    <w:rsid w:val="009D6095"/>
    <w:rsid w:val="009D6306"/>
    <w:rsid w:val="009E048A"/>
    <w:rsid w:val="009E1FBA"/>
    <w:rsid w:val="009E2C54"/>
    <w:rsid w:val="009E3710"/>
    <w:rsid w:val="009E7B1F"/>
    <w:rsid w:val="009F41C4"/>
    <w:rsid w:val="009F5846"/>
    <w:rsid w:val="009F7D77"/>
    <w:rsid w:val="00A10D66"/>
    <w:rsid w:val="00A12BA8"/>
    <w:rsid w:val="00A1420C"/>
    <w:rsid w:val="00A14821"/>
    <w:rsid w:val="00A17754"/>
    <w:rsid w:val="00A2055B"/>
    <w:rsid w:val="00A2253C"/>
    <w:rsid w:val="00A23545"/>
    <w:rsid w:val="00A23A55"/>
    <w:rsid w:val="00A23E43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78F8"/>
    <w:rsid w:val="00A40B19"/>
    <w:rsid w:val="00A424F8"/>
    <w:rsid w:val="00A437B7"/>
    <w:rsid w:val="00A46DE0"/>
    <w:rsid w:val="00A4778A"/>
    <w:rsid w:val="00A5067F"/>
    <w:rsid w:val="00A55301"/>
    <w:rsid w:val="00A57B3C"/>
    <w:rsid w:val="00A57F1B"/>
    <w:rsid w:val="00A6128E"/>
    <w:rsid w:val="00A62CE1"/>
    <w:rsid w:val="00A631FA"/>
    <w:rsid w:val="00A64203"/>
    <w:rsid w:val="00A64348"/>
    <w:rsid w:val="00A721FB"/>
    <w:rsid w:val="00A727BA"/>
    <w:rsid w:val="00A72D4B"/>
    <w:rsid w:val="00A732AE"/>
    <w:rsid w:val="00A75E40"/>
    <w:rsid w:val="00A77EB2"/>
    <w:rsid w:val="00A82B66"/>
    <w:rsid w:val="00A83B58"/>
    <w:rsid w:val="00A851B6"/>
    <w:rsid w:val="00A85729"/>
    <w:rsid w:val="00A8574B"/>
    <w:rsid w:val="00A857C0"/>
    <w:rsid w:val="00A94628"/>
    <w:rsid w:val="00A96463"/>
    <w:rsid w:val="00A97E3F"/>
    <w:rsid w:val="00AA09D3"/>
    <w:rsid w:val="00AA23FB"/>
    <w:rsid w:val="00AA42AB"/>
    <w:rsid w:val="00AA559A"/>
    <w:rsid w:val="00AB104D"/>
    <w:rsid w:val="00AB2AF1"/>
    <w:rsid w:val="00AB440B"/>
    <w:rsid w:val="00AB47E3"/>
    <w:rsid w:val="00AB74C5"/>
    <w:rsid w:val="00AB7DF2"/>
    <w:rsid w:val="00AC1E3F"/>
    <w:rsid w:val="00AC4F18"/>
    <w:rsid w:val="00AD0B46"/>
    <w:rsid w:val="00AD1094"/>
    <w:rsid w:val="00AD2565"/>
    <w:rsid w:val="00AD306C"/>
    <w:rsid w:val="00AD3424"/>
    <w:rsid w:val="00AD50D1"/>
    <w:rsid w:val="00AD59BB"/>
    <w:rsid w:val="00AD5D68"/>
    <w:rsid w:val="00AD6C73"/>
    <w:rsid w:val="00AE06D0"/>
    <w:rsid w:val="00AE1B8A"/>
    <w:rsid w:val="00AE39DC"/>
    <w:rsid w:val="00AE3CDA"/>
    <w:rsid w:val="00AE7968"/>
    <w:rsid w:val="00AF128B"/>
    <w:rsid w:val="00AF1AEA"/>
    <w:rsid w:val="00AF2852"/>
    <w:rsid w:val="00AF3225"/>
    <w:rsid w:val="00AF518B"/>
    <w:rsid w:val="00AF5275"/>
    <w:rsid w:val="00AF6367"/>
    <w:rsid w:val="00AF6A79"/>
    <w:rsid w:val="00AF724E"/>
    <w:rsid w:val="00AF73A9"/>
    <w:rsid w:val="00B01C2C"/>
    <w:rsid w:val="00B0231C"/>
    <w:rsid w:val="00B13681"/>
    <w:rsid w:val="00B15DCD"/>
    <w:rsid w:val="00B17E71"/>
    <w:rsid w:val="00B17FDE"/>
    <w:rsid w:val="00B208FC"/>
    <w:rsid w:val="00B20C65"/>
    <w:rsid w:val="00B22E17"/>
    <w:rsid w:val="00B266C5"/>
    <w:rsid w:val="00B27293"/>
    <w:rsid w:val="00B3229E"/>
    <w:rsid w:val="00B32DDB"/>
    <w:rsid w:val="00B35174"/>
    <w:rsid w:val="00B35BEA"/>
    <w:rsid w:val="00B3793D"/>
    <w:rsid w:val="00B41BE6"/>
    <w:rsid w:val="00B457E7"/>
    <w:rsid w:val="00B45D1B"/>
    <w:rsid w:val="00B46D25"/>
    <w:rsid w:val="00B47430"/>
    <w:rsid w:val="00B52D2D"/>
    <w:rsid w:val="00B55BA8"/>
    <w:rsid w:val="00B55F15"/>
    <w:rsid w:val="00B561A6"/>
    <w:rsid w:val="00B60062"/>
    <w:rsid w:val="00B62960"/>
    <w:rsid w:val="00B63A11"/>
    <w:rsid w:val="00B63FD0"/>
    <w:rsid w:val="00B65C84"/>
    <w:rsid w:val="00B6608F"/>
    <w:rsid w:val="00B74317"/>
    <w:rsid w:val="00B76D1E"/>
    <w:rsid w:val="00B800EB"/>
    <w:rsid w:val="00B822D2"/>
    <w:rsid w:val="00B848B8"/>
    <w:rsid w:val="00B84A41"/>
    <w:rsid w:val="00B84D57"/>
    <w:rsid w:val="00B85689"/>
    <w:rsid w:val="00B86748"/>
    <w:rsid w:val="00B907EA"/>
    <w:rsid w:val="00B91EC9"/>
    <w:rsid w:val="00B924CA"/>
    <w:rsid w:val="00B93384"/>
    <w:rsid w:val="00B94417"/>
    <w:rsid w:val="00B95940"/>
    <w:rsid w:val="00B95EF8"/>
    <w:rsid w:val="00B95F50"/>
    <w:rsid w:val="00B96BD9"/>
    <w:rsid w:val="00BB0274"/>
    <w:rsid w:val="00BB1CFD"/>
    <w:rsid w:val="00BB2C53"/>
    <w:rsid w:val="00BB32DA"/>
    <w:rsid w:val="00BB3A54"/>
    <w:rsid w:val="00BB4E21"/>
    <w:rsid w:val="00BB7746"/>
    <w:rsid w:val="00BC22EB"/>
    <w:rsid w:val="00BC682B"/>
    <w:rsid w:val="00BC6B04"/>
    <w:rsid w:val="00BD186B"/>
    <w:rsid w:val="00BD1EAC"/>
    <w:rsid w:val="00BD3428"/>
    <w:rsid w:val="00BD366B"/>
    <w:rsid w:val="00BD534C"/>
    <w:rsid w:val="00BD56BC"/>
    <w:rsid w:val="00BD5D91"/>
    <w:rsid w:val="00BD6615"/>
    <w:rsid w:val="00BD6D50"/>
    <w:rsid w:val="00BE0D79"/>
    <w:rsid w:val="00BE0DB0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BF7CB8"/>
    <w:rsid w:val="00C00F20"/>
    <w:rsid w:val="00C01700"/>
    <w:rsid w:val="00C034E6"/>
    <w:rsid w:val="00C05715"/>
    <w:rsid w:val="00C05926"/>
    <w:rsid w:val="00C0784A"/>
    <w:rsid w:val="00C10B28"/>
    <w:rsid w:val="00C10FAE"/>
    <w:rsid w:val="00C12A69"/>
    <w:rsid w:val="00C150BE"/>
    <w:rsid w:val="00C15A0C"/>
    <w:rsid w:val="00C15DCB"/>
    <w:rsid w:val="00C1711F"/>
    <w:rsid w:val="00C20744"/>
    <w:rsid w:val="00C20C4D"/>
    <w:rsid w:val="00C21D46"/>
    <w:rsid w:val="00C21F94"/>
    <w:rsid w:val="00C222A1"/>
    <w:rsid w:val="00C23371"/>
    <w:rsid w:val="00C23CBD"/>
    <w:rsid w:val="00C23D22"/>
    <w:rsid w:val="00C2463B"/>
    <w:rsid w:val="00C24E77"/>
    <w:rsid w:val="00C2732D"/>
    <w:rsid w:val="00C273C6"/>
    <w:rsid w:val="00C27913"/>
    <w:rsid w:val="00C300C6"/>
    <w:rsid w:val="00C30828"/>
    <w:rsid w:val="00C31DD8"/>
    <w:rsid w:val="00C3271C"/>
    <w:rsid w:val="00C34FDE"/>
    <w:rsid w:val="00C35C16"/>
    <w:rsid w:val="00C40F81"/>
    <w:rsid w:val="00C41463"/>
    <w:rsid w:val="00C41A72"/>
    <w:rsid w:val="00C42D45"/>
    <w:rsid w:val="00C476C5"/>
    <w:rsid w:val="00C503B0"/>
    <w:rsid w:val="00C511C2"/>
    <w:rsid w:val="00C53D82"/>
    <w:rsid w:val="00C60696"/>
    <w:rsid w:val="00C60EEF"/>
    <w:rsid w:val="00C615F1"/>
    <w:rsid w:val="00C61627"/>
    <w:rsid w:val="00C64E60"/>
    <w:rsid w:val="00C657A4"/>
    <w:rsid w:val="00C6736C"/>
    <w:rsid w:val="00C71A1D"/>
    <w:rsid w:val="00C71EC4"/>
    <w:rsid w:val="00C7591E"/>
    <w:rsid w:val="00C75C7E"/>
    <w:rsid w:val="00C75C9B"/>
    <w:rsid w:val="00C76D8E"/>
    <w:rsid w:val="00C77833"/>
    <w:rsid w:val="00C80C9B"/>
    <w:rsid w:val="00C8335E"/>
    <w:rsid w:val="00C83F9C"/>
    <w:rsid w:val="00C84CE3"/>
    <w:rsid w:val="00C85614"/>
    <w:rsid w:val="00C90CF4"/>
    <w:rsid w:val="00C91C19"/>
    <w:rsid w:val="00C929A0"/>
    <w:rsid w:val="00C93389"/>
    <w:rsid w:val="00C937DB"/>
    <w:rsid w:val="00C94519"/>
    <w:rsid w:val="00C94E83"/>
    <w:rsid w:val="00CA140F"/>
    <w:rsid w:val="00CA25C2"/>
    <w:rsid w:val="00CA37BB"/>
    <w:rsid w:val="00CA37CA"/>
    <w:rsid w:val="00CA5724"/>
    <w:rsid w:val="00CA6508"/>
    <w:rsid w:val="00CA6BA1"/>
    <w:rsid w:val="00CA6CD5"/>
    <w:rsid w:val="00CB1910"/>
    <w:rsid w:val="00CB2150"/>
    <w:rsid w:val="00CB28EE"/>
    <w:rsid w:val="00CB43A7"/>
    <w:rsid w:val="00CB5996"/>
    <w:rsid w:val="00CB7452"/>
    <w:rsid w:val="00CC0E10"/>
    <w:rsid w:val="00CC1DAF"/>
    <w:rsid w:val="00CC2642"/>
    <w:rsid w:val="00CC2A36"/>
    <w:rsid w:val="00CC2E15"/>
    <w:rsid w:val="00CC3908"/>
    <w:rsid w:val="00CC62AD"/>
    <w:rsid w:val="00CC7B80"/>
    <w:rsid w:val="00CD2B3C"/>
    <w:rsid w:val="00CD30F6"/>
    <w:rsid w:val="00CD4B29"/>
    <w:rsid w:val="00CD6954"/>
    <w:rsid w:val="00CD6EF1"/>
    <w:rsid w:val="00CE21C7"/>
    <w:rsid w:val="00CE57D8"/>
    <w:rsid w:val="00CE617A"/>
    <w:rsid w:val="00CF25D2"/>
    <w:rsid w:val="00CF28C2"/>
    <w:rsid w:val="00CF42BD"/>
    <w:rsid w:val="00CF51EC"/>
    <w:rsid w:val="00CF6CD7"/>
    <w:rsid w:val="00D0037A"/>
    <w:rsid w:val="00D00DAF"/>
    <w:rsid w:val="00D017EC"/>
    <w:rsid w:val="00D01CDA"/>
    <w:rsid w:val="00D040DD"/>
    <w:rsid w:val="00D04E1B"/>
    <w:rsid w:val="00D076DB"/>
    <w:rsid w:val="00D1067C"/>
    <w:rsid w:val="00D136D4"/>
    <w:rsid w:val="00D13830"/>
    <w:rsid w:val="00D13ECF"/>
    <w:rsid w:val="00D142E5"/>
    <w:rsid w:val="00D148CD"/>
    <w:rsid w:val="00D1611E"/>
    <w:rsid w:val="00D16E69"/>
    <w:rsid w:val="00D205A9"/>
    <w:rsid w:val="00D217EE"/>
    <w:rsid w:val="00D245BA"/>
    <w:rsid w:val="00D26923"/>
    <w:rsid w:val="00D27856"/>
    <w:rsid w:val="00D301CA"/>
    <w:rsid w:val="00D30740"/>
    <w:rsid w:val="00D31075"/>
    <w:rsid w:val="00D31445"/>
    <w:rsid w:val="00D31932"/>
    <w:rsid w:val="00D378CC"/>
    <w:rsid w:val="00D4042C"/>
    <w:rsid w:val="00D42312"/>
    <w:rsid w:val="00D43998"/>
    <w:rsid w:val="00D4615E"/>
    <w:rsid w:val="00D478E2"/>
    <w:rsid w:val="00D5264C"/>
    <w:rsid w:val="00D547BA"/>
    <w:rsid w:val="00D55626"/>
    <w:rsid w:val="00D556BC"/>
    <w:rsid w:val="00D5626D"/>
    <w:rsid w:val="00D60277"/>
    <w:rsid w:val="00D60336"/>
    <w:rsid w:val="00D61F88"/>
    <w:rsid w:val="00D62901"/>
    <w:rsid w:val="00D6470C"/>
    <w:rsid w:val="00D64853"/>
    <w:rsid w:val="00D64CB5"/>
    <w:rsid w:val="00D66D48"/>
    <w:rsid w:val="00D73256"/>
    <w:rsid w:val="00D73A30"/>
    <w:rsid w:val="00D74C65"/>
    <w:rsid w:val="00D75DC2"/>
    <w:rsid w:val="00D766EF"/>
    <w:rsid w:val="00D76C03"/>
    <w:rsid w:val="00D82462"/>
    <w:rsid w:val="00D868CE"/>
    <w:rsid w:val="00D86DAE"/>
    <w:rsid w:val="00D90C1E"/>
    <w:rsid w:val="00D91BDF"/>
    <w:rsid w:val="00D93F09"/>
    <w:rsid w:val="00D954C2"/>
    <w:rsid w:val="00D97BB8"/>
    <w:rsid w:val="00DA1318"/>
    <w:rsid w:val="00DA1382"/>
    <w:rsid w:val="00DA28B7"/>
    <w:rsid w:val="00DA2FE8"/>
    <w:rsid w:val="00DA4AF6"/>
    <w:rsid w:val="00DB016E"/>
    <w:rsid w:val="00DB06E9"/>
    <w:rsid w:val="00DB378E"/>
    <w:rsid w:val="00DB3E9D"/>
    <w:rsid w:val="00DB47B9"/>
    <w:rsid w:val="00DB4FB8"/>
    <w:rsid w:val="00DB53CE"/>
    <w:rsid w:val="00DB549D"/>
    <w:rsid w:val="00DC226A"/>
    <w:rsid w:val="00DC257F"/>
    <w:rsid w:val="00DC350B"/>
    <w:rsid w:val="00DC3790"/>
    <w:rsid w:val="00DC408A"/>
    <w:rsid w:val="00DC5B3B"/>
    <w:rsid w:val="00DC6796"/>
    <w:rsid w:val="00DC78DF"/>
    <w:rsid w:val="00DD0821"/>
    <w:rsid w:val="00DD0E32"/>
    <w:rsid w:val="00DD2BFE"/>
    <w:rsid w:val="00DD373E"/>
    <w:rsid w:val="00DD57AD"/>
    <w:rsid w:val="00DE009B"/>
    <w:rsid w:val="00DE0C31"/>
    <w:rsid w:val="00DE2ED9"/>
    <w:rsid w:val="00DE319A"/>
    <w:rsid w:val="00DF0DC3"/>
    <w:rsid w:val="00DF21FD"/>
    <w:rsid w:val="00DF2873"/>
    <w:rsid w:val="00DF5578"/>
    <w:rsid w:val="00DF78DD"/>
    <w:rsid w:val="00DF7FEC"/>
    <w:rsid w:val="00E01C0E"/>
    <w:rsid w:val="00E03B27"/>
    <w:rsid w:val="00E04694"/>
    <w:rsid w:val="00E049F6"/>
    <w:rsid w:val="00E05B2B"/>
    <w:rsid w:val="00E06A2A"/>
    <w:rsid w:val="00E07F05"/>
    <w:rsid w:val="00E127E1"/>
    <w:rsid w:val="00E144D2"/>
    <w:rsid w:val="00E15346"/>
    <w:rsid w:val="00E15B7D"/>
    <w:rsid w:val="00E2097E"/>
    <w:rsid w:val="00E215EA"/>
    <w:rsid w:val="00E24619"/>
    <w:rsid w:val="00E25223"/>
    <w:rsid w:val="00E30BEA"/>
    <w:rsid w:val="00E31764"/>
    <w:rsid w:val="00E34985"/>
    <w:rsid w:val="00E34E4A"/>
    <w:rsid w:val="00E365B3"/>
    <w:rsid w:val="00E366BB"/>
    <w:rsid w:val="00E37C45"/>
    <w:rsid w:val="00E40AAA"/>
    <w:rsid w:val="00E42444"/>
    <w:rsid w:val="00E438CF"/>
    <w:rsid w:val="00E43C41"/>
    <w:rsid w:val="00E4500E"/>
    <w:rsid w:val="00E450CE"/>
    <w:rsid w:val="00E45A00"/>
    <w:rsid w:val="00E45AF9"/>
    <w:rsid w:val="00E45CE7"/>
    <w:rsid w:val="00E4631F"/>
    <w:rsid w:val="00E522BB"/>
    <w:rsid w:val="00E539E4"/>
    <w:rsid w:val="00E569C7"/>
    <w:rsid w:val="00E571F2"/>
    <w:rsid w:val="00E57429"/>
    <w:rsid w:val="00E61EA8"/>
    <w:rsid w:val="00E70510"/>
    <w:rsid w:val="00E71262"/>
    <w:rsid w:val="00E71A58"/>
    <w:rsid w:val="00E737F6"/>
    <w:rsid w:val="00E7568F"/>
    <w:rsid w:val="00E7724B"/>
    <w:rsid w:val="00E84F21"/>
    <w:rsid w:val="00E90F73"/>
    <w:rsid w:val="00E910A7"/>
    <w:rsid w:val="00E91607"/>
    <w:rsid w:val="00E921C7"/>
    <w:rsid w:val="00E92995"/>
    <w:rsid w:val="00E94612"/>
    <w:rsid w:val="00E95797"/>
    <w:rsid w:val="00E9682F"/>
    <w:rsid w:val="00E96A8D"/>
    <w:rsid w:val="00E972BA"/>
    <w:rsid w:val="00E97FA2"/>
    <w:rsid w:val="00EA06CB"/>
    <w:rsid w:val="00EA0C68"/>
    <w:rsid w:val="00EA3EBE"/>
    <w:rsid w:val="00EA3FAC"/>
    <w:rsid w:val="00EA4153"/>
    <w:rsid w:val="00EA5CD6"/>
    <w:rsid w:val="00EA76FD"/>
    <w:rsid w:val="00EB0555"/>
    <w:rsid w:val="00EB20A0"/>
    <w:rsid w:val="00EB30B6"/>
    <w:rsid w:val="00EB4FA4"/>
    <w:rsid w:val="00EB5146"/>
    <w:rsid w:val="00EB55E9"/>
    <w:rsid w:val="00EB5641"/>
    <w:rsid w:val="00EB5CA9"/>
    <w:rsid w:val="00EB5ED4"/>
    <w:rsid w:val="00EB6537"/>
    <w:rsid w:val="00EB70E1"/>
    <w:rsid w:val="00EB7EB5"/>
    <w:rsid w:val="00EC454B"/>
    <w:rsid w:val="00EC6153"/>
    <w:rsid w:val="00EC7F92"/>
    <w:rsid w:val="00ED00A8"/>
    <w:rsid w:val="00ED0A79"/>
    <w:rsid w:val="00ED2989"/>
    <w:rsid w:val="00ED2CA5"/>
    <w:rsid w:val="00ED336F"/>
    <w:rsid w:val="00ED54D6"/>
    <w:rsid w:val="00ED5726"/>
    <w:rsid w:val="00EE0298"/>
    <w:rsid w:val="00EE0384"/>
    <w:rsid w:val="00EE10AA"/>
    <w:rsid w:val="00EE1637"/>
    <w:rsid w:val="00EE3B7A"/>
    <w:rsid w:val="00EE3E78"/>
    <w:rsid w:val="00EE495A"/>
    <w:rsid w:val="00EE5E02"/>
    <w:rsid w:val="00EE617D"/>
    <w:rsid w:val="00EE61BF"/>
    <w:rsid w:val="00EE6748"/>
    <w:rsid w:val="00EE6C6B"/>
    <w:rsid w:val="00EF0E75"/>
    <w:rsid w:val="00EF1F5A"/>
    <w:rsid w:val="00EF4685"/>
    <w:rsid w:val="00EF5397"/>
    <w:rsid w:val="00EF6BE3"/>
    <w:rsid w:val="00F00D0E"/>
    <w:rsid w:val="00F00D3C"/>
    <w:rsid w:val="00F04811"/>
    <w:rsid w:val="00F0488C"/>
    <w:rsid w:val="00F0496E"/>
    <w:rsid w:val="00F04D10"/>
    <w:rsid w:val="00F0625B"/>
    <w:rsid w:val="00F101FF"/>
    <w:rsid w:val="00F10A33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FFF"/>
    <w:rsid w:val="00F2441D"/>
    <w:rsid w:val="00F24FAA"/>
    <w:rsid w:val="00F26197"/>
    <w:rsid w:val="00F307DD"/>
    <w:rsid w:val="00F318FC"/>
    <w:rsid w:val="00F31F76"/>
    <w:rsid w:val="00F3364D"/>
    <w:rsid w:val="00F35ACD"/>
    <w:rsid w:val="00F365BF"/>
    <w:rsid w:val="00F36BF8"/>
    <w:rsid w:val="00F375BA"/>
    <w:rsid w:val="00F37760"/>
    <w:rsid w:val="00F403D1"/>
    <w:rsid w:val="00F43921"/>
    <w:rsid w:val="00F4591F"/>
    <w:rsid w:val="00F4736B"/>
    <w:rsid w:val="00F47D05"/>
    <w:rsid w:val="00F50030"/>
    <w:rsid w:val="00F50B9D"/>
    <w:rsid w:val="00F51FC9"/>
    <w:rsid w:val="00F541ED"/>
    <w:rsid w:val="00F54B31"/>
    <w:rsid w:val="00F54FD3"/>
    <w:rsid w:val="00F55605"/>
    <w:rsid w:val="00F57CD7"/>
    <w:rsid w:val="00F62F02"/>
    <w:rsid w:val="00F63DDE"/>
    <w:rsid w:val="00F63FB7"/>
    <w:rsid w:val="00F64726"/>
    <w:rsid w:val="00F6561A"/>
    <w:rsid w:val="00F70309"/>
    <w:rsid w:val="00F727D5"/>
    <w:rsid w:val="00F72F44"/>
    <w:rsid w:val="00F73A0C"/>
    <w:rsid w:val="00F759DC"/>
    <w:rsid w:val="00F771A5"/>
    <w:rsid w:val="00F817A4"/>
    <w:rsid w:val="00F81C3A"/>
    <w:rsid w:val="00F835FC"/>
    <w:rsid w:val="00F8373A"/>
    <w:rsid w:val="00F83E21"/>
    <w:rsid w:val="00F83FA4"/>
    <w:rsid w:val="00F84E18"/>
    <w:rsid w:val="00F852E5"/>
    <w:rsid w:val="00F95117"/>
    <w:rsid w:val="00FA05D7"/>
    <w:rsid w:val="00FA1C6C"/>
    <w:rsid w:val="00FA2447"/>
    <w:rsid w:val="00FA2C2A"/>
    <w:rsid w:val="00FA309A"/>
    <w:rsid w:val="00FA7644"/>
    <w:rsid w:val="00FB0A9A"/>
    <w:rsid w:val="00FB483B"/>
    <w:rsid w:val="00FB56F1"/>
    <w:rsid w:val="00FB5FD4"/>
    <w:rsid w:val="00FB67F3"/>
    <w:rsid w:val="00FC0D8A"/>
    <w:rsid w:val="00FC0E5F"/>
    <w:rsid w:val="00FC135D"/>
    <w:rsid w:val="00FC3C84"/>
    <w:rsid w:val="00FC4660"/>
    <w:rsid w:val="00FC56DE"/>
    <w:rsid w:val="00FC5E01"/>
    <w:rsid w:val="00FD1261"/>
    <w:rsid w:val="00FD1627"/>
    <w:rsid w:val="00FD1BBD"/>
    <w:rsid w:val="00FD473D"/>
    <w:rsid w:val="00FD61C8"/>
    <w:rsid w:val="00FD63CE"/>
    <w:rsid w:val="00FD7D49"/>
    <w:rsid w:val="00FE1251"/>
    <w:rsid w:val="00FE2F78"/>
    <w:rsid w:val="00FE3510"/>
    <w:rsid w:val="00FE371D"/>
    <w:rsid w:val="00FE375F"/>
    <w:rsid w:val="00FE4FCB"/>
    <w:rsid w:val="00FE705E"/>
    <w:rsid w:val="00FF28E0"/>
    <w:rsid w:val="00FF2FB4"/>
    <w:rsid w:val="00FF30B3"/>
    <w:rsid w:val="00FF3DF3"/>
    <w:rsid w:val="00FF4027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qFormat/>
    <w:rsid w:val="007D4281"/>
    <w:pPr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84259-9C4F-40E6-973F-0F92027B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bar_vicetematicke.dot</Template>
  <TotalTime>198</TotalTime>
  <Pages>3</Pages>
  <Words>1761</Words>
  <Characters>9351</Characters>
  <Application>Microsoft Office Word</Application>
  <DocSecurity>0</DocSecurity>
  <Lines>77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kucera4376</cp:lastModifiedBy>
  <cp:revision>67</cp:revision>
  <cp:lastPrinted>2015-06-19T06:21:00Z</cp:lastPrinted>
  <dcterms:created xsi:type="dcterms:W3CDTF">2015-12-16T13:30:00Z</dcterms:created>
  <dcterms:modified xsi:type="dcterms:W3CDTF">2015-12-18T12:34:00Z</dcterms:modified>
</cp:coreProperties>
</file>