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A" w:rsidRPr="0075057A" w:rsidRDefault="0075057A" w:rsidP="00D60DD5">
      <w:pPr>
        <w:pStyle w:val="Nadpis1"/>
        <w:numPr>
          <w:ilvl w:val="0"/>
          <w:numId w:val="49"/>
        </w:numPr>
        <w:jc w:val="both"/>
      </w:pPr>
      <w:bookmarkStart w:id="0" w:name="_Toc414264326"/>
      <w:r>
        <w:t>Měnové podmínky</w:t>
      </w:r>
      <w:bookmarkEnd w:id="0"/>
    </w:p>
    <w:tbl>
      <w:tblPr>
        <w:tblW w:w="5000" w:type="pct"/>
        <w:tblLayout w:type="fixed"/>
        <w:tblLook w:val="00A0"/>
      </w:tblPr>
      <w:tblGrid>
        <w:gridCol w:w="38"/>
        <w:gridCol w:w="791"/>
        <w:gridCol w:w="275"/>
        <w:gridCol w:w="979"/>
        <w:gridCol w:w="282"/>
        <w:gridCol w:w="2599"/>
        <w:gridCol w:w="788"/>
        <w:gridCol w:w="453"/>
        <w:gridCol w:w="3614"/>
        <w:gridCol w:w="35"/>
      </w:tblGrid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ekonomika v roce 2014 ožila bez úvěrové expanze  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>I když se česká ekonomika v roce 2014 opět vrátila k růstu, nebyl financován dluhem v takové míře jako obvykle. Až teprve v posledních třech měsících 2014 byla meziroční tempa úvěrů firmám nad ročním průměrem (+3,1 %). Zadlužování domácností však v posledním čtvrtletí ročního průměru (+3,4 %) nedosahovalo. Tempo domácích úvěrů (+4,1 %) tak bylo především v režii vládního sektor</w:t>
            </w:r>
            <w:r w:rsidR="0023229C">
              <w:rPr>
                <w:color w:val="000000" w:themeColor="text1"/>
              </w:rPr>
              <w:t>u, a to zejména centrální vlády</w:t>
            </w:r>
            <w:r w:rsidRPr="00C53D82">
              <w:rPr>
                <w:color w:val="000000" w:themeColor="text1"/>
              </w:rPr>
              <w:t xml:space="preserve">  - čistý úvěr vládnímu sektoru stoupl meziročně o 10,2 %, </w:t>
            </w:r>
            <w:r w:rsidR="0023229C">
              <w:rPr>
                <w:color w:val="000000" w:themeColor="text1"/>
              </w:rPr>
              <w:t xml:space="preserve">úvěr centrální vládě (státu) o </w:t>
            </w:r>
            <w:r w:rsidRPr="00C53D82">
              <w:rPr>
                <w:color w:val="000000" w:themeColor="text1"/>
              </w:rPr>
              <w:t xml:space="preserve">12,1 %.  </w:t>
            </w:r>
          </w:p>
          <w:p w:rsidR="00C53D82" w:rsidRPr="00C75C7E" w:rsidRDefault="00C53D82" w:rsidP="008B1A8A">
            <w:pPr>
              <w:rPr>
                <w:sz w:val="12"/>
                <w:szCs w:val="12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Uvolněnost měnových podmínek přetrvává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96650F" w:rsidRDefault="00C53D82" w:rsidP="00C53D82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96650F">
              <w:rPr>
                <w:color w:val="000000" w:themeColor="text1"/>
                <w:spacing w:val="-2"/>
              </w:rPr>
              <w:t xml:space="preserve">Zásoba peněz v ekonomice ČR (agregát M2) stoupla v roce 2014 proti roku 2013 o 4,6 % na 3 429,9 mld. korun, tedy mírně rychleji než o kolik vzrostl nominální HDP (+4,4 %). Expanzivita měnových podmínek v tomto směru tak byla relativně malá - patrná jen v prvním a posledním čtvrtletí, ve zbylých dvou kvartálech rostl HDP v běžných cenách oproti přírůstku peněžní zásoby meziročně rychleji. Pozitivní vliv na růst české ekonomiky měly stále velmi nízké úrokové sazby v ekonomice a úroveň směnného kurzu koruny ovlivněného měnovou intervencí ČNB - koruna k euru během roku 2014 kolísala v měsíčních průměrech mezi hodnotami 27,39-27,82 CZK/EUR, v roce 2013 (od ledna do října) mezi 25,48-25,95 CZK/EUR.     </w:t>
            </w:r>
          </w:p>
          <w:p w:rsidR="00C53D82" w:rsidRPr="0032214F" w:rsidRDefault="00C53D82" w:rsidP="008B1A8A">
            <w:pPr>
              <w:rPr>
                <w:sz w:val="12"/>
                <w:szCs w:val="12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23229C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Termínovaných depozit firem i domácností (vkladů se splatností </w:t>
            </w:r>
            <w:r w:rsidR="003C4852">
              <w:rPr>
                <w:color w:val="000000"/>
                <w:sz w:val="16"/>
                <w:szCs w:val="16"/>
              </w:rPr>
              <w:t>a výpovědní lhůtou) v roce 2014</w:t>
            </w:r>
            <w:r>
              <w:rPr>
                <w:color w:val="000000"/>
                <w:sz w:val="16"/>
                <w:szCs w:val="16"/>
              </w:rPr>
              <w:t xml:space="preserve"> výrazně ubylo </w:t>
            </w:r>
          </w:p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(-108,1  mld. korun meziročně, tj. -12,6%) v největším poklesu od roku 2010;</w:t>
            </w:r>
          </w:p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šlo o třetí rok soustavného snižování </w:t>
            </w:r>
            <w:r w:rsidR="00CB43A7">
              <w:rPr>
                <w:color w:val="000000"/>
                <w:sz w:val="16"/>
                <w:szCs w:val="16"/>
              </w:rPr>
              <w:t xml:space="preserve">těchto </w:t>
            </w:r>
            <w:r>
              <w:rPr>
                <w:color w:val="000000"/>
                <w:sz w:val="16"/>
                <w:szCs w:val="16"/>
              </w:rPr>
              <w:t>vkladů v řadě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E127E1" w:rsidRDefault="00C53D82" w:rsidP="00C53D8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E127E1">
              <w:rPr>
                <w:color w:val="000000" w:themeColor="text1"/>
                <w:spacing w:val="-4"/>
              </w:rPr>
              <w:t>Lidé i firmy vybírají ze svých termínovaných vkladů (vkladů se splatností a výpovědní lhůtou) a rychlost úbytku těchto vkladů akceleruje (-5,1%, -4,9 % a -12,6 % v letech 2012,</w:t>
            </w:r>
            <w:r w:rsidR="00CB43A7">
              <w:rPr>
                <w:color w:val="000000" w:themeColor="text1"/>
                <w:spacing w:val="-4"/>
              </w:rPr>
              <w:t xml:space="preserve"> </w:t>
            </w:r>
            <w:r w:rsidRPr="00E127E1">
              <w:rPr>
                <w:color w:val="000000" w:themeColor="text1"/>
                <w:spacing w:val="-4"/>
              </w:rPr>
              <w:t>2013 a 2014). Hlavní</w:t>
            </w:r>
            <w:r w:rsidR="0023229C" w:rsidRPr="00E127E1">
              <w:rPr>
                <w:color w:val="000000" w:themeColor="text1"/>
                <w:spacing w:val="-4"/>
              </w:rPr>
              <w:t>m</w:t>
            </w:r>
            <w:r w:rsidRPr="00E127E1">
              <w:rPr>
                <w:color w:val="000000" w:themeColor="text1"/>
                <w:spacing w:val="-4"/>
              </w:rPr>
              <w:t xml:space="preserve"> důvodem jsou zřejmě nízké úrokové sazby nemotivující k úsporám na delší dobu, neboť jednodenní vklady naopak značně narůstají (ve zmíněných posledních třech letech +9,6 %, +8,3 % a +12,5 % meziročně).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>Především chování českých domácnosti tak mělo v roce 2014 rozhodující vliv na to, že vklady (quasi peníze) v ekonomice v závěru roku proti stejnému období 2013 klesly. Šlo o jejich druhý největší meziroční pokles</w:t>
            </w:r>
            <w:r w:rsidR="0023229C">
              <w:rPr>
                <w:color w:val="000000" w:themeColor="text1"/>
              </w:rPr>
              <w:t xml:space="preserve"> </w:t>
            </w:r>
            <w:r w:rsidRPr="00C53D82">
              <w:rPr>
                <w:color w:val="000000" w:themeColor="text1"/>
              </w:rPr>
              <w:t xml:space="preserve">v časové řadě počínaje rokem 2002 – největší úbytek byl zaznamenán v roce 2010, který však byl charakteristický velmi špatnou situací na trhu práce v návaznosti na předchozí krizi. V roce 2013 byly meziročně nižší o 2 %. </w:t>
            </w:r>
          </w:p>
          <w:p w:rsidR="00C53D82" w:rsidRPr="0032214F" w:rsidRDefault="00C53D82" w:rsidP="008B1A8A">
            <w:pPr>
              <w:rPr>
                <w:color w:val="000000"/>
                <w:sz w:val="12"/>
                <w:szCs w:val="12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Vysoká kumulace peněz na běžných účtech firem vysvětluje jejich silnou investiční aktivitu, která byla zřejmě jen v menší míře financována úvěry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E127E1" w:rsidRDefault="00C53D82" w:rsidP="00C53D82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E127E1">
              <w:rPr>
                <w:color w:val="000000" w:themeColor="text1"/>
                <w:spacing w:val="-2"/>
              </w:rPr>
              <w:t>Naopak netermínované (jednodenní) vklady - vyznačující se podstatně vyšší likviditou oproti vkladům termínovaným – dále narůstaly (+12,5 % meziročně), a to zejména na žirových účtech domácností (+13,3 %). Silná kumulace peněz však pokračuje na běžných účtech firem (+11,2 %), když dvojcifernými tempy rostou tyto jednodenní vklady firem už třetí rok v řadě. Lze předpokládat, že tyto peníze představují – kromě obvyklého provozního financování - i  významný potenciál pro budoucí investice. Téměř pětiprocentní (+4,6 %) meziroční přírůstek fixních investic v české ekonomice v roce 2014, který byl největší za posledních sedm let, tak mohl být ze strany firem finan</w:t>
            </w:r>
            <w:r w:rsidR="0023229C" w:rsidRPr="00E127E1">
              <w:rPr>
                <w:color w:val="000000" w:themeColor="text1"/>
                <w:spacing w:val="-2"/>
              </w:rPr>
              <w:t>cován právě z peněz nashromážděn</w:t>
            </w:r>
            <w:r w:rsidRPr="00E127E1">
              <w:rPr>
                <w:color w:val="000000" w:themeColor="text1"/>
                <w:spacing w:val="-2"/>
              </w:rPr>
              <w:t>ý</w:t>
            </w:r>
            <w:r w:rsidR="0023229C" w:rsidRPr="00E127E1">
              <w:rPr>
                <w:color w:val="000000" w:themeColor="text1"/>
                <w:spacing w:val="-2"/>
              </w:rPr>
              <w:t>ch</w:t>
            </w:r>
            <w:r w:rsidRPr="00E127E1">
              <w:rPr>
                <w:color w:val="000000" w:themeColor="text1"/>
                <w:spacing w:val="-2"/>
              </w:rPr>
              <w:t xml:space="preserve"> na běžných účtech.  Vysvětluje to zřejmě silnou investiční aktivitu bez významnějšího zadlužení.   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Jak je však z vývoje </w:t>
            </w:r>
            <w:r w:rsidR="00CB43A7">
              <w:rPr>
                <w:color w:val="000000" w:themeColor="text1"/>
              </w:rPr>
              <w:t xml:space="preserve">ve </w:t>
            </w:r>
            <w:r w:rsidRPr="00C53D82">
              <w:rPr>
                <w:color w:val="000000" w:themeColor="text1"/>
              </w:rPr>
              <w:t xml:space="preserve">4. čtvrtletí patrné, situace se zřejmě „normalizuje“, neboť v něm již tempo růstu korporátních úvěrů zrychlilo a naopak vklady na běžných účtech firem významně stouply (+86 mld. korun). Zejména exportérům pak prakticky po celý rok 2014 plynuly z oslabení koruny po měnové intervenci ČNB dodatečné zisky, které firmy zřejmě kumulovaly na svých běžných účtech (v první polovině roku, v období konání valných hromad, na nichž se rozhodovalo o rozdělení zisků a u firem pod zahraniční kontrolou i o jejich repatriaci, se ale zůstatky na běžných účtech snižovaly). </w:t>
            </w:r>
          </w:p>
          <w:p w:rsidR="00C53D82" w:rsidRPr="0032214F" w:rsidRDefault="00C53D82" w:rsidP="008B1A8A">
            <w:pPr>
              <w:rPr>
                <w:color w:val="000000"/>
                <w:sz w:val="12"/>
                <w:szCs w:val="12"/>
              </w:rPr>
            </w:pPr>
          </w:p>
        </w:tc>
      </w:tr>
      <w:tr w:rsidR="00C53D82" w:rsidRPr="00026998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Úvěry obyvatelstvu na spotřebu a bydlení stouply v úhrnu meziročně stejně jako v roce 2013, ovšem objem jejich půjček na spotřebu se snížil …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Default="00C53D82" w:rsidP="00E127E1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>Lidé si od bank dále půjčují, ovšem s opatrností. Z bankovní statistiky vyplývá, že úhrn úvěrů obyvatelstvu na bydlení spolu s úvěry na spotřebu stoupl meziročně (+4,4 %) zhruba stejně jako v roce 2013 (+4,3 %) na 1,093 bil.</w:t>
            </w:r>
            <w:r w:rsidR="0023229C">
              <w:rPr>
                <w:color w:val="000000" w:themeColor="text1"/>
              </w:rPr>
              <w:t xml:space="preserve"> </w:t>
            </w:r>
            <w:r w:rsidRPr="00C53D82">
              <w:rPr>
                <w:color w:val="000000" w:themeColor="text1"/>
              </w:rPr>
              <w:t>korun. Zatímco však úvěry na bydlení vzrostly vlivem příznivých úrokových sazeb a v očekávání vyšších cen bytů v budoucnu o 47,7 mld. korun (tj. +5,6 %), objem úvěrů na spotřebu se o procento zmenšil (-1,9 mld. korun).</w:t>
            </w:r>
          </w:p>
          <w:p w:rsidR="0096650F" w:rsidRPr="00C53D82" w:rsidRDefault="0096650F" w:rsidP="00E127E1">
            <w:pPr>
              <w:pStyle w:val="Textpoznpodarou"/>
              <w:jc w:val="both"/>
              <w:rPr>
                <w:color w:val="000000" w:themeColor="text1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3C485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  <w:r w:rsidR="00C53D82">
              <w:rPr>
                <w:color w:val="000000"/>
                <w:sz w:val="16"/>
                <w:szCs w:val="16"/>
              </w:rPr>
              <w:t>při udržování relativně značného podílu úvěrů v selhání na celkových úvěrech obyvatelstvu na spotřebu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Přitom procento úvěrů v selhání zůstává u půjček na spotřebu stále relativně vysoké (12,1 % těchto úvěrů proti 12,2 % v roce 2013). Klienti bank mají problém zejména s nesplácením svých debetních zůstatků na žirových účtech (9,9 % v selhání v roce 2013 a 12,7 % v roce 2014) a také na kreditních kartách. Oba tyto produkty jsou nejdražší z pohledu úrokových sazeb účtovaných bankami.     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Podíl úvěrů firem v selhání je</w:t>
            </w:r>
            <w:r w:rsidR="003C4852">
              <w:rPr>
                <w:color w:val="000000"/>
                <w:sz w:val="16"/>
                <w:szCs w:val="16"/>
              </w:rPr>
              <w:t xml:space="preserve"> nejnižší za posledních pět let</w:t>
            </w:r>
            <w:r>
              <w:rPr>
                <w:color w:val="000000"/>
                <w:sz w:val="16"/>
                <w:szCs w:val="16"/>
              </w:rPr>
              <w:t xml:space="preserve"> a dokládá dobré finanční zdraví firem posilované i dodatečnými zisky exportérů vyvolané oslabenou korunou 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Úvěry v selhání u nefinančních podniků v poměru k celkovým úvěrům tohoto institucionálního sektoru činily v závěru roku 2014 jen 6,6 %, což bylo nejméně od roku 2009. Riziko se snížilo i meziročně (7,2 % v závěru roku 2013, od jeho poloviny klesalo). Vzhledem k relativně dobré kondici české ekonomiky, nakumulovaným ziskům a zatím dostatečné domácí i zahraniční poptávce nemusí zřejmě proporce úvěrů v selhání u nefinančních podniků představovat problém. 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Jen segment živnostníků, kteří dlužili v závěru roku 2014 meziročně méně o 4 % - v roce 2013 přitom </w:t>
            </w:r>
            <w:r w:rsidR="0023229C">
              <w:rPr>
                <w:color w:val="000000" w:themeColor="text1"/>
              </w:rPr>
              <w:t>už</w:t>
            </w:r>
            <w:r w:rsidRPr="00C53D82">
              <w:rPr>
                <w:color w:val="000000" w:themeColor="text1"/>
              </w:rPr>
              <w:t xml:space="preserve"> objem jejich úvěrů nepatrně stoup</w:t>
            </w:r>
            <w:r w:rsidR="0023229C">
              <w:rPr>
                <w:color w:val="000000" w:themeColor="text1"/>
              </w:rPr>
              <w:t>l</w:t>
            </w:r>
            <w:r w:rsidRPr="00C53D82">
              <w:rPr>
                <w:color w:val="000000" w:themeColor="text1"/>
              </w:rPr>
              <w:t xml:space="preserve"> (+0,9 %) –</w:t>
            </w:r>
            <w:r w:rsidR="00D26923">
              <w:rPr>
                <w:color w:val="000000" w:themeColor="text1"/>
              </w:rPr>
              <w:t xml:space="preserve"> </w:t>
            </w:r>
            <w:r w:rsidRPr="00C53D82">
              <w:rPr>
                <w:color w:val="000000" w:themeColor="text1"/>
              </w:rPr>
              <w:t>vykazuje relativně vysoký podíl úvěrů v selhání</w:t>
            </w:r>
            <w:r w:rsidR="0023229C" w:rsidRPr="00C53D82">
              <w:rPr>
                <w:color w:val="000000" w:themeColor="text1"/>
              </w:rPr>
              <w:t xml:space="preserve"> již čtyři roky</w:t>
            </w:r>
            <w:r w:rsidRPr="00C53D82">
              <w:rPr>
                <w:color w:val="000000" w:themeColor="text1"/>
              </w:rPr>
              <w:t xml:space="preserve">. Koncem roku 2014 to bylo 12,7 % z celkově poskytnutých úvěrů, což je zhruba průměr posledních čtyř let (13 %). Potvrzuje se tak známá skutečnost, že segment malých a středních firem je v ekonomice obecně pro věřitele více rizikový. 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Už tak nízké depozitní úrokové sazby bank dále poklesly… 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Úrokové sazby z netermínovaných vkladů klesají v případě nových obchodů soustavně již čtvrtý rok v řadě – u žirových účtů domácností z 0,72 % </w:t>
            </w:r>
            <w:proofErr w:type="spellStart"/>
            <w:proofErr w:type="gramStart"/>
            <w:r w:rsidRPr="00C53D82">
              <w:rPr>
                <w:color w:val="000000" w:themeColor="text1"/>
              </w:rPr>
              <w:t>p.a</w:t>
            </w:r>
            <w:proofErr w:type="spellEnd"/>
            <w:r w:rsidRPr="00C53D82">
              <w:rPr>
                <w:color w:val="000000" w:themeColor="text1"/>
              </w:rPr>
              <w:t>.</w:t>
            </w:r>
            <w:proofErr w:type="gramEnd"/>
            <w:r w:rsidRPr="00C53D82">
              <w:rPr>
                <w:color w:val="000000" w:themeColor="text1"/>
              </w:rPr>
              <w:t xml:space="preserve"> v závěru roku 2011 na 0,31 % v prosinci 2014 (u firem z 0,35 % na 0,15 %). Meziročně jsou nižší i sazby termínovaných vkladů (u domácností vklady se splatností celkem z 1,65 % na 1,40 %, u firem byl pokles méně znatelný, ovšem při velmi nízkých úrovních, tj. z 0,31 % na 0,29 %). Úrokové míry z vkladů jsou neatraktivní a lidé zřejmě hledají alternativy úspor ke spoření v bankách – roste hodnota jejich majetku v podílových fondech i na penzijním připojištění. Vysoké výnosy zaznamenalo v loňském roce přímé investování do zahraničních akcií.</w:t>
            </w:r>
          </w:p>
          <w:p w:rsidR="00C53D82" w:rsidRPr="00C53D82" w:rsidRDefault="00C53D82" w:rsidP="00C53D82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 xml:space="preserve">    </w:t>
            </w:r>
          </w:p>
        </w:tc>
      </w:tr>
      <w:tr w:rsidR="00C53D82" w:rsidRPr="007D44C3" w:rsidTr="00ED2CA5">
        <w:tc>
          <w:tcPr>
            <w:tcW w:w="1056" w:type="pct"/>
            <w:gridSpan w:val="4"/>
          </w:tcPr>
          <w:p w:rsidR="00C53D82" w:rsidRDefault="00C53D82" w:rsidP="00D136D4">
            <w:pPr>
              <w:spacing w:line="240" w:lineRule="auto"/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… u půjčovaných peněz zlevnily pouze sazby u hypotečních úvěrů  </w:t>
            </w:r>
          </w:p>
        </w:tc>
        <w:tc>
          <w:tcPr>
            <w:tcW w:w="143" w:type="pct"/>
          </w:tcPr>
          <w:p w:rsidR="00C53D82" w:rsidRDefault="00C53D82" w:rsidP="008B1A8A">
            <w:pPr>
              <w:pStyle w:val="Textpoznpodarou"/>
              <w:jc w:val="both"/>
            </w:pPr>
          </w:p>
        </w:tc>
        <w:tc>
          <w:tcPr>
            <w:tcW w:w="3801" w:type="pct"/>
            <w:gridSpan w:val="5"/>
          </w:tcPr>
          <w:p w:rsidR="0023229C" w:rsidRDefault="00C53D82" w:rsidP="0023229C">
            <w:pPr>
              <w:pStyle w:val="Textpoznpodarou"/>
              <w:jc w:val="both"/>
              <w:rPr>
                <w:color w:val="000000" w:themeColor="text1"/>
              </w:rPr>
            </w:pPr>
            <w:r w:rsidRPr="00C53D82">
              <w:rPr>
                <w:color w:val="000000" w:themeColor="text1"/>
              </w:rPr>
              <w:t>Úvěry na spotřebu nezlevnily tak jako úvěry na pořízení bytových nemovitostí. Zůstaly na 14 % (proti 14,1 % v závěru roku 2013), sazby úvěrů na bydlení klesly z 3,4 % na 2,9 %). Co se týká firem, rozdíl v ceně půjčovaných peněz byl nepatrný (z 2,45 % koncem roku 2013 na 2,22 % koncem 2014, u kontokorentu z 2,95 % na 2,9 %).</w:t>
            </w:r>
          </w:p>
          <w:p w:rsidR="00C53D82" w:rsidRPr="00E7724B" w:rsidRDefault="00C53D82" w:rsidP="0023229C">
            <w:pPr>
              <w:pStyle w:val="Textpoznpodarou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</w:tc>
      </w:tr>
      <w:tr w:rsidR="00C53D82" w:rsidRPr="00EB4FA4" w:rsidTr="00ED2CA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540" w:type="pct"/>
            <w:gridSpan w:val="2"/>
          </w:tcPr>
          <w:p w:rsidR="00C53D82" w:rsidRPr="00CD4B29" w:rsidRDefault="00C53D82" w:rsidP="00AA23FB">
            <w:r w:rsidRPr="00CD4B29">
              <w:t>Graf č.</w:t>
            </w:r>
            <w:r w:rsidR="0023229C" w:rsidRPr="00CD4B29">
              <w:t xml:space="preserve"> 17</w:t>
            </w:r>
            <w:r w:rsidRPr="00CD4B29">
              <w:t xml:space="preserve"> </w:t>
            </w:r>
          </w:p>
        </w:tc>
        <w:tc>
          <w:tcPr>
            <w:tcW w:w="1959" w:type="pct"/>
            <w:gridSpan w:val="3"/>
          </w:tcPr>
          <w:p w:rsidR="00C53D82" w:rsidRPr="009E3710" w:rsidRDefault="00C53D82" w:rsidP="008B1A8A">
            <w:pPr>
              <w:rPr>
                <w:b/>
              </w:rPr>
            </w:pPr>
            <w:r>
              <w:rPr>
                <w:b/>
                <w:bCs/>
              </w:rPr>
              <w:t xml:space="preserve">Dynamika úvěrů </w:t>
            </w:r>
            <w:r>
              <w:rPr>
                <w:bCs/>
              </w:rPr>
              <w:t>(y/y v %)</w:t>
            </w:r>
            <w:r>
              <w:rPr>
                <w:b/>
                <w:bCs/>
              </w:rPr>
              <w:t xml:space="preserve"> </w:t>
            </w:r>
            <w:r w:rsidRPr="009E3710">
              <w:rPr>
                <w:b/>
                <w:bCs/>
              </w:rPr>
              <w:t xml:space="preserve"> </w:t>
            </w:r>
          </w:p>
        </w:tc>
        <w:tc>
          <w:tcPr>
            <w:tcW w:w="630" w:type="pct"/>
            <w:gridSpan w:val="2"/>
          </w:tcPr>
          <w:p w:rsidR="00C53D82" w:rsidRPr="00CD4B29" w:rsidRDefault="00C53D82" w:rsidP="00AA23FB">
            <w:pPr>
              <w:rPr>
                <w:szCs w:val="20"/>
              </w:rPr>
            </w:pPr>
            <w:r w:rsidRPr="00CD4B29">
              <w:rPr>
                <w:szCs w:val="20"/>
              </w:rPr>
              <w:t>Graf č. 1</w:t>
            </w:r>
            <w:r w:rsidR="00AA23FB" w:rsidRPr="00CD4B29">
              <w:rPr>
                <w:szCs w:val="20"/>
              </w:rPr>
              <w:t>8</w:t>
            </w:r>
          </w:p>
        </w:tc>
        <w:tc>
          <w:tcPr>
            <w:tcW w:w="1834" w:type="pct"/>
          </w:tcPr>
          <w:p w:rsidR="00C53D82" w:rsidRPr="00EB4FA4" w:rsidRDefault="00C53D82" w:rsidP="00055059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bCs/>
              </w:rPr>
              <w:t xml:space="preserve">Úvěry obyvatelstvu v selhání </w:t>
            </w:r>
            <w:r w:rsidRPr="00F54FD3">
              <w:rPr>
                <w:bCs/>
              </w:rPr>
              <w:t>(</w:t>
            </w:r>
            <w:r>
              <w:rPr>
                <w:bCs/>
              </w:rPr>
              <w:t>v</w:t>
            </w:r>
            <w:r w:rsidR="00055059">
              <w:rPr>
                <w:bCs/>
              </w:rPr>
              <w:t> </w:t>
            </w:r>
            <w:r>
              <w:rPr>
                <w:bCs/>
              </w:rPr>
              <w:t>%</w:t>
            </w:r>
            <w:r w:rsidR="00055059">
              <w:rPr>
                <w:bCs/>
              </w:rPr>
              <w:t> </w:t>
            </w:r>
            <w:r>
              <w:rPr>
                <w:bCs/>
              </w:rPr>
              <w:t xml:space="preserve">celkových </w:t>
            </w:r>
            <w:proofErr w:type="gramStart"/>
            <w:r>
              <w:rPr>
                <w:bCs/>
              </w:rPr>
              <w:t>úvěrů</w:t>
            </w:r>
            <w:proofErr w:type="gramEnd"/>
            <w:r>
              <w:rPr>
                <w:bCs/>
              </w:rPr>
              <w:t xml:space="preserve"> obyvatelstvu)</w:t>
            </w:r>
          </w:p>
        </w:tc>
      </w:tr>
      <w:tr w:rsidR="00C53D82" w:rsidTr="00ED2CA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  <w:trHeight w:val="3256"/>
        </w:trPr>
        <w:tc>
          <w:tcPr>
            <w:tcW w:w="2498" w:type="pct"/>
            <w:gridSpan w:val="5"/>
          </w:tcPr>
          <w:p w:rsidR="00C53D82" w:rsidRDefault="00C53D82" w:rsidP="008B1A8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3010299" cy="2330824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3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gridSpan w:val="3"/>
          </w:tcPr>
          <w:p w:rsidR="00C53D82" w:rsidRDefault="00C53D82" w:rsidP="008B1A8A">
            <w:pPr>
              <w:pStyle w:val="Zhlav"/>
              <w:tabs>
                <w:tab w:val="clear" w:pos="4536"/>
                <w:tab w:val="clear" w:pos="9072"/>
              </w:tabs>
              <w:spacing w:line="235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drawing>
                <wp:inline distT="0" distB="0" distL="0" distR="0">
                  <wp:extent cx="3003176" cy="2330824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2332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D82" w:rsidRPr="005215EF" w:rsidTr="00ED2CA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401" w:type="pct"/>
          </w:tcPr>
          <w:p w:rsidR="00C53D82" w:rsidRPr="00953AEF" w:rsidRDefault="00C53D82" w:rsidP="008B1A8A">
            <w:pPr>
              <w:rPr>
                <w:color w:val="FF0000"/>
              </w:rPr>
            </w:pPr>
          </w:p>
        </w:tc>
        <w:tc>
          <w:tcPr>
            <w:tcW w:w="2097" w:type="pct"/>
            <w:gridSpan w:val="4"/>
          </w:tcPr>
          <w:p w:rsidR="00C53D82" w:rsidRPr="009E3710" w:rsidRDefault="00C53D82" w:rsidP="008B1A8A">
            <w:pPr>
              <w:rPr>
                <w:b/>
              </w:rPr>
            </w:pPr>
          </w:p>
        </w:tc>
        <w:tc>
          <w:tcPr>
            <w:tcW w:w="400" w:type="pct"/>
          </w:tcPr>
          <w:p w:rsidR="00C53D82" w:rsidRPr="00953AEF" w:rsidRDefault="00C53D82" w:rsidP="008B1A8A">
            <w:pPr>
              <w:rPr>
                <w:color w:val="FF0000"/>
              </w:rPr>
            </w:pPr>
          </w:p>
        </w:tc>
        <w:tc>
          <w:tcPr>
            <w:tcW w:w="2064" w:type="pct"/>
            <w:gridSpan w:val="2"/>
          </w:tcPr>
          <w:p w:rsidR="00C53D82" w:rsidRPr="00801FDD" w:rsidRDefault="00C53D82" w:rsidP="00463F4D">
            <w:pPr>
              <w:rPr>
                <w:sz w:val="18"/>
                <w:szCs w:val="18"/>
              </w:rPr>
            </w:pPr>
            <w:r w:rsidRPr="005215EF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5215EF">
              <w:rPr>
                <w:b/>
                <w:sz w:val="18"/>
                <w:szCs w:val="18"/>
              </w:rPr>
              <w:t xml:space="preserve"> </w:t>
            </w:r>
            <w:r w:rsidRPr="00801FDD">
              <w:rPr>
                <w:sz w:val="18"/>
                <w:szCs w:val="18"/>
              </w:rPr>
              <w:t>Zdroj: ČSÚ</w:t>
            </w:r>
          </w:p>
        </w:tc>
      </w:tr>
    </w:tbl>
    <w:p w:rsidR="00463F4D" w:rsidRDefault="00463F4D" w:rsidP="00D60DD5"/>
    <w:sectPr w:rsidR="00463F4D" w:rsidSect="00D60DD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07D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F8307D" w:rsidRPr="005A21E0">
      <w:rPr>
        <w:rFonts w:ascii="Arial" w:hAnsi="Arial" w:cs="Arial"/>
        <w:sz w:val="16"/>
        <w:szCs w:val="16"/>
      </w:rPr>
      <w:fldChar w:fldCharType="separate"/>
    </w:r>
    <w:r w:rsidR="00D60DD5">
      <w:rPr>
        <w:rFonts w:ascii="Arial" w:hAnsi="Arial" w:cs="Arial"/>
        <w:noProof/>
        <w:sz w:val="16"/>
        <w:szCs w:val="16"/>
      </w:rPr>
      <w:t>18</w:t>
    </w:r>
    <w:r w:rsidR="00F8307D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F8307D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8307D" w:rsidRPr="00223E00">
      <w:rPr>
        <w:rFonts w:ascii="Arial" w:hAnsi="Arial" w:cs="Arial"/>
        <w:sz w:val="16"/>
        <w:szCs w:val="16"/>
      </w:rPr>
      <w:fldChar w:fldCharType="separate"/>
    </w:r>
    <w:r w:rsidR="00D60DD5">
      <w:rPr>
        <w:rFonts w:ascii="Arial" w:hAnsi="Arial" w:cs="Arial"/>
        <w:noProof/>
        <w:sz w:val="16"/>
        <w:szCs w:val="16"/>
      </w:rPr>
      <w:t>19</w:t>
    </w:r>
    <w:r w:rsidR="00F8307D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D17F72"/>
    <w:multiLevelType w:val="hybridMultilevel"/>
    <w:tmpl w:val="EC6ED81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23"/>
  </w:num>
  <w:num w:numId="5">
    <w:abstractNumId w:val="36"/>
  </w:num>
  <w:num w:numId="6">
    <w:abstractNumId w:val="42"/>
  </w:num>
  <w:num w:numId="7">
    <w:abstractNumId w:val="14"/>
  </w:num>
  <w:num w:numId="8">
    <w:abstractNumId w:val="34"/>
  </w:num>
  <w:num w:numId="9">
    <w:abstractNumId w:val="41"/>
  </w:num>
  <w:num w:numId="10">
    <w:abstractNumId w:val="17"/>
  </w:num>
  <w:num w:numId="11">
    <w:abstractNumId w:val="46"/>
  </w:num>
  <w:num w:numId="12">
    <w:abstractNumId w:val="29"/>
  </w:num>
  <w:num w:numId="13">
    <w:abstractNumId w:val="4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7"/>
  </w:num>
  <w:num w:numId="27">
    <w:abstractNumId w:val="38"/>
  </w:num>
  <w:num w:numId="28">
    <w:abstractNumId w:val="16"/>
  </w:num>
  <w:num w:numId="29">
    <w:abstractNumId w:val="18"/>
  </w:num>
  <w:num w:numId="30">
    <w:abstractNumId w:val="40"/>
  </w:num>
  <w:num w:numId="31">
    <w:abstractNumId w:val="21"/>
  </w:num>
  <w:num w:numId="32">
    <w:abstractNumId w:val="48"/>
  </w:num>
  <w:num w:numId="33">
    <w:abstractNumId w:val="44"/>
  </w:num>
  <w:num w:numId="34">
    <w:abstractNumId w:val="19"/>
  </w:num>
  <w:num w:numId="35">
    <w:abstractNumId w:val="25"/>
  </w:num>
  <w:num w:numId="36">
    <w:abstractNumId w:val="32"/>
  </w:num>
  <w:num w:numId="37">
    <w:abstractNumId w:val="33"/>
  </w:num>
  <w:num w:numId="38">
    <w:abstractNumId w:val="15"/>
  </w:num>
  <w:num w:numId="39">
    <w:abstractNumId w:val="11"/>
  </w:num>
  <w:num w:numId="40">
    <w:abstractNumId w:val="43"/>
  </w:num>
  <w:num w:numId="41">
    <w:abstractNumId w:val="30"/>
  </w:num>
  <w:num w:numId="42">
    <w:abstractNumId w:val="26"/>
  </w:num>
  <w:num w:numId="43">
    <w:abstractNumId w:val="12"/>
  </w:num>
  <w:num w:numId="44">
    <w:abstractNumId w:val="31"/>
  </w:num>
  <w:num w:numId="45">
    <w:abstractNumId w:val="35"/>
  </w:num>
  <w:num w:numId="46">
    <w:abstractNumId w:val="22"/>
  </w:num>
  <w:num w:numId="47">
    <w:abstractNumId w:val="39"/>
  </w:num>
  <w:num w:numId="48">
    <w:abstractNumId w:val="47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830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E0F4B"/>
    <w:rsid w:val="007E7E61"/>
    <w:rsid w:val="007F0845"/>
    <w:rsid w:val="007F16F9"/>
    <w:rsid w:val="007F5F14"/>
    <w:rsid w:val="008005D7"/>
    <w:rsid w:val="00801FDD"/>
    <w:rsid w:val="0080255C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DD5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63DDE"/>
    <w:rsid w:val="00F63FB7"/>
    <w:rsid w:val="00F64726"/>
    <w:rsid w:val="00F6561A"/>
    <w:rsid w:val="00F727D5"/>
    <w:rsid w:val="00F72F44"/>
    <w:rsid w:val="00F73A0C"/>
    <w:rsid w:val="00F771A5"/>
    <w:rsid w:val="00F81C3A"/>
    <w:rsid w:val="00F8307D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724F-D49F-4854-A12A-44C135FC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224</TotalTime>
  <Pages>2</Pages>
  <Words>1081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19</cp:revision>
  <cp:lastPrinted>2015-03-20T07:25:00Z</cp:lastPrinted>
  <dcterms:created xsi:type="dcterms:W3CDTF">2015-03-16T09:04:00Z</dcterms:created>
  <dcterms:modified xsi:type="dcterms:W3CDTF">2015-03-20T11:34:00Z</dcterms:modified>
</cp:coreProperties>
</file>