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3A" w:rsidRDefault="0088733A" w:rsidP="00623BA7">
      <w:pPr>
        <w:pStyle w:val="Nadpis1"/>
        <w:numPr>
          <w:ilvl w:val="0"/>
          <w:numId w:val="49"/>
        </w:numPr>
        <w:jc w:val="both"/>
      </w:pPr>
      <w:bookmarkStart w:id="0" w:name="_Toc414264324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 růstu celkové cenové hladiny v ekonomice v roce 2014 o 2,3 % nejvíce přispěl příznivý vývoj cen v zahraničním obchodě se zbožím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DF2873" w:rsidRDefault="00566381" w:rsidP="008B7306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DF2873">
              <w:rPr>
                <w:color w:val="000000" w:themeColor="text1"/>
                <w:spacing w:val="-2"/>
              </w:rPr>
              <w:t>Celková cenová hladina v ekonomice vzrostla v roce 2014 – měřeno implicitním deflátorem HDP bez sezónního očištění – o 2,3 %, nejvíce od roku hluboké recese 2009 (+2,6 %). Ke zvýšení cenové hladiny nejvíce přispěl příznivý vývoj cen v zahraničním obchodě se zbožím (směnné relace se zlepšily o 2,0 %). Zatímco nákupy domácností podražily o</w:t>
            </w:r>
            <w:r>
              <w:rPr>
                <w:color w:val="000000" w:themeColor="text1"/>
                <w:spacing w:val="-2"/>
              </w:rPr>
              <w:t> 0,3 % a</w:t>
            </w:r>
            <w:r w:rsidRPr="00DF2873">
              <w:rPr>
                <w:color w:val="000000" w:themeColor="text1"/>
                <w:spacing w:val="-2"/>
              </w:rPr>
              <w:t xml:space="preserve"> zboží a služby vstupující do</w:t>
            </w:r>
            <w:r>
              <w:rPr>
                <w:color w:val="000000" w:themeColor="text1"/>
                <w:spacing w:val="-2"/>
              </w:rPr>
              <w:t> </w:t>
            </w:r>
            <w:r w:rsidRPr="00DF2873">
              <w:rPr>
                <w:color w:val="000000" w:themeColor="text1"/>
                <w:spacing w:val="-2"/>
              </w:rPr>
              <w:t>spotřeby vládních institucí o 1,7 %</w:t>
            </w:r>
            <w:r>
              <w:rPr>
                <w:color w:val="000000" w:themeColor="text1"/>
                <w:spacing w:val="-2"/>
              </w:rPr>
              <w:t>,</w:t>
            </w:r>
            <w:r w:rsidRPr="00DF2873">
              <w:rPr>
                <w:color w:val="000000" w:themeColor="text1"/>
                <w:spacing w:val="-2"/>
              </w:rPr>
              <w:t xml:space="preserve"> investice (tvorba hrubého fixního kapitálu) se p</w:t>
            </w:r>
            <w:r>
              <w:rPr>
                <w:color w:val="000000" w:themeColor="text1"/>
                <w:spacing w:val="-2"/>
              </w:rPr>
              <w:t>ořizovaly za ceny o 1,6 % vyšší než před rokem.</w:t>
            </w:r>
            <w:r w:rsidRPr="00DF2873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N</w:t>
            </w:r>
            <w:r w:rsidRPr="00DF2873">
              <w:rPr>
                <w:color w:val="000000" w:themeColor="text1"/>
                <w:spacing w:val="-2"/>
              </w:rPr>
              <w:t>egativní vývoj cen v zahraničním obchodě se</w:t>
            </w:r>
            <w:r>
              <w:rPr>
                <w:color w:val="000000" w:themeColor="text1"/>
                <w:spacing w:val="-2"/>
              </w:rPr>
              <w:t> </w:t>
            </w:r>
            <w:r w:rsidRPr="00DF2873">
              <w:rPr>
                <w:color w:val="000000" w:themeColor="text1"/>
                <w:spacing w:val="-2"/>
              </w:rPr>
              <w:t>službami růst cenové hladiny brzdil (směnné relace -1,6 %).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  <w:r w:rsidRPr="0021355B">
              <w:rPr>
                <w:color w:val="000000" w:themeColor="text1"/>
                <w:sz w:val="16"/>
                <w:szCs w:val="16"/>
              </w:rPr>
              <w:t>íra inflace v roce 2014, dosahující jen 0,4 %, byla nejnižší za posledních jedenáct let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C10B28" w:rsidRDefault="00566381" w:rsidP="008B7306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C10B28">
              <w:rPr>
                <w:color w:val="000000" w:themeColor="text1"/>
                <w:spacing w:val="-2"/>
              </w:rPr>
              <w:t>Průměrná míra inflace za rok 2014 klesla na pouhé 0,4 %. Nejenže růst spotřebitelských cen byl výrazně pod cílem České národní banky (ČNB), která jej stanovuje na úrovni 2 %, ceny rostly nejpomaleji od roku 2003 (+0,1 %). Slabý růst cen v roce 2014 byl způsoben především dlouhodobou dezinflací v eurozóně, která do ČR prosakovala skrze ceny dovozu, ale také dobrou úrodou zemědělských plodin. Svým dílem k nízkému růstu spotřebitelských cen zřejmě přispěly i</w:t>
            </w:r>
            <w:r>
              <w:rPr>
                <w:color w:val="000000" w:themeColor="text1"/>
                <w:spacing w:val="-2"/>
              </w:rPr>
              <w:t> </w:t>
            </w:r>
            <w:r w:rsidRPr="00C10B28">
              <w:rPr>
                <w:color w:val="000000" w:themeColor="text1"/>
                <w:spacing w:val="-2"/>
              </w:rPr>
              <w:t>restriktivní opatření uvalené na zahraniční obchod v Evropě, jež se promítaly do přetlaku nabídky některých komodit na trhu. Výraznějšímu útlumu míry inflace v roce 2014 bránila slabší koruna, ale také dále oživující domácí poptávka.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Vývoj cen ropy a zemního plynu na světovém komoditním trhu naznačuje, že hrozba deflace stále odvrácena nebyla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DF2873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DF2873">
              <w:rPr>
                <w:color w:val="000000" w:themeColor="text1"/>
              </w:rPr>
              <w:t>Jak bylo možné soudit z vývoje cen ropy a zemního plynu na světovém trhu ve druhé polovině roku 2014 a v prvních měsících roku 2015, hrozba deflace v ČR zřejmě zažehnána nebyla. Jestliže ještě na začátku července se na světovém trhu s komoditami obchodoval barel ropy Brent za zhruba 110 amerických dolarů, na začátku roku 2015 za méně než 50, a přestože v průběhu ledna a února ceny mírně narostly, meziročně zůstávaly stále výrazně níže. Nepříliš odlišně se vyvíjely i ceny zemního plynu, i ten byl v prvních měsících roku 2015 meziročně výrazně levnější. S tím, jak budou nízké ceny těchto energetických surovin vstřebávány výrobním řetězcem, budou se zřejmě postupně projevovat i v cenách pro spotřebitele.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Ještě v 1. pololetí 2014 se ceny pro spotřebitele v eurozóně zvyšovaly v meziročním srovnání výrazněji než v ČR, ve druhé půlce roku se ale relace obrátila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AB440B" w:rsidRDefault="00566381" w:rsidP="008B7306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AB440B">
              <w:rPr>
                <w:color w:val="000000" w:themeColor="text1"/>
                <w:spacing w:val="-4"/>
              </w:rPr>
              <w:t>Zatímco v eurozóně se v 1. pololetí 2014 ceny pro spotřebitele, jak vyplývá z harmonizovaného indexu spotřebitelských cen, zvyšovaly v meziročním srovnání výrazněji než v </w:t>
            </w:r>
            <w:r w:rsidR="00FF3DF3" w:rsidRPr="00AB440B">
              <w:rPr>
                <w:color w:val="000000" w:themeColor="text1"/>
                <w:spacing w:val="-4"/>
              </w:rPr>
              <w:t>ČR</w:t>
            </w:r>
            <w:r w:rsidRPr="00AB440B">
              <w:rPr>
                <w:color w:val="000000" w:themeColor="text1"/>
                <w:spacing w:val="-4"/>
              </w:rPr>
              <w:t>, ve 2. pololetí se relace obrátila. V samotném 4. čtvrtletí 2014, kdy ceny pro spotřebitele v ČR vzrostly o 0,5 % meziročně, v eurozóně o pouhé 0,2 %. Snaha Evropské centrální banky (ECB) o rozpohybování trhu s úvěry a následně i cen skrze rekordně nízké úrokové sazby, dodávání likvidity bankám a nákupy zajištěných dluhopisů od bank, neměla výsledky. V lednu 2015 se tak ECB rozhodla spustit program kvantitativního uvolňování</w:t>
            </w:r>
            <w:r w:rsidR="00AB440B" w:rsidRPr="00AB440B">
              <w:rPr>
                <w:color w:val="000000" w:themeColor="text1"/>
                <w:spacing w:val="-4"/>
              </w:rPr>
              <w:t xml:space="preserve"> (spuštěn byl v březnu).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Zatímc</w:t>
            </w:r>
            <w:r w:rsidR="00FF3DF3">
              <w:rPr>
                <w:color w:val="000000" w:themeColor="text1"/>
                <w:sz w:val="16"/>
                <w:szCs w:val="16"/>
              </w:rPr>
              <w:t>o v 1. čtvrtletí 2014 bylo v de</w:t>
            </w:r>
            <w:r w:rsidRPr="0021355B">
              <w:rPr>
                <w:color w:val="000000" w:themeColor="text1"/>
                <w:sz w:val="16"/>
                <w:szCs w:val="16"/>
              </w:rPr>
              <w:t>f</w:t>
            </w:r>
            <w:r w:rsidR="00FF3DF3">
              <w:rPr>
                <w:color w:val="000000" w:themeColor="text1"/>
                <w:sz w:val="16"/>
                <w:szCs w:val="16"/>
              </w:rPr>
              <w:t>l</w:t>
            </w:r>
            <w:r w:rsidRPr="0021355B">
              <w:rPr>
                <w:color w:val="000000" w:themeColor="text1"/>
                <w:sz w:val="16"/>
                <w:szCs w:val="16"/>
              </w:rPr>
              <w:t>aci jen pět zemí EU, v posledním už osm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  <w:spacing w:val="-6"/>
              </w:rPr>
            </w:pPr>
            <w:r w:rsidRPr="0021355B">
              <w:rPr>
                <w:color w:val="000000" w:themeColor="text1"/>
              </w:rPr>
              <w:t>Meziroční růst spotřebitelských cen v ČR v posledním čtvrtletí 2014 patřil mezi zeměmi EU k těm nejvyšším. Více ceny narůstaly jen v Rumunsku, Rakousku, Finsku, Velké Británii, Lotyšsku a na Maltě. Ani v jedné z těchto zemí ale meziroční přírůstek nepřekročil hranici 1,5 %. Naproti tomu čím dál tím více zemí se propadalo do deflace. Jestliže ještě v 1. čtvrtletí 2014 evidovalo meziroční pokles spotřebitelských cen jen pět unijních členů, ve 2. čtvrtletí šest, ve 3. už sedm a v posledním dokonce osm.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Ceny potravin v ČR vzrostly v roce 2014 jen o 2,3 %, nejméně od roku 2010, …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21355B">
              <w:rPr>
                <w:color w:val="000000" w:themeColor="text1"/>
                <w:spacing w:val="-2"/>
              </w:rPr>
              <w:t>Růst cen potravin v tuzemsku v průběhu roku 2014 výrazně zpomaloval. Jestliže ještě v 1. čtvrtletí byly ceny potravin v meziročním srovnání vyšší o 4,4 %, ve 2. o 1,9 %, ve 3. kvartále o 1,7 % a v posledním čtvrtletí už jen o 1,4 %. V úhrnu za celý rok 2014 se ceny potravin zvýšily o 2,3 %, nejméně od roku 2010 (+1,7 %).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… velký podíl na nízkém růstu cen potravin měla dobrá úroda zemědělských plodin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Dobrá úroda zemědělských plodin měla přímý poz</w:t>
            </w:r>
            <w:r>
              <w:rPr>
                <w:color w:val="000000" w:themeColor="text1"/>
              </w:rPr>
              <w:t>itivní vliv na ceny ovoce, jež</w:t>
            </w:r>
            <w:r w:rsidRPr="0021355B">
              <w:rPr>
                <w:color w:val="000000" w:themeColor="text1"/>
              </w:rPr>
              <w:t xml:space="preserve"> se v úhrnu za rok 2014 zvýšily jen o 0,5 %, a zeleniny, které dokonce o 3,7 % klesly, projevila se ale také nepřímo v cenách pekárenských výrobků a obilovin (+0,4 %). Maso se v obchodech prodávalo o 2,5 % dráž než před rokem, nejvíce si spotřebitelé museli připlatit za mléko, sýry a vejce (+7,4 %).</w:t>
            </w:r>
          </w:p>
          <w:p w:rsidR="00566381" w:rsidRPr="00ED2CA5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 xml:space="preserve">Ceny </w:t>
            </w:r>
            <w:r>
              <w:rPr>
                <w:color w:val="000000" w:themeColor="text1"/>
                <w:sz w:val="16"/>
                <w:szCs w:val="16"/>
              </w:rPr>
              <w:t xml:space="preserve">průmyslových výrobců </w:t>
            </w:r>
            <w:r w:rsidRPr="0021355B">
              <w:rPr>
                <w:color w:val="000000" w:themeColor="text1"/>
                <w:sz w:val="16"/>
                <w:szCs w:val="16"/>
              </w:rPr>
              <w:t>zamířily v roce 2014 do deflace, v samotném zpracovatelském průmyslu cenová dynamika ale narostla, …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 xml:space="preserve">Ceny </w:t>
            </w:r>
            <w:r>
              <w:rPr>
                <w:color w:val="000000" w:themeColor="text1"/>
              </w:rPr>
              <w:t>průmyslových výrobců</w:t>
            </w:r>
            <w:r w:rsidRPr="0021355B">
              <w:rPr>
                <w:color w:val="000000" w:themeColor="text1"/>
              </w:rPr>
              <w:t>, které v roce 2013 o 0,8 % posílily, zamířily v roce 2014 do deflace. Klesly o 0,8 %, a to i přesto, že cenová dynamika ve  významném zpracovatelském průmyslu narostla z +0,2 % v roce 2013 na +1,0 % v roce 2014. Co za poklesem cen v průmyslu tedy stálo? Prohloubila</w:t>
            </w:r>
            <w:r w:rsidR="00FF3DF3">
              <w:rPr>
                <w:color w:val="000000" w:themeColor="text1"/>
              </w:rPr>
              <w:t xml:space="preserve"> se</w:t>
            </w:r>
            <w:r w:rsidRPr="0021355B">
              <w:rPr>
                <w:color w:val="000000" w:themeColor="text1"/>
              </w:rPr>
              <w:t xml:space="preserve"> deflace v těžbě a dobývání, v odvětví, které se již třetím rokem potýkalo s klesajícími cenami uhlí, navíc v lednu skokově zlevnily dodávky elektřiny a plynu.</w:t>
            </w:r>
          </w:p>
          <w:p w:rsidR="00566381" w:rsidRPr="000F401E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 xml:space="preserve">… a to jak díky pokračujícímu </w:t>
            </w:r>
            <w:r>
              <w:rPr>
                <w:color w:val="000000" w:themeColor="text1"/>
                <w:sz w:val="16"/>
                <w:szCs w:val="16"/>
              </w:rPr>
              <w:t>oživování</w:t>
            </w:r>
            <w:r w:rsidRPr="0021355B">
              <w:rPr>
                <w:color w:val="000000" w:themeColor="text1"/>
                <w:sz w:val="16"/>
                <w:szCs w:val="16"/>
              </w:rPr>
              <w:t xml:space="preserve"> ekonomiky, tak sla</w:t>
            </w:r>
            <w:r>
              <w:rPr>
                <w:color w:val="000000" w:themeColor="text1"/>
                <w:sz w:val="16"/>
                <w:szCs w:val="16"/>
              </w:rPr>
              <w:t>bší koruně, která</w:t>
            </w:r>
            <w:r w:rsidRPr="0021355B">
              <w:rPr>
                <w:color w:val="000000" w:themeColor="text1"/>
                <w:sz w:val="16"/>
                <w:szCs w:val="16"/>
              </w:rPr>
              <w:t xml:space="preserve"> firmám zvyšovala náklady na zakoupení vstupů ze zahraničí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Jak je patrné z členění na </w:t>
            </w:r>
            <w:proofErr w:type="spellStart"/>
            <w:r w:rsidRPr="0021355B">
              <w:rPr>
                <w:color w:val="000000" w:themeColor="text1"/>
              </w:rPr>
              <w:t>subsekce</w:t>
            </w:r>
            <w:proofErr w:type="spellEnd"/>
            <w:r w:rsidRPr="0021355B">
              <w:rPr>
                <w:color w:val="000000" w:themeColor="text1"/>
              </w:rPr>
              <w:t xml:space="preserve"> CZ-CPA, v roce 2014 své ceny zvýšily všechny sledované skupiny podniků zařazené mezi „zpracovatelské“ s výjimkou producentů koksu a rafinovaných ropných produktů (-1,9 %), kterým ve 4. čtvrtletí klesly náklady na zajištění dodávek ropy</w:t>
            </w:r>
            <w:r w:rsidRPr="00631FC2">
              <w:rPr>
                <w:color w:val="000000" w:themeColor="text1"/>
              </w:rPr>
              <w:t>;</w:t>
            </w:r>
            <w:r w:rsidRPr="0021355B">
              <w:rPr>
                <w:color w:val="000000" w:themeColor="text1"/>
              </w:rPr>
              <w:t xml:space="preserve">  výrobců potravinářských výrobků, nápojů a tabáku (-0,3 %), kteří mohli zlevnit díky dobré úrodě a nízkým výkupním cenám zemědělských plodin</w:t>
            </w:r>
            <w:r w:rsidRPr="00631FC2">
              <w:rPr>
                <w:color w:val="000000" w:themeColor="text1"/>
              </w:rPr>
              <w:t>;</w:t>
            </w:r>
            <w:r w:rsidRPr="0021355B">
              <w:rPr>
                <w:color w:val="000000" w:themeColor="text1"/>
              </w:rPr>
              <w:t xml:space="preserve"> a producentů základních farmaceutických výrobků (-1,6 %). Co se týče významných skupin podniků</w:t>
            </w:r>
            <w:r>
              <w:rPr>
                <w:color w:val="000000" w:themeColor="text1"/>
              </w:rPr>
              <w:t xml:space="preserve"> (z hlediska podílu na celkovém výkonu zpracovatelského průmyslu)</w:t>
            </w:r>
            <w:r w:rsidRPr="0021355B">
              <w:rPr>
                <w:color w:val="000000" w:themeColor="text1"/>
              </w:rPr>
              <w:t>, nejvíce zdražili výrobci dopravních prostředků (+3,5 %) a obecných kovů a kovodělných výrobků (+2,4 %), z méně významných pak podniky zabývající se zpracováním dřeva, výrobou papíru a</w:t>
            </w:r>
            <w:r>
              <w:rPr>
                <w:color w:val="000000" w:themeColor="text1"/>
              </w:rPr>
              <w:t> </w:t>
            </w:r>
            <w:r w:rsidRPr="0021355B">
              <w:rPr>
                <w:color w:val="000000" w:themeColor="text1"/>
              </w:rPr>
              <w:t>tiskem (+3,6 %) a producenti textilu, oděvů a usní (+2,4 %).</w:t>
            </w:r>
          </w:p>
          <w:p w:rsidR="00566381" w:rsidRPr="000F401E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Ceny zemědělských výrobců se v roce 2014 snížily o 3,7 %, samotné mléko se ale obchodovalo za ceny o 13,1 % vyšší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Ceny zemědělských výrobců se v roce 2014 snížily o 3,7 %. Dobrá úroda a z ní plynoucí vysoká hmotnost sklizených plodin stlačila ceny všech sledovaných druhů obilovin, meziročně levněji se prodávala i zelenina a zahradnické produkty, brambory, ovoce a průmyslové plodiny (například řepka a slunečnice). Levněji než v roce 2013 se vykupovala hospodářská zvířata (skot, prasata, ovce i</w:t>
            </w:r>
            <w:r>
              <w:rPr>
                <w:color w:val="000000" w:themeColor="text1"/>
              </w:rPr>
              <w:t> </w:t>
            </w:r>
            <w:r w:rsidRPr="0021355B">
              <w:rPr>
                <w:color w:val="000000" w:themeColor="text1"/>
              </w:rPr>
              <w:t xml:space="preserve">drůbež), ceny mléka naproti tomu vzrostly o 13,1 %. </w:t>
            </w:r>
            <w:r>
              <w:rPr>
                <w:color w:val="000000" w:themeColor="text1"/>
              </w:rPr>
              <w:t>Ty se zvyšovaly, zřejmě zejména v</w:t>
            </w:r>
            <w:r w:rsidRPr="0021355B">
              <w:rPr>
                <w:color w:val="000000" w:themeColor="text1"/>
              </w:rPr>
              <w:t xml:space="preserve"> důsledku rostoucí celosvětové poptávky po mléčných výrobcích</w:t>
            </w:r>
            <w:r>
              <w:rPr>
                <w:color w:val="000000" w:themeColor="text1"/>
              </w:rPr>
              <w:t>,</w:t>
            </w:r>
            <w:r w:rsidRPr="002135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již druhým rokem. V</w:t>
            </w:r>
            <w:r w:rsidRPr="0021355B">
              <w:rPr>
                <w:color w:val="000000" w:themeColor="text1"/>
              </w:rPr>
              <w:t xml:space="preserve"> kumulaci za roky 2013 a 2014</w:t>
            </w:r>
            <w:r>
              <w:rPr>
                <w:color w:val="000000" w:themeColor="text1"/>
              </w:rPr>
              <w:t xml:space="preserve"> ceny mléka</w:t>
            </w:r>
            <w:r w:rsidRPr="0021355B">
              <w:rPr>
                <w:color w:val="000000" w:themeColor="text1"/>
              </w:rPr>
              <w:t xml:space="preserve"> narostly o 21,9 %.</w:t>
            </w:r>
          </w:p>
          <w:p w:rsidR="00566381" w:rsidRPr="000F401E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Stavební firmy v roce 2014 již zřejmě nebyly schopné dále zmenšovat své marže a ceny stavebních prací vzrostly o 0,5 %. Zvýšily se poprvé od roku 2009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Ceny ve stavebnictví, které svého dna dosáhly v polovině roku 2013, pokračovaly v mírném nárůstu i v roce 2014. Plyne to z vývoje bazického indexu cen stavebních prací. V úhrnu za celý rok 2014 se ceny ve stavebnictví zvýšily o 0,5 %, k růstu cen stavebních prací došlo poprvé od roku 2009. Firmy již zřejmě nebyly dále schopné zmenšovat své marže a ceny stavebních prací tak rostly s tím, jak firmám narůstaly náklady stavební výroby. Že se stavebním firmám v roce 2014 – z pohledu růstu hodnoty stavebních zakázek a nárůstu objemu stavební produkce – již v celku dařilo, se v cenách stavebních prací příliš neprojevilo. Firmám ve</w:t>
            </w:r>
            <w:r>
              <w:rPr>
                <w:color w:val="000000" w:themeColor="text1"/>
              </w:rPr>
              <w:t xml:space="preserve"> výraznějším</w:t>
            </w:r>
            <w:r w:rsidRPr="0021355B">
              <w:rPr>
                <w:color w:val="000000" w:themeColor="text1"/>
              </w:rPr>
              <w:t xml:space="preserve"> zvyšování cen bránila velká konkurence.</w:t>
            </w:r>
          </w:p>
          <w:p w:rsidR="00566381" w:rsidRPr="000F401E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Opětovnému růstu cen tržních služeb v roce 2014 výrazně napomohla vyšší poptávka zpracovatelského průmyslu po dopravě a skladování, ale i po agenturních zaměstnancích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Ceny tržních služeb se v roce 2014 zvýšily o 0,3 %, k růstu došlo poprvé po dvou letech. Výrazně narostly ceny poštovních a kurýrních služeb (+4,9 %), finanční služby (kromě pojištění a penzijního financování) podražily navzdory velké konkurenci mezi finančními institucemi o 4,6 %, výrazně se zvýšily i ceny služeb pracovních agentur (+4,8 %), kterých v tomto roce hojně využíval zpracovatelský průmysl. Vyšší výkony zpracovatelského průmyslu se projevily i ve vyšší poptávce po dopravě a skladování, a v logice věci tedy i v cenách těchto služeb. Ceny silniční nákladní dopravy narostly o 2,5 %, vodní nákladní dopravy dokonce o 3,9 %. Ceny skladování a podpůrných služeb v dopravě se v úhrnu za celý rok 2014 nezměnily, to ale bylo dáno výrazně diferencovaným vývojem na počátku a ve zbytku roku – jestliže v 1. čtvrtletí ceny skladování a podpůrných služeb v dopravě klesly o 4,6 %</w:t>
            </w:r>
            <w:r>
              <w:rPr>
                <w:color w:val="000000" w:themeColor="text1"/>
              </w:rPr>
              <w:t xml:space="preserve"> meziročně</w:t>
            </w:r>
            <w:r w:rsidRPr="0021355B">
              <w:rPr>
                <w:color w:val="000000" w:themeColor="text1"/>
              </w:rPr>
              <w:t>, v každém dalším byly o 1,7 % výše.</w:t>
            </w:r>
          </w:p>
          <w:p w:rsidR="00566381" w:rsidRPr="000F401E" w:rsidRDefault="00566381" w:rsidP="008B7306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V prosinci 2014 ceny dovozu zboží poprvé po třinácti měsících v meziročním srovnání klesly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566381" w:rsidRPr="00B60062" w:rsidRDefault="00566381" w:rsidP="00C84CE3">
            <w:pPr>
              <w:pStyle w:val="Textpoznpodarou"/>
              <w:jc w:val="both"/>
              <w:rPr>
                <w:color w:val="000000" w:themeColor="text1"/>
              </w:rPr>
            </w:pPr>
            <w:r w:rsidRPr="00B60062">
              <w:rPr>
                <w:color w:val="000000" w:themeColor="text1"/>
              </w:rPr>
              <w:t>Po celý rok 2014, s výjimkou prosince, byl ze zahraničí</w:t>
            </w:r>
            <w:r>
              <w:rPr>
                <w:color w:val="000000" w:themeColor="text1"/>
              </w:rPr>
              <w:t xml:space="preserve"> spolu se zbožím</w:t>
            </w:r>
            <w:r w:rsidRPr="00B60062">
              <w:rPr>
                <w:color w:val="000000" w:themeColor="text1"/>
              </w:rPr>
              <w:t xml:space="preserve"> díky slabší koruně dovážen meziroční </w:t>
            </w:r>
            <w:r>
              <w:rPr>
                <w:color w:val="000000" w:themeColor="text1"/>
              </w:rPr>
              <w:t xml:space="preserve">cenový </w:t>
            </w:r>
            <w:r w:rsidRPr="00B60062">
              <w:rPr>
                <w:color w:val="000000" w:themeColor="text1"/>
              </w:rPr>
              <w:t>růst. V úhrnu za celý rok 2014 ceny dovozu zboží vzrostly o 1,9 %, v samotném prosinci ale stejnou měrou klesly. Na</w:t>
            </w:r>
            <w:r>
              <w:rPr>
                <w:color w:val="000000" w:themeColor="text1"/>
              </w:rPr>
              <w:t> </w:t>
            </w:r>
            <w:r w:rsidRPr="00B60062">
              <w:rPr>
                <w:color w:val="000000" w:themeColor="text1"/>
              </w:rPr>
              <w:t>dovozní ceny jako celek přestalo působit výrazné oslabení koruny</w:t>
            </w:r>
            <w:r w:rsidR="00602D1D">
              <w:rPr>
                <w:color w:val="000000" w:themeColor="text1"/>
              </w:rPr>
              <w:t xml:space="preserve"> k euru</w:t>
            </w:r>
            <w:r w:rsidRPr="00B60062">
              <w:rPr>
                <w:color w:val="000000" w:themeColor="text1"/>
              </w:rPr>
              <w:t>, navíc velmi se prohloubil pokles cen dovozu minerálních paliv a maziv (-20,9 %). Ze zahraničí se opět začala dovážet deflace.</w:t>
            </w:r>
          </w:p>
          <w:p w:rsidR="00566381" w:rsidRPr="000F401E" w:rsidRDefault="00566381" w:rsidP="008B7306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Vývozní ceny zboží vzrostly v roce 2014 o 3,5 %, nejvíce za posledních deset let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FF3DF3" w:rsidRDefault="00566381" w:rsidP="00ED2CA5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D148CD">
              <w:rPr>
                <w:color w:val="000000" w:themeColor="text1"/>
                <w:spacing w:val="-2"/>
              </w:rPr>
              <w:t>Vývozní ceny</w:t>
            </w:r>
            <w:r>
              <w:rPr>
                <w:color w:val="000000" w:themeColor="text1"/>
                <w:spacing w:val="-2"/>
              </w:rPr>
              <w:t xml:space="preserve"> zboží</w:t>
            </w:r>
            <w:r w:rsidRPr="00D148CD">
              <w:rPr>
                <w:color w:val="000000" w:themeColor="text1"/>
                <w:spacing w:val="-2"/>
              </w:rPr>
              <w:t xml:space="preserve"> vzrostly v roce 2014 v úhrnu o 3,5 %, nejvíce za posledních deset let. Je zřejmé, že stejně jako na straně dovozu, i zde ceny pozitivně ovlivnila </w:t>
            </w:r>
            <w:r>
              <w:rPr>
                <w:color w:val="000000" w:themeColor="text1"/>
                <w:spacing w:val="-2"/>
              </w:rPr>
              <w:t>devizová </w:t>
            </w:r>
            <w:r w:rsidRPr="00D148CD">
              <w:rPr>
                <w:color w:val="000000" w:themeColor="text1"/>
                <w:spacing w:val="-2"/>
              </w:rPr>
              <w:t>intervence ČNB. Za vyšší ceny než před rokem se vyváželo veškeré zboží s výjimkou minerálních paliv a maziv (-5,0 %), potravin a živých zvířat (-0,2 %), a hodnotově málo významných živočišných a rostlinných olejů (-3,2 %). Stěžejní komodity v zahraničním obchodě ČR, t</w:t>
            </w:r>
            <w:r>
              <w:rPr>
                <w:color w:val="000000" w:themeColor="text1"/>
                <w:spacing w:val="-2"/>
              </w:rPr>
              <w:t>j. stroje a dopravní prostředky –</w:t>
            </w:r>
            <w:r w:rsidRPr="00D148CD">
              <w:rPr>
                <w:color w:val="000000" w:themeColor="text1"/>
                <w:spacing w:val="-2"/>
              </w:rPr>
              <w:t xml:space="preserve"> které se</w:t>
            </w:r>
            <w:r>
              <w:rPr>
                <w:color w:val="000000" w:themeColor="text1"/>
                <w:spacing w:val="-2"/>
              </w:rPr>
              <w:t> </w:t>
            </w:r>
            <w:r w:rsidRPr="00D148CD">
              <w:rPr>
                <w:color w:val="000000" w:themeColor="text1"/>
                <w:spacing w:val="-2"/>
              </w:rPr>
              <w:t>na</w:t>
            </w:r>
            <w:r>
              <w:rPr>
                <w:color w:val="000000" w:themeColor="text1"/>
                <w:spacing w:val="-2"/>
              </w:rPr>
              <w:t> </w:t>
            </w:r>
            <w:r w:rsidRPr="00D148CD">
              <w:rPr>
                <w:color w:val="000000" w:themeColor="text1"/>
                <w:spacing w:val="-2"/>
              </w:rPr>
              <w:t>celkovém vývozu zboží z ČR podílí zhruba z</w:t>
            </w:r>
            <w:r>
              <w:rPr>
                <w:color w:val="000000" w:themeColor="text1"/>
                <w:spacing w:val="-2"/>
              </w:rPr>
              <w:t> </w:t>
            </w:r>
            <w:r w:rsidRPr="00D148CD">
              <w:rPr>
                <w:color w:val="000000" w:themeColor="text1"/>
                <w:spacing w:val="-2"/>
              </w:rPr>
              <w:t>pol</w:t>
            </w:r>
            <w:r>
              <w:rPr>
                <w:color w:val="000000" w:themeColor="text1"/>
                <w:spacing w:val="-2"/>
              </w:rPr>
              <w:t>oviny –</w:t>
            </w:r>
            <w:r w:rsidRPr="00D148CD">
              <w:rPr>
                <w:color w:val="000000" w:themeColor="text1"/>
                <w:spacing w:val="-2"/>
              </w:rPr>
              <w:t xml:space="preserve"> se do zahraničí prodávaly o 3,7 % dráže než před rokem.</w:t>
            </w:r>
          </w:p>
          <w:p w:rsidR="00602D1D" w:rsidRPr="000F401E" w:rsidRDefault="00602D1D" w:rsidP="00ED2CA5">
            <w:pPr>
              <w:pStyle w:val="Textpoznpodarou"/>
              <w:jc w:val="both"/>
              <w:rPr>
                <w:color w:val="000000" w:themeColor="text1"/>
                <w:spacing w:val="-2"/>
                <w:sz w:val="14"/>
                <w:szCs w:val="14"/>
              </w:rPr>
            </w:pPr>
          </w:p>
        </w:tc>
      </w:tr>
      <w:tr w:rsidR="00566381" w:rsidRPr="007D44C3" w:rsidTr="00ED2CA5">
        <w:tc>
          <w:tcPr>
            <w:tcW w:w="1054" w:type="pct"/>
          </w:tcPr>
          <w:p w:rsidR="00566381" w:rsidRPr="0021355B" w:rsidRDefault="00566381" w:rsidP="00A727B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1355B">
              <w:rPr>
                <w:color w:val="000000" w:themeColor="text1"/>
                <w:sz w:val="16"/>
                <w:szCs w:val="16"/>
              </w:rPr>
              <w:t>Příznivý vývoj cen v zahraničním obchodě se zbožím se dotýkal všech tříd SITC, výjimkou byly jen potraviny a živá zvířata</w:t>
            </w:r>
          </w:p>
        </w:tc>
        <w:tc>
          <w:tcPr>
            <w:tcW w:w="143" w:type="pct"/>
          </w:tcPr>
          <w:p w:rsidR="00566381" w:rsidRPr="0021355B" w:rsidRDefault="00566381" w:rsidP="008B7306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C84CE3" w:rsidRPr="0021355B" w:rsidRDefault="00566381" w:rsidP="00170B04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Příznivý vývoj cen v zahraničním obchodě</w:t>
            </w:r>
            <w:r>
              <w:rPr>
                <w:color w:val="000000" w:themeColor="text1"/>
              </w:rPr>
              <w:t xml:space="preserve"> se zbožím</w:t>
            </w:r>
            <w:r w:rsidRPr="0021355B">
              <w:rPr>
                <w:color w:val="000000" w:themeColor="text1"/>
              </w:rPr>
              <w:t xml:space="preserve"> v roce 2014 – tj. vyšší růst cen vývozu v porovnání s dovozem – zlepšoval směnné relace a tedy i výsledek zahraničního obchodu v běžných cenách, a v logice věci tak i celkovou výkonnost ekonomiky ČR. Směnné relace se zlepšily o 1,6 %, nejvíce od roku 2009 (+3,8</w:t>
            </w:r>
            <w:r>
              <w:rPr>
                <w:color w:val="000000" w:themeColor="text1"/>
              </w:rPr>
              <w:t> </w:t>
            </w:r>
            <w:r w:rsidRPr="0021355B">
              <w:rPr>
                <w:color w:val="000000" w:themeColor="text1"/>
              </w:rPr>
              <w:t xml:space="preserve">%), kdy došlo ke </w:t>
            </w:r>
            <w:r>
              <w:rPr>
                <w:color w:val="000000" w:themeColor="text1"/>
              </w:rPr>
              <w:t>„</w:t>
            </w:r>
            <w:r w:rsidRPr="0021355B">
              <w:rPr>
                <w:color w:val="000000" w:themeColor="text1"/>
              </w:rPr>
              <w:t>splasknutí bubliny</w:t>
            </w:r>
            <w:r>
              <w:rPr>
                <w:color w:val="000000" w:themeColor="text1"/>
              </w:rPr>
              <w:t>“</w:t>
            </w:r>
            <w:r w:rsidRPr="0021355B">
              <w:rPr>
                <w:color w:val="000000" w:themeColor="text1"/>
              </w:rPr>
              <w:t xml:space="preserve"> na světovém trhu s</w:t>
            </w:r>
            <w:r>
              <w:rPr>
                <w:color w:val="000000" w:themeColor="text1"/>
              </w:rPr>
              <w:t> </w:t>
            </w:r>
            <w:r w:rsidRPr="0021355B">
              <w:rPr>
                <w:color w:val="000000" w:themeColor="text1"/>
              </w:rPr>
              <w:t>ropou</w:t>
            </w:r>
            <w:r>
              <w:rPr>
                <w:color w:val="000000" w:themeColor="text1"/>
              </w:rPr>
              <w:t xml:space="preserve"> a česká ekonomika těžila z nízkých dovozníc</w:t>
            </w:r>
            <w:r w:rsidR="00170B04">
              <w:rPr>
                <w:color w:val="000000" w:themeColor="text1"/>
              </w:rPr>
              <w:t>h cen této komodity. P</w:t>
            </w:r>
            <w:r w:rsidRPr="0021355B">
              <w:rPr>
                <w:color w:val="000000" w:themeColor="text1"/>
              </w:rPr>
              <w:t>říznivý vývoj cen v zahraničním obchodě</w:t>
            </w:r>
            <w:r>
              <w:rPr>
                <w:color w:val="000000" w:themeColor="text1"/>
              </w:rPr>
              <w:t xml:space="preserve"> v roce 2014 se dotýkal všech tříd SITC, </w:t>
            </w:r>
            <w:r w:rsidRPr="0021355B">
              <w:rPr>
                <w:color w:val="000000" w:themeColor="text1"/>
              </w:rPr>
              <w:t>výjimkou</w:t>
            </w:r>
            <w:r>
              <w:rPr>
                <w:color w:val="000000" w:themeColor="text1"/>
              </w:rPr>
              <w:t xml:space="preserve"> byly jen</w:t>
            </w:r>
            <w:r w:rsidRPr="0021355B">
              <w:rPr>
                <w:color w:val="000000" w:themeColor="text1"/>
              </w:rPr>
              <w:t xml:space="preserve"> potravin</w:t>
            </w:r>
            <w:r>
              <w:rPr>
                <w:color w:val="000000" w:themeColor="text1"/>
              </w:rPr>
              <w:t>y a živá</w:t>
            </w:r>
            <w:r w:rsidRPr="0021355B">
              <w:rPr>
                <w:color w:val="000000" w:themeColor="text1"/>
              </w:rPr>
              <w:t xml:space="preserve"> zvířat</w:t>
            </w:r>
            <w:r>
              <w:rPr>
                <w:color w:val="000000" w:themeColor="text1"/>
              </w:rPr>
              <w:t>a. Zde se směnné relace</w:t>
            </w:r>
            <w:r w:rsidRPr="0021355B">
              <w:rPr>
                <w:color w:val="000000" w:themeColor="text1"/>
              </w:rPr>
              <w:t xml:space="preserve"> zhoršily</w:t>
            </w:r>
            <w:r>
              <w:rPr>
                <w:color w:val="000000" w:themeColor="text1"/>
              </w:rPr>
              <w:t xml:space="preserve"> již potřetí, konkrétně o</w:t>
            </w:r>
            <w:r w:rsidR="00170B0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4,4</w:t>
            </w:r>
            <w:r w:rsidR="00170B0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%</w:t>
            </w:r>
            <w:r w:rsidRPr="0021355B">
              <w:rPr>
                <w:color w:val="000000" w:themeColor="text1"/>
              </w:rPr>
              <w:t>.</w:t>
            </w:r>
          </w:p>
        </w:tc>
      </w:tr>
    </w:tbl>
    <w:p w:rsidR="0088733A" w:rsidRPr="00ED2CA5" w:rsidRDefault="0088733A" w:rsidP="00BF3DF1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051"/>
        <w:gridCol w:w="3876"/>
        <w:gridCol w:w="887"/>
        <w:gridCol w:w="4040"/>
      </w:tblGrid>
      <w:tr w:rsidR="00B35BEA" w:rsidRPr="0021355B" w:rsidTr="00665D67">
        <w:tc>
          <w:tcPr>
            <w:tcW w:w="532" w:type="pct"/>
          </w:tcPr>
          <w:p w:rsidR="00B35BEA" w:rsidRPr="0021355B" w:rsidRDefault="00B35BEA" w:rsidP="008B7306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Graf č. 11</w:t>
            </w:r>
          </w:p>
        </w:tc>
        <w:tc>
          <w:tcPr>
            <w:tcW w:w="1968" w:type="pct"/>
          </w:tcPr>
          <w:p w:rsidR="00B35BEA" w:rsidRPr="0021355B" w:rsidRDefault="00B35BEA" w:rsidP="008B7306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b/>
                <w:color w:val="000000" w:themeColor="text1"/>
              </w:rPr>
              <w:t>Růst spotřebitelských cen jednotlivých typů domácností</w:t>
            </w:r>
            <w:r w:rsidRPr="0021355B">
              <w:rPr>
                <w:color w:val="000000" w:themeColor="text1"/>
              </w:rPr>
              <w:t xml:space="preserve"> (y/y v %)</w:t>
            </w:r>
          </w:p>
        </w:tc>
        <w:tc>
          <w:tcPr>
            <w:tcW w:w="449" w:type="pct"/>
          </w:tcPr>
          <w:p w:rsidR="00B35BEA" w:rsidRPr="0021355B" w:rsidRDefault="00B35BEA" w:rsidP="008B7306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Graf č. 12</w:t>
            </w:r>
          </w:p>
        </w:tc>
        <w:tc>
          <w:tcPr>
            <w:tcW w:w="2051" w:type="pct"/>
          </w:tcPr>
          <w:p w:rsidR="00B35BEA" w:rsidRPr="0021355B" w:rsidRDefault="00B35BEA" w:rsidP="008B7306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b/>
                <w:color w:val="000000" w:themeColor="text1"/>
              </w:rPr>
              <w:t>Růst cen ve vybraných oddílech CPI</w:t>
            </w:r>
            <w:r w:rsidRPr="0021355B">
              <w:rPr>
                <w:color w:val="000000" w:themeColor="text1"/>
              </w:rPr>
              <w:t xml:space="preserve"> (y/y v %)</w:t>
            </w:r>
          </w:p>
        </w:tc>
      </w:tr>
      <w:tr w:rsidR="00B35BEA" w:rsidRPr="0021355B" w:rsidTr="00665D67">
        <w:tc>
          <w:tcPr>
            <w:tcW w:w="2500" w:type="pct"/>
            <w:gridSpan w:val="2"/>
          </w:tcPr>
          <w:p w:rsidR="00B35BEA" w:rsidRPr="0021355B" w:rsidRDefault="00B35BEA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noProof/>
                <w:color w:val="000000" w:themeColor="text1"/>
              </w:rPr>
              <w:drawing>
                <wp:inline distT="0" distB="0" distL="0" distR="0">
                  <wp:extent cx="3005455" cy="2371725"/>
                  <wp:effectExtent l="19050" t="0" r="4445" b="0"/>
                  <wp:docPr id="50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</w:tcPr>
          <w:p w:rsidR="00B35BEA" w:rsidRPr="0021355B" w:rsidRDefault="00B35BEA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noProof/>
                <w:color w:val="000000" w:themeColor="text1"/>
              </w:rPr>
              <w:drawing>
                <wp:inline distT="0" distB="0" distL="0" distR="0">
                  <wp:extent cx="3005455" cy="2371725"/>
                  <wp:effectExtent l="19050" t="0" r="4445" b="0"/>
                  <wp:docPr id="5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D67" w:rsidRPr="0021355B" w:rsidTr="00665D67">
        <w:tc>
          <w:tcPr>
            <w:tcW w:w="5000" w:type="pct"/>
            <w:gridSpan w:val="4"/>
          </w:tcPr>
          <w:p w:rsidR="00665D67" w:rsidRPr="0021355B" w:rsidRDefault="00665D67" w:rsidP="00665D67">
            <w:pPr>
              <w:pStyle w:val="Textpoznpodarou"/>
              <w:jc w:val="right"/>
              <w:rPr>
                <w:noProof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Zdroj</w:t>
            </w:r>
            <w:r w:rsidRPr="0021355B">
              <w:rPr>
                <w:color w:val="000000" w:themeColor="text1"/>
                <w:sz w:val="18"/>
                <w:szCs w:val="18"/>
              </w:rPr>
              <w:t>: ČSÚ</w:t>
            </w:r>
          </w:p>
        </w:tc>
      </w:tr>
    </w:tbl>
    <w:p w:rsidR="00665D67" w:rsidRPr="00ED2CA5" w:rsidRDefault="00665D67" w:rsidP="00BF3DF1">
      <w:pPr>
        <w:rPr>
          <w:sz w:val="16"/>
          <w:szCs w:val="16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883"/>
        <w:gridCol w:w="882"/>
        <w:gridCol w:w="4045"/>
      </w:tblGrid>
      <w:tr w:rsidR="00B35BEA" w:rsidRPr="0021355B" w:rsidTr="00665D67">
        <w:tc>
          <w:tcPr>
            <w:tcW w:w="527" w:type="pct"/>
          </w:tcPr>
          <w:p w:rsidR="00B35BEA" w:rsidRPr="00B35BEA" w:rsidRDefault="00B35BEA" w:rsidP="008B7306">
            <w:pPr>
              <w:pStyle w:val="Textpoznpodarou"/>
              <w:rPr>
                <w:color w:val="000000" w:themeColor="text1"/>
                <w:sz w:val="20"/>
              </w:rPr>
            </w:pPr>
            <w:r w:rsidRPr="00B35BEA">
              <w:rPr>
                <w:color w:val="000000" w:themeColor="text1"/>
                <w:sz w:val="20"/>
              </w:rPr>
              <w:t>Graf č. 13</w:t>
            </w:r>
          </w:p>
        </w:tc>
        <w:tc>
          <w:tcPr>
            <w:tcW w:w="1964" w:type="pct"/>
          </w:tcPr>
          <w:p w:rsidR="00B35BEA" w:rsidRPr="00B35BEA" w:rsidRDefault="00B35BEA" w:rsidP="008B7306">
            <w:pPr>
              <w:pStyle w:val="Textpoznpodarou"/>
              <w:rPr>
                <w:color w:val="000000" w:themeColor="text1"/>
                <w:sz w:val="20"/>
              </w:rPr>
            </w:pPr>
            <w:r w:rsidRPr="00B35BEA">
              <w:rPr>
                <w:b/>
                <w:color w:val="000000" w:themeColor="text1"/>
                <w:sz w:val="20"/>
              </w:rPr>
              <w:t>Deflátory</w:t>
            </w:r>
            <w:r w:rsidRPr="00B35BEA">
              <w:rPr>
                <w:color w:val="000000" w:themeColor="text1"/>
                <w:sz w:val="20"/>
              </w:rPr>
              <w:t xml:space="preserve"> (očištěno od sezónnosti a vlivu počtu pracovních dní, y/y v %)</w:t>
            </w:r>
          </w:p>
        </w:tc>
        <w:tc>
          <w:tcPr>
            <w:tcW w:w="448" w:type="pct"/>
          </w:tcPr>
          <w:p w:rsidR="00B35BEA" w:rsidRPr="00B35BEA" w:rsidRDefault="00B35BEA" w:rsidP="008B7306">
            <w:pPr>
              <w:pStyle w:val="Textpoznpodarou"/>
              <w:rPr>
                <w:color w:val="000000" w:themeColor="text1"/>
                <w:sz w:val="20"/>
              </w:rPr>
            </w:pPr>
            <w:r w:rsidRPr="00B35BEA">
              <w:rPr>
                <w:color w:val="000000" w:themeColor="text1"/>
                <w:sz w:val="20"/>
              </w:rPr>
              <w:t>Graf č. 14</w:t>
            </w:r>
          </w:p>
        </w:tc>
        <w:tc>
          <w:tcPr>
            <w:tcW w:w="2061" w:type="pct"/>
          </w:tcPr>
          <w:p w:rsidR="00B35BEA" w:rsidRPr="00B35BEA" w:rsidRDefault="00B35BEA" w:rsidP="008B7306">
            <w:pPr>
              <w:pStyle w:val="Textpoznpodarou"/>
              <w:rPr>
                <w:color w:val="000000" w:themeColor="text1"/>
                <w:spacing w:val="-6"/>
                <w:sz w:val="20"/>
              </w:rPr>
            </w:pPr>
            <w:r w:rsidRPr="00B35BEA">
              <w:rPr>
                <w:b/>
                <w:color w:val="000000" w:themeColor="text1"/>
                <w:spacing w:val="-6"/>
                <w:sz w:val="20"/>
              </w:rPr>
              <w:t>Ceny výrobců</w:t>
            </w:r>
            <w:r w:rsidRPr="00B35BEA">
              <w:rPr>
                <w:color w:val="000000" w:themeColor="text1"/>
                <w:spacing w:val="-6"/>
                <w:sz w:val="20"/>
              </w:rPr>
              <w:t xml:space="preserve"> (y/y v %, ceny v zemědělství na pravé ose, ostatní na levé ose)</w:t>
            </w:r>
          </w:p>
        </w:tc>
      </w:tr>
      <w:tr w:rsidR="00B35BEA" w:rsidRPr="0021355B" w:rsidTr="00665D67">
        <w:tc>
          <w:tcPr>
            <w:tcW w:w="2491" w:type="pct"/>
            <w:gridSpan w:val="2"/>
          </w:tcPr>
          <w:p w:rsidR="00B35BEA" w:rsidRPr="0021355B" w:rsidRDefault="00B35BEA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491F8F">
              <w:rPr>
                <w:noProof/>
                <w:color w:val="000000" w:themeColor="text1"/>
              </w:rPr>
              <w:drawing>
                <wp:inline distT="0" distB="0" distL="0" distR="0">
                  <wp:extent cx="3005455" cy="2371725"/>
                  <wp:effectExtent l="19050" t="0" r="4445" b="0"/>
                  <wp:docPr id="5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pct"/>
            <w:gridSpan w:val="2"/>
          </w:tcPr>
          <w:p w:rsidR="00B35BEA" w:rsidRPr="0021355B" w:rsidRDefault="00B35BEA" w:rsidP="008B7306">
            <w:pPr>
              <w:pStyle w:val="Textpoznpodarou"/>
              <w:jc w:val="both"/>
              <w:rPr>
                <w:color w:val="000000" w:themeColor="text1"/>
              </w:rPr>
            </w:pPr>
            <w:r w:rsidRPr="0021355B">
              <w:rPr>
                <w:noProof/>
                <w:color w:val="000000" w:themeColor="text1"/>
              </w:rPr>
              <w:drawing>
                <wp:inline distT="0" distB="0" distL="0" distR="0">
                  <wp:extent cx="3005455" cy="2365375"/>
                  <wp:effectExtent l="19050" t="0" r="4445" b="0"/>
                  <wp:docPr id="1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EA" w:rsidRPr="0021355B" w:rsidTr="00665D67">
        <w:tc>
          <w:tcPr>
            <w:tcW w:w="5000" w:type="pct"/>
            <w:gridSpan w:val="4"/>
          </w:tcPr>
          <w:p w:rsidR="00380E04" w:rsidRPr="0021355B" w:rsidRDefault="00B35BEA" w:rsidP="00380E04">
            <w:pPr>
              <w:pStyle w:val="Textpoznpodarou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Zdroj</w:t>
            </w:r>
            <w:r w:rsidRPr="0021355B">
              <w:rPr>
                <w:color w:val="000000" w:themeColor="text1"/>
                <w:sz w:val="18"/>
                <w:szCs w:val="18"/>
              </w:rPr>
              <w:t>: ČSÚ</w:t>
            </w:r>
          </w:p>
        </w:tc>
      </w:tr>
    </w:tbl>
    <w:p w:rsidR="00380E04" w:rsidRDefault="00380E04" w:rsidP="005513D5"/>
    <w:sectPr w:rsidR="00380E04" w:rsidSect="00623BA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5D" w:rsidRDefault="0075315D" w:rsidP="00E71A58">
      <w:r>
        <w:separator/>
      </w:r>
    </w:p>
  </w:endnote>
  <w:endnote w:type="continuationSeparator" w:id="0">
    <w:p w:rsidR="0075315D" w:rsidRDefault="007531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44D9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7D44D9" w:rsidRPr="005A21E0">
      <w:rPr>
        <w:rFonts w:ascii="Arial" w:hAnsi="Arial" w:cs="Arial"/>
        <w:sz w:val="16"/>
        <w:szCs w:val="16"/>
      </w:rPr>
      <w:fldChar w:fldCharType="separate"/>
    </w:r>
    <w:r w:rsidR="00623BA7">
      <w:rPr>
        <w:rFonts w:ascii="Arial" w:hAnsi="Arial" w:cs="Arial"/>
        <w:noProof/>
        <w:sz w:val="16"/>
        <w:szCs w:val="16"/>
      </w:rPr>
      <w:t>16</w:t>
    </w:r>
    <w:r w:rsidR="007D44D9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5315D" w:rsidRPr="00223E00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7D44D9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D44D9" w:rsidRPr="00223E00">
      <w:rPr>
        <w:rFonts w:ascii="Arial" w:hAnsi="Arial" w:cs="Arial"/>
        <w:sz w:val="16"/>
        <w:szCs w:val="16"/>
      </w:rPr>
      <w:fldChar w:fldCharType="separate"/>
    </w:r>
    <w:r w:rsidR="00623BA7">
      <w:rPr>
        <w:rFonts w:ascii="Arial" w:hAnsi="Arial" w:cs="Arial"/>
        <w:noProof/>
        <w:sz w:val="16"/>
        <w:szCs w:val="16"/>
      </w:rPr>
      <w:t>15</w:t>
    </w:r>
    <w:r w:rsidR="007D44D9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5D" w:rsidRDefault="0075315D" w:rsidP="00E71A58">
      <w:r>
        <w:separator/>
      </w:r>
    </w:p>
  </w:footnote>
  <w:footnote w:type="continuationSeparator" w:id="0">
    <w:p w:rsidR="0075315D" w:rsidRDefault="007531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173642" w:rsidRDefault="0075315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DC5B3B" w:rsidRDefault="0075315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41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96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63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5A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9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96A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0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A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C3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4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1A7BF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355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F1AE0"/>
    <w:multiLevelType w:val="hybridMultilevel"/>
    <w:tmpl w:val="844CE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14C7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2521970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D4A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5F91BE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A2125F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A2D63B1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35D4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3D0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1BA"/>
    <w:multiLevelType w:val="hybridMultilevel"/>
    <w:tmpl w:val="E22E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36DA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E686B0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E50C6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744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2FD6EF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148B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323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542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83E8F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8B57C7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7AE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67C7F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6924CEA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8F4261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C66F9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D103F7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0E96A1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9E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A6971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E609F0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E706D5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2"/>
  </w:num>
  <w:num w:numId="5">
    <w:abstractNumId w:val="35"/>
  </w:num>
  <w:num w:numId="6">
    <w:abstractNumId w:val="41"/>
  </w:num>
  <w:num w:numId="7">
    <w:abstractNumId w:val="14"/>
  </w:num>
  <w:num w:numId="8">
    <w:abstractNumId w:val="33"/>
  </w:num>
  <w:num w:numId="9">
    <w:abstractNumId w:val="40"/>
  </w:num>
  <w:num w:numId="10">
    <w:abstractNumId w:val="17"/>
  </w:num>
  <w:num w:numId="11">
    <w:abstractNumId w:val="46"/>
  </w:num>
  <w:num w:numId="12">
    <w:abstractNumId w:val="28"/>
  </w:num>
  <w:num w:numId="13">
    <w:abstractNumId w:val="4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0"/>
  </w:num>
  <w:num w:numId="26">
    <w:abstractNumId w:val="36"/>
  </w:num>
  <w:num w:numId="27">
    <w:abstractNumId w:val="37"/>
  </w:num>
  <w:num w:numId="28">
    <w:abstractNumId w:val="16"/>
  </w:num>
  <w:num w:numId="29">
    <w:abstractNumId w:val="18"/>
  </w:num>
  <w:num w:numId="30">
    <w:abstractNumId w:val="39"/>
  </w:num>
  <w:num w:numId="31">
    <w:abstractNumId w:val="20"/>
  </w:num>
  <w:num w:numId="32">
    <w:abstractNumId w:val="48"/>
  </w:num>
  <w:num w:numId="33">
    <w:abstractNumId w:val="44"/>
  </w:num>
  <w:num w:numId="34">
    <w:abstractNumId w:val="19"/>
  </w:num>
  <w:num w:numId="35">
    <w:abstractNumId w:val="24"/>
  </w:num>
  <w:num w:numId="36">
    <w:abstractNumId w:val="31"/>
  </w:num>
  <w:num w:numId="37">
    <w:abstractNumId w:val="32"/>
  </w:num>
  <w:num w:numId="38">
    <w:abstractNumId w:val="15"/>
  </w:num>
  <w:num w:numId="39">
    <w:abstractNumId w:val="11"/>
  </w:num>
  <w:num w:numId="40">
    <w:abstractNumId w:val="42"/>
  </w:num>
  <w:num w:numId="41">
    <w:abstractNumId w:val="29"/>
  </w:num>
  <w:num w:numId="42">
    <w:abstractNumId w:val="25"/>
  </w:num>
  <w:num w:numId="43">
    <w:abstractNumId w:val="12"/>
  </w:num>
  <w:num w:numId="44">
    <w:abstractNumId w:val="30"/>
  </w:num>
  <w:num w:numId="45">
    <w:abstractNumId w:val="34"/>
  </w:num>
  <w:num w:numId="46">
    <w:abstractNumId w:val="21"/>
  </w:num>
  <w:num w:numId="47">
    <w:abstractNumId w:val="38"/>
  </w:num>
  <w:num w:numId="48">
    <w:abstractNumId w:val="47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8305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3687"/>
    <w:rsid w:val="00003C43"/>
    <w:rsid w:val="0000767A"/>
    <w:rsid w:val="000104B9"/>
    <w:rsid w:val="00010702"/>
    <w:rsid w:val="0001159B"/>
    <w:rsid w:val="0001573E"/>
    <w:rsid w:val="00017F05"/>
    <w:rsid w:val="000202C6"/>
    <w:rsid w:val="00020946"/>
    <w:rsid w:val="00024887"/>
    <w:rsid w:val="00024CBA"/>
    <w:rsid w:val="00026998"/>
    <w:rsid w:val="0003066A"/>
    <w:rsid w:val="00032838"/>
    <w:rsid w:val="00032C12"/>
    <w:rsid w:val="00035FC6"/>
    <w:rsid w:val="00037667"/>
    <w:rsid w:val="000411E1"/>
    <w:rsid w:val="0004694F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20EC"/>
    <w:rsid w:val="00092505"/>
    <w:rsid w:val="000A1183"/>
    <w:rsid w:val="000A2121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2E41"/>
    <w:rsid w:val="000D5E7A"/>
    <w:rsid w:val="000D5FAA"/>
    <w:rsid w:val="000D65A4"/>
    <w:rsid w:val="000D6AEF"/>
    <w:rsid w:val="000E19A8"/>
    <w:rsid w:val="000E78D2"/>
    <w:rsid w:val="000F3332"/>
    <w:rsid w:val="000F33EE"/>
    <w:rsid w:val="000F401E"/>
    <w:rsid w:val="000F5445"/>
    <w:rsid w:val="000F67B2"/>
    <w:rsid w:val="00102F02"/>
    <w:rsid w:val="001041B6"/>
    <w:rsid w:val="001070EA"/>
    <w:rsid w:val="0011002A"/>
    <w:rsid w:val="0011110A"/>
    <w:rsid w:val="001118AF"/>
    <w:rsid w:val="0011256E"/>
    <w:rsid w:val="00116DB9"/>
    <w:rsid w:val="00121C39"/>
    <w:rsid w:val="00123255"/>
    <w:rsid w:val="00124D2D"/>
    <w:rsid w:val="001307BE"/>
    <w:rsid w:val="00130C8F"/>
    <w:rsid w:val="001314F2"/>
    <w:rsid w:val="001317DA"/>
    <w:rsid w:val="0013254D"/>
    <w:rsid w:val="00133AAC"/>
    <w:rsid w:val="00136561"/>
    <w:rsid w:val="001400E1"/>
    <w:rsid w:val="001405FA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4D8"/>
    <w:rsid w:val="00176A8F"/>
    <w:rsid w:val="00182981"/>
    <w:rsid w:val="00184CF9"/>
    <w:rsid w:val="00185010"/>
    <w:rsid w:val="001874CF"/>
    <w:rsid w:val="00190D9B"/>
    <w:rsid w:val="00195444"/>
    <w:rsid w:val="001A2BDB"/>
    <w:rsid w:val="001A552F"/>
    <w:rsid w:val="001B1D89"/>
    <w:rsid w:val="001B3110"/>
    <w:rsid w:val="001B44BC"/>
    <w:rsid w:val="001B6545"/>
    <w:rsid w:val="001B681B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10CC2"/>
    <w:rsid w:val="00210F5B"/>
    <w:rsid w:val="00211262"/>
    <w:rsid w:val="00211AC9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FDC"/>
    <w:rsid w:val="00261E5B"/>
    <w:rsid w:val="00263470"/>
    <w:rsid w:val="00263733"/>
    <w:rsid w:val="00265536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BD5"/>
    <w:rsid w:val="002A43A2"/>
    <w:rsid w:val="002A4612"/>
    <w:rsid w:val="002A5263"/>
    <w:rsid w:val="002A6821"/>
    <w:rsid w:val="002A74D2"/>
    <w:rsid w:val="002B36C8"/>
    <w:rsid w:val="002B7240"/>
    <w:rsid w:val="002C43BD"/>
    <w:rsid w:val="002C5261"/>
    <w:rsid w:val="002C6091"/>
    <w:rsid w:val="002D0562"/>
    <w:rsid w:val="002D1B5A"/>
    <w:rsid w:val="002D5E94"/>
    <w:rsid w:val="002D632D"/>
    <w:rsid w:val="002E02A1"/>
    <w:rsid w:val="002E2CE4"/>
    <w:rsid w:val="00301357"/>
    <w:rsid w:val="00301D04"/>
    <w:rsid w:val="00304771"/>
    <w:rsid w:val="00305736"/>
    <w:rsid w:val="00306C5B"/>
    <w:rsid w:val="00312C3D"/>
    <w:rsid w:val="00314331"/>
    <w:rsid w:val="003209D6"/>
    <w:rsid w:val="00322164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74F1E"/>
    <w:rsid w:val="00376DEC"/>
    <w:rsid w:val="00380E04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D3600"/>
    <w:rsid w:val="003D3825"/>
    <w:rsid w:val="003D4760"/>
    <w:rsid w:val="003E0663"/>
    <w:rsid w:val="003E133F"/>
    <w:rsid w:val="003E699C"/>
    <w:rsid w:val="003E69F3"/>
    <w:rsid w:val="003E782E"/>
    <w:rsid w:val="003E7A0B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C25"/>
    <w:rsid w:val="004050D7"/>
    <w:rsid w:val="004078BD"/>
    <w:rsid w:val="00410132"/>
    <w:rsid w:val="004123BE"/>
    <w:rsid w:val="00414CE5"/>
    <w:rsid w:val="00416673"/>
    <w:rsid w:val="0042160D"/>
    <w:rsid w:val="0042681B"/>
    <w:rsid w:val="0043068A"/>
    <w:rsid w:val="004306E0"/>
    <w:rsid w:val="004329BE"/>
    <w:rsid w:val="00437C76"/>
    <w:rsid w:val="004441A0"/>
    <w:rsid w:val="004443BF"/>
    <w:rsid w:val="00446892"/>
    <w:rsid w:val="00450C30"/>
    <w:rsid w:val="00455ECA"/>
    <w:rsid w:val="00460164"/>
    <w:rsid w:val="0046039A"/>
    <w:rsid w:val="00461977"/>
    <w:rsid w:val="004629FD"/>
    <w:rsid w:val="00463F4D"/>
    <w:rsid w:val="00465019"/>
    <w:rsid w:val="0046613F"/>
    <w:rsid w:val="0046655D"/>
    <w:rsid w:val="0046765E"/>
    <w:rsid w:val="004676E2"/>
    <w:rsid w:val="00471EDD"/>
    <w:rsid w:val="0047400C"/>
    <w:rsid w:val="00476D29"/>
    <w:rsid w:val="00477EAF"/>
    <w:rsid w:val="00477EE0"/>
    <w:rsid w:val="0048139F"/>
    <w:rsid w:val="004879E9"/>
    <w:rsid w:val="00491218"/>
    <w:rsid w:val="00493362"/>
    <w:rsid w:val="00496C2F"/>
    <w:rsid w:val="0049740D"/>
    <w:rsid w:val="004A269A"/>
    <w:rsid w:val="004A30FB"/>
    <w:rsid w:val="004A35DD"/>
    <w:rsid w:val="004A37D3"/>
    <w:rsid w:val="004A5865"/>
    <w:rsid w:val="004A77DF"/>
    <w:rsid w:val="004B0295"/>
    <w:rsid w:val="004B3CB7"/>
    <w:rsid w:val="004B3D55"/>
    <w:rsid w:val="004B55B7"/>
    <w:rsid w:val="004C00A6"/>
    <w:rsid w:val="004C0BBB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5359"/>
    <w:rsid w:val="005357A2"/>
    <w:rsid w:val="00535EF0"/>
    <w:rsid w:val="0053734B"/>
    <w:rsid w:val="00537AFD"/>
    <w:rsid w:val="00537CB4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4240"/>
    <w:rsid w:val="00575CDC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E0"/>
    <w:rsid w:val="005A33A1"/>
    <w:rsid w:val="005A54EE"/>
    <w:rsid w:val="005A7500"/>
    <w:rsid w:val="005B1BDB"/>
    <w:rsid w:val="005B3247"/>
    <w:rsid w:val="005B3409"/>
    <w:rsid w:val="005B7B12"/>
    <w:rsid w:val="005C3F9F"/>
    <w:rsid w:val="005C7F1E"/>
    <w:rsid w:val="005D5802"/>
    <w:rsid w:val="005D73E2"/>
    <w:rsid w:val="005E1E4B"/>
    <w:rsid w:val="005E362D"/>
    <w:rsid w:val="005E492C"/>
    <w:rsid w:val="005E4BAA"/>
    <w:rsid w:val="005E5B56"/>
    <w:rsid w:val="005F4057"/>
    <w:rsid w:val="005F4088"/>
    <w:rsid w:val="005F6119"/>
    <w:rsid w:val="0060107A"/>
    <w:rsid w:val="00601AFF"/>
    <w:rsid w:val="00602D1D"/>
    <w:rsid w:val="00604307"/>
    <w:rsid w:val="0060487F"/>
    <w:rsid w:val="00606B93"/>
    <w:rsid w:val="006118AA"/>
    <w:rsid w:val="006153E3"/>
    <w:rsid w:val="00617D2D"/>
    <w:rsid w:val="00617D83"/>
    <w:rsid w:val="00620AC5"/>
    <w:rsid w:val="00621575"/>
    <w:rsid w:val="006215FC"/>
    <w:rsid w:val="00623BA7"/>
    <w:rsid w:val="00624093"/>
    <w:rsid w:val="00630F66"/>
    <w:rsid w:val="0063332A"/>
    <w:rsid w:val="006347F9"/>
    <w:rsid w:val="00634C90"/>
    <w:rsid w:val="00635E79"/>
    <w:rsid w:val="006404A7"/>
    <w:rsid w:val="006407F3"/>
    <w:rsid w:val="006451E4"/>
    <w:rsid w:val="006460B8"/>
    <w:rsid w:val="006520C7"/>
    <w:rsid w:val="006530B8"/>
    <w:rsid w:val="006535D6"/>
    <w:rsid w:val="00657E87"/>
    <w:rsid w:val="00660457"/>
    <w:rsid w:val="00660E1E"/>
    <w:rsid w:val="006637B1"/>
    <w:rsid w:val="00665D67"/>
    <w:rsid w:val="00665D77"/>
    <w:rsid w:val="006660CD"/>
    <w:rsid w:val="006676D0"/>
    <w:rsid w:val="006710C9"/>
    <w:rsid w:val="00675E37"/>
    <w:rsid w:val="0068260E"/>
    <w:rsid w:val="0068373D"/>
    <w:rsid w:val="00683BFE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9A"/>
    <w:rsid w:val="006C58FA"/>
    <w:rsid w:val="006D042D"/>
    <w:rsid w:val="006D06EF"/>
    <w:rsid w:val="006D61F6"/>
    <w:rsid w:val="006E1F4C"/>
    <w:rsid w:val="006E279A"/>
    <w:rsid w:val="006E2F3F"/>
    <w:rsid w:val="006E313B"/>
    <w:rsid w:val="006E442A"/>
    <w:rsid w:val="006E5CFD"/>
    <w:rsid w:val="006F3708"/>
    <w:rsid w:val="006F3E6B"/>
    <w:rsid w:val="006F4A59"/>
    <w:rsid w:val="007014C7"/>
    <w:rsid w:val="00702D6F"/>
    <w:rsid w:val="00705D98"/>
    <w:rsid w:val="00707891"/>
    <w:rsid w:val="00711EF1"/>
    <w:rsid w:val="00720FA2"/>
    <w:rsid w:val="007211F5"/>
    <w:rsid w:val="00724666"/>
    <w:rsid w:val="00726043"/>
    <w:rsid w:val="0072704A"/>
    <w:rsid w:val="00730AE8"/>
    <w:rsid w:val="00734321"/>
    <w:rsid w:val="00740652"/>
    <w:rsid w:val="00740F02"/>
    <w:rsid w:val="00740FEC"/>
    <w:rsid w:val="00741493"/>
    <w:rsid w:val="007426B3"/>
    <w:rsid w:val="007426FD"/>
    <w:rsid w:val="00744376"/>
    <w:rsid w:val="007449EA"/>
    <w:rsid w:val="00746DD9"/>
    <w:rsid w:val="0075057A"/>
    <w:rsid w:val="00751771"/>
    <w:rsid w:val="00752180"/>
    <w:rsid w:val="007521A1"/>
    <w:rsid w:val="0075315D"/>
    <w:rsid w:val="00754253"/>
    <w:rsid w:val="007558D3"/>
    <w:rsid w:val="00755D3A"/>
    <w:rsid w:val="007609C6"/>
    <w:rsid w:val="007610A0"/>
    <w:rsid w:val="007620F2"/>
    <w:rsid w:val="00774782"/>
    <w:rsid w:val="00776527"/>
    <w:rsid w:val="00781834"/>
    <w:rsid w:val="00782818"/>
    <w:rsid w:val="00784C4A"/>
    <w:rsid w:val="00787432"/>
    <w:rsid w:val="007879F2"/>
    <w:rsid w:val="00791CF8"/>
    <w:rsid w:val="00793BAE"/>
    <w:rsid w:val="00794E0A"/>
    <w:rsid w:val="00796642"/>
    <w:rsid w:val="007A327B"/>
    <w:rsid w:val="007A4606"/>
    <w:rsid w:val="007B3DCC"/>
    <w:rsid w:val="007B4518"/>
    <w:rsid w:val="007B5031"/>
    <w:rsid w:val="007B573F"/>
    <w:rsid w:val="007D2AD8"/>
    <w:rsid w:val="007D2C47"/>
    <w:rsid w:val="007D44D9"/>
    <w:rsid w:val="007E0F4B"/>
    <w:rsid w:val="007E7E61"/>
    <w:rsid w:val="007F0845"/>
    <w:rsid w:val="007F16F9"/>
    <w:rsid w:val="007F5F14"/>
    <w:rsid w:val="008005D7"/>
    <w:rsid w:val="00801FDD"/>
    <w:rsid w:val="0080255C"/>
    <w:rsid w:val="0081187C"/>
    <w:rsid w:val="00811E24"/>
    <w:rsid w:val="00813A70"/>
    <w:rsid w:val="0081645F"/>
    <w:rsid w:val="008178C2"/>
    <w:rsid w:val="008178CF"/>
    <w:rsid w:val="00820C9F"/>
    <w:rsid w:val="00821FF6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2604"/>
    <w:rsid w:val="00843ECF"/>
    <w:rsid w:val="00846673"/>
    <w:rsid w:val="0085281A"/>
    <w:rsid w:val="008559FE"/>
    <w:rsid w:val="00857339"/>
    <w:rsid w:val="00863D9E"/>
    <w:rsid w:val="00867E29"/>
    <w:rsid w:val="00870F2B"/>
    <w:rsid w:val="008746E6"/>
    <w:rsid w:val="00876086"/>
    <w:rsid w:val="008768D6"/>
    <w:rsid w:val="008775D1"/>
    <w:rsid w:val="008777BB"/>
    <w:rsid w:val="0088733A"/>
    <w:rsid w:val="00891BE0"/>
    <w:rsid w:val="008945A1"/>
    <w:rsid w:val="00894A63"/>
    <w:rsid w:val="00896BDE"/>
    <w:rsid w:val="008A0861"/>
    <w:rsid w:val="008A0BB2"/>
    <w:rsid w:val="008A1AB3"/>
    <w:rsid w:val="008A1D5C"/>
    <w:rsid w:val="008A3292"/>
    <w:rsid w:val="008A43E9"/>
    <w:rsid w:val="008A4CB1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CB8"/>
    <w:rsid w:val="008C7815"/>
    <w:rsid w:val="008D0171"/>
    <w:rsid w:val="008D2A16"/>
    <w:rsid w:val="008D2ECF"/>
    <w:rsid w:val="008D3F3D"/>
    <w:rsid w:val="008E31FF"/>
    <w:rsid w:val="008E6AB3"/>
    <w:rsid w:val="008E6AD3"/>
    <w:rsid w:val="008E71A6"/>
    <w:rsid w:val="008E77B6"/>
    <w:rsid w:val="008F032E"/>
    <w:rsid w:val="008F0F14"/>
    <w:rsid w:val="008F4FCE"/>
    <w:rsid w:val="008F7D28"/>
    <w:rsid w:val="009003A8"/>
    <w:rsid w:val="00902CBE"/>
    <w:rsid w:val="00902EFF"/>
    <w:rsid w:val="00903E06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60B0"/>
    <w:rsid w:val="00957871"/>
    <w:rsid w:val="00964498"/>
    <w:rsid w:val="0096650F"/>
    <w:rsid w:val="009700DB"/>
    <w:rsid w:val="00972263"/>
    <w:rsid w:val="00972D8D"/>
    <w:rsid w:val="00973AAE"/>
    <w:rsid w:val="00974923"/>
    <w:rsid w:val="00974D48"/>
    <w:rsid w:val="00980621"/>
    <w:rsid w:val="00982072"/>
    <w:rsid w:val="00983ECF"/>
    <w:rsid w:val="00986745"/>
    <w:rsid w:val="00987109"/>
    <w:rsid w:val="0099012D"/>
    <w:rsid w:val="00996355"/>
    <w:rsid w:val="009A4E12"/>
    <w:rsid w:val="009B052C"/>
    <w:rsid w:val="009B0EF2"/>
    <w:rsid w:val="009B23A3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6DE0"/>
    <w:rsid w:val="00A4778A"/>
    <w:rsid w:val="00A5067F"/>
    <w:rsid w:val="00A55301"/>
    <w:rsid w:val="00A57B3C"/>
    <w:rsid w:val="00A6128E"/>
    <w:rsid w:val="00A62CE1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7E3F"/>
    <w:rsid w:val="00AA23FB"/>
    <w:rsid w:val="00AA42AB"/>
    <w:rsid w:val="00AA559A"/>
    <w:rsid w:val="00AB2AF1"/>
    <w:rsid w:val="00AB440B"/>
    <w:rsid w:val="00AB74C5"/>
    <w:rsid w:val="00AB7DF2"/>
    <w:rsid w:val="00AC1E3F"/>
    <w:rsid w:val="00AC4F18"/>
    <w:rsid w:val="00AD0B46"/>
    <w:rsid w:val="00AD2565"/>
    <w:rsid w:val="00AD306C"/>
    <w:rsid w:val="00AD3424"/>
    <w:rsid w:val="00AD59BB"/>
    <w:rsid w:val="00AD5D68"/>
    <w:rsid w:val="00AD6C73"/>
    <w:rsid w:val="00AE06D0"/>
    <w:rsid w:val="00AE39DC"/>
    <w:rsid w:val="00AE7968"/>
    <w:rsid w:val="00AF128B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3229E"/>
    <w:rsid w:val="00B32DDB"/>
    <w:rsid w:val="00B35BEA"/>
    <w:rsid w:val="00B41BE6"/>
    <w:rsid w:val="00B457E7"/>
    <w:rsid w:val="00B52D2D"/>
    <w:rsid w:val="00B561A6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6748"/>
    <w:rsid w:val="00B91EC9"/>
    <w:rsid w:val="00B924CA"/>
    <w:rsid w:val="00B93384"/>
    <w:rsid w:val="00B94417"/>
    <w:rsid w:val="00B95940"/>
    <w:rsid w:val="00B95EF8"/>
    <w:rsid w:val="00B96BD9"/>
    <w:rsid w:val="00BB2C53"/>
    <w:rsid w:val="00BB32DA"/>
    <w:rsid w:val="00BB3A54"/>
    <w:rsid w:val="00BB4E21"/>
    <w:rsid w:val="00BC682B"/>
    <w:rsid w:val="00BC6B04"/>
    <w:rsid w:val="00BD3428"/>
    <w:rsid w:val="00BD366B"/>
    <w:rsid w:val="00BD56BC"/>
    <w:rsid w:val="00BD5D91"/>
    <w:rsid w:val="00BD6615"/>
    <w:rsid w:val="00BD6D50"/>
    <w:rsid w:val="00BE0DB0"/>
    <w:rsid w:val="00BE3F09"/>
    <w:rsid w:val="00BE670A"/>
    <w:rsid w:val="00BE6906"/>
    <w:rsid w:val="00BF18F4"/>
    <w:rsid w:val="00BF1A69"/>
    <w:rsid w:val="00BF3BC8"/>
    <w:rsid w:val="00BF3DF1"/>
    <w:rsid w:val="00BF4C31"/>
    <w:rsid w:val="00C00F20"/>
    <w:rsid w:val="00C034E6"/>
    <w:rsid w:val="00C0784A"/>
    <w:rsid w:val="00C10FAE"/>
    <w:rsid w:val="00C12A69"/>
    <w:rsid w:val="00C150BE"/>
    <w:rsid w:val="00C15A0C"/>
    <w:rsid w:val="00C15DCB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6D8E"/>
    <w:rsid w:val="00C77833"/>
    <w:rsid w:val="00C80C9B"/>
    <w:rsid w:val="00C8335E"/>
    <w:rsid w:val="00C84CE3"/>
    <w:rsid w:val="00C90CF4"/>
    <w:rsid w:val="00C91C19"/>
    <w:rsid w:val="00C929A0"/>
    <w:rsid w:val="00C93389"/>
    <w:rsid w:val="00C937DB"/>
    <w:rsid w:val="00C94519"/>
    <w:rsid w:val="00C94E83"/>
    <w:rsid w:val="00CA140F"/>
    <w:rsid w:val="00CA37CA"/>
    <w:rsid w:val="00CA6BA1"/>
    <w:rsid w:val="00CA6CD5"/>
    <w:rsid w:val="00CB2150"/>
    <w:rsid w:val="00CB28EE"/>
    <w:rsid w:val="00CB43A7"/>
    <w:rsid w:val="00CB5996"/>
    <w:rsid w:val="00CB7452"/>
    <w:rsid w:val="00CC2642"/>
    <w:rsid w:val="00CC2E15"/>
    <w:rsid w:val="00CC3908"/>
    <w:rsid w:val="00CC62AD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1067C"/>
    <w:rsid w:val="00D136D4"/>
    <w:rsid w:val="00D13ECF"/>
    <w:rsid w:val="00D142E5"/>
    <w:rsid w:val="00D1611E"/>
    <w:rsid w:val="00D16E69"/>
    <w:rsid w:val="00D205A9"/>
    <w:rsid w:val="00D217EE"/>
    <w:rsid w:val="00D26923"/>
    <w:rsid w:val="00D27856"/>
    <w:rsid w:val="00D30740"/>
    <w:rsid w:val="00D3107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90C1E"/>
    <w:rsid w:val="00D93F09"/>
    <w:rsid w:val="00D97BB8"/>
    <w:rsid w:val="00DA4AF6"/>
    <w:rsid w:val="00DB016E"/>
    <w:rsid w:val="00DB378E"/>
    <w:rsid w:val="00DB3E9D"/>
    <w:rsid w:val="00DB47B9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5578"/>
    <w:rsid w:val="00DF7FEC"/>
    <w:rsid w:val="00E01C0E"/>
    <w:rsid w:val="00E03B27"/>
    <w:rsid w:val="00E04694"/>
    <w:rsid w:val="00E05B2B"/>
    <w:rsid w:val="00E07F05"/>
    <w:rsid w:val="00E127E1"/>
    <w:rsid w:val="00E144D2"/>
    <w:rsid w:val="00E15346"/>
    <w:rsid w:val="00E215EA"/>
    <w:rsid w:val="00E24619"/>
    <w:rsid w:val="00E25223"/>
    <w:rsid w:val="00E31764"/>
    <w:rsid w:val="00E34E4A"/>
    <w:rsid w:val="00E365B3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71F2"/>
    <w:rsid w:val="00E57429"/>
    <w:rsid w:val="00E71A58"/>
    <w:rsid w:val="00E84F21"/>
    <w:rsid w:val="00E921C7"/>
    <w:rsid w:val="00E92995"/>
    <w:rsid w:val="00E94612"/>
    <w:rsid w:val="00E95797"/>
    <w:rsid w:val="00E9682F"/>
    <w:rsid w:val="00E96A8D"/>
    <w:rsid w:val="00E972BA"/>
    <w:rsid w:val="00EA06CB"/>
    <w:rsid w:val="00EA0C68"/>
    <w:rsid w:val="00EA3EBE"/>
    <w:rsid w:val="00EA3FAC"/>
    <w:rsid w:val="00EA5CD6"/>
    <w:rsid w:val="00EB20A0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A79"/>
    <w:rsid w:val="00ED2CA5"/>
    <w:rsid w:val="00ED54D6"/>
    <w:rsid w:val="00ED5726"/>
    <w:rsid w:val="00EE0384"/>
    <w:rsid w:val="00EE10AA"/>
    <w:rsid w:val="00EE1637"/>
    <w:rsid w:val="00EE3E78"/>
    <w:rsid w:val="00EE5E02"/>
    <w:rsid w:val="00EE617D"/>
    <w:rsid w:val="00EE61BF"/>
    <w:rsid w:val="00EE6748"/>
    <w:rsid w:val="00EF0E75"/>
    <w:rsid w:val="00EF1F5A"/>
    <w:rsid w:val="00EF4685"/>
    <w:rsid w:val="00EF5397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103E"/>
    <w:rsid w:val="00F214FC"/>
    <w:rsid w:val="00F23FFF"/>
    <w:rsid w:val="00F2441D"/>
    <w:rsid w:val="00F24FAA"/>
    <w:rsid w:val="00F26197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63DDE"/>
    <w:rsid w:val="00F63FB7"/>
    <w:rsid w:val="00F64726"/>
    <w:rsid w:val="00F6561A"/>
    <w:rsid w:val="00F727D5"/>
    <w:rsid w:val="00F72F44"/>
    <w:rsid w:val="00F73A0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309A"/>
    <w:rsid w:val="00FA7644"/>
    <w:rsid w:val="00FB56F1"/>
    <w:rsid w:val="00FB5FD4"/>
    <w:rsid w:val="00FB67F3"/>
    <w:rsid w:val="00FC0D8A"/>
    <w:rsid w:val="00FC0E5F"/>
    <w:rsid w:val="00FC4660"/>
    <w:rsid w:val="00FC56DE"/>
    <w:rsid w:val="00FD1627"/>
    <w:rsid w:val="00FD473D"/>
    <w:rsid w:val="00FD61C8"/>
    <w:rsid w:val="00FD63CE"/>
    <w:rsid w:val="00FD7D49"/>
    <w:rsid w:val="00FE1251"/>
    <w:rsid w:val="00FE2F78"/>
    <w:rsid w:val="00FE375F"/>
    <w:rsid w:val="00FE4FCB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477E-1B5F-45C5-A816-39AA144C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224</TotalTime>
  <Pages>3</Pages>
  <Words>1610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19</cp:revision>
  <cp:lastPrinted>2015-03-20T07:25:00Z</cp:lastPrinted>
  <dcterms:created xsi:type="dcterms:W3CDTF">2015-03-16T09:04:00Z</dcterms:created>
  <dcterms:modified xsi:type="dcterms:W3CDTF">2015-03-20T11:31:00Z</dcterms:modified>
</cp:coreProperties>
</file>