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1F" w:rsidRPr="00F4591F" w:rsidRDefault="00F4591F" w:rsidP="0017450C">
      <w:pPr>
        <w:pStyle w:val="Nadpis1"/>
        <w:numPr>
          <w:ilvl w:val="0"/>
          <w:numId w:val="49"/>
        </w:numPr>
        <w:jc w:val="both"/>
      </w:pPr>
      <w:bookmarkStart w:id="0" w:name="_Toc414264323"/>
      <w:r>
        <w:t>Vnější ekonomické vztahy</w:t>
      </w:r>
      <w:bookmarkEnd w:id="0"/>
    </w:p>
    <w:tbl>
      <w:tblPr>
        <w:tblW w:w="5043" w:type="pct"/>
        <w:tblInd w:w="-42" w:type="dxa"/>
        <w:tblCellMar>
          <w:left w:w="28" w:type="dxa"/>
          <w:right w:w="28" w:type="dxa"/>
        </w:tblCellMar>
        <w:tblLook w:val="00A0"/>
      </w:tblPr>
      <w:tblGrid>
        <w:gridCol w:w="28"/>
        <w:gridCol w:w="805"/>
        <w:gridCol w:w="1164"/>
        <w:gridCol w:w="30"/>
        <w:gridCol w:w="216"/>
        <w:gridCol w:w="51"/>
        <w:gridCol w:w="2452"/>
        <w:gridCol w:w="921"/>
        <w:gridCol w:w="4055"/>
        <w:gridCol w:w="55"/>
      </w:tblGrid>
      <w:tr w:rsidR="00602D1D" w:rsidRPr="00632171" w:rsidTr="00281416">
        <w:tc>
          <w:tcPr>
            <w:tcW w:w="1042" w:type="pct"/>
            <w:gridSpan w:val="4"/>
          </w:tcPr>
          <w:p w:rsidR="00602D1D" w:rsidRPr="00602D1D" w:rsidRDefault="00602D1D" w:rsidP="00602D1D">
            <w:pPr>
              <w:spacing w:line="240" w:lineRule="auto"/>
              <w:rPr>
                <w:color w:val="000000" w:themeColor="text1"/>
                <w:sz w:val="16"/>
                <w:szCs w:val="16"/>
              </w:rPr>
            </w:pPr>
            <w:r w:rsidRPr="00602D1D">
              <w:rPr>
                <w:color w:val="000000" w:themeColor="text1"/>
                <w:sz w:val="16"/>
                <w:szCs w:val="16"/>
              </w:rPr>
              <w:t>Histori</w:t>
            </w:r>
            <w:r w:rsidR="000F401E">
              <w:rPr>
                <w:color w:val="000000" w:themeColor="text1"/>
                <w:sz w:val="16"/>
                <w:szCs w:val="16"/>
              </w:rPr>
              <w:t xml:space="preserve">cky nejlepší výsledek vnějších </w:t>
            </w:r>
            <w:r w:rsidRPr="00602D1D">
              <w:rPr>
                <w:color w:val="000000" w:themeColor="text1"/>
                <w:sz w:val="16"/>
                <w:szCs w:val="16"/>
              </w:rPr>
              <w:t xml:space="preserve">ekonomických vztahů v několika ohledech -  s přebytkem na běžném účtu platební bilance, teprve druhým za posledních 22 let… </w:t>
            </w:r>
          </w:p>
        </w:tc>
        <w:tc>
          <w:tcPr>
            <w:tcW w:w="139" w:type="pct"/>
            <w:gridSpan w:val="2"/>
          </w:tcPr>
          <w:p w:rsidR="00602D1D" w:rsidRDefault="00602D1D" w:rsidP="00281416">
            <w:pPr>
              <w:pStyle w:val="Textpoznpodarou"/>
              <w:jc w:val="both"/>
            </w:pPr>
          </w:p>
        </w:tc>
        <w:tc>
          <w:tcPr>
            <w:tcW w:w="3819" w:type="pct"/>
            <w:gridSpan w:val="4"/>
          </w:tcPr>
          <w:p w:rsidR="00602D1D" w:rsidRPr="00602D1D" w:rsidRDefault="00602D1D" w:rsidP="00602D1D">
            <w:pPr>
              <w:pStyle w:val="Textpoznpodarou"/>
              <w:jc w:val="both"/>
              <w:rPr>
                <w:color w:val="000000" w:themeColor="text1"/>
                <w:spacing w:val="-2"/>
              </w:rPr>
            </w:pPr>
            <w:r w:rsidRPr="00602D1D">
              <w:rPr>
                <w:color w:val="000000" w:themeColor="text1"/>
                <w:spacing w:val="-2"/>
              </w:rPr>
              <w:t xml:space="preserve">Vnější rovnováha české ekonomiky se v roce 2014 zlepšovala už čtvrtý rok za sebou. Toky peněz se zahraničím na běžném účtu platební bilance končily v kumulaci každého čtvrtletí přebytkem. Kladné tak bylo i celoroční saldo (26,1 mld. korun, nejlepší výsledek v historii ČR (v roce 1993 přebytek 13,3 mld. korun). </w:t>
            </w:r>
          </w:p>
          <w:p w:rsidR="00602D1D" w:rsidRPr="00602D1D" w:rsidRDefault="00602D1D" w:rsidP="00602D1D">
            <w:pPr>
              <w:pStyle w:val="Textpoznpodarou"/>
              <w:jc w:val="both"/>
              <w:rPr>
                <w:color w:val="000000" w:themeColor="text1"/>
                <w:spacing w:val="-2"/>
                <w:sz w:val="10"/>
                <w:szCs w:val="10"/>
              </w:rPr>
            </w:pPr>
          </w:p>
          <w:p w:rsidR="00602D1D" w:rsidRPr="00602D1D" w:rsidRDefault="00602D1D" w:rsidP="00602D1D">
            <w:pPr>
              <w:pStyle w:val="Textpoznpodarou"/>
              <w:jc w:val="both"/>
              <w:rPr>
                <w:color w:val="000000" w:themeColor="text1"/>
                <w:spacing w:val="-2"/>
              </w:rPr>
            </w:pPr>
            <w:r w:rsidRPr="00602D1D">
              <w:rPr>
                <w:color w:val="000000" w:themeColor="text1"/>
                <w:spacing w:val="-2"/>
              </w:rPr>
              <w:t>Převýšením příjmů nad výdaji skončil i kapitálový účet (32,2 mld. korun), i přes meziroční zhoršení (82,4 mld. korun v roce 2013). Ztenčení přebytku v roce 2014 ovlivnily hlavně nižší čisté příjmy z rozpočtu EU. Naopak finanční účet byl deficitní již třetí rok v řadě (loni hlavně vlivem portfoliových obchodů) - jeho schodek byl však kryt přebytky běžného a kapitálového účtu. Deficitní bylo i saldo druhotných důchodů</w:t>
            </w:r>
            <w:r w:rsidRPr="00602D1D">
              <w:rPr>
                <w:color w:val="000000" w:themeColor="text1"/>
                <w:spacing w:val="-2"/>
                <w:vertAlign w:val="superscript"/>
              </w:rPr>
              <w:footnoteReference w:id="1"/>
            </w:r>
            <w:r w:rsidRPr="00602D1D">
              <w:rPr>
                <w:color w:val="000000" w:themeColor="text1"/>
                <w:spacing w:val="-2"/>
              </w:rPr>
              <w:t xml:space="preserve"> (běžné převody) s -9,7 mld. korun a jen nepatrným meziročním zlepšením (-10,1 mld. v roce 2013) -</w:t>
            </w:r>
            <w:r w:rsidR="00C20C4D">
              <w:rPr>
                <w:color w:val="000000" w:themeColor="text1"/>
                <w:spacing w:val="-2"/>
              </w:rPr>
              <w:t xml:space="preserve"> transfery peněz stouply stejně</w:t>
            </w:r>
            <w:r w:rsidRPr="00602D1D">
              <w:rPr>
                <w:color w:val="000000" w:themeColor="text1"/>
                <w:spacing w:val="-2"/>
              </w:rPr>
              <w:t xml:space="preserve"> jako příjmy (tj. o 4-5 mld. korun). Vyšší příjem byl jen ve 2. čtvrtletí.</w:t>
            </w:r>
          </w:p>
          <w:p w:rsidR="00602D1D" w:rsidRPr="00602D1D" w:rsidRDefault="00602D1D" w:rsidP="00602D1D">
            <w:pPr>
              <w:pStyle w:val="Textpoznpodarou"/>
              <w:jc w:val="both"/>
              <w:rPr>
                <w:color w:val="000000" w:themeColor="text1"/>
                <w:spacing w:val="-2"/>
                <w:sz w:val="16"/>
                <w:szCs w:val="16"/>
              </w:rPr>
            </w:pPr>
          </w:p>
        </w:tc>
      </w:tr>
      <w:tr w:rsidR="00602D1D" w:rsidRPr="00B45D1B" w:rsidTr="00281416">
        <w:tc>
          <w:tcPr>
            <w:tcW w:w="1042" w:type="pct"/>
            <w:gridSpan w:val="4"/>
          </w:tcPr>
          <w:p w:rsidR="00602D1D" w:rsidRPr="00602D1D" w:rsidRDefault="00602D1D" w:rsidP="00602D1D">
            <w:pPr>
              <w:spacing w:line="240" w:lineRule="auto"/>
              <w:rPr>
                <w:color w:val="000000" w:themeColor="text1"/>
                <w:sz w:val="16"/>
                <w:szCs w:val="16"/>
              </w:rPr>
            </w:pPr>
            <w:proofErr w:type="gramStart"/>
            <w:r w:rsidRPr="00602D1D">
              <w:rPr>
                <w:color w:val="000000" w:themeColor="text1"/>
                <w:sz w:val="16"/>
                <w:szCs w:val="16"/>
              </w:rPr>
              <w:t>... díky</w:t>
            </w:r>
            <w:proofErr w:type="gramEnd"/>
            <w:r w:rsidRPr="00602D1D">
              <w:rPr>
                <w:color w:val="000000" w:themeColor="text1"/>
                <w:sz w:val="16"/>
                <w:szCs w:val="16"/>
              </w:rPr>
              <w:t xml:space="preserve"> rekordnímu  přebytku  zahraničního obchodu se zbožím a službami…</w:t>
            </w:r>
          </w:p>
          <w:p w:rsidR="00602D1D" w:rsidRPr="00602D1D" w:rsidRDefault="00602D1D" w:rsidP="00602D1D">
            <w:pPr>
              <w:spacing w:line="240" w:lineRule="auto"/>
              <w:rPr>
                <w:color w:val="000000" w:themeColor="text1"/>
                <w:sz w:val="16"/>
                <w:szCs w:val="16"/>
              </w:rPr>
            </w:pPr>
          </w:p>
        </w:tc>
        <w:tc>
          <w:tcPr>
            <w:tcW w:w="139" w:type="pct"/>
            <w:gridSpan w:val="2"/>
          </w:tcPr>
          <w:p w:rsidR="00602D1D" w:rsidRDefault="00602D1D" w:rsidP="00281416">
            <w:pPr>
              <w:pStyle w:val="Textpoznpodarou"/>
              <w:jc w:val="both"/>
            </w:pPr>
          </w:p>
        </w:tc>
        <w:tc>
          <w:tcPr>
            <w:tcW w:w="3819" w:type="pct"/>
            <w:gridSpan w:val="4"/>
          </w:tcPr>
          <w:p w:rsidR="00602D1D" w:rsidRPr="00602D1D" w:rsidRDefault="00602D1D" w:rsidP="00602D1D">
            <w:pPr>
              <w:pStyle w:val="Textpoznpodarou"/>
              <w:jc w:val="both"/>
              <w:rPr>
                <w:color w:val="000000" w:themeColor="text1"/>
                <w:spacing w:val="-2"/>
              </w:rPr>
            </w:pPr>
            <w:r w:rsidRPr="00602D1D">
              <w:rPr>
                <w:color w:val="000000" w:themeColor="text1"/>
                <w:spacing w:val="-2"/>
              </w:rPr>
              <w:t>Úspěšný rok 2014 z pohledu vnější rovnováhy byl ovlivněn hlavně výsledkem obchodu se zbožím i službami – rekordní výkonová bilance byla podle dat ČNB v přebytku 294,8 mld. korun</w:t>
            </w:r>
            <w:r w:rsidRPr="00602D1D">
              <w:rPr>
                <w:color w:val="000000" w:themeColor="text1"/>
                <w:spacing w:val="-2"/>
                <w:vertAlign w:val="superscript"/>
              </w:rPr>
              <w:footnoteReference w:id="2"/>
            </w:r>
            <w:r w:rsidRPr="00602D1D">
              <w:rPr>
                <w:color w:val="000000" w:themeColor="text1"/>
                <w:spacing w:val="-2"/>
              </w:rPr>
              <w:t xml:space="preserve"> (pětinu z něj tvořil přebytek bilance služeb). </w:t>
            </w:r>
          </w:p>
          <w:p w:rsidR="00602D1D" w:rsidRPr="00602D1D" w:rsidRDefault="00602D1D" w:rsidP="00602D1D">
            <w:pPr>
              <w:pStyle w:val="Textpoznpodarou"/>
              <w:jc w:val="both"/>
              <w:rPr>
                <w:color w:val="000000" w:themeColor="text1"/>
                <w:spacing w:val="-2"/>
                <w:sz w:val="16"/>
                <w:szCs w:val="16"/>
              </w:rPr>
            </w:pPr>
          </w:p>
          <w:p w:rsidR="00602D1D" w:rsidRPr="00602D1D" w:rsidRDefault="00602D1D" w:rsidP="00602D1D">
            <w:pPr>
              <w:pStyle w:val="Textpoznpodarou"/>
              <w:jc w:val="both"/>
              <w:rPr>
                <w:color w:val="000000" w:themeColor="text1"/>
                <w:spacing w:val="-4"/>
              </w:rPr>
            </w:pPr>
            <w:r w:rsidRPr="00602D1D">
              <w:rPr>
                <w:color w:val="000000" w:themeColor="text1"/>
                <w:spacing w:val="-4"/>
              </w:rPr>
              <w:t xml:space="preserve">Vývoz i dovoz služeb rostl meziročně </w:t>
            </w:r>
            <w:proofErr w:type="spellStart"/>
            <w:r w:rsidRPr="00602D1D">
              <w:rPr>
                <w:color w:val="000000" w:themeColor="text1"/>
                <w:spacing w:val="-4"/>
              </w:rPr>
              <w:t>dvojciferně</w:t>
            </w:r>
            <w:proofErr w:type="spellEnd"/>
            <w:r w:rsidRPr="00602D1D">
              <w:rPr>
                <w:color w:val="000000" w:themeColor="text1"/>
                <w:spacing w:val="-4"/>
              </w:rPr>
              <w:t xml:space="preserve"> (+11,2 %, resp. +16,8 %), což ostře kontrastovalo s „recesivním“ rokem 2013 (-1 %, resp. +0,6 %). Pozitivně působilo významné domácí oživení a příznivá zahraniční poptávka po službách. Příjmy i výdaje stouply u dopravních služeb meziročně o zhruba desetinu. V cestovním ruchu rostly značně výdaje (+17,6 %), ale příjmy se zvýšily jen málo (+2,9 %). Dvojciferná byla tempa obchodů s pojišťovacími službami, u příjmů z telekomunikačních služeb (+16,6 %), z poplatků za využívání duševního vlastnictví stouply dokonce o třetinu (+32,4 %).</w:t>
            </w:r>
          </w:p>
          <w:p w:rsidR="00602D1D" w:rsidRPr="00602D1D" w:rsidRDefault="00602D1D" w:rsidP="00602D1D">
            <w:pPr>
              <w:pStyle w:val="Textpoznpodarou"/>
              <w:jc w:val="both"/>
              <w:rPr>
                <w:color w:val="000000" w:themeColor="text1"/>
                <w:spacing w:val="-2"/>
                <w:sz w:val="16"/>
                <w:szCs w:val="16"/>
              </w:rPr>
            </w:pPr>
          </w:p>
          <w:p w:rsidR="00602D1D" w:rsidRPr="00602D1D" w:rsidRDefault="00AB440B" w:rsidP="00602D1D">
            <w:pPr>
              <w:pStyle w:val="Textpoznpodarou"/>
              <w:jc w:val="both"/>
              <w:rPr>
                <w:color w:val="000000" w:themeColor="text1"/>
                <w:spacing w:val="-2"/>
              </w:rPr>
            </w:pPr>
            <w:r>
              <w:rPr>
                <w:color w:val="000000" w:themeColor="text1"/>
                <w:spacing w:val="-2"/>
              </w:rPr>
              <w:t>N</w:t>
            </w:r>
            <w:r w:rsidR="00602D1D" w:rsidRPr="00602D1D">
              <w:rPr>
                <w:color w:val="000000" w:themeColor="text1"/>
                <w:spacing w:val="-2"/>
              </w:rPr>
              <w:t>a tomto příznivém nominálním výsledku zahr</w:t>
            </w:r>
            <w:r>
              <w:rPr>
                <w:color w:val="000000" w:themeColor="text1"/>
                <w:spacing w:val="-2"/>
              </w:rPr>
              <w:t>aničního obchodu participovalo i</w:t>
            </w:r>
            <w:r w:rsidR="00602D1D" w:rsidRPr="00602D1D">
              <w:rPr>
                <w:color w:val="000000" w:themeColor="text1"/>
                <w:spacing w:val="-2"/>
              </w:rPr>
              <w:t xml:space="preserve"> umělé oslabení koruny po měnové intervenci ČNB zahájené v listopadu 2013. Po téměř celý loňský rok převyšovala tempa růstu cen vývozů růst cen dovozů, což zvyšovalo obchodní přebytky. </w:t>
            </w:r>
          </w:p>
          <w:p w:rsidR="00602D1D" w:rsidRPr="00602D1D" w:rsidRDefault="00602D1D" w:rsidP="00602D1D">
            <w:pPr>
              <w:pStyle w:val="Textpoznpodarou"/>
              <w:jc w:val="both"/>
              <w:rPr>
                <w:color w:val="000000" w:themeColor="text1"/>
                <w:spacing w:val="-2"/>
                <w:sz w:val="16"/>
                <w:szCs w:val="16"/>
              </w:rPr>
            </w:pPr>
            <w:r w:rsidRPr="00602D1D">
              <w:rPr>
                <w:color w:val="000000" w:themeColor="text1"/>
                <w:spacing w:val="-2"/>
              </w:rPr>
              <w:t xml:space="preserve">   </w:t>
            </w:r>
          </w:p>
        </w:tc>
      </w:tr>
      <w:tr w:rsidR="00602D1D" w:rsidRPr="00B45D1B" w:rsidTr="00281416">
        <w:tc>
          <w:tcPr>
            <w:tcW w:w="1042" w:type="pct"/>
            <w:gridSpan w:val="4"/>
          </w:tcPr>
          <w:p w:rsidR="00602D1D" w:rsidRPr="00602D1D" w:rsidRDefault="00602D1D" w:rsidP="00602D1D">
            <w:pPr>
              <w:spacing w:line="240" w:lineRule="auto"/>
              <w:rPr>
                <w:color w:val="000000" w:themeColor="text1"/>
                <w:sz w:val="16"/>
                <w:szCs w:val="16"/>
              </w:rPr>
            </w:pPr>
            <w:r w:rsidRPr="00602D1D">
              <w:rPr>
                <w:color w:val="000000" w:themeColor="text1"/>
                <w:sz w:val="16"/>
                <w:szCs w:val="16"/>
              </w:rPr>
              <w:t xml:space="preserve">… i navzdory také historicky nejvyššímu odlivu peněz ze země v podobě dividend pro mateřské společnosti zahraničních vlastníků firem v ČR </w:t>
            </w:r>
          </w:p>
          <w:p w:rsidR="00602D1D" w:rsidRPr="00602D1D" w:rsidRDefault="00602D1D" w:rsidP="00602D1D">
            <w:pPr>
              <w:spacing w:line="240" w:lineRule="auto"/>
              <w:rPr>
                <w:color w:val="000000" w:themeColor="text1"/>
                <w:sz w:val="16"/>
                <w:szCs w:val="16"/>
              </w:rPr>
            </w:pPr>
          </w:p>
        </w:tc>
        <w:tc>
          <w:tcPr>
            <w:tcW w:w="139" w:type="pct"/>
            <w:gridSpan w:val="2"/>
          </w:tcPr>
          <w:p w:rsidR="00602D1D" w:rsidRDefault="00602D1D" w:rsidP="00281416">
            <w:pPr>
              <w:pStyle w:val="Textpoznpodarou"/>
              <w:jc w:val="both"/>
            </w:pPr>
          </w:p>
        </w:tc>
        <w:tc>
          <w:tcPr>
            <w:tcW w:w="3819" w:type="pct"/>
            <w:gridSpan w:val="4"/>
          </w:tcPr>
          <w:p w:rsidR="00602D1D" w:rsidRPr="00602D1D" w:rsidRDefault="00602D1D" w:rsidP="00602D1D">
            <w:pPr>
              <w:pStyle w:val="Textpoznpodarou"/>
              <w:jc w:val="both"/>
              <w:rPr>
                <w:color w:val="000000" w:themeColor="text1"/>
                <w:spacing w:val="-2"/>
              </w:rPr>
            </w:pPr>
            <w:r w:rsidRPr="00602D1D">
              <w:rPr>
                <w:color w:val="000000" w:themeColor="text1"/>
                <w:spacing w:val="-2"/>
              </w:rPr>
              <w:t>Právě tyto vysoké přebytky v obchodech vyrovnaly tradiční hluboké schodky v prvotních důchodech dané silnou majetkovou účastí zahraničních firem v ekonomice ČR. Ty si loni stáhly na dividendách 219,3 mld. korun, nejvíce v historii. K reinvesticím zde ponechali 94,2 mld. korun, což byl druhý nejvě</w:t>
            </w:r>
            <w:r w:rsidR="00AC1E3F">
              <w:rPr>
                <w:color w:val="000000" w:themeColor="text1"/>
                <w:spacing w:val="-2"/>
              </w:rPr>
              <w:t>tší objem reinvestovaných zisků</w:t>
            </w:r>
            <w:r w:rsidRPr="00602D1D">
              <w:rPr>
                <w:color w:val="000000" w:themeColor="text1"/>
                <w:spacing w:val="-2"/>
              </w:rPr>
              <w:t xml:space="preserve"> od roku 1993. Je však třeba mít na paměti, že jak velikost repatriovaných tak reinvestovaných zisků souvisela s vysokými výnosy danými oslabenou korunou, která dynamizovala tržby i zisky zejména exportujících firem (ale i jejich tuzemských dodavatelů v obchodech v eurech). </w:t>
            </w:r>
          </w:p>
          <w:p w:rsidR="00602D1D" w:rsidRPr="00602D1D" w:rsidRDefault="00602D1D" w:rsidP="00602D1D">
            <w:pPr>
              <w:pStyle w:val="Textpoznpodarou"/>
              <w:jc w:val="both"/>
              <w:rPr>
                <w:color w:val="000000" w:themeColor="text1"/>
                <w:spacing w:val="-2"/>
                <w:sz w:val="16"/>
                <w:szCs w:val="16"/>
              </w:rPr>
            </w:pPr>
          </w:p>
        </w:tc>
      </w:tr>
      <w:tr w:rsidR="00602D1D" w:rsidRPr="006F1326" w:rsidTr="00281416">
        <w:tc>
          <w:tcPr>
            <w:tcW w:w="1042" w:type="pct"/>
            <w:gridSpan w:val="4"/>
          </w:tcPr>
          <w:p w:rsidR="00602D1D" w:rsidRPr="00602D1D" w:rsidRDefault="00602D1D" w:rsidP="00602D1D">
            <w:pPr>
              <w:spacing w:line="240" w:lineRule="auto"/>
              <w:rPr>
                <w:color w:val="000000" w:themeColor="text1"/>
                <w:sz w:val="16"/>
                <w:szCs w:val="16"/>
              </w:rPr>
            </w:pPr>
            <w:r w:rsidRPr="00602D1D">
              <w:rPr>
                <w:color w:val="000000" w:themeColor="text1"/>
                <w:sz w:val="16"/>
                <w:szCs w:val="16"/>
              </w:rPr>
              <w:t>Na mzdách přišlo do ČR výrazně více peněz, než kolik jich odešlo - „mzdové saldo“ pro ČR příznivé už potřetí od roku 2012</w:t>
            </w:r>
          </w:p>
          <w:p w:rsidR="00602D1D" w:rsidRPr="00602D1D" w:rsidRDefault="00602D1D" w:rsidP="00602D1D">
            <w:pPr>
              <w:spacing w:line="240" w:lineRule="auto"/>
              <w:rPr>
                <w:color w:val="000000" w:themeColor="text1"/>
                <w:sz w:val="16"/>
                <w:szCs w:val="16"/>
              </w:rPr>
            </w:pPr>
            <w:r w:rsidRPr="00602D1D">
              <w:rPr>
                <w:color w:val="000000" w:themeColor="text1"/>
                <w:sz w:val="16"/>
                <w:szCs w:val="16"/>
              </w:rPr>
              <w:t xml:space="preserve"> </w:t>
            </w:r>
          </w:p>
        </w:tc>
        <w:tc>
          <w:tcPr>
            <w:tcW w:w="139" w:type="pct"/>
            <w:gridSpan w:val="2"/>
          </w:tcPr>
          <w:p w:rsidR="00602D1D" w:rsidRDefault="00602D1D" w:rsidP="00281416">
            <w:pPr>
              <w:pStyle w:val="Textpoznpodarou"/>
              <w:jc w:val="both"/>
            </w:pPr>
          </w:p>
        </w:tc>
        <w:tc>
          <w:tcPr>
            <w:tcW w:w="3819" w:type="pct"/>
            <w:gridSpan w:val="4"/>
          </w:tcPr>
          <w:p w:rsidR="00602D1D" w:rsidRPr="00602D1D" w:rsidRDefault="00602D1D" w:rsidP="00602D1D">
            <w:pPr>
              <w:pStyle w:val="Textpoznpodarou"/>
              <w:jc w:val="both"/>
              <w:rPr>
                <w:color w:val="000000" w:themeColor="text1"/>
                <w:spacing w:val="-2"/>
              </w:rPr>
            </w:pPr>
            <w:r w:rsidRPr="00602D1D">
              <w:rPr>
                <w:color w:val="000000" w:themeColor="text1"/>
                <w:spacing w:val="-2"/>
              </w:rPr>
              <w:t xml:space="preserve">Dalším rekordem bylo v roce 2014 z pohledu vnějších vztahů pozitivní „mzdové saldo“, tj. rozdíl mezi objemem mezd, resp. náhrad zaměstnancům, pracovníků ČR v zahraničí (39,3 mld.) a cizinců pracujících v ČR (17 mld. korun). Přebytek ve výši 22,2 mld. byl dán hlavně výší mezd (náhrad) rezidentů v zahraničí. Proporce jsou ovlivněné ekonomickým cyklem, neboť imigrace má u nás charakter migrace pracovní – proto také k největšímu odlivu peněz ve formě mezd (44,1 mld.) došlo za konjunktury v roce 2008 při výsledném saldu -24,8 mld. (rezidenti si tehdy ze zahraničí přivezli 19,2 mld. korun). </w:t>
            </w:r>
          </w:p>
          <w:p w:rsidR="00602D1D" w:rsidRPr="00602D1D" w:rsidRDefault="00602D1D" w:rsidP="00602D1D">
            <w:pPr>
              <w:pStyle w:val="Textpoznpodarou"/>
              <w:jc w:val="both"/>
              <w:rPr>
                <w:color w:val="000000" w:themeColor="text1"/>
                <w:spacing w:val="-2"/>
              </w:rPr>
            </w:pPr>
          </w:p>
        </w:tc>
      </w:tr>
      <w:tr w:rsidR="00602D1D" w:rsidRPr="00444268" w:rsidTr="00281416">
        <w:tc>
          <w:tcPr>
            <w:tcW w:w="1042" w:type="pct"/>
            <w:gridSpan w:val="4"/>
          </w:tcPr>
          <w:p w:rsidR="00602D1D" w:rsidRPr="00602D1D" w:rsidRDefault="00602D1D" w:rsidP="00602D1D">
            <w:pPr>
              <w:spacing w:line="240" w:lineRule="auto"/>
              <w:rPr>
                <w:color w:val="000000" w:themeColor="text1"/>
                <w:sz w:val="16"/>
                <w:szCs w:val="16"/>
              </w:rPr>
            </w:pPr>
            <w:r w:rsidRPr="00602D1D">
              <w:rPr>
                <w:color w:val="000000" w:themeColor="text1"/>
                <w:sz w:val="16"/>
                <w:szCs w:val="16"/>
              </w:rPr>
              <w:t>Finanční účet skončil v deficitu i přes příliv přímých investic do země na aktivní i pasivní straně…</w:t>
            </w:r>
          </w:p>
        </w:tc>
        <w:tc>
          <w:tcPr>
            <w:tcW w:w="139" w:type="pct"/>
            <w:gridSpan w:val="2"/>
          </w:tcPr>
          <w:p w:rsidR="00602D1D" w:rsidRPr="00B45D1B" w:rsidRDefault="00602D1D" w:rsidP="00281416">
            <w:pPr>
              <w:pStyle w:val="Textpoznpodarou"/>
              <w:jc w:val="both"/>
            </w:pPr>
          </w:p>
        </w:tc>
        <w:tc>
          <w:tcPr>
            <w:tcW w:w="3819" w:type="pct"/>
            <w:gridSpan w:val="4"/>
          </w:tcPr>
          <w:p w:rsidR="00602D1D" w:rsidRPr="00602D1D" w:rsidRDefault="00602D1D" w:rsidP="00602D1D">
            <w:pPr>
              <w:pStyle w:val="Textpoznpodarou"/>
              <w:jc w:val="both"/>
              <w:rPr>
                <w:color w:val="000000" w:themeColor="text1"/>
                <w:spacing w:val="-2"/>
              </w:rPr>
            </w:pPr>
            <w:r w:rsidRPr="00602D1D">
              <w:rPr>
                <w:color w:val="000000" w:themeColor="text1"/>
                <w:spacing w:val="-2"/>
              </w:rPr>
              <w:t xml:space="preserve">Oproti přebytkům na běžném i kapitálovém účtu zaznamenal finanční účet již třetí rok v řadě odliv peněz ze země (v roce 2014 ve výši 48 mld. korun). </w:t>
            </w:r>
          </w:p>
          <w:p w:rsidR="00602D1D" w:rsidRPr="00602D1D" w:rsidRDefault="00602D1D" w:rsidP="00602D1D">
            <w:pPr>
              <w:pStyle w:val="Textpoznpodarou"/>
              <w:jc w:val="both"/>
              <w:rPr>
                <w:color w:val="000000" w:themeColor="text1"/>
                <w:spacing w:val="-2"/>
                <w:sz w:val="10"/>
                <w:szCs w:val="10"/>
              </w:rPr>
            </w:pPr>
          </w:p>
          <w:p w:rsidR="00602D1D" w:rsidRPr="00602D1D" w:rsidRDefault="00602D1D" w:rsidP="00602D1D">
            <w:pPr>
              <w:pStyle w:val="Textpoznpodarou"/>
              <w:jc w:val="both"/>
              <w:rPr>
                <w:color w:val="000000" w:themeColor="text1"/>
                <w:spacing w:val="-2"/>
              </w:rPr>
            </w:pPr>
            <w:r w:rsidRPr="00602D1D">
              <w:rPr>
                <w:color w:val="000000" w:themeColor="text1"/>
                <w:spacing w:val="-2"/>
              </w:rPr>
              <w:t>Saldo přímých zahraničních investic bylo jako obvykle kladné (133,6 mld. korun) s přílivem přímých investic ve výši 101,4 mld. Nedošlo však k odlivu v podobě investic tuzemských subjektů do zahraničí - naopak, ti odtud své investice stahovali (v čistém -32,2 mld. korun).</w:t>
            </w:r>
          </w:p>
          <w:p w:rsidR="00602D1D" w:rsidRPr="00602D1D" w:rsidRDefault="00602D1D" w:rsidP="00602D1D">
            <w:pPr>
              <w:pStyle w:val="Textpoznpodarou"/>
              <w:jc w:val="both"/>
              <w:rPr>
                <w:color w:val="000000" w:themeColor="text1"/>
                <w:spacing w:val="-2"/>
                <w:sz w:val="10"/>
                <w:szCs w:val="10"/>
              </w:rPr>
            </w:pPr>
          </w:p>
          <w:p w:rsidR="00602D1D" w:rsidRPr="00602D1D" w:rsidRDefault="00602D1D" w:rsidP="00602D1D">
            <w:pPr>
              <w:pStyle w:val="Textpoznpodarou"/>
              <w:jc w:val="both"/>
              <w:rPr>
                <w:color w:val="000000" w:themeColor="text1"/>
                <w:spacing w:val="-2"/>
              </w:rPr>
            </w:pPr>
            <w:r w:rsidRPr="00602D1D">
              <w:rPr>
                <w:color w:val="000000" w:themeColor="text1"/>
                <w:spacing w:val="-2"/>
              </w:rPr>
              <w:t xml:space="preserve">Přímé investice do české ekonomiky jen </w:t>
            </w:r>
            <w:r w:rsidR="00C20C4D">
              <w:rPr>
                <w:color w:val="000000" w:themeColor="text1"/>
                <w:spacing w:val="-2"/>
              </w:rPr>
              <w:t>mírně nad stomiliardovou hranicí</w:t>
            </w:r>
            <w:r w:rsidRPr="00602D1D">
              <w:rPr>
                <w:color w:val="000000" w:themeColor="text1"/>
                <w:spacing w:val="-2"/>
              </w:rPr>
              <w:t xml:space="preserve"> byly nižší než v předchozích dvou letech recese. Nepřekonaly ani tříletý, resp. desetiletý průměr (135, resp. 159 mld. korun), zřejmě vlivem znovuobnovené atraktivity jiných trhů, zejména evropských, do nichž se přímí zahraniční investoři začali opět vracet.</w:t>
            </w:r>
          </w:p>
          <w:p w:rsidR="00602D1D" w:rsidRPr="000F401E" w:rsidRDefault="00602D1D" w:rsidP="00602D1D">
            <w:pPr>
              <w:pStyle w:val="Textpoznpodarou"/>
              <w:jc w:val="both"/>
              <w:rPr>
                <w:color w:val="000000" w:themeColor="text1"/>
                <w:spacing w:val="-2"/>
                <w:sz w:val="16"/>
                <w:szCs w:val="16"/>
              </w:rPr>
            </w:pPr>
          </w:p>
        </w:tc>
      </w:tr>
      <w:tr w:rsidR="00602D1D" w:rsidRPr="00E06A2A" w:rsidTr="00281416">
        <w:tc>
          <w:tcPr>
            <w:tcW w:w="1042" w:type="pct"/>
            <w:gridSpan w:val="4"/>
          </w:tcPr>
          <w:p w:rsidR="00602D1D" w:rsidRPr="00602D1D" w:rsidRDefault="00602D1D" w:rsidP="00AC1E3F">
            <w:pPr>
              <w:spacing w:line="240" w:lineRule="auto"/>
              <w:rPr>
                <w:color w:val="000000" w:themeColor="text1"/>
                <w:sz w:val="16"/>
                <w:szCs w:val="16"/>
              </w:rPr>
            </w:pPr>
            <w:r w:rsidRPr="00602D1D">
              <w:rPr>
                <w:color w:val="000000" w:themeColor="text1"/>
                <w:sz w:val="16"/>
                <w:szCs w:val="16"/>
              </w:rPr>
              <w:t xml:space="preserve">…ale při výrazném odlivu peněz ve formě portfoliových investic, neboť nízké emise českých dluhopisů vedly ke slabším nákupům zahraničními investory a stahování peněz zpět do jejich zemí;  nepříznivě působil na výsledek finančního účtu i deficit ostatních investic </w:t>
            </w:r>
          </w:p>
        </w:tc>
        <w:tc>
          <w:tcPr>
            <w:tcW w:w="139" w:type="pct"/>
            <w:gridSpan w:val="2"/>
          </w:tcPr>
          <w:p w:rsidR="00602D1D" w:rsidRPr="002B1544" w:rsidRDefault="00602D1D" w:rsidP="00281416">
            <w:pPr>
              <w:pStyle w:val="Textpoznpodarou"/>
              <w:jc w:val="both"/>
              <w:rPr>
                <w:i/>
              </w:rPr>
            </w:pPr>
          </w:p>
        </w:tc>
        <w:tc>
          <w:tcPr>
            <w:tcW w:w="3819" w:type="pct"/>
            <w:gridSpan w:val="4"/>
          </w:tcPr>
          <w:p w:rsidR="00602D1D" w:rsidRPr="00602D1D" w:rsidRDefault="00602D1D" w:rsidP="00602D1D">
            <w:pPr>
              <w:pStyle w:val="Textpoznpodarou"/>
              <w:jc w:val="both"/>
              <w:rPr>
                <w:color w:val="000000" w:themeColor="text1"/>
                <w:spacing w:val="-2"/>
              </w:rPr>
            </w:pPr>
            <w:r w:rsidRPr="00602D1D">
              <w:rPr>
                <w:color w:val="000000" w:themeColor="text1"/>
                <w:spacing w:val="-2"/>
              </w:rPr>
              <w:t>Zcela jinak se meziročně odvíjely toky portfoliových investic</w:t>
            </w:r>
            <w:r w:rsidR="00170B04">
              <w:rPr>
                <w:color w:val="000000" w:themeColor="text1"/>
                <w:spacing w:val="-2"/>
              </w:rPr>
              <w:t xml:space="preserve">. V roce 2014 jich </w:t>
            </w:r>
            <w:r w:rsidRPr="00602D1D">
              <w:rPr>
                <w:color w:val="000000" w:themeColor="text1"/>
                <w:spacing w:val="-2"/>
              </w:rPr>
              <w:t>z ČR odešlo v čistém vyjádření za 90,3 mld. korun (v roce 2013 jich naopak v čistém 92,8 mld. přiteklo). Důvodem byly vysoké loňské nákupy zahraničních dluhopisů a akcií tuzemskými subjekty (v čistém za 76,6 mld.). Velmi pozitivní vývoj akciových trhů, zejména zámořských, lákal k investování.</w:t>
            </w:r>
          </w:p>
          <w:p w:rsidR="00602D1D" w:rsidRPr="000F401E" w:rsidRDefault="00602D1D" w:rsidP="00602D1D">
            <w:pPr>
              <w:pStyle w:val="Textpoznpodarou"/>
              <w:jc w:val="both"/>
              <w:rPr>
                <w:color w:val="000000" w:themeColor="text1"/>
                <w:spacing w:val="-2"/>
                <w:sz w:val="16"/>
                <w:szCs w:val="16"/>
              </w:rPr>
            </w:pPr>
          </w:p>
          <w:p w:rsidR="00602D1D" w:rsidRPr="00602D1D" w:rsidRDefault="00602D1D" w:rsidP="00602D1D">
            <w:pPr>
              <w:pStyle w:val="Textpoznpodarou"/>
              <w:jc w:val="both"/>
              <w:rPr>
                <w:color w:val="000000" w:themeColor="text1"/>
                <w:spacing w:val="-2"/>
              </w:rPr>
            </w:pPr>
            <w:r w:rsidRPr="00602D1D">
              <w:rPr>
                <w:color w:val="000000" w:themeColor="text1"/>
                <w:spacing w:val="-2"/>
              </w:rPr>
              <w:t>Zároveň s tím však odliv portfoliových investic z ČR způsobili i zahraniční portfolioví investoři - své pozice v ČR spíše likvidovali (převážily u nich prodeje tuzemských cenných papírů nad jejich nákupy, v čistém 13,7 mld. korun). Je tak patrné, že nižší potřeba financovat deficit státního rozpočtu emisemi dluhopisů se odrazila i v této oblasti. Výsledkem obchodů se samotnými dluhopisy tak byl zpětný čistý odliv peněz z ČR ve</w:t>
            </w:r>
            <w:r w:rsidR="000F401E">
              <w:rPr>
                <w:color w:val="000000" w:themeColor="text1"/>
                <w:spacing w:val="-2"/>
              </w:rPr>
              <w:t xml:space="preserve"> výši 18,9 mld. korun.</w:t>
            </w:r>
          </w:p>
          <w:p w:rsidR="00602D1D" w:rsidRPr="000F401E" w:rsidRDefault="00602D1D" w:rsidP="00602D1D">
            <w:pPr>
              <w:pStyle w:val="Textpoznpodarou"/>
              <w:jc w:val="both"/>
              <w:rPr>
                <w:color w:val="000000" w:themeColor="text1"/>
                <w:spacing w:val="-2"/>
                <w:sz w:val="16"/>
                <w:szCs w:val="16"/>
              </w:rPr>
            </w:pPr>
          </w:p>
          <w:p w:rsidR="00602D1D" w:rsidRPr="00602D1D" w:rsidRDefault="00602D1D" w:rsidP="00602D1D">
            <w:pPr>
              <w:pStyle w:val="Textpoznpodarou"/>
              <w:jc w:val="both"/>
              <w:rPr>
                <w:color w:val="000000" w:themeColor="text1"/>
                <w:spacing w:val="-2"/>
              </w:rPr>
            </w:pPr>
            <w:r w:rsidRPr="00602D1D">
              <w:rPr>
                <w:color w:val="000000" w:themeColor="text1"/>
                <w:spacing w:val="-2"/>
              </w:rPr>
              <w:t>Také ve formě ostatních investic odešlo z ČR loni 24,3 mld. korun.</w:t>
            </w:r>
          </w:p>
          <w:p w:rsidR="00602D1D" w:rsidRPr="00602D1D" w:rsidRDefault="00602D1D" w:rsidP="00602D1D">
            <w:pPr>
              <w:pStyle w:val="Textpoznpodarou"/>
              <w:jc w:val="both"/>
              <w:rPr>
                <w:color w:val="000000" w:themeColor="text1"/>
                <w:spacing w:val="-2"/>
                <w:sz w:val="14"/>
                <w:szCs w:val="14"/>
              </w:rPr>
            </w:pPr>
          </w:p>
        </w:tc>
      </w:tr>
      <w:tr w:rsidR="00602D1D" w:rsidRPr="00367038" w:rsidTr="00281416">
        <w:tc>
          <w:tcPr>
            <w:tcW w:w="1042" w:type="pct"/>
            <w:gridSpan w:val="4"/>
          </w:tcPr>
          <w:p w:rsidR="00602D1D" w:rsidRPr="00602D1D" w:rsidRDefault="00602D1D" w:rsidP="00602D1D">
            <w:pPr>
              <w:spacing w:line="240" w:lineRule="auto"/>
              <w:rPr>
                <w:color w:val="000000" w:themeColor="text1"/>
                <w:sz w:val="16"/>
                <w:szCs w:val="16"/>
              </w:rPr>
            </w:pPr>
            <w:r w:rsidRPr="00602D1D">
              <w:rPr>
                <w:color w:val="000000" w:themeColor="text1"/>
                <w:sz w:val="16"/>
                <w:szCs w:val="16"/>
              </w:rPr>
              <w:t>Obchodní bilance v národním pojetí (ceny FOB/CIF) stoupla o téměř polovinu na 155,2 mld. korun díky exportu aut a dovozům ropy a plynu</w:t>
            </w:r>
          </w:p>
        </w:tc>
        <w:tc>
          <w:tcPr>
            <w:tcW w:w="139" w:type="pct"/>
            <w:gridSpan w:val="2"/>
          </w:tcPr>
          <w:p w:rsidR="00602D1D" w:rsidRDefault="00602D1D" w:rsidP="00281416">
            <w:pPr>
              <w:pStyle w:val="Textpoznpodarou"/>
              <w:jc w:val="both"/>
            </w:pPr>
          </w:p>
        </w:tc>
        <w:tc>
          <w:tcPr>
            <w:tcW w:w="3819" w:type="pct"/>
            <w:gridSpan w:val="4"/>
          </w:tcPr>
          <w:p w:rsidR="00602D1D" w:rsidRPr="00602D1D" w:rsidRDefault="00602D1D" w:rsidP="00602D1D">
            <w:pPr>
              <w:pStyle w:val="Textpoznpodarou"/>
              <w:jc w:val="both"/>
              <w:rPr>
                <w:color w:val="000000" w:themeColor="text1"/>
                <w:spacing w:val="-4"/>
              </w:rPr>
            </w:pPr>
            <w:r w:rsidRPr="00602D1D">
              <w:rPr>
                <w:color w:val="000000" w:themeColor="text1"/>
                <w:spacing w:val="-4"/>
              </w:rPr>
              <w:t>Bilance</w:t>
            </w:r>
            <w:r w:rsidRPr="00602D1D">
              <w:rPr>
                <w:color w:val="000000" w:themeColor="text1"/>
                <w:spacing w:val="-4"/>
                <w:vertAlign w:val="superscript"/>
              </w:rPr>
              <w:footnoteReference w:id="3"/>
            </w:r>
            <w:r w:rsidRPr="00602D1D">
              <w:rPr>
                <w:color w:val="000000" w:themeColor="text1"/>
                <w:spacing w:val="-4"/>
                <w:vertAlign w:val="superscript"/>
              </w:rPr>
              <w:t xml:space="preserve"> </w:t>
            </w:r>
            <w:r w:rsidRPr="00602D1D">
              <w:rPr>
                <w:color w:val="000000" w:themeColor="text1"/>
                <w:spacing w:val="-4"/>
              </w:rPr>
              <w:t xml:space="preserve">komodit se nejvíce zlepšila v obchodech s automobily (+65 mld. na 354 mld. korun) a v obchodech s ropou a zemním plynem (deficit se ztenčil o 32 mld. na 161 mld. korun). Tato dvě zlepšení byla klíčová pro růst obchodní bilance v národním pojetí (+48,7 mld. na 155,2 mld. korun). Ze 40 položek výrobkové klasifikace (CZ-CPA) se bilance zhoršila u 16 z nich - nejvíc u strojů a zařízení </w:t>
            </w:r>
            <w:proofErr w:type="spellStart"/>
            <w:proofErr w:type="gramStart"/>
            <w:r w:rsidRPr="00602D1D">
              <w:rPr>
                <w:color w:val="000000" w:themeColor="text1"/>
                <w:spacing w:val="-4"/>
              </w:rPr>
              <w:t>j.n</w:t>
            </w:r>
            <w:proofErr w:type="spellEnd"/>
            <w:r w:rsidRPr="00602D1D">
              <w:rPr>
                <w:color w:val="000000" w:themeColor="text1"/>
                <w:spacing w:val="-4"/>
              </w:rPr>
              <w:t>.</w:t>
            </w:r>
            <w:proofErr w:type="gramEnd"/>
            <w:r w:rsidRPr="00602D1D">
              <w:rPr>
                <w:color w:val="000000" w:themeColor="text1"/>
                <w:spacing w:val="-4"/>
              </w:rPr>
              <w:t xml:space="preserve"> (-20 mld.), základních kovů (-14 mld.) anebo např. v obchodech s PC a elektronikou (-8 mld. korun).</w:t>
            </w:r>
          </w:p>
          <w:p w:rsidR="00602D1D" w:rsidRPr="000F401E" w:rsidRDefault="00602D1D" w:rsidP="00602D1D">
            <w:pPr>
              <w:pStyle w:val="Textpoznpodarou"/>
              <w:jc w:val="both"/>
              <w:rPr>
                <w:color w:val="000000" w:themeColor="text1"/>
                <w:spacing w:val="-2"/>
                <w:sz w:val="16"/>
                <w:szCs w:val="16"/>
              </w:rPr>
            </w:pPr>
          </w:p>
        </w:tc>
      </w:tr>
      <w:tr w:rsidR="00602D1D" w:rsidRPr="00367038" w:rsidTr="00281416">
        <w:tc>
          <w:tcPr>
            <w:tcW w:w="1042" w:type="pct"/>
            <w:gridSpan w:val="4"/>
          </w:tcPr>
          <w:p w:rsidR="00602D1D" w:rsidRPr="00602D1D" w:rsidRDefault="00602D1D" w:rsidP="00602D1D">
            <w:pPr>
              <w:spacing w:line="240" w:lineRule="auto"/>
              <w:rPr>
                <w:color w:val="000000" w:themeColor="text1"/>
                <w:sz w:val="16"/>
                <w:szCs w:val="16"/>
              </w:rPr>
            </w:pPr>
            <w:r w:rsidRPr="00602D1D">
              <w:rPr>
                <w:color w:val="000000" w:themeColor="text1"/>
                <w:sz w:val="16"/>
                <w:szCs w:val="16"/>
              </w:rPr>
              <w:t xml:space="preserve">Vývoz aut stoupl meziročně o </w:t>
            </w:r>
            <w:proofErr w:type="gramStart"/>
            <w:r w:rsidRPr="00602D1D">
              <w:rPr>
                <w:color w:val="000000" w:themeColor="text1"/>
                <w:sz w:val="16"/>
                <w:szCs w:val="16"/>
              </w:rPr>
              <w:t>22 %,  léků</w:t>
            </w:r>
            <w:proofErr w:type="gramEnd"/>
            <w:r w:rsidRPr="00602D1D">
              <w:rPr>
                <w:color w:val="000000" w:themeColor="text1"/>
                <w:sz w:val="16"/>
                <w:szCs w:val="16"/>
              </w:rPr>
              <w:t xml:space="preserve"> o 38 % - šest největších položek tvořících téměř dvě třetiny exportu z ČR rostlo v úhrnu meziročně mírně více  (+13,8 %) než export celkem (+13,1 %) </w:t>
            </w:r>
          </w:p>
        </w:tc>
        <w:tc>
          <w:tcPr>
            <w:tcW w:w="139" w:type="pct"/>
            <w:gridSpan w:val="2"/>
          </w:tcPr>
          <w:p w:rsidR="00602D1D" w:rsidRDefault="00602D1D" w:rsidP="00281416">
            <w:pPr>
              <w:pStyle w:val="Textpoznpodarou"/>
              <w:jc w:val="both"/>
            </w:pPr>
          </w:p>
        </w:tc>
        <w:tc>
          <w:tcPr>
            <w:tcW w:w="3819" w:type="pct"/>
            <w:gridSpan w:val="4"/>
          </w:tcPr>
          <w:p w:rsidR="00602D1D" w:rsidRPr="00602D1D" w:rsidRDefault="00602D1D" w:rsidP="00602D1D">
            <w:pPr>
              <w:pStyle w:val="Textpoznpodarou"/>
              <w:jc w:val="both"/>
              <w:rPr>
                <w:color w:val="000000" w:themeColor="text1"/>
                <w:spacing w:val="-6"/>
              </w:rPr>
            </w:pPr>
            <w:r w:rsidRPr="00602D1D">
              <w:rPr>
                <w:color w:val="000000" w:themeColor="text1"/>
                <w:spacing w:val="-6"/>
              </w:rPr>
              <w:t xml:space="preserve">Export zboží z ČR byl opět velmi úspěšný. I přes znovuobnovení růstu české ekonomiky, s vyšší domácí poptávkou a tím i s nároky na dovozy, se proti roku 2013 zvýšil vývoz rychleji (+13,1 %) než dovoz (+11,8 %). Šest klíčových exportních komodit strojírenského charakteru (auta, kovy a kovodělné výrobky, PC a elektronika spolu s elektrickými přístroji a ostatními stroji) tvořilo 63 % celkového exportu z ČR a jejich dynamika byla v úhrnu dvojciferná (+13,8 %), tj. mírně nad průměrným tempem za celý export.  </w:t>
            </w:r>
          </w:p>
          <w:p w:rsidR="00602D1D" w:rsidRPr="000F401E" w:rsidRDefault="00602D1D" w:rsidP="00602D1D">
            <w:pPr>
              <w:pStyle w:val="Textpoznpodarou"/>
              <w:jc w:val="both"/>
              <w:rPr>
                <w:color w:val="000000" w:themeColor="text1"/>
                <w:spacing w:val="-2"/>
                <w:sz w:val="16"/>
                <w:szCs w:val="16"/>
              </w:rPr>
            </w:pPr>
          </w:p>
        </w:tc>
      </w:tr>
      <w:tr w:rsidR="00602D1D" w:rsidRPr="00602D1D" w:rsidTr="00281416">
        <w:trPr>
          <w:gridBefore w:val="1"/>
          <w:gridAfter w:val="1"/>
          <w:wBefore w:w="15" w:type="pct"/>
          <w:wAfter w:w="28" w:type="pct"/>
        </w:trPr>
        <w:tc>
          <w:tcPr>
            <w:tcW w:w="1011" w:type="pct"/>
            <w:gridSpan w:val="2"/>
          </w:tcPr>
          <w:p w:rsidR="00602D1D" w:rsidRPr="00602D1D" w:rsidRDefault="00602D1D" w:rsidP="00602D1D">
            <w:pPr>
              <w:spacing w:line="240" w:lineRule="auto"/>
              <w:rPr>
                <w:color w:val="000000" w:themeColor="text1"/>
                <w:sz w:val="16"/>
                <w:szCs w:val="16"/>
              </w:rPr>
            </w:pPr>
            <w:r w:rsidRPr="00602D1D">
              <w:rPr>
                <w:color w:val="000000" w:themeColor="text1"/>
                <w:sz w:val="16"/>
                <w:szCs w:val="16"/>
              </w:rPr>
              <w:t>Klesl podíl Německa i Ruské federace na exportu z České republiky</w:t>
            </w:r>
          </w:p>
        </w:tc>
        <w:tc>
          <w:tcPr>
            <w:tcW w:w="128" w:type="pct"/>
            <w:gridSpan w:val="2"/>
          </w:tcPr>
          <w:p w:rsidR="00602D1D" w:rsidRPr="005765D5" w:rsidRDefault="00602D1D" w:rsidP="00281416">
            <w:pPr>
              <w:pStyle w:val="Textpoznpodarou"/>
              <w:jc w:val="both"/>
            </w:pPr>
          </w:p>
        </w:tc>
        <w:tc>
          <w:tcPr>
            <w:tcW w:w="3818" w:type="pct"/>
            <w:gridSpan w:val="4"/>
          </w:tcPr>
          <w:p w:rsidR="00602D1D" w:rsidRPr="00C20C4D" w:rsidRDefault="00602D1D" w:rsidP="00602D1D">
            <w:pPr>
              <w:pStyle w:val="Textpoznpodarou"/>
              <w:jc w:val="both"/>
              <w:rPr>
                <w:color w:val="000000" w:themeColor="text1"/>
              </w:rPr>
            </w:pPr>
            <w:r w:rsidRPr="00C20C4D">
              <w:rPr>
                <w:color w:val="000000" w:themeColor="text1"/>
              </w:rPr>
              <w:t xml:space="preserve">Váha EU jako cílové destinace vývozů z ČR vzrostla (+1,3 </w:t>
            </w:r>
            <w:proofErr w:type="spellStart"/>
            <w:r w:rsidRPr="00C20C4D">
              <w:rPr>
                <w:color w:val="000000" w:themeColor="text1"/>
              </w:rPr>
              <w:t>pb</w:t>
            </w:r>
            <w:proofErr w:type="spellEnd"/>
            <w:r w:rsidRPr="00C20C4D">
              <w:rPr>
                <w:color w:val="000000" w:themeColor="text1"/>
              </w:rPr>
              <w:t>. na</w:t>
            </w:r>
            <w:r w:rsidR="00C20C4D" w:rsidRPr="00C20C4D">
              <w:rPr>
                <w:color w:val="000000" w:themeColor="text1"/>
              </w:rPr>
              <w:t xml:space="preserve"> 83 %). Vývoz do Německa stoupl</w:t>
            </w:r>
            <w:r w:rsidRPr="00C20C4D">
              <w:rPr>
                <w:color w:val="000000" w:themeColor="text1"/>
              </w:rPr>
              <w:t xml:space="preserve"> nadprůměrně (+15,8 %), čímž se zvýšil i podíl tohoto hlavního partnera na vývozech celkem (+0,7 </w:t>
            </w:r>
            <w:proofErr w:type="spellStart"/>
            <w:r w:rsidRPr="00C20C4D">
              <w:rPr>
                <w:color w:val="000000" w:themeColor="text1"/>
              </w:rPr>
              <w:t>pb</w:t>
            </w:r>
            <w:proofErr w:type="spellEnd"/>
            <w:r w:rsidRPr="00C20C4D">
              <w:rPr>
                <w:color w:val="000000" w:themeColor="text1"/>
              </w:rPr>
              <w:t>. na 32,1 %). Politika sankcí omezila export do Ruské federace (-4,6 %), čímž klesl její podíl na celkových expo</w:t>
            </w:r>
            <w:r w:rsidR="000F401E" w:rsidRPr="00C20C4D">
              <w:rPr>
                <w:color w:val="000000" w:themeColor="text1"/>
              </w:rPr>
              <w:t>rtech z ČR z 3,7</w:t>
            </w:r>
            <w:r w:rsidR="00C20C4D">
              <w:rPr>
                <w:color w:val="000000" w:themeColor="text1"/>
              </w:rPr>
              <w:t> </w:t>
            </w:r>
            <w:r w:rsidR="000F401E" w:rsidRPr="00C20C4D">
              <w:rPr>
                <w:color w:val="000000" w:themeColor="text1"/>
              </w:rPr>
              <w:t>% na 3,1 %.</w:t>
            </w:r>
          </w:p>
          <w:p w:rsidR="00602D1D" w:rsidRPr="000F401E" w:rsidRDefault="00602D1D" w:rsidP="00602D1D">
            <w:pPr>
              <w:pStyle w:val="Textpoznpodarou"/>
              <w:jc w:val="both"/>
              <w:rPr>
                <w:color w:val="000000" w:themeColor="text1"/>
                <w:spacing w:val="-2"/>
                <w:sz w:val="16"/>
                <w:szCs w:val="16"/>
              </w:rPr>
            </w:pPr>
          </w:p>
        </w:tc>
      </w:tr>
      <w:tr w:rsidR="00602D1D" w:rsidTr="0028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c>
          <w:tcPr>
            <w:tcW w:w="429" w:type="pct"/>
            <w:gridSpan w:val="2"/>
            <w:tcBorders>
              <w:top w:val="nil"/>
              <w:left w:val="nil"/>
              <w:bottom w:val="nil"/>
              <w:right w:val="nil"/>
            </w:tcBorders>
          </w:tcPr>
          <w:p w:rsidR="00602D1D" w:rsidRDefault="00602D1D" w:rsidP="00055059">
            <w:pPr>
              <w:spacing w:line="240" w:lineRule="auto"/>
              <w:rPr>
                <w:color w:val="000000"/>
              </w:rPr>
            </w:pPr>
            <w:r>
              <w:rPr>
                <w:color w:val="000000"/>
              </w:rPr>
              <w:t>Graf č. 9</w:t>
            </w:r>
          </w:p>
        </w:tc>
        <w:tc>
          <w:tcPr>
            <w:tcW w:w="2007" w:type="pct"/>
            <w:gridSpan w:val="5"/>
            <w:tcBorders>
              <w:top w:val="nil"/>
              <w:left w:val="nil"/>
              <w:bottom w:val="nil"/>
              <w:right w:val="nil"/>
            </w:tcBorders>
          </w:tcPr>
          <w:p w:rsidR="00602D1D" w:rsidRPr="00444268" w:rsidRDefault="00602D1D" w:rsidP="00055059">
            <w:pPr>
              <w:spacing w:line="240" w:lineRule="auto"/>
              <w:rPr>
                <w:b/>
                <w:bCs/>
              </w:rPr>
            </w:pPr>
            <w:r>
              <w:rPr>
                <w:b/>
                <w:bCs/>
              </w:rPr>
              <w:t>Obchodní bilance</w:t>
            </w:r>
            <w:r w:rsidRPr="002A35EA">
              <w:rPr>
                <w:bCs/>
              </w:rPr>
              <w:t xml:space="preserve"> (</w:t>
            </w:r>
            <w:r w:rsidRPr="00C75C9B">
              <w:rPr>
                <w:bCs/>
              </w:rPr>
              <w:t>v m</w:t>
            </w:r>
            <w:r>
              <w:rPr>
                <w:bCs/>
              </w:rPr>
              <w:t>i</w:t>
            </w:r>
            <w:r w:rsidRPr="00C75C9B">
              <w:rPr>
                <w:bCs/>
              </w:rPr>
              <w:t>l. korun</w:t>
            </w:r>
            <w:r>
              <w:rPr>
                <w:bCs/>
              </w:rPr>
              <w:t xml:space="preserve">, </w:t>
            </w:r>
            <w:proofErr w:type="spellStart"/>
            <w:r>
              <w:rPr>
                <w:bCs/>
              </w:rPr>
              <w:t>nár</w:t>
            </w:r>
            <w:proofErr w:type="spellEnd"/>
            <w:r>
              <w:rPr>
                <w:bCs/>
              </w:rPr>
              <w:t>.</w:t>
            </w:r>
            <w:r w:rsidR="00055059">
              <w:rPr>
                <w:bCs/>
              </w:rPr>
              <w:t> </w:t>
            </w:r>
            <w:proofErr w:type="gramStart"/>
            <w:r>
              <w:rPr>
                <w:bCs/>
              </w:rPr>
              <w:t>pojetí</w:t>
            </w:r>
            <w:proofErr w:type="gramEnd"/>
            <w:r>
              <w:rPr>
                <w:bCs/>
              </w:rPr>
              <w:t xml:space="preserve">; </w:t>
            </w:r>
            <w:r w:rsidRPr="009B4B4B">
              <w:rPr>
                <w:bCs/>
                <w:sz w:val="18"/>
                <w:szCs w:val="18"/>
              </w:rPr>
              <w:t>vývoz/dovoz v cenách FOB/ CIF)</w:t>
            </w:r>
            <w:r>
              <w:rPr>
                <w:b/>
                <w:bCs/>
              </w:rPr>
              <w:t xml:space="preserve"> </w:t>
            </w:r>
          </w:p>
        </w:tc>
        <w:tc>
          <w:tcPr>
            <w:tcW w:w="469" w:type="pct"/>
            <w:tcBorders>
              <w:top w:val="nil"/>
              <w:left w:val="nil"/>
              <w:bottom w:val="nil"/>
              <w:right w:val="nil"/>
            </w:tcBorders>
          </w:tcPr>
          <w:p w:rsidR="00602D1D" w:rsidRDefault="00602D1D" w:rsidP="00055059">
            <w:pPr>
              <w:spacing w:line="240" w:lineRule="auto"/>
              <w:rPr>
                <w:color w:val="000000"/>
              </w:rPr>
            </w:pPr>
            <w:r>
              <w:rPr>
                <w:color w:val="000000"/>
              </w:rPr>
              <w:t>Graf č. 10</w:t>
            </w:r>
          </w:p>
        </w:tc>
        <w:tc>
          <w:tcPr>
            <w:tcW w:w="2095" w:type="pct"/>
            <w:gridSpan w:val="2"/>
            <w:tcBorders>
              <w:top w:val="nil"/>
              <w:left w:val="nil"/>
              <w:bottom w:val="nil"/>
              <w:right w:val="nil"/>
            </w:tcBorders>
          </w:tcPr>
          <w:p w:rsidR="00602D1D" w:rsidRPr="00EB30B6" w:rsidRDefault="00602D1D" w:rsidP="00055059">
            <w:pPr>
              <w:spacing w:line="240" w:lineRule="auto"/>
              <w:rPr>
                <w:bCs/>
              </w:rPr>
            </w:pPr>
            <w:r>
              <w:rPr>
                <w:b/>
                <w:bCs/>
              </w:rPr>
              <w:t xml:space="preserve">Vývoj hlavních složek platební </w:t>
            </w:r>
            <w:proofErr w:type="gramStart"/>
            <w:r>
              <w:rPr>
                <w:b/>
                <w:bCs/>
              </w:rPr>
              <w:t xml:space="preserve">bilance </w:t>
            </w:r>
            <w:r w:rsidRPr="00974D5F">
              <w:rPr>
                <w:b/>
                <w:bCs/>
              </w:rPr>
              <w:t xml:space="preserve"> </w:t>
            </w:r>
            <w:r w:rsidRPr="00974D5F">
              <w:rPr>
                <w:bCs/>
              </w:rPr>
              <w:t>(</w:t>
            </w:r>
            <w:r>
              <w:rPr>
                <w:bCs/>
              </w:rPr>
              <w:t>v</w:t>
            </w:r>
            <w:r w:rsidR="00055059">
              <w:rPr>
                <w:bCs/>
              </w:rPr>
              <w:t> </w:t>
            </w:r>
            <w:r>
              <w:rPr>
                <w:bCs/>
              </w:rPr>
              <w:t>mil.</w:t>
            </w:r>
            <w:proofErr w:type="gramEnd"/>
            <w:r>
              <w:rPr>
                <w:bCs/>
              </w:rPr>
              <w:t xml:space="preserve"> korun, stav k 31.12.</w:t>
            </w:r>
            <w:r w:rsidRPr="00974D5F">
              <w:rPr>
                <w:bCs/>
              </w:rPr>
              <w:t>)</w:t>
            </w:r>
            <w:r>
              <w:rPr>
                <w:b/>
                <w:bCs/>
              </w:rPr>
              <w:t xml:space="preserve"> </w:t>
            </w:r>
          </w:p>
        </w:tc>
      </w:tr>
      <w:tr w:rsidR="00602D1D" w:rsidTr="0028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256"/>
        </w:trPr>
        <w:tc>
          <w:tcPr>
            <w:tcW w:w="2436" w:type="pct"/>
            <w:gridSpan w:val="7"/>
            <w:tcBorders>
              <w:top w:val="nil"/>
              <w:left w:val="nil"/>
              <w:bottom w:val="nil"/>
              <w:right w:val="nil"/>
            </w:tcBorders>
          </w:tcPr>
          <w:p w:rsidR="00602D1D" w:rsidRPr="001D47E5" w:rsidRDefault="00602D1D" w:rsidP="00281416">
            <w:pPr>
              <w:pStyle w:val="Zhlav"/>
              <w:tabs>
                <w:tab w:val="clear" w:pos="4536"/>
                <w:tab w:val="clear" w:pos="9072"/>
              </w:tabs>
              <w:ind w:right="-275"/>
              <w:rPr>
                <w:rFonts w:ascii="Arial" w:hAnsi="Arial" w:cs="Arial"/>
                <w:sz w:val="20"/>
              </w:rPr>
            </w:pPr>
            <w:r>
              <w:rPr>
                <w:rFonts w:ascii="Arial" w:hAnsi="Arial" w:cs="Arial"/>
                <w:noProof/>
                <w:sz w:val="20"/>
                <w:lang w:eastAsia="cs-CZ"/>
              </w:rPr>
              <w:drawing>
                <wp:inline distT="0" distB="0" distL="0" distR="0">
                  <wp:extent cx="2933700" cy="25050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33700" cy="2505075"/>
                          </a:xfrm>
                          <a:prstGeom prst="rect">
                            <a:avLst/>
                          </a:prstGeom>
                          <a:noFill/>
                          <a:ln w="9525">
                            <a:noFill/>
                            <a:miter lim="800000"/>
                            <a:headEnd/>
                            <a:tailEnd/>
                          </a:ln>
                        </pic:spPr>
                      </pic:pic>
                    </a:graphicData>
                  </a:graphic>
                </wp:inline>
              </w:drawing>
            </w:r>
          </w:p>
        </w:tc>
        <w:tc>
          <w:tcPr>
            <w:tcW w:w="2564" w:type="pct"/>
            <w:gridSpan w:val="3"/>
            <w:tcBorders>
              <w:top w:val="nil"/>
              <w:left w:val="nil"/>
              <w:bottom w:val="nil"/>
              <w:right w:val="nil"/>
            </w:tcBorders>
          </w:tcPr>
          <w:p w:rsidR="00602D1D" w:rsidRPr="009B4B4B" w:rsidRDefault="00602D1D" w:rsidP="00281416">
            <w:pPr>
              <w:pStyle w:val="Zhlav"/>
              <w:tabs>
                <w:tab w:val="clear" w:pos="4536"/>
                <w:tab w:val="clear" w:pos="9072"/>
              </w:tabs>
              <w:spacing w:line="235" w:lineRule="auto"/>
              <w:jc w:val="both"/>
              <w:rPr>
                <w:rFonts w:ascii="Arial" w:hAnsi="Arial" w:cs="Arial"/>
                <w:noProof/>
                <w:sz w:val="20"/>
                <w:lang w:eastAsia="cs-CZ"/>
              </w:rPr>
            </w:pPr>
            <w:r w:rsidRPr="00602D1D">
              <w:rPr>
                <w:rFonts w:ascii="Arial" w:hAnsi="Arial" w:cs="Arial"/>
                <w:noProof/>
                <w:sz w:val="20"/>
                <w:lang w:eastAsia="cs-CZ"/>
              </w:rPr>
              <w:drawing>
                <wp:inline distT="0" distB="0" distL="0" distR="0">
                  <wp:extent cx="3082595" cy="2420281"/>
                  <wp:effectExtent l="19050" t="0" r="3505" b="0"/>
                  <wp:docPr id="7"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3088483" cy="2424904"/>
                          </a:xfrm>
                          <a:prstGeom prst="rect">
                            <a:avLst/>
                          </a:prstGeom>
                          <a:noFill/>
                        </pic:spPr>
                      </pic:pic>
                    </a:graphicData>
                  </a:graphic>
                </wp:inline>
              </w:drawing>
            </w:r>
          </w:p>
          <w:p w:rsidR="00602D1D" w:rsidRPr="00862A7A" w:rsidRDefault="00AB440B" w:rsidP="00AB440B">
            <w:pPr>
              <w:pStyle w:val="Zhlav"/>
              <w:tabs>
                <w:tab w:val="clear" w:pos="4536"/>
                <w:tab w:val="clear" w:pos="9072"/>
              </w:tabs>
              <w:spacing w:line="235" w:lineRule="auto"/>
              <w:jc w:val="right"/>
              <w:rPr>
                <w:rFonts w:ascii="Arial" w:hAnsi="Arial" w:cs="Arial"/>
                <w:noProof/>
                <w:sz w:val="18"/>
                <w:szCs w:val="18"/>
                <w:lang w:eastAsia="cs-CZ"/>
              </w:rPr>
            </w:pPr>
            <w:r>
              <w:rPr>
                <w:rFonts w:ascii="Arial" w:hAnsi="Arial" w:cs="Arial"/>
                <w:noProof/>
                <w:sz w:val="18"/>
                <w:szCs w:val="18"/>
                <w:lang w:eastAsia="cs-CZ"/>
              </w:rPr>
              <w:t>Zdroj</w:t>
            </w:r>
            <w:r w:rsidR="00602D1D" w:rsidRPr="00862A7A">
              <w:rPr>
                <w:rFonts w:ascii="Arial" w:hAnsi="Arial" w:cs="Arial"/>
                <w:noProof/>
                <w:sz w:val="18"/>
                <w:szCs w:val="18"/>
                <w:lang w:eastAsia="cs-CZ"/>
              </w:rPr>
              <w:t>: ČSÚ, ČNB</w:t>
            </w:r>
          </w:p>
        </w:tc>
      </w:tr>
    </w:tbl>
    <w:p w:rsidR="00F72F44" w:rsidRDefault="00F72F44" w:rsidP="00F72F44"/>
    <w:sectPr w:rsidR="00F72F44" w:rsidSect="0017450C">
      <w:headerReference w:type="even" r:id="rId10"/>
      <w:headerReference w:type="default" r:id="rId11"/>
      <w:footerReference w:type="even" r:id="rId12"/>
      <w:footerReference w:type="default" r:id="rId13"/>
      <w:type w:val="continuous"/>
      <w:pgSz w:w="11906" w:h="16838" w:code="9"/>
      <w:pgMar w:top="1134" w:right="1134" w:bottom="1418" w:left="1134" w:header="680" w:footer="680"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15D" w:rsidRDefault="0075315D" w:rsidP="00E71A58">
      <w:r>
        <w:separator/>
      </w:r>
    </w:p>
  </w:endnote>
  <w:endnote w:type="continuationSeparator" w:id="0">
    <w:p w:rsidR="0075315D" w:rsidRDefault="0075315D"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5D" w:rsidRDefault="0075315D" w:rsidP="00357449">
    <w:pPr>
      <w:pStyle w:val="Zpat"/>
      <w:tabs>
        <w:tab w:val="clear" w:pos="4536"/>
        <w:tab w:val="clear" w:pos="9072"/>
        <w:tab w:val="center" w:pos="4820"/>
        <w:tab w:val="right" w:pos="9639"/>
      </w:tabs>
    </w:pPr>
    <w:r>
      <w:rPr>
        <w:noProof/>
        <w:lang w:eastAsia="cs-CZ"/>
      </w:rPr>
      <w:drawing>
        <wp:anchor distT="0" distB="0" distL="114300" distR="114300" simplePos="0" relativeHeight="25168588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8"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531C45" w:rsidRPr="005A21E0">
      <w:rPr>
        <w:rFonts w:ascii="Arial" w:hAnsi="Arial" w:cs="Arial"/>
        <w:sz w:val="16"/>
        <w:szCs w:val="16"/>
      </w:rPr>
      <w:fldChar w:fldCharType="begin"/>
    </w:r>
    <w:r w:rsidRPr="005A21E0">
      <w:rPr>
        <w:rFonts w:ascii="Arial" w:hAnsi="Arial" w:cs="Arial"/>
        <w:sz w:val="16"/>
        <w:szCs w:val="16"/>
      </w:rPr>
      <w:instrText>PAGE   \* MERGEFORMAT</w:instrText>
    </w:r>
    <w:r w:rsidR="00531C45" w:rsidRPr="005A21E0">
      <w:rPr>
        <w:rFonts w:ascii="Arial" w:hAnsi="Arial" w:cs="Arial"/>
        <w:sz w:val="16"/>
        <w:szCs w:val="16"/>
      </w:rPr>
      <w:fldChar w:fldCharType="separate"/>
    </w:r>
    <w:r w:rsidR="0017450C">
      <w:rPr>
        <w:rFonts w:ascii="Arial" w:hAnsi="Arial" w:cs="Arial"/>
        <w:noProof/>
        <w:sz w:val="16"/>
        <w:szCs w:val="16"/>
      </w:rPr>
      <w:t>12</w:t>
    </w:r>
    <w:r w:rsidR="00531C45" w:rsidRPr="005A21E0">
      <w:rPr>
        <w:rFonts w:ascii="Arial" w:hAnsi="Arial" w:cs="Arial"/>
        <w:sz w:val="16"/>
        <w:szCs w:val="16"/>
      </w:rPr>
      <w:fldChar w:fldCharType="end"/>
    </w:r>
    <w:r>
      <w:rPr>
        <w:rFonts w:ascii="Arial" w:hAnsi="Arial" w:cs="Arial"/>
        <w:sz w:val="16"/>
        <w:szCs w:val="16"/>
      </w:rPr>
      <w:tab/>
      <w:t>2014</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5D" w:rsidRDefault="0075315D"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87936"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29" name="obrázek 142"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75315D" w:rsidRPr="00223E00" w:rsidRDefault="0075315D"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rPr>
        <w:rFonts w:ascii="Arial" w:hAnsi="Arial" w:cs="Arial"/>
        <w:sz w:val="16"/>
        <w:szCs w:val="16"/>
      </w:rPr>
      <w:tab/>
    </w:r>
    <w:r w:rsidR="00531C45"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531C45" w:rsidRPr="00223E00">
      <w:rPr>
        <w:rFonts w:ascii="Arial" w:hAnsi="Arial" w:cs="Arial"/>
        <w:sz w:val="16"/>
        <w:szCs w:val="16"/>
      </w:rPr>
      <w:fldChar w:fldCharType="separate"/>
    </w:r>
    <w:r w:rsidR="0017450C">
      <w:rPr>
        <w:rFonts w:ascii="Arial" w:hAnsi="Arial" w:cs="Arial"/>
        <w:noProof/>
        <w:sz w:val="16"/>
        <w:szCs w:val="16"/>
      </w:rPr>
      <w:t>13</w:t>
    </w:r>
    <w:r w:rsidR="00531C45"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15D" w:rsidRDefault="0075315D" w:rsidP="00E71A58">
      <w:r>
        <w:separator/>
      </w:r>
    </w:p>
  </w:footnote>
  <w:footnote w:type="continuationSeparator" w:id="0">
    <w:p w:rsidR="0075315D" w:rsidRDefault="0075315D" w:rsidP="00E71A58">
      <w:r>
        <w:continuationSeparator/>
      </w:r>
    </w:p>
  </w:footnote>
  <w:footnote w:id="1">
    <w:p w:rsidR="0075315D" w:rsidRDefault="0075315D" w:rsidP="00602D1D">
      <w:pPr>
        <w:pStyle w:val="Textpoznpodarou"/>
        <w:jc w:val="both"/>
      </w:pPr>
      <w:r>
        <w:rPr>
          <w:rStyle w:val="Znakapoznpodarou"/>
        </w:rPr>
        <w:footnoteRef/>
      </w:r>
      <w:r>
        <w:t xml:space="preserve"> </w:t>
      </w:r>
      <w:r w:rsidRPr="00823AAF">
        <w:rPr>
          <w:sz w:val="16"/>
          <w:szCs w:val="16"/>
        </w:rPr>
        <w:t>Terminologicky tato kapitola u části platební bilance respektu</w:t>
      </w:r>
      <w:r>
        <w:rPr>
          <w:sz w:val="16"/>
          <w:szCs w:val="16"/>
        </w:rPr>
        <w:t xml:space="preserve">je přechod na BPM6, tedy šestý manuál k </w:t>
      </w:r>
      <w:r w:rsidRPr="00823AAF">
        <w:rPr>
          <w:sz w:val="16"/>
          <w:szCs w:val="16"/>
        </w:rPr>
        <w:t>platební bilanci, podle které</w:t>
      </w:r>
      <w:r>
        <w:rPr>
          <w:sz w:val="16"/>
          <w:szCs w:val="16"/>
        </w:rPr>
        <w:t xml:space="preserve">ho </w:t>
      </w:r>
      <w:r w:rsidRPr="00823AAF">
        <w:rPr>
          <w:sz w:val="16"/>
          <w:szCs w:val="16"/>
        </w:rPr>
        <w:t>ČNB zveřejnila výsledky</w:t>
      </w:r>
      <w:r>
        <w:rPr>
          <w:sz w:val="16"/>
          <w:szCs w:val="16"/>
        </w:rPr>
        <w:t xml:space="preserve"> </w:t>
      </w:r>
      <w:r w:rsidRPr="00823AAF">
        <w:rPr>
          <w:sz w:val="16"/>
          <w:szCs w:val="16"/>
        </w:rPr>
        <w:t>poprvé v prosinci 2014.</w:t>
      </w:r>
      <w:r>
        <w:t xml:space="preserve"> </w:t>
      </w:r>
    </w:p>
  </w:footnote>
  <w:footnote w:id="2">
    <w:p w:rsidR="0075315D" w:rsidRDefault="0075315D" w:rsidP="00602D1D">
      <w:pPr>
        <w:pStyle w:val="Textpoznpodarou"/>
      </w:pPr>
      <w:r>
        <w:rPr>
          <w:rStyle w:val="Znakapoznpodarou"/>
        </w:rPr>
        <w:footnoteRef/>
      </w:r>
      <w:r>
        <w:t xml:space="preserve"> </w:t>
      </w:r>
      <w:r w:rsidRPr="00731963">
        <w:rPr>
          <w:sz w:val="16"/>
          <w:szCs w:val="16"/>
        </w:rPr>
        <w:t>Dovoz i vývoz zboží v cenách FOB.</w:t>
      </w:r>
    </w:p>
  </w:footnote>
  <w:footnote w:id="3">
    <w:p w:rsidR="0075315D" w:rsidRPr="00862A7A" w:rsidRDefault="0075315D" w:rsidP="00602D1D">
      <w:pPr>
        <w:pStyle w:val="Textpoznpodarou"/>
        <w:rPr>
          <w:sz w:val="16"/>
          <w:szCs w:val="16"/>
        </w:rPr>
      </w:pPr>
      <w:r>
        <w:rPr>
          <w:rStyle w:val="Znakapoznpodarou"/>
        </w:rPr>
        <w:footnoteRef/>
      </w:r>
      <w:r>
        <w:t xml:space="preserve"> </w:t>
      </w:r>
      <w:r w:rsidRPr="005D6CFC">
        <w:rPr>
          <w:sz w:val="16"/>
          <w:szCs w:val="16"/>
        </w:rPr>
        <w:t>Bilance zboží podle CZ-CPA v národním pojetí.</w:t>
      </w:r>
      <w:r>
        <w:rPr>
          <w:sz w:val="16"/>
          <w:szCs w:val="16"/>
        </w:rPr>
        <w:t xml:space="preserve"> Vývoz v cenách FOB, dovoz v cenách CIF.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5D" w:rsidRPr="00173642" w:rsidRDefault="0075315D" w:rsidP="0017364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5D" w:rsidRPr="00DC5B3B" w:rsidRDefault="0075315D"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BE41B30"/>
    <w:lvl w:ilvl="0">
      <w:start w:val="1"/>
      <w:numFmt w:val="decimal"/>
      <w:lvlText w:val="%1."/>
      <w:lvlJc w:val="left"/>
      <w:pPr>
        <w:tabs>
          <w:tab w:val="num" w:pos="1492"/>
        </w:tabs>
        <w:ind w:left="1492" w:hanging="360"/>
      </w:pPr>
    </w:lvl>
  </w:abstractNum>
  <w:abstractNum w:abstractNumId="1">
    <w:nsid w:val="FFFFFF7D"/>
    <w:multiLevelType w:val="singleLevel"/>
    <w:tmpl w:val="30966A36"/>
    <w:lvl w:ilvl="0">
      <w:start w:val="1"/>
      <w:numFmt w:val="decimal"/>
      <w:lvlText w:val="%1."/>
      <w:lvlJc w:val="left"/>
      <w:pPr>
        <w:tabs>
          <w:tab w:val="num" w:pos="1209"/>
        </w:tabs>
        <w:ind w:left="1209" w:hanging="360"/>
      </w:pPr>
    </w:lvl>
  </w:abstractNum>
  <w:abstractNum w:abstractNumId="2">
    <w:nsid w:val="FFFFFF7E"/>
    <w:multiLevelType w:val="singleLevel"/>
    <w:tmpl w:val="C7463AA2"/>
    <w:lvl w:ilvl="0">
      <w:start w:val="1"/>
      <w:numFmt w:val="decimal"/>
      <w:lvlText w:val="%1."/>
      <w:lvlJc w:val="left"/>
      <w:pPr>
        <w:tabs>
          <w:tab w:val="num" w:pos="926"/>
        </w:tabs>
        <w:ind w:left="926" w:hanging="360"/>
      </w:pPr>
    </w:lvl>
  </w:abstractNum>
  <w:abstractNum w:abstractNumId="3">
    <w:nsid w:val="FFFFFF7F"/>
    <w:multiLevelType w:val="singleLevel"/>
    <w:tmpl w:val="105A984A"/>
    <w:lvl w:ilvl="0">
      <w:start w:val="1"/>
      <w:numFmt w:val="decimal"/>
      <w:lvlText w:val="%1."/>
      <w:lvlJc w:val="left"/>
      <w:pPr>
        <w:tabs>
          <w:tab w:val="num" w:pos="643"/>
        </w:tabs>
        <w:ind w:left="643" w:hanging="360"/>
      </w:pPr>
    </w:lvl>
  </w:abstractNum>
  <w:abstractNum w:abstractNumId="4">
    <w:nsid w:val="FFFFFF80"/>
    <w:multiLevelType w:val="singleLevel"/>
    <w:tmpl w:val="2F2898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098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96A3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F05C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DAB4D0"/>
    <w:lvl w:ilvl="0">
      <w:start w:val="1"/>
      <w:numFmt w:val="decimal"/>
      <w:lvlText w:val="%1."/>
      <w:lvlJc w:val="left"/>
      <w:pPr>
        <w:tabs>
          <w:tab w:val="num" w:pos="360"/>
        </w:tabs>
        <w:ind w:left="360" w:hanging="360"/>
      </w:pPr>
    </w:lvl>
  </w:abstractNum>
  <w:abstractNum w:abstractNumId="9">
    <w:nsid w:val="FFFFFF89"/>
    <w:multiLevelType w:val="singleLevel"/>
    <w:tmpl w:val="402C3AFA"/>
    <w:lvl w:ilvl="0">
      <w:start w:val="1"/>
      <w:numFmt w:val="bullet"/>
      <w:lvlText w:val=""/>
      <w:lvlJc w:val="left"/>
      <w:pPr>
        <w:tabs>
          <w:tab w:val="num" w:pos="360"/>
        </w:tabs>
        <w:ind w:left="360" w:hanging="360"/>
      </w:pPr>
      <w:rPr>
        <w:rFonts w:ascii="Symbol" w:hAnsi="Symbol" w:hint="default"/>
      </w:rPr>
    </w:lvl>
  </w:abstractNum>
  <w:abstractNum w:abstractNumId="10">
    <w:nsid w:val="0002014C"/>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041A7BF3"/>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6035569"/>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7EF1AE0"/>
    <w:multiLevelType w:val="hybridMultilevel"/>
    <w:tmpl w:val="844CEC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02814C7"/>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2521970"/>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29D4A3E"/>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5F91BEC"/>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1A2125F6"/>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1A2D63B1"/>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A135D43"/>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D803D03"/>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D9031BA"/>
    <w:multiLevelType w:val="hybridMultilevel"/>
    <w:tmpl w:val="E22EBD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2936DAC"/>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3E686B04"/>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F653711"/>
    <w:multiLevelType w:val="hybridMultilevel"/>
    <w:tmpl w:val="6D3E4BDC"/>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74E50C6"/>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203756"/>
    <w:multiLevelType w:val="hybridMultilevel"/>
    <w:tmpl w:val="1E04F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180744D"/>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2FD6EFA"/>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550148B"/>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A87323A"/>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B505424"/>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D183E8F"/>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18B57C7"/>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4B07AE6"/>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667C7F3E"/>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66924CEA"/>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8F4261E"/>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96F0669"/>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B6C66F9"/>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6D103F7D"/>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0E96A19"/>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B0249E4"/>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B6A6971"/>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7BE609F0"/>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8">
    <w:nsid w:val="7E706D5E"/>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3"/>
  </w:num>
  <w:num w:numId="3">
    <w:abstractNumId w:val="28"/>
  </w:num>
  <w:num w:numId="4">
    <w:abstractNumId w:val="22"/>
  </w:num>
  <w:num w:numId="5">
    <w:abstractNumId w:val="36"/>
  </w:num>
  <w:num w:numId="6">
    <w:abstractNumId w:val="42"/>
  </w:num>
  <w:num w:numId="7">
    <w:abstractNumId w:val="14"/>
  </w:num>
  <w:num w:numId="8">
    <w:abstractNumId w:val="34"/>
  </w:num>
  <w:num w:numId="9">
    <w:abstractNumId w:val="41"/>
  </w:num>
  <w:num w:numId="10">
    <w:abstractNumId w:val="17"/>
  </w:num>
  <w:num w:numId="11">
    <w:abstractNumId w:val="46"/>
  </w:num>
  <w:num w:numId="12">
    <w:abstractNumId w:val="29"/>
  </w:num>
  <w:num w:numId="13">
    <w:abstractNumId w:val="45"/>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3"/>
  </w:num>
  <w:num w:numId="25">
    <w:abstractNumId w:val="10"/>
  </w:num>
  <w:num w:numId="26">
    <w:abstractNumId w:val="37"/>
  </w:num>
  <w:num w:numId="27">
    <w:abstractNumId w:val="38"/>
  </w:num>
  <w:num w:numId="28">
    <w:abstractNumId w:val="16"/>
  </w:num>
  <w:num w:numId="29">
    <w:abstractNumId w:val="18"/>
  </w:num>
  <w:num w:numId="30">
    <w:abstractNumId w:val="40"/>
  </w:num>
  <w:num w:numId="31">
    <w:abstractNumId w:val="20"/>
  </w:num>
  <w:num w:numId="32">
    <w:abstractNumId w:val="48"/>
  </w:num>
  <w:num w:numId="33">
    <w:abstractNumId w:val="44"/>
  </w:num>
  <w:num w:numId="34">
    <w:abstractNumId w:val="19"/>
  </w:num>
  <w:num w:numId="35">
    <w:abstractNumId w:val="24"/>
  </w:num>
  <w:num w:numId="36">
    <w:abstractNumId w:val="32"/>
  </w:num>
  <w:num w:numId="37">
    <w:abstractNumId w:val="33"/>
  </w:num>
  <w:num w:numId="38">
    <w:abstractNumId w:val="15"/>
  </w:num>
  <w:num w:numId="39">
    <w:abstractNumId w:val="11"/>
  </w:num>
  <w:num w:numId="40">
    <w:abstractNumId w:val="43"/>
  </w:num>
  <w:num w:numId="41">
    <w:abstractNumId w:val="30"/>
  </w:num>
  <w:num w:numId="42">
    <w:abstractNumId w:val="26"/>
  </w:num>
  <w:num w:numId="43">
    <w:abstractNumId w:val="12"/>
  </w:num>
  <w:num w:numId="44">
    <w:abstractNumId w:val="31"/>
  </w:num>
  <w:num w:numId="45">
    <w:abstractNumId w:val="35"/>
  </w:num>
  <w:num w:numId="46">
    <w:abstractNumId w:val="21"/>
  </w:num>
  <w:num w:numId="47">
    <w:abstractNumId w:val="39"/>
  </w:num>
  <w:num w:numId="48">
    <w:abstractNumId w:val="47"/>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98305">
      <o:colormru v:ext="edit" colors="#ecf4dd,#eaecee,#fcec0a,#fcecdb,#f1daf5"/>
    </o:shapedefaults>
  </w:hdrShapeDefaults>
  <w:footnotePr>
    <w:footnote w:id="-1"/>
    <w:footnote w:id="0"/>
  </w:footnotePr>
  <w:endnotePr>
    <w:endnote w:id="-1"/>
    <w:endnote w:id="0"/>
  </w:endnotePr>
  <w:compat/>
  <w:rsids>
    <w:rsidRoot w:val="009B70BD"/>
    <w:rsid w:val="00003687"/>
    <w:rsid w:val="00003C43"/>
    <w:rsid w:val="0000767A"/>
    <w:rsid w:val="000104B9"/>
    <w:rsid w:val="00010702"/>
    <w:rsid w:val="0001159B"/>
    <w:rsid w:val="0001573E"/>
    <w:rsid w:val="00017F05"/>
    <w:rsid w:val="000202C6"/>
    <w:rsid w:val="00020946"/>
    <w:rsid w:val="00024887"/>
    <w:rsid w:val="00024CBA"/>
    <w:rsid w:val="00026998"/>
    <w:rsid w:val="0003066A"/>
    <w:rsid w:val="00032838"/>
    <w:rsid w:val="00032C12"/>
    <w:rsid w:val="00035FC6"/>
    <w:rsid w:val="00037667"/>
    <w:rsid w:val="000411E1"/>
    <w:rsid w:val="0004694F"/>
    <w:rsid w:val="00052172"/>
    <w:rsid w:val="00055059"/>
    <w:rsid w:val="000553E4"/>
    <w:rsid w:val="00062EC5"/>
    <w:rsid w:val="00064256"/>
    <w:rsid w:val="000706A4"/>
    <w:rsid w:val="00072118"/>
    <w:rsid w:val="00073173"/>
    <w:rsid w:val="000779AC"/>
    <w:rsid w:val="00083803"/>
    <w:rsid w:val="0008716A"/>
    <w:rsid w:val="00087634"/>
    <w:rsid w:val="00091237"/>
    <w:rsid w:val="000920EC"/>
    <w:rsid w:val="00092505"/>
    <w:rsid w:val="000A1183"/>
    <w:rsid w:val="000A2121"/>
    <w:rsid w:val="000B1CFE"/>
    <w:rsid w:val="000B210A"/>
    <w:rsid w:val="000B249B"/>
    <w:rsid w:val="000B3DB9"/>
    <w:rsid w:val="000B3F02"/>
    <w:rsid w:val="000B48E7"/>
    <w:rsid w:val="000B7663"/>
    <w:rsid w:val="000C11D3"/>
    <w:rsid w:val="000C12F5"/>
    <w:rsid w:val="000C3408"/>
    <w:rsid w:val="000D2E41"/>
    <w:rsid w:val="000D5E7A"/>
    <w:rsid w:val="000D5FAA"/>
    <w:rsid w:val="000D65A4"/>
    <w:rsid w:val="000D6AEF"/>
    <w:rsid w:val="000E19A8"/>
    <w:rsid w:val="000E78D2"/>
    <w:rsid w:val="000F3332"/>
    <w:rsid w:val="000F33EE"/>
    <w:rsid w:val="000F401E"/>
    <w:rsid w:val="000F5445"/>
    <w:rsid w:val="000F67B2"/>
    <w:rsid w:val="00102F02"/>
    <w:rsid w:val="001041B6"/>
    <w:rsid w:val="001070EA"/>
    <w:rsid w:val="0011002A"/>
    <w:rsid w:val="0011110A"/>
    <w:rsid w:val="001118AF"/>
    <w:rsid w:val="0011256E"/>
    <w:rsid w:val="00116DB9"/>
    <w:rsid w:val="00121C39"/>
    <w:rsid w:val="00123255"/>
    <w:rsid w:val="00124D2D"/>
    <w:rsid w:val="001307BE"/>
    <w:rsid w:val="00130C8F"/>
    <w:rsid w:val="001314F2"/>
    <w:rsid w:val="001317DA"/>
    <w:rsid w:val="0013254D"/>
    <w:rsid w:val="00133AAC"/>
    <w:rsid w:val="00136561"/>
    <w:rsid w:val="001400E1"/>
    <w:rsid w:val="001405FA"/>
    <w:rsid w:val="001425C3"/>
    <w:rsid w:val="00142F16"/>
    <w:rsid w:val="00143E03"/>
    <w:rsid w:val="00143E93"/>
    <w:rsid w:val="00151AC0"/>
    <w:rsid w:val="00152046"/>
    <w:rsid w:val="00156318"/>
    <w:rsid w:val="0015639A"/>
    <w:rsid w:val="0016081D"/>
    <w:rsid w:val="001620FA"/>
    <w:rsid w:val="00162853"/>
    <w:rsid w:val="00163793"/>
    <w:rsid w:val="001707DE"/>
    <w:rsid w:val="00170B04"/>
    <w:rsid w:val="00170F47"/>
    <w:rsid w:val="001714F2"/>
    <w:rsid w:val="00173642"/>
    <w:rsid w:val="0017450C"/>
    <w:rsid w:val="00174CE8"/>
    <w:rsid w:val="001764D8"/>
    <w:rsid w:val="00176A8F"/>
    <w:rsid w:val="00182981"/>
    <w:rsid w:val="00184CF9"/>
    <w:rsid w:val="00185010"/>
    <w:rsid w:val="001874CF"/>
    <w:rsid w:val="00190D9B"/>
    <w:rsid w:val="00195444"/>
    <w:rsid w:val="001A2BDB"/>
    <w:rsid w:val="001A552F"/>
    <w:rsid w:val="001B1D89"/>
    <w:rsid w:val="001B3110"/>
    <w:rsid w:val="001B44BC"/>
    <w:rsid w:val="001B6545"/>
    <w:rsid w:val="001B681B"/>
    <w:rsid w:val="001B74FB"/>
    <w:rsid w:val="001B77A1"/>
    <w:rsid w:val="001C0422"/>
    <w:rsid w:val="001C0E0E"/>
    <w:rsid w:val="001C1219"/>
    <w:rsid w:val="001C357A"/>
    <w:rsid w:val="001C3A37"/>
    <w:rsid w:val="001C4384"/>
    <w:rsid w:val="001C65FF"/>
    <w:rsid w:val="001D584C"/>
    <w:rsid w:val="001D66C1"/>
    <w:rsid w:val="001E0C65"/>
    <w:rsid w:val="001E23E3"/>
    <w:rsid w:val="001E387A"/>
    <w:rsid w:val="001E3DA4"/>
    <w:rsid w:val="001E684C"/>
    <w:rsid w:val="001E701C"/>
    <w:rsid w:val="001E7C03"/>
    <w:rsid w:val="001F02AF"/>
    <w:rsid w:val="001F28F4"/>
    <w:rsid w:val="001F3C79"/>
    <w:rsid w:val="001F3E68"/>
    <w:rsid w:val="001F4597"/>
    <w:rsid w:val="00200D15"/>
    <w:rsid w:val="00203074"/>
    <w:rsid w:val="00210CC2"/>
    <w:rsid w:val="00210F5B"/>
    <w:rsid w:val="00211262"/>
    <w:rsid w:val="00211AC9"/>
    <w:rsid w:val="002205F2"/>
    <w:rsid w:val="0022080E"/>
    <w:rsid w:val="0022139E"/>
    <w:rsid w:val="0022272B"/>
    <w:rsid w:val="00222A99"/>
    <w:rsid w:val="00223678"/>
    <w:rsid w:val="00223E00"/>
    <w:rsid w:val="002252E0"/>
    <w:rsid w:val="002255F6"/>
    <w:rsid w:val="00226466"/>
    <w:rsid w:val="0023229C"/>
    <w:rsid w:val="00234280"/>
    <w:rsid w:val="002350E3"/>
    <w:rsid w:val="00236443"/>
    <w:rsid w:val="00240A5B"/>
    <w:rsid w:val="002436BA"/>
    <w:rsid w:val="002444ED"/>
    <w:rsid w:val="00244A15"/>
    <w:rsid w:val="00244D40"/>
    <w:rsid w:val="00246AE9"/>
    <w:rsid w:val="0024799E"/>
    <w:rsid w:val="00251D59"/>
    <w:rsid w:val="00252FDC"/>
    <w:rsid w:val="00261E5B"/>
    <w:rsid w:val="00263470"/>
    <w:rsid w:val="00263733"/>
    <w:rsid w:val="00265536"/>
    <w:rsid w:val="00266F3E"/>
    <w:rsid w:val="00272464"/>
    <w:rsid w:val="00273DCD"/>
    <w:rsid w:val="00274291"/>
    <w:rsid w:val="00276CFE"/>
    <w:rsid w:val="00277071"/>
    <w:rsid w:val="0027786C"/>
    <w:rsid w:val="00281416"/>
    <w:rsid w:val="00285CD3"/>
    <w:rsid w:val="0028686A"/>
    <w:rsid w:val="00286E66"/>
    <w:rsid w:val="002919B5"/>
    <w:rsid w:val="00293441"/>
    <w:rsid w:val="0029493E"/>
    <w:rsid w:val="00296C2E"/>
    <w:rsid w:val="002A1B05"/>
    <w:rsid w:val="002A3BD5"/>
    <w:rsid w:val="002A43A2"/>
    <w:rsid w:val="002A4612"/>
    <w:rsid w:val="002A5263"/>
    <w:rsid w:val="002A6821"/>
    <w:rsid w:val="002A74D2"/>
    <w:rsid w:val="002B36C8"/>
    <w:rsid w:val="002B7240"/>
    <w:rsid w:val="002C43BD"/>
    <w:rsid w:val="002C5261"/>
    <w:rsid w:val="002C6091"/>
    <w:rsid w:val="002D0562"/>
    <w:rsid w:val="002D1B5A"/>
    <w:rsid w:val="002D5E94"/>
    <w:rsid w:val="002D632D"/>
    <w:rsid w:val="002E02A1"/>
    <w:rsid w:val="002E2CE4"/>
    <w:rsid w:val="00301357"/>
    <w:rsid w:val="00301D04"/>
    <w:rsid w:val="00304771"/>
    <w:rsid w:val="00305736"/>
    <w:rsid w:val="00306C5B"/>
    <w:rsid w:val="00312C3D"/>
    <w:rsid w:val="00314331"/>
    <w:rsid w:val="003209D6"/>
    <w:rsid w:val="00322164"/>
    <w:rsid w:val="00326251"/>
    <w:rsid w:val="00327DEE"/>
    <w:rsid w:val="003329F3"/>
    <w:rsid w:val="0033352E"/>
    <w:rsid w:val="00333690"/>
    <w:rsid w:val="00333D20"/>
    <w:rsid w:val="003340EF"/>
    <w:rsid w:val="00334A49"/>
    <w:rsid w:val="00335BB0"/>
    <w:rsid w:val="0033627B"/>
    <w:rsid w:val="003406BD"/>
    <w:rsid w:val="00343F84"/>
    <w:rsid w:val="00344135"/>
    <w:rsid w:val="00351B63"/>
    <w:rsid w:val="00352E57"/>
    <w:rsid w:val="003541B0"/>
    <w:rsid w:val="00355885"/>
    <w:rsid w:val="0035605E"/>
    <w:rsid w:val="00357449"/>
    <w:rsid w:val="0036238B"/>
    <w:rsid w:val="00365680"/>
    <w:rsid w:val="003657F3"/>
    <w:rsid w:val="00374F1E"/>
    <w:rsid w:val="00376DEC"/>
    <w:rsid w:val="00380E04"/>
    <w:rsid w:val="00384D8F"/>
    <w:rsid w:val="00385D98"/>
    <w:rsid w:val="00385EC5"/>
    <w:rsid w:val="0039066E"/>
    <w:rsid w:val="00391C95"/>
    <w:rsid w:val="00396DAC"/>
    <w:rsid w:val="003A0214"/>
    <w:rsid w:val="003A1D74"/>
    <w:rsid w:val="003A2B4D"/>
    <w:rsid w:val="003A2D2B"/>
    <w:rsid w:val="003A3B1C"/>
    <w:rsid w:val="003A478C"/>
    <w:rsid w:val="003A4F82"/>
    <w:rsid w:val="003A5525"/>
    <w:rsid w:val="003A6B38"/>
    <w:rsid w:val="003B2E63"/>
    <w:rsid w:val="003B3189"/>
    <w:rsid w:val="003B3A9D"/>
    <w:rsid w:val="003B5031"/>
    <w:rsid w:val="003B5A32"/>
    <w:rsid w:val="003B6105"/>
    <w:rsid w:val="003C04C4"/>
    <w:rsid w:val="003C26F4"/>
    <w:rsid w:val="003C4852"/>
    <w:rsid w:val="003D3600"/>
    <w:rsid w:val="003D3825"/>
    <w:rsid w:val="003D4760"/>
    <w:rsid w:val="003E0663"/>
    <w:rsid w:val="003E133F"/>
    <w:rsid w:val="003E699C"/>
    <w:rsid w:val="003E69F3"/>
    <w:rsid w:val="003E782E"/>
    <w:rsid w:val="003E7A0B"/>
    <w:rsid w:val="003F2B0A"/>
    <w:rsid w:val="003F313C"/>
    <w:rsid w:val="003F37FC"/>
    <w:rsid w:val="003F49A6"/>
    <w:rsid w:val="003F5098"/>
    <w:rsid w:val="003F5568"/>
    <w:rsid w:val="003F5A95"/>
    <w:rsid w:val="003F6D19"/>
    <w:rsid w:val="004000D5"/>
    <w:rsid w:val="00401716"/>
    <w:rsid w:val="00402C25"/>
    <w:rsid w:val="004050D7"/>
    <w:rsid w:val="004078BD"/>
    <w:rsid w:val="00410132"/>
    <w:rsid w:val="004123BE"/>
    <w:rsid w:val="00414CE5"/>
    <w:rsid w:val="00416673"/>
    <w:rsid w:val="0042160D"/>
    <w:rsid w:val="0042681B"/>
    <w:rsid w:val="0043068A"/>
    <w:rsid w:val="004306E0"/>
    <w:rsid w:val="004329BE"/>
    <w:rsid w:val="00437C76"/>
    <w:rsid w:val="004441A0"/>
    <w:rsid w:val="004443BF"/>
    <w:rsid w:val="00446892"/>
    <w:rsid w:val="00450C30"/>
    <w:rsid w:val="00455ECA"/>
    <w:rsid w:val="00460164"/>
    <w:rsid w:val="0046039A"/>
    <w:rsid w:val="00461977"/>
    <w:rsid w:val="004629FD"/>
    <w:rsid w:val="00463F4D"/>
    <w:rsid w:val="00465019"/>
    <w:rsid w:val="0046613F"/>
    <w:rsid w:val="0046655D"/>
    <w:rsid w:val="0046765E"/>
    <w:rsid w:val="004676E2"/>
    <w:rsid w:val="00471EDD"/>
    <w:rsid w:val="0047400C"/>
    <w:rsid w:val="00476D29"/>
    <w:rsid w:val="00477EAF"/>
    <w:rsid w:val="00477EE0"/>
    <w:rsid w:val="0048139F"/>
    <w:rsid w:val="004879E9"/>
    <w:rsid w:val="00491218"/>
    <w:rsid w:val="00493362"/>
    <w:rsid w:val="00496C2F"/>
    <w:rsid w:val="0049740D"/>
    <w:rsid w:val="004A269A"/>
    <w:rsid w:val="004A30FB"/>
    <w:rsid w:val="004A35DD"/>
    <w:rsid w:val="004A37D3"/>
    <w:rsid w:val="004A5865"/>
    <w:rsid w:val="004A77DF"/>
    <w:rsid w:val="004B0295"/>
    <w:rsid w:val="004B3CB7"/>
    <w:rsid w:val="004B3D55"/>
    <w:rsid w:val="004B55B7"/>
    <w:rsid w:val="004C00A6"/>
    <w:rsid w:val="004C0BBB"/>
    <w:rsid w:val="004C3867"/>
    <w:rsid w:val="004C4CD0"/>
    <w:rsid w:val="004C57B5"/>
    <w:rsid w:val="004C5C25"/>
    <w:rsid w:val="004C6CFF"/>
    <w:rsid w:val="004C70DC"/>
    <w:rsid w:val="004C7268"/>
    <w:rsid w:val="004D0211"/>
    <w:rsid w:val="004D1C9C"/>
    <w:rsid w:val="004D504B"/>
    <w:rsid w:val="004D536E"/>
    <w:rsid w:val="004E4A75"/>
    <w:rsid w:val="004E541A"/>
    <w:rsid w:val="004E5A5C"/>
    <w:rsid w:val="004E76D6"/>
    <w:rsid w:val="004F06F5"/>
    <w:rsid w:val="004F191F"/>
    <w:rsid w:val="004F2A73"/>
    <w:rsid w:val="004F33A0"/>
    <w:rsid w:val="004F447D"/>
    <w:rsid w:val="004F4C28"/>
    <w:rsid w:val="004F5CC5"/>
    <w:rsid w:val="00510189"/>
    <w:rsid w:val="005108C0"/>
    <w:rsid w:val="00511873"/>
    <w:rsid w:val="00513B7E"/>
    <w:rsid w:val="00514474"/>
    <w:rsid w:val="005215EF"/>
    <w:rsid w:val="00525137"/>
    <w:rsid w:val="005251DD"/>
    <w:rsid w:val="0053017A"/>
    <w:rsid w:val="00530492"/>
    <w:rsid w:val="00531C45"/>
    <w:rsid w:val="00535359"/>
    <w:rsid w:val="005357A2"/>
    <w:rsid w:val="00535EF0"/>
    <w:rsid w:val="0053734B"/>
    <w:rsid w:val="00537AFD"/>
    <w:rsid w:val="00537CB4"/>
    <w:rsid w:val="005513D5"/>
    <w:rsid w:val="005523B9"/>
    <w:rsid w:val="005545E0"/>
    <w:rsid w:val="00554865"/>
    <w:rsid w:val="00554E57"/>
    <w:rsid w:val="00562749"/>
    <w:rsid w:val="00562DE9"/>
    <w:rsid w:val="005638A5"/>
    <w:rsid w:val="00566381"/>
    <w:rsid w:val="00566A03"/>
    <w:rsid w:val="00574240"/>
    <w:rsid w:val="00575CDC"/>
    <w:rsid w:val="00583D5B"/>
    <w:rsid w:val="00583FFD"/>
    <w:rsid w:val="00587CCD"/>
    <w:rsid w:val="005908AE"/>
    <w:rsid w:val="0059176E"/>
    <w:rsid w:val="00593152"/>
    <w:rsid w:val="00593CA3"/>
    <w:rsid w:val="00594161"/>
    <w:rsid w:val="00594969"/>
    <w:rsid w:val="00596C5E"/>
    <w:rsid w:val="005A21E0"/>
    <w:rsid w:val="005A33A1"/>
    <w:rsid w:val="005A54EE"/>
    <w:rsid w:val="005A7500"/>
    <w:rsid w:val="005B1BDB"/>
    <w:rsid w:val="005B3247"/>
    <w:rsid w:val="005B3409"/>
    <w:rsid w:val="005B7B12"/>
    <w:rsid w:val="005C3F9F"/>
    <w:rsid w:val="005C7F1E"/>
    <w:rsid w:val="005D5802"/>
    <w:rsid w:val="005D73E2"/>
    <w:rsid w:val="005E1E4B"/>
    <w:rsid w:val="005E362D"/>
    <w:rsid w:val="005E492C"/>
    <w:rsid w:val="005E4BAA"/>
    <w:rsid w:val="005E5B56"/>
    <w:rsid w:val="005F4057"/>
    <w:rsid w:val="005F4088"/>
    <w:rsid w:val="005F6119"/>
    <w:rsid w:val="0060107A"/>
    <w:rsid w:val="00601AFF"/>
    <w:rsid w:val="00602D1D"/>
    <w:rsid w:val="00604307"/>
    <w:rsid w:val="0060487F"/>
    <w:rsid w:val="00606B93"/>
    <w:rsid w:val="006118AA"/>
    <w:rsid w:val="006153E3"/>
    <w:rsid w:val="00617D2D"/>
    <w:rsid w:val="00617D83"/>
    <w:rsid w:val="00620AC5"/>
    <w:rsid w:val="00621575"/>
    <w:rsid w:val="006215FC"/>
    <w:rsid w:val="00624093"/>
    <w:rsid w:val="00630F66"/>
    <w:rsid w:val="0063332A"/>
    <w:rsid w:val="006347F9"/>
    <w:rsid w:val="00634C90"/>
    <w:rsid w:val="00635E79"/>
    <w:rsid w:val="006404A7"/>
    <w:rsid w:val="006407F3"/>
    <w:rsid w:val="006451E4"/>
    <w:rsid w:val="006460B8"/>
    <w:rsid w:val="006520C7"/>
    <w:rsid w:val="006530B8"/>
    <w:rsid w:val="006535D6"/>
    <w:rsid w:val="00657E87"/>
    <w:rsid w:val="00660457"/>
    <w:rsid w:val="00660E1E"/>
    <w:rsid w:val="006637B1"/>
    <w:rsid w:val="00665D67"/>
    <w:rsid w:val="00665D77"/>
    <w:rsid w:val="006660CD"/>
    <w:rsid w:val="006676D0"/>
    <w:rsid w:val="006710C9"/>
    <w:rsid w:val="00675E37"/>
    <w:rsid w:val="0068260E"/>
    <w:rsid w:val="0068373D"/>
    <w:rsid w:val="00683BFE"/>
    <w:rsid w:val="00685E66"/>
    <w:rsid w:val="00686B72"/>
    <w:rsid w:val="00690A09"/>
    <w:rsid w:val="00693FEA"/>
    <w:rsid w:val="00695170"/>
    <w:rsid w:val="00695BEF"/>
    <w:rsid w:val="006960D6"/>
    <w:rsid w:val="00696AA5"/>
    <w:rsid w:val="006977F6"/>
    <w:rsid w:val="00697A13"/>
    <w:rsid w:val="006A109C"/>
    <w:rsid w:val="006A672B"/>
    <w:rsid w:val="006B3F8A"/>
    <w:rsid w:val="006B5CA3"/>
    <w:rsid w:val="006B78D8"/>
    <w:rsid w:val="006C090F"/>
    <w:rsid w:val="006C113F"/>
    <w:rsid w:val="006C38DD"/>
    <w:rsid w:val="006C559A"/>
    <w:rsid w:val="006C58FA"/>
    <w:rsid w:val="006D042D"/>
    <w:rsid w:val="006D06EF"/>
    <w:rsid w:val="006D61F6"/>
    <w:rsid w:val="006E1F4C"/>
    <w:rsid w:val="006E279A"/>
    <w:rsid w:val="006E2F3F"/>
    <w:rsid w:val="006E313B"/>
    <w:rsid w:val="006E442A"/>
    <w:rsid w:val="006E5CFD"/>
    <w:rsid w:val="006F3708"/>
    <w:rsid w:val="006F3E6B"/>
    <w:rsid w:val="006F4A59"/>
    <w:rsid w:val="007014C7"/>
    <w:rsid w:val="00702D6F"/>
    <w:rsid w:val="00705D98"/>
    <w:rsid w:val="00707891"/>
    <w:rsid w:val="00711EF1"/>
    <w:rsid w:val="00720FA2"/>
    <w:rsid w:val="007211F5"/>
    <w:rsid w:val="00724666"/>
    <w:rsid w:val="00726043"/>
    <w:rsid w:val="0072704A"/>
    <w:rsid w:val="00730AE8"/>
    <w:rsid w:val="00734321"/>
    <w:rsid w:val="00740652"/>
    <w:rsid w:val="00740F02"/>
    <w:rsid w:val="00740FEC"/>
    <w:rsid w:val="00741493"/>
    <w:rsid w:val="007426B3"/>
    <w:rsid w:val="007426FD"/>
    <w:rsid w:val="00744376"/>
    <w:rsid w:val="007449EA"/>
    <w:rsid w:val="00746DD9"/>
    <w:rsid w:val="0075057A"/>
    <w:rsid w:val="00751771"/>
    <w:rsid w:val="00752180"/>
    <w:rsid w:val="007521A1"/>
    <w:rsid w:val="0075315D"/>
    <w:rsid w:val="00754253"/>
    <w:rsid w:val="007558D3"/>
    <w:rsid w:val="00755D3A"/>
    <w:rsid w:val="007609C6"/>
    <w:rsid w:val="007610A0"/>
    <w:rsid w:val="007620F2"/>
    <w:rsid w:val="00774782"/>
    <w:rsid w:val="00776527"/>
    <w:rsid w:val="00781834"/>
    <w:rsid w:val="00782818"/>
    <w:rsid w:val="00784C4A"/>
    <w:rsid w:val="00787432"/>
    <w:rsid w:val="007879F2"/>
    <w:rsid w:val="00791CF8"/>
    <w:rsid w:val="00793BAE"/>
    <w:rsid w:val="00794E0A"/>
    <w:rsid w:val="00796642"/>
    <w:rsid w:val="007A327B"/>
    <w:rsid w:val="007A4606"/>
    <w:rsid w:val="007B3DCC"/>
    <w:rsid w:val="007B4518"/>
    <w:rsid w:val="007B5031"/>
    <w:rsid w:val="007B573F"/>
    <w:rsid w:val="007D2AD8"/>
    <w:rsid w:val="007D2C47"/>
    <w:rsid w:val="007E0F4B"/>
    <w:rsid w:val="007E7E61"/>
    <w:rsid w:val="007F0845"/>
    <w:rsid w:val="007F16F9"/>
    <w:rsid w:val="007F5F14"/>
    <w:rsid w:val="008005D7"/>
    <w:rsid w:val="00801FDD"/>
    <w:rsid w:val="0080255C"/>
    <w:rsid w:val="0081187C"/>
    <w:rsid w:val="00811E24"/>
    <w:rsid w:val="00813A70"/>
    <w:rsid w:val="0081645F"/>
    <w:rsid w:val="008178C2"/>
    <w:rsid w:val="008178CF"/>
    <w:rsid w:val="00820C9F"/>
    <w:rsid w:val="00821FF6"/>
    <w:rsid w:val="0082409A"/>
    <w:rsid w:val="00827181"/>
    <w:rsid w:val="00827746"/>
    <w:rsid w:val="0083143E"/>
    <w:rsid w:val="0083159D"/>
    <w:rsid w:val="008336D8"/>
    <w:rsid w:val="008339C4"/>
    <w:rsid w:val="00834F0A"/>
    <w:rsid w:val="00834FAA"/>
    <w:rsid w:val="00836086"/>
    <w:rsid w:val="00842604"/>
    <w:rsid w:val="00843ECF"/>
    <w:rsid w:val="00846673"/>
    <w:rsid w:val="0085281A"/>
    <w:rsid w:val="008559FE"/>
    <w:rsid w:val="00857339"/>
    <w:rsid w:val="00863D9E"/>
    <w:rsid w:val="00867E29"/>
    <w:rsid w:val="00870F2B"/>
    <w:rsid w:val="008746E6"/>
    <w:rsid w:val="00876086"/>
    <w:rsid w:val="008768D6"/>
    <w:rsid w:val="008775D1"/>
    <w:rsid w:val="008777BB"/>
    <w:rsid w:val="0088733A"/>
    <w:rsid w:val="00891BE0"/>
    <w:rsid w:val="008945A1"/>
    <w:rsid w:val="00894A63"/>
    <w:rsid w:val="00896BDE"/>
    <w:rsid w:val="008A0861"/>
    <w:rsid w:val="008A0BB2"/>
    <w:rsid w:val="008A1AB3"/>
    <w:rsid w:val="008A1D5C"/>
    <w:rsid w:val="008A3292"/>
    <w:rsid w:val="008A43E9"/>
    <w:rsid w:val="008A4CB1"/>
    <w:rsid w:val="008A632B"/>
    <w:rsid w:val="008A6BFE"/>
    <w:rsid w:val="008B190E"/>
    <w:rsid w:val="008B1A8A"/>
    <w:rsid w:val="008B7306"/>
    <w:rsid w:val="008B775F"/>
    <w:rsid w:val="008B7C02"/>
    <w:rsid w:val="008B7F9E"/>
    <w:rsid w:val="008C0E88"/>
    <w:rsid w:val="008C1AA8"/>
    <w:rsid w:val="008C6CB8"/>
    <w:rsid w:val="008C7815"/>
    <w:rsid w:val="008D0171"/>
    <w:rsid w:val="008D2A16"/>
    <w:rsid w:val="008D2ECF"/>
    <w:rsid w:val="008D3F3D"/>
    <w:rsid w:val="008E31FF"/>
    <w:rsid w:val="008E6AB3"/>
    <w:rsid w:val="008E6AD3"/>
    <w:rsid w:val="008E71A6"/>
    <w:rsid w:val="008E77B6"/>
    <w:rsid w:val="008F032E"/>
    <w:rsid w:val="008F0F14"/>
    <w:rsid w:val="008F4FCE"/>
    <w:rsid w:val="008F7D28"/>
    <w:rsid w:val="009003A8"/>
    <w:rsid w:val="00902CBE"/>
    <w:rsid w:val="00902EFF"/>
    <w:rsid w:val="00903E06"/>
    <w:rsid w:val="00910F93"/>
    <w:rsid w:val="00914426"/>
    <w:rsid w:val="0091675F"/>
    <w:rsid w:val="00917709"/>
    <w:rsid w:val="00917918"/>
    <w:rsid w:val="00921F14"/>
    <w:rsid w:val="009243A5"/>
    <w:rsid w:val="00926283"/>
    <w:rsid w:val="00937B11"/>
    <w:rsid w:val="00940F1F"/>
    <w:rsid w:val="00941250"/>
    <w:rsid w:val="0094427A"/>
    <w:rsid w:val="009459C5"/>
    <w:rsid w:val="0095013A"/>
    <w:rsid w:val="00953AEF"/>
    <w:rsid w:val="009551E2"/>
    <w:rsid w:val="00955783"/>
    <w:rsid w:val="009560B0"/>
    <w:rsid w:val="00957871"/>
    <w:rsid w:val="00964498"/>
    <w:rsid w:val="0096650F"/>
    <w:rsid w:val="009700DB"/>
    <w:rsid w:val="00972263"/>
    <w:rsid w:val="00972D8D"/>
    <w:rsid w:val="00973AAE"/>
    <w:rsid w:val="00974923"/>
    <w:rsid w:val="00974D48"/>
    <w:rsid w:val="00980621"/>
    <w:rsid w:val="00982072"/>
    <w:rsid w:val="00983ECF"/>
    <w:rsid w:val="00986745"/>
    <w:rsid w:val="00987109"/>
    <w:rsid w:val="0099012D"/>
    <w:rsid w:val="00996355"/>
    <w:rsid w:val="009A4E12"/>
    <w:rsid w:val="009B052C"/>
    <w:rsid w:val="009B0EF2"/>
    <w:rsid w:val="009B23A3"/>
    <w:rsid w:val="009B6FD3"/>
    <w:rsid w:val="009B70BD"/>
    <w:rsid w:val="009C7388"/>
    <w:rsid w:val="009D1551"/>
    <w:rsid w:val="009D2859"/>
    <w:rsid w:val="009D4173"/>
    <w:rsid w:val="009D6095"/>
    <w:rsid w:val="009D6306"/>
    <w:rsid w:val="009E048A"/>
    <w:rsid w:val="009E1FBA"/>
    <w:rsid w:val="009E2C54"/>
    <w:rsid w:val="009E3710"/>
    <w:rsid w:val="009E7B1F"/>
    <w:rsid w:val="009F41C4"/>
    <w:rsid w:val="009F5846"/>
    <w:rsid w:val="009F7D77"/>
    <w:rsid w:val="00A10D66"/>
    <w:rsid w:val="00A1420C"/>
    <w:rsid w:val="00A2055B"/>
    <w:rsid w:val="00A2253C"/>
    <w:rsid w:val="00A23545"/>
    <w:rsid w:val="00A23A55"/>
    <w:rsid w:val="00A23E43"/>
    <w:rsid w:val="00A24F8C"/>
    <w:rsid w:val="00A262BF"/>
    <w:rsid w:val="00A271AD"/>
    <w:rsid w:val="00A276D5"/>
    <w:rsid w:val="00A30336"/>
    <w:rsid w:val="00A30BB5"/>
    <w:rsid w:val="00A3128F"/>
    <w:rsid w:val="00A326D0"/>
    <w:rsid w:val="00A35287"/>
    <w:rsid w:val="00A378F8"/>
    <w:rsid w:val="00A40B19"/>
    <w:rsid w:val="00A424F8"/>
    <w:rsid w:val="00A46DE0"/>
    <w:rsid w:val="00A4778A"/>
    <w:rsid w:val="00A5067F"/>
    <w:rsid w:val="00A55301"/>
    <w:rsid w:val="00A57B3C"/>
    <w:rsid w:val="00A6128E"/>
    <w:rsid w:val="00A62CE1"/>
    <w:rsid w:val="00A64203"/>
    <w:rsid w:val="00A64348"/>
    <w:rsid w:val="00A721FB"/>
    <w:rsid w:val="00A727BA"/>
    <w:rsid w:val="00A72D4B"/>
    <w:rsid w:val="00A732AE"/>
    <w:rsid w:val="00A75E40"/>
    <w:rsid w:val="00A77EB2"/>
    <w:rsid w:val="00A82B66"/>
    <w:rsid w:val="00A83B58"/>
    <w:rsid w:val="00A851B6"/>
    <w:rsid w:val="00A85729"/>
    <w:rsid w:val="00A8574B"/>
    <w:rsid w:val="00A857C0"/>
    <w:rsid w:val="00A97E3F"/>
    <w:rsid w:val="00AA23FB"/>
    <w:rsid w:val="00AA42AB"/>
    <w:rsid w:val="00AA559A"/>
    <w:rsid w:val="00AB2AF1"/>
    <w:rsid w:val="00AB440B"/>
    <w:rsid w:val="00AB74C5"/>
    <w:rsid w:val="00AB7DF2"/>
    <w:rsid w:val="00AC1E3F"/>
    <w:rsid w:val="00AC4F18"/>
    <w:rsid w:val="00AD0B46"/>
    <w:rsid w:val="00AD2565"/>
    <w:rsid w:val="00AD306C"/>
    <w:rsid w:val="00AD3424"/>
    <w:rsid w:val="00AD59BB"/>
    <w:rsid w:val="00AD5D68"/>
    <w:rsid w:val="00AD6C73"/>
    <w:rsid w:val="00AE06D0"/>
    <w:rsid w:val="00AE39DC"/>
    <w:rsid w:val="00AE7968"/>
    <w:rsid w:val="00AF128B"/>
    <w:rsid w:val="00AF3225"/>
    <w:rsid w:val="00AF518B"/>
    <w:rsid w:val="00AF5275"/>
    <w:rsid w:val="00AF6367"/>
    <w:rsid w:val="00AF6A79"/>
    <w:rsid w:val="00AF724E"/>
    <w:rsid w:val="00AF73A9"/>
    <w:rsid w:val="00B01C2C"/>
    <w:rsid w:val="00B0231C"/>
    <w:rsid w:val="00B15DCD"/>
    <w:rsid w:val="00B17E71"/>
    <w:rsid w:val="00B17FDE"/>
    <w:rsid w:val="00B208FC"/>
    <w:rsid w:val="00B20C65"/>
    <w:rsid w:val="00B3229E"/>
    <w:rsid w:val="00B32DDB"/>
    <w:rsid w:val="00B35BEA"/>
    <w:rsid w:val="00B41BE6"/>
    <w:rsid w:val="00B457E7"/>
    <w:rsid w:val="00B52D2D"/>
    <w:rsid w:val="00B561A6"/>
    <w:rsid w:val="00B62960"/>
    <w:rsid w:val="00B63A11"/>
    <w:rsid w:val="00B63FD0"/>
    <w:rsid w:val="00B65C84"/>
    <w:rsid w:val="00B6608F"/>
    <w:rsid w:val="00B74317"/>
    <w:rsid w:val="00B76D1E"/>
    <w:rsid w:val="00B822D2"/>
    <w:rsid w:val="00B848B8"/>
    <w:rsid w:val="00B84A41"/>
    <w:rsid w:val="00B84D57"/>
    <w:rsid w:val="00B86748"/>
    <w:rsid w:val="00B91EC9"/>
    <w:rsid w:val="00B924CA"/>
    <w:rsid w:val="00B93384"/>
    <w:rsid w:val="00B94417"/>
    <w:rsid w:val="00B95940"/>
    <w:rsid w:val="00B95EF8"/>
    <w:rsid w:val="00B96BD9"/>
    <w:rsid w:val="00BB2C53"/>
    <w:rsid w:val="00BB32DA"/>
    <w:rsid w:val="00BB3A54"/>
    <w:rsid w:val="00BB4E21"/>
    <w:rsid w:val="00BC682B"/>
    <w:rsid w:val="00BC6B04"/>
    <w:rsid w:val="00BD3428"/>
    <w:rsid w:val="00BD366B"/>
    <w:rsid w:val="00BD56BC"/>
    <w:rsid w:val="00BD5D91"/>
    <w:rsid w:val="00BD6615"/>
    <w:rsid w:val="00BD6D50"/>
    <w:rsid w:val="00BE0DB0"/>
    <w:rsid w:val="00BE3F09"/>
    <w:rsid w:val="00BE670A"/>
    <w:rsid w:val="00BE6906"/>
    <w:rsid w:val="00BF18F4"/>
    <w:rsid w:val="00BF1A69"/>
    <w:rsid w:val="00BF3BC8"/>
    <w:rsid w:val="00BF3DF1"/>
    <w:rsid w:val="00BF4C31"/>
    <w:rsid w:val="00C00F20"/>
    <w:rsid w:val="00C034E6"/>
    <w:rsid w:val="00C0784A"/>
    <w:rsid w:val="00C10FAE"/>
    <w:rsid w:val="00C12A69"/>
    <w:rsid w:val="00C150BE"/>
    <w:rsid w:val="00C15A0C"/>
    <w:rsid w:val="00C15DCB"/>
    <w:rsid w:val="00C20744"/>
    <w:rsid w:val="00C20C4D"/>
    <w:rsid w:val="00C21D46"/>
    <w:rsid w:val="00C21F94"/>
    <w:rsid w:val="00C222A1"/>
    <w:rsid w:val="00C23D22"/>
    <w:rsid w:val="00C24E77"/>
    <w:rsid w:val="00C2732D"/>
    <w:rsid w:val="00C273C6"/>
    <w:rsid w:val="00C27913"/>
    <w:rsid w:val="00C300C6"/>
    <w:rsid w:val="00C34FDE"/>
    <w:rsid w:val="00C35C16"/>
    <w:rsid w:val="00C41463"/>
    <w:rsid w:val="00C41A72"/>
    <w:rsid w:val="00C476C5"/>
    <w:rsid w:val="00C503B0"/>
    <w:rsid w:val="00C511C2"/>
    <w:rsid w:val="00C53D82"/>
    <w:rsid w:val="00C60696"/>
    <w:rsid w:val="00C615F1"/>
    <w:rsid w:val="00C61627"/>
    <w:rsid w:val="00C64E60"/>
    <w:rsid w:val="00C657A4"/>
    <w:rsid w:val="00C6736C"/>
    <w:rsid w:val="00C76D8E"/>
    <w:rsid w:val="00C77833"/>
    <w:rsid w:val="00C80C9B"/>
    <w:rsid w:val="00C8335E"/>
    <w:rsid w:val="00C84CE3"/>
    <w:rsid w:val="00C90CF4"/>
    <w:rsid w:val="00C91C19"/>
    <w:rsid w:val="00C929A0"/>
    <w:rsid w:val="00C93389"/>
    <w:rsid w:val="00C937DB"/>
    <w:rsid w:val="00C94519"/>
    <w:rsid w:val="00C94E83"/>
    <w:rsid w:val="00CA140F"/>
    <w:rsid w:val="00CA37CA"/>
    <w:rsid w:val="00CA6BA1"/>
    <w:rsid w:val="00CA6CD5"/>
    <w:rsid w:val="00CB2150"/>
    <w:rsid w:val="00CB28EE"/>
    <w:rsid w:val="00CB43A7"/>
    <w:rsid w:val="00CB5996"/>
    <w:rsid w:val="00CB7452"/>
    <w:rsid w:val="00CC2642"/>
    <w:rsid w:val="00CC2E15"/>
    <w:rsid w:val="00CC3908"/>
    <w:rsid w:val="00CC62AD"/>
    <w:rsid w:val="00CD2B3C"/>
    <w:rsid w:val="00CD30F6"/>
    <w:rsid w:val="00CD4B29"/>
    <w:rsid w:val="00CD6EF1"/>
    <w:rsid w:val="00CE21C7"/>
    <w:rsid w:val="00CE57D8"/>
    <w:rsid w:val="00CE617A"/>
    <w:rsid w:val="00CF28C2"/>
    <w:rsid w:val="00CF42BD"/>
    <w:rsid w:val="00CF51EC"/>
    <w:rsid w:val="00CF6CD7"/>
    <w:rsid w:val="00D0037A"/>
    <w:rsid w:val="00D00DAF"/>
    <w:rsid w:val="00D017EC"/>
    <w:rsid w:val="00D01CDA"/>
    <w:rsid w:val="00D040DD"/>
    <w:rsid w:val="00D04E1B"/>
    <w:rsid w:val="00D1067C"/>
    <w:rsid w:val="00D136D4"/>
    <w:rsid w:val="00D13ECF"/>
    <w:rsid w:val="00D142E5"/>
    <w:rsid w:val="00D1611E"/>
    <w:rsid w:val="00D16E69"/>
    <w:rsid w:val="00D205A9"/>
    <w:rsid w:val="00D217EE"/>
    <w:rsid w:val="00D26923"/>
    <w:rsid w:val="00D27856"/>
    <w:rsid w:val="00D30740"/>
    <w:rsid w:val="00D31075"/>
    <w:rsid w:val="00D31932"/>
    <w:rsid w:val="00D378CC"/>
    <w:rsid w:val="00D4042C"/>
    <w:rsid w:val="00D42312"/>
    <w:rsid w:val="00D43998"/>
    <w:rsid w:val="00D4615E"/>
    <w:rsid w:val="00D478E2"/>
    <w:rsid w:val="00D5264C"/>
    <w:rsid w:val="00D547BA"/>
    <w:rsid w:val="00D55626"/>
    <w:rsid w:val="00D556BC"/>
    <w:rsid w:val="00D5626D"/>
    <w:rsid w:val="00D60277"/>
    <w:rsid w:val="00D62901"/>
    <w:rsid w:val="00D6470C"/>
    <w:rsid w:val="00D64853"/>
    <w:rsid w:val="00D64CB5"/>
    <w:rsid w:val="00D66D48"/>
    <w:rsid w:val="00D73256"/>
    <w:rsid w:val="00D73A30"/>
    <w:rsid w:val="00D74C65"/>
    <w:rsid w:val="00D75DC2"/>
    <w:rsid w:val="00D82462"/>
    <w:rsid w:val="00D868CE"/>
    <w:rsid w:val="00D90C1E"/>
    <w:rsid w:val="00D93F09"/>
    <w:rsid w:val="00D97BB8"/>
    <w:rsid w:val="00DA4AF6"/>
    <w:rsid w:val="00DB016E"/>
    <w:rsid w:val="00DB378E"/>
    <w:rsid w:val="00DB3E9D"/>
    <w:rsid w:val="00DB47B9"/>
    <w:rsid w:val="00DB53CE"/>
    <w:rsid w:val="00DB549D"/>
    <w:rsid w:val="00DC257F"/>
    <w:rsid w:val="00DC408A"/>
    <w:rsid w:val="00DC5B3B"/>
    <w:rsid w:val="00DC6796"/>
    <w:rsid w:val="00DC78DF"/>
    <w:rsid w:val="00DD0821"/>
    <w:rsid w:val="00DD0E32"/>
    <w:rsid w:val="00DD373E"/>
    <w:rsid w:val="00DD57AD"/>
    <w:rsid w:val="00DE009B"/>
    <w:rsid w:val="00DE2ED9"/>
    <w:rsid w:val="00DE319A"/>
    <w:rsid w:val="00DF0DC3"/>
    <w:rsid w:val="00DF5578"/>
    <w:rsid w:val="00DF7FEC"/>
    <w:rsid w:val="00E01C0E"/>
    <w:rsid w:val="00E03B27"/>
    <w:rsid w:val="00E04694"/>
    <w:rsid w:val="00E05B2B"/>
    <w:rsid w:val="00E07F05"/>
    <w:rsid w:val="00E127E1"/>
    <w:rsid w:val="00E144D2"/>
    <w:rsid w:val="00E15346"/>
    <w:rsid w:val="00E215EA"/>
    <w:rsid w:val="00E24619"/>
    <w:rsid w:val="00E25223"/>
    <w:rsid w:val="00E31764"/>
    <w:rsid w:val="00E34E4A"/>
    <w:rsid w:val="00E365B3"/>
    <w:rsid w:val="00E37C45"/>
    <w:rsid w:val="00E40AAA"/>
    <w:rsid w:val="00E438CF"/>
    <w:rsid w:val="00E43C41"/>
    <w:rsid w:val="00E450CE"/>
    <w:rsid w:val="00E45A00"/>
    <w:rsid w:val="00E45CE7"/>
    <w:rsid w:val="00E4631F"/>
    <w:rsid w:val="00E522BB"/>
    <w:rsid w:val="00E571F2"/>
    <w:rsid w:val="00E57429"/>
    <w:rsid w:val="00E71A58"/>
    <w:rsid w:val="00E84F21"/>
    <w:rsid w:val="00E921C7"/>
    <w:rsid w:val="00E92995"/>
    <w:rsid w:val="00E94612"/>
    <w:rsid w:val="00E95797"/>
    <w:rsid w:val="00E9682F"/>
    <w:rsid w:val="00E96A8D"/>
    <w:rsid w:val="00E972BA"/>
    <w:rsid w:val="00EA06CB"/>
    <w:rsid w:val="00EA0C68"/>
    <w:rsid w:val="00EA3EBE"/>
    <w:rsid w:val="00EA3FAC"/>
    <w:rsid w:val="00EA5CD6"/>
    <w:rsid w:val="00EB20A0"/>
    <w:rsid w:val="00EB4FA4"/>
    <w:rsid w:val="00EB5146"/>
    <w:rsid w:val="00EB55E9"/>
    <w:rsid w:val="00EB5641"/>
    <w:rsid w:val="00EB5CA9"/>
    <w:rsid w:val="00EB5ED4"/>
    <w:rsid w:val="00EB6537"/>
    <w:rsid w:val="00EB70E1"/>
    <w:rsid w:val="00EB7EB5"/>
    <w:rsid w:val="00EC454B"/>
    <w:rsid w:val="00EC6153"/>
    <w:rsid w:val="00EC7F92"/>
    <w:rsid w:val="00ED0A79"/>
    <w:rsid w:val="00ED2CA5"/>
    <w:rsid w:val="00ED54D6"/>
    <w:rsid w:val="00ED5726"/>
    <w:rsid w:val="00EE0384"/>
    <w:rsid w:val="00EE10AA"/>
    <w:rsid w:val="00EE1637"/>
    <w:rsid w:val="00EE3E78"/>
    <w:rsid w:val="00EE5E02"/>
    <w:rsid w:val="00EE617D"/>
    <w:rsid w:val="00EE61BF"/>
    <w:rsid w:val="00EE6748"/>
    <w:rsid w:val="00EF0E75"/>
    <w:rsid w:val="00EF1F5A"/>
    <w:rsid w:val="00EF4685"/>
    <w:rsid w:val="00EF5397"/>
    <w:rsid w:val="00F04811"/>
    <w:rsid w:val="00F0488C"/>
    <w:rsid w:val="00F0496E"/>
    <w:rsid w:val="00F04D10"/>
    <w:rsid w:val="00F0625B"/>
    <w:rsid w:val="00F101FF"/>
    <w:rsid w:val="00F10A33"/>
    <w:rsid w:val="00F15BEF"/>
    <w:rsid w:val="00F172BE"/>
    <w:rsid w:val="00F1776C"/>
    <w:rsid w:val="00F2037E"/>
    <w:rsid w:val="00F2103E"/>
    <w:rsid w:val="00F214FC"/>
    <w:rsid w:val="00F23FFF"/>
    <w:rsid w:val="00F2441D"/>
    <w:rsid w:val="00F24FAA"/>
    <w:rsid w:val="00F26197"/>
    <w:rsid w:val="00F31F76"/>
    <w:rsid w:val="00F3364D"/>
    <w:rsid w:val="00F35ACD"/>
    <w:rsid w:val="00F36BF8"/>
    <w:rsid w:val="00F37760"/>
    <w:rsid w:val="00F403D1"/>
    <w:rsid w:val="00F43921"/>
    <w:rsid w:val="00F4591F"/>
    <w:rsid w:val="00F4736B"/>
    <w:rsid w:val="00F47D05"/>
    <w:rsid w:val="00F50030"/>
    <w:rsid w:val="00F51FC9"/>
    <w:rsid w:val="00F54B31"/>
    <w:rsid w:val="00F63DDE"/>
    <w:rsid w:val="00F63FB7"/>
    <w:rsid w:val="00F64726"/>
    <w:rsid w:val="00F6561A"/>
    <w:rsid w:val="00F727D5"/>
    <w:rsid w:val="00F72F44"/>
    <w:rsid w:val="00F73A0C"/>
    <w:rsid w:val="00F771A5"/>
    <w:rsid w:val="00F81C3A"/>
    <w:rsid w:val="00F835FC"/>
    <w:rsid w:val="00F83E21"/>
    <w:rsid w:val="00F84E18"/>
    <w:rsid w:val="00F852E5"/>
    <w:rsid w:val="00F95117"/>
    <w:rsid w:val="00FA05D7"/>
    <w:rsid w:val="00FA1C6C"/>
    <w:rsid w:val="00FA309A"/>
    <w:rsid w:val="00FA7644"/>
    <w:rsid w:val="00FB56F1"/>
    <w:rsid w:val="00FB5FD4"/>
    <w:rsid w:val="00FB67F3"/>
    <w:rsid w:val="00FC0D8A"/>
    <w:rsid w:val="00FC0E5F"/>
    <w:rsid w:val="00FC4660"/>
    <w:rsid w:val="00FC56DE"/>
    <w:rsid w:val="00FD1627"/>
    <w:rsid w:val="00FD473D"/>
    <w:rsid w:val="00FD61C8"/>
    <w:rsid w:val="00FD63CE"/>
    <w:rsid w:val="00FD7D49"/>
    <w:rsid w:val="00FE1251"/>
    <w:rsid w:val="00FE2F78"/>
    <w:rsid w:val="00FE375F"/>
    <w:rsid w:val="00FE4FCB"/>
    <w:rsid w:val="00FF28E0"/>
    <w:rsid w:val="00FF2FB4"/>
    <w:rsid w:val="00FF30B3"/>
    <w:rsid w:val="00FF3DF3"/>
    <w:rsid w:val="00FF4027"/>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next w:val="Normln"/>
    <w:link w:val="Nadpis1Char"/>
    <w:uiPriority w:val="9"/>
    <w:qFormat/>
    <w:rsid w:val="005E492C"/>
    <w:pPr>
      <w:keepNext/>
      <w:keepLines/>
      <w:spacing w:after="200" w:line="288" w:lineRule="auto"/>
      <w:outlineLvl w:val="0"/>
    </w:pPr>
    <w:rPr>
      <w:rFonts w:ascii="Arial" w:eastAsia="MS Gothic" w:hAnsi="Arial"/>
      <w:b/>
      <w:bCs/>
      <w:color w:val="71818C"/>
      <w:sz w:val="32"/>
      <w:szCs w:val="28"/>
    </w:rPr>
  </w:style>
  <w:style w:type="paragraph" w:styleId="Nadpis2">
    <w:name w:val="heading 2"/>
    <w:next w:val="Normln"/>
    <w:link w:val="Nadpis2Char"/>
    <w:uiPriority w:val="9"/>
    <w:qFormat/>
    <w:rsid w:val="005E492C"/>
    <w:pPr>
      <w:keepNext/>
      <w:keepLines/>
      <w:spacing w:line="288" w:lineRule="auto"/>
      <w:outlineLvl w:val="1"/>
    </w:pPr>
    <w:rPr>
      <w:rFonts w:ascii="Arial" w:eastAsia="MS Gothic" w:hAnsi="Arial"/>
      <w:b/>
      <w:bCs/>
      <w:color w:val="71818C"/>
      <w:sz w:val="28"/>
      <w:szCs w:val="26"/>
    </w:rPr>
  </w:style>
  <w:style w:type="paragraph" w:styleId="Nadpis3">
    <w:name w:val="heading 3"/>
    <w:next w:val="Normln"/>
    <w:link w:val="Nadpis3Char"/>
    <w:uiPriority w:val="9"/>
    <w:qFormat/>
    <w:rsid w:val="005E492C"/>
    <w:pPr>
      <w:keepNext/>
      <w:keepLines/>
      <w:spacing w:line="288" w:lineRule="auto"/>
      <w:outlineLvl w:val="2"/>
    </w:pPr>
    <w:rPr>
      <w:rFonts w:ascii="Arial" w:eastAsia="MS Gothic" w:hAnsi="Arial"/>
      <w:b/>
      <w:bCs/>
      <w:color w:val="71818C"/>
      <w:sz w:val="24"/>
      <w:szCs w:val="24"/>
    </w:rPr>
  </w:style>
  <w:style w:type="paragraph" w:styleId="Nadpis4">
    <w:name w:val="heading 4"/>
    <w:next w:val="Normln"/>
    <w:link w:val="Nadpis4Char"/>
    <w:uiPriority w:val="9"/>
    <w:qFormat/>
    <w:rsid w:val="005E492C"/>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nhideWhenUsed/>
    <w:rsid w:val="00E71A58"/>
    <w:rPr>
      <w:rFonts w:ascii="Tahoma"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rPr>
  </w:style>
  <w:style w:type="paragraph" w:styleId="Nzev">
    <w:name w:val="Title"/>
    <w:next w:val="Normln"/>
    <w:link w:val="NzevChar"/>
    <w:uiPriority w:val="10"/>
    <w:qFormat/>
    <w:rsid w:val="005E492C"/>
    <w:pPr>
      <w:spacing w:line="288" w:lineRule="auto"/>
      <w:contextualSpacing/>
      <w:outlineLvl w:val="0"/>
    </w:pPr>
    <w:rPr>
      <w:rFonts w:ascii="Arial" w:eastAsia="MS Gothic" w:hAnsi="Arial"/>
      <w:b/>
      <w:caps/>
      <w:color w:val="71818C"/>
      <w:sz w:val="56"/>
      <w:szCs w:val="52"/>
    </w:rPr>
  </w:style>
  <w:style w:type="character" w:customStyle="1" w:styleId="NzevChar">
    <w:name w:val="Název Char"/>
    <w:link w:val="Nzev"/>
    <w:uiPriority w:val="10"/>
    <w:rsid w:val="005E492C"/>
    <w:rPr>
      <w:rFonts w:ascii="Arial" w:eastAsia="MS Gothic" w:hAnsi="Arial"/>
      <w:b/>
      <w:caps/>
      <w:color w:val="71818C"/>
      <w:sz w:val="56"/>
      <w:szCs w:val="52"/>
      <w:lang w:bidi="ar-SA"/>
    </w:rPr>
  </w:style>
  <w:style w:type="paragraph" w:styleId="Podtitul">
    <w:name w:val="Subtitle"/>
    <w:next w:val="Normln"/>
    <w:link w:val="PodtitulChar"/>
    <w:uiPriority w:val="11"/>
    <w:qFormat/>
    <w:rsid w:val="005E492C"/>
    <w:pPr>
      <w:numPr>
        <w:ilvl w:val="1"/>
      </w:numPr>
      <w:spacing w:line="288" w:lineRule="auto"/>
    </w:pPr>
    <w:rPr>
      <w:rFonts w:ascii="Arial" w:eastAsia="MS Gothic" w:hAnsi="Arial"/>
      <w:b/>
      <w:iCs/>
      <w:color w:val="71818C"/>
      <w:sz w:val="28"/>
      <w:szCs w:val="24"/>
    </w:rPr>
  </w:style>
  <w:style w:type="character" w:customStyle="1" w:styleId="PodtitulChar">
    <w:name w:val="Podtitul Char"/>
    <w:link w:val="Podtitul"/>
    <w:uiPriority w:val="11"/>
    <w:rsid w:val="005E492C"/>
    <w:rPr>
      <w:rFonts w:ascii="Arial" w:eastAsia="MS Gothic" w:hAnsi="Arial"/>
      <w:b/>
      <w:iCs/>
      <w:color w:val="71818C"/>
      <w:sz w:val="28"/>
      <w:szCs w:val="24"/>
      <w:lang w:bidi="ar-SA"/>
    </w:rPr>
  </w:style>
  <w:style w:type="character" w:customStyle="1" w:styleId="Nadpis1Char">
    <w:name w:val="Nadpis 1 Char"/>
    <w:link w:val="Nadpis1"/>
    <w:uiPriority w:val="9"/>
    <w:rsid w:val="005E492C"/>
    <w:rPr>
      <w:rFonts w:ascii="Arial" w:eastAsia="MS Gothic" w:hAnsi="Arial"/>
      <w:b/>
      <w:bCs/>
      <w:color w:val="71818C"/>
      <w:sz w:val="32"/>
      <w:szCs w:val="28"/>
      <w:lang w:bidi="ar-SA"/>
    </w:rPr>
  </w:style>
  <w:style w:type="character" w:customStyle="1" w:styleId="Nadpis2Char">
    <w:name w:val="Nadpis 2 Char"/>
    <w:link w:val="Nadpis2"/>
    <w:uiPriority w:val="9"/>
    <w:rsid w:val="005E492C"/>
    <w:rPr>
      <w:rFonts w:ascii="Arial" w:eastAsia="MS Gothic" w:hAnsi="Arial"/>
      <w:b/>
      <w:bCs/>
      <w:color w:val="71818C"/>
      <w:sz w:val="28"/>
      <w:szCs w:val="26"/>
      <w:lang w:bidi="ar-SA"/>
    </w:rPr>
  </w:style>
  <w:style w:type="character" w:customStyle="1" w:styleId="Nadpis3Char">
    <w:name w:val="Nadpis 3 Char"/>
    <w:link w:val="Nadpis3"/>
    <w:uiPriority w:val="9"/>
    <w:rsid w:val="005E492C"/>
    <w:rPr>
      <w:rFonts w:ascii="Arial" w:eastAsia="MS Gothic" w:hAnsi="Arial"/>
      <w:b/>
      <w:bCs/>
      <w:color w:val="71818C"/>
      <w:sz w:val="24"/>
      <w:szCs w:val="24"/>
      <w:lang w:bidi="ar-SA"/>
    </w:rPr>
  </w:style>
  <w:style w:type="character" w:customStyle="1" w:styleId="Nadpis4Char">
    <w:name w:val="Nadpis 4 Char"/>
    <w:link w:val="Nadpis4"/>
    <w:uiPriority w:val="9"/>
    <w:rsid w:val="005E492C"/>
    <w:rPr>
      <w:rFonts w:ascii="Arial" w:eastAsia="MS Gothic" w:hAnsi="Arial"/>
      <w:b/>
      <w:bCs/>
      <w:iCs/>
      <w:szCs w:val="24"/>
      <w:lang w:bidi="ar-SA"/>
    </w:rPr>
  </w:style>
  <w:style w:type="paragraph" w:customStyle="1" w:styleId="Bezmezer1">
    <w:name w:val="Bez mezer1"/>
    <w:aliases w:val="Bez zarážky"/>
    <w:link w:val="NoSpacingChar"/>
    <w:uiPriority w:val="1"/>
    <w:qFormat/>
    <w:rsid w:val="005E492C"/>
    <w:pPr>
      <w:spacing w:line="288" w:lineRule="auto"/>
    </w:pPr>
    <w:rPr>
      <w:rFonts w:ascii="Arial" w:eastAsia="Times New Roman" w:hAnsi="Arial"/>
      <w:szCs w:val="24"/>
    </w:rPr>
  </w:style>
  <w:style w:type="paragraph" w:customStyle="1" w:styleId="Box1">
    <w:name w:val="Box 1"/>
    <w:basedOn w:val="Zkladnodstavec"/>
    <w:next w:val="Normln"/>
    <w:qFormat/>
    <w:rsid w:val="005E492C"/>
    <w:pPr>
      <w:ind w:left="1134"/>
    </w:pPr>
    <w:rPr>
      <w:rFonts w:ascii="Arial" w:hAnsi="Arial" w:cs="Arial"/>
      <w:color w:val="71818C"/>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5E492C"/>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5E492C"/>
    <w:rPr>
      <w:rFonts w:ascii="Arial" w:hAnsi="Arial"/>
      <w:color w:val="000000"/>
      <w:sz w:val="24"/>
      <w:szCs w:val="24"/>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eastAsia="Times New Roman" w:hAnsi="Arial"/>
      <w:sz w:val="24"/>
      <w:szCs w:val="24"/>
    </w:rPr>
  </w:style>
  <w:style w:type="character" w:customStyle="1" w:styleId="TL-KontaktyChar">
    <w:name w:val="TL - Kontakty Char"/>
    <w:link w:val="TL-Kontakty"/>
    <w:rsid w:val="005E492C"/>
    <w:rPr>
      <w:rFonts w:ascii="Arial" w:eastAsia="Times New Roman" w:hAnsi="Arial"/>
      <w:b/>
      <w:caps/>
      <w:color w:val="BD1B21"/>
      <w:sz w:val="24"/>
      <w:szCs w:val="24"/>
      <w:lang w:bidi="ar-SA"/>
    </w:rPr>
  </w:style>
  <w:style w:type="character" w:customStyle="1" w:styleId="TL-IdentifikaceChar">
    <w:name w:val="TL - Identifikace Char"/>
    <w:link w:val="TL-Identifikace"/>
    <w:rsid w:val="005E492C"/>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5E492C"/>
    <w:rPr>
      <w:rFonts w:ascii="Arial" w:eastAsia="Times New Roman" w:hAnsi="Arial"/>
      <w:szCs w:val="24"/>
      <w:lang w:bidi="ar-SA"/>
    </w:rPr>
  </w:style>
  <w:style w:type="paragraph" w:customStyle="1" w:styleId="TL-identifikace-sted">
    <w:name w:val="TL - identifikace - střed"/>
    <w:basedOn w:val="Normln"/>
    <w:link w:val="TL-identifikace-stedChar"/>
    <w:qFormat/>
    <w:rsid w:val="005E492C"/>
    <w:pPr>
      <w:spacing w:after="200"/>
    </w:pPr>
    <w:rPr>
      <w:sz w:val="24"/>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rsid w:val="005E492C"/>
    <w:rPr>
      <w:rFonts w:ascii="Arial" w:hAnsi="Arial"/>
      <w:sz w:val="24"/>
      <w:szCs w:val="24"/>
    </w:rPr>
  </w:style>
  <w:style w:type="character" w:customStyle="1" w:styleId="TL-Identifikace-doleChar">
    <w:name w:val="TL - Identifikace - dole Char"/>
    <w:link w:val="TL-Identifikace-dole"/>
    <w:rsid w:val="005E492C"/>
    <w:rPr>
      <w:rFonts w:ascii="Arial" w:hAnsi="Arial" w:cs="Arial"/>
      <w:lang w:eastAsia="ar-SA"/>
    </w:rPr>
  </w:style>
  <w:style w:type="paragraph" w:styleId="Nadpisobsahu">
    <w:name w:val="TOC Heading"/>
    <w:basedOn w:val="Nadpis1"/>
    <w:next w:val="Normln"/>
    <w:uiPriority w:val="71"/>
    <w:semiHidden/>
    <w:unhideWhenUsed/>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unhideWhenUsed/>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unhideWhenUsed/>
    <w:rsid w:val="00D142E5"/>
    <w:pPr>
      <w:ind w:left="200"/>
    </w:pPr>
  </w:style>
  <w:style w:type="paragraph" w:styleId="Obsah3">
    <w:name w:val="toc 3"/>
    <w:basedOn w:val="Normln"/>
    <w:next w:val="Normln"/>
    <w:autoRedefine/>
    <w:uiPriority w:val="39"/>
    <w:unhideWhenUsed/>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rsid w:val="00972263"/>
    <w:rPr>
      <w:rFonts w:ascii="Arial" w:eastAsia="Times New Roman" w:hAnsi="Arial"/>
    </w:rPr>
  </w:style>
  <w:style w:type="character" w:styleId="Znakapoznpodarou">
    <w:name w:val="footnote reference"/>
    <w:rsid w:val="00972263"/>
    <w:rPr>
      <w:vertAlign w:val="superscript"/>
    </w:rPr>
  </w:style>
  <w:style w:type="paragraph" w:styleId="Rozvrendokumentu">
    <w:name w:val="Document Map"/>
    <w:basedOn w:val="Normln"/>
    <w:link w:val="RozvrendokumentuChar"/>
    <w:uiPriority w:val="99"/>
    <w:semiHidden/>
    <w:unhideWhenUsed/>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D5626D"/>
    <w:rPr>
      <w:rFonts w:ascii="Tahoma" w:eastAsia="Times New Roman" w:hAnsi="Tahoma" w:cs="Tahoma"/>
      <w:sz w:val="16"/>
      <w:szCs w:val="16"/>
    </w:rPr>
  </w:style>
  <w:style w:type="character" w:customStyle="1" w:styleId="Nadpis5Char">
    <w:name w:val="Nadpis 5 Char"/>
    <w:basedOn w:val="Standardnpsmoodstavce"/>
    <w:link w:val="Nadpis5"/>
    <w:uiPriority w:val="9"/>
    <w:semiHidden/>
    <w:rsid w:val="007521A1"/>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7521A1"/>
    <w:rPr>
      <w:rFonts w:ascii="Calibri" w:eastAsia="Times New Roman" w:hAnsi="Calibri" w:cs="Times New Roman"/>
      <w:b/>
      <w:bCs/>
      <w:sz w:val="22"/>
      <w:szCs w:val="22"/>
    </w:rPr>
  </w:style>
  <w:style w:type="character" w:styleId="Siln">
    <w:name w:val="Strong"/>
    <w:basedOn w:val="Standardnpsmoodstavce"/>
    <w:uiPriority w:val="22"/>
    <w:qFormat/>
    <w:rsid w:val="00E921C7"/>
    <w:rPr>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tabulka"/>
    <w:next w:val="Mkatabulky"/>
    <w:uiPriority w:val="59"/>
    <w:rsid w:val="003D47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next w:val="Normln"/>
    <w:link w:val="Nadpis1Char"/>
    <w:uiPriority w:val="9"/>
    <w:qFormat/>
    <w:rsid w:val="005E492C"/>
    <w:pPr>
      <w:keepNext/>
      <w:keepLines/>
      <w:spacing w:after="200" w:line="288" w:lineRule="auto"/>
      <w:outlineLvl w:val="0"/>
    </w:pPr>
    <w:rPr>
      <w:rFonts w:ascii="Arial" w:eastAsia="MS Gothic" w:hAnsi="Arial"/>
      <w:b/>
      <w:bCs/>
      <w:color w:val="71818C"/>
      <w:sz w:val="32"/>
      <w:szCs w:val="28"/>
    </w:rPr>
  </w:style>
  <w:style w:type="paragraph" w:styleId="Nadpis2">
    <w:name w:val="heading 2"/>
    <w:next w:val="Normln"/>
    <w:link w:val="Nadpis2Char"/>
    <w:uiPriority w:val="9"/>
    <w:qFormat/>
    <w:rsid w:val="005E492C"/>
    <w:pPr>
      <w:keepNext/>
      <w:keepLines/>
      <w:spacing w:line="288" w:lineRule="auto"/>
      <w:outlineLvl w:val="1"/>
    </w:pPr>
    <w:rPr>
      <w:rFonts w:ascii="Arial" w:eastAsia="MS Gothic" w:hAnsi="Arial"/>
      <w:b/>
      <w:bCs/>
      <w:color w:val="71818C"/>
      <w:sz w:val="28"/>
      <w:szCs w:val="26"/>
    </w:rPr>
  </w:style>
  <w:style w:type="paragraph" w:styleId="Nadpis3">
    <w:name w:val="heading 3"/>
    <w:next w:val="Normln"/>
    <w:link w:val="Nadpis3Char"/>
    <w:uiPriority w:val="9"/>
    <w:qFormat/>
    <w:rsid w:val="005E492C"/>
    <w:pPr>
      <w:keepNext/>
      <w:keepLines/>
      <w:spacing w:line="288" w:lineRule="auto"/>
      <w:outlineLvl w:val="2"/>
    </w:pPr>
    <w:rPr>
      <w:rFonts w:ascii="Arial" w:eastAsia="MS Gothic" w:hAnsi="Arial"/>
      <w:b/>
      <w:bCs/>
      <w:color w:val="71818C"/>
      <w:sz w:val="24"/>
      <w:szCs w:val="24"/>
    </w:rPr>
  </w:style>
  <w:style w:type="paragraph" w:styleId="Nadpis4">
    <w:name w:val="heading 4"/>
    <w:next w:val="Normln"/>
    <w:link w:val="Nadpis4Char"/>
    <w:uiPriority w:val="9"/>
    <w:qFormat/>
    <w:rsid w:val="005E492C"/>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rPr>
  </w:style>
  <w:style w:type="paragraph" w:styleId="Nzev">
    <w:name w:val="Title"/>
    <w:next w:val="Normln"/>
    <w:link w:val="NzevChar"/>
    <w:uiPriority w:val="10"/>
    <w:qFormat/>
    <w:rsid w:val="005E492C"/>
    <w:pPr>
      <w:spacing w:line="288" w:lineRule="auto"/>
      <w:contextualSpacing/>
      <w:outlineLvl w:val="0"/>
    </w:pPr>
    <w:rPr>
      <w:rFonts w:ascii="Arial" w:eastAsia="MS Gothic" w:hAnsi="Arial"/>
      <w:b/>
      <w:caps/>
      <w:color w:val="71818C"/>
      <w:sz w:val="56"/>
      <w:szCs w:val="52"/>
    </w:rPr>
  </w:style>
  <w:style w:type="character" w:customStyle="1" w:styleId="NzevChar">
    <w:name w:val="Název Char"/>
    <w:link w:val="Nzev"/>
    <w:uiPriority w:val="10"/>
    <w:rsid w:val="005E492C"/>
    <w:rPr>
      <w:rFonts w:ascii="Arial" w:eastAsia="MS Gothic" w:hAnsi="Arial"/>
      <w:b/>
      <w:caps/>
      <w:color w:val="71818C"/>
      <w:sz w:val="56"/>
      <w:szCs w:val="52"/>
      <w:lang w:bidi="ar-SA"/>
    </w:rPr>
  </w:style>
  <w:style w:type="paragraph" w:styleId="Podtitul">
    <w:name w:val="Subtitle"/>
    <w:next w:val="Normln"/>
    <w:link w:val="PodtitulChar"/>
    <w:uiPriority w:val="11"/>
    <w:qFormat/>
    <w:rsid w:val="005E492C"/>
    <w:pPr>
      <w:numPr>
        <w:ilvl w:val="1"/>
      </w:numPr>
      <w:spacing w:line="288" w:lineRule="auto"/>
    </w:pPr>
    <w:rPr>
      <w:rFonts w:ascii="Arial" w:eastAsia="MS Gothic" w:hAnsi="Arial"/>
      <w:b/>
      <w:iCs/>
      <w:color w:val="71818C"/>
      <w:sz w:val="28"/>
      <w:szCs w:val="24"/>
    </w:rPr>
  </w:style>
  <w:style w:type="character" w:customStyle="1" w:styleId="PodtitulChar">
    <w:name w:val="Podtitul Char"/>
    <w:link w:val="Podtitul"/>
    <w:uiPriority w:val="11"/>
    <w:rsid w:val="005E492C"/>
    <w:rPr>
      <w:rFonts w:ascii="Arial" w:eastAsia="MS Gothic" w:hAnsi="Arial"/>
      <w:b/>
      <w:iCs/>
      <w:color w:val="71818C"/>
      <w:sz w:val="28"/>
      <w:szCs w:val="24"/>
      <w:lang w:bidi="ar-SA"/>
    </w:rPr>
  </w:style>
  <w:style w:type="character" w:customStyle="1" w:styleId="Nadpis1Char">
    <w:name w:val="Nadpis 1 Char"/>
    <w:link w:val="Nadpis1"/>
    <w:uiPriority w:val="9"/>
    <w:rsid w:val="005E492C"/>
    <w:rPr>
      <w:rFonts w:ascii="Arial" w:eastAsia="MS Gothic" w:hAnsi="Arial"/>
      <w:b/>
      <w:bCs/>
      <w:color w:val="71818C"/>
      <w:sz w:val="32"/>
      <w:szCs w:val="28"/>
      <w:lang w:bidi="ar-SA"/>
    </w:rPr>
  </w:style>
  <w:style w:type="character" w:customStyle="1" w:styleId="Nadpis2Char">
    <w:name w:val="Nadpis 2 Char"/>
    <w:link w:val="Nadpis2"/>
    <w:uiPriority w:val="9"/>
    <w:rsid w:val="005E492C"/>
    <w:rPr>
      <w:rFonts w:ascii="Arial" w:eastAsia="MS Gothic" w:hAnsi="Arial"/>
      <w:b/>
      <w:bCs/>
      <w:color w:val="71818C"/>
      <w:sz w:val="28"/>
      <w:szCs w:val="26"/>
      <w:lang w:bidi="ar-SA"/>
    </w:rPr>
  </w:style>
  <w:style w:type="character" w:customStyle="1" w:styleId="Nadpis3Char">
    <w:name w:val="Nadpis 3 Char"/>
    <w:link w:val="Nadpis3"/>
    <w:uiPriority w:val="9"/>
    <w:rsid w:val="005E492C"/>
    <w:rPr>
      <w:rFonts w:ascii="Arial" w:eastAsia="MS Gothic" w:hAnsi="Arial"/>
      <w:b/>
      <w:bCs/>
      <w:color w:val="71818C"/>
      <w:sz w:val="24"/>
      <w:szCs w:val="24"/>
      <w:lang w:bidi="ar-SA"/>
    </w:rPr>
  </w:style>
  <w:style w:type="character" w:customStyle="1" w:styleId="Nadpis4Char">
    <w:name w:val="Nadpis 4 Char"/>
    <w:link w:val="Nadpis4"/>
    <w:uiPriority w:val="9"/>
    <w:rsid w:val="005E492C"/>
    <w:rPr>
      <w:rFonts w:ascii="Arial" w:eastAsia="MS Gothic" w:hAnsi="Arial"/>
      <w:b/>
      <w:bCs/>
      <w:iCs/>
      <w:szCs w:val="24"/>
      <w:lang w:bidi="ar-SA"/>
    </w:rPr>
  </w:style>
  <w:style w:type="paragraph" w:customStyle="1" w:styleId="Bezmezer1">
    <w:name w:val="Bez mezer1"/>
    <w:aliases w:val="Bez zarážky"/>
    <w:link w:val="NoSpacingChar"/>
    <w:uiPriority w:val="1"/>
    <w:qFormat/>
    <w:rsid w:val="005E492C"/>
    <w:pPr>
      <w:spacing w:line="288" w:lineRule="auto"/>
    </w:pPr>
    <w:rPr>
      <w:rFonts w:ascii="Arial" w:eastAsia="Times New Roman" w:hAnsi="Arial"/>
      <w:szCs w:val="24"/>
    </w:rPr>
  </w:style>
  <w:style w:type="paragraph" w:customStyle="1" w:styleId="Box1">
    <w:name w:val="Box 1"/>
    <w:basedOn w:val="Zkladnodstavec"/>
    <w:next w:val="Normln"/>
    <w:qFormat/>
    <w:rsid w:val="005E492C"/>
    <w:pPr>
      <w:ind w:left="1134"/>
    </w:pPr>
    <w:rPr>
      <w:rFonts w:ascii="Arial" w:hAnsi="Arial" w:cs="Arial"/>
      <w:color w:val="71818C"/>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5E492C"/>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5E492C"/>
    <w:rPr>
      <w:rFonts w:ascii="Arial" w:hAnsi="Arial"/>
      <w:color w:val="000000"/>
      <w:sz w:val="24"/>
      <w:szCs w:val="24"/>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eastAsia="Times New Roman" w:hAnsi="Arial"/>
      <w:sz w:val="24"/>
      <w:szCs w:val="24"/>
    </w:rPr>
  </w:style>
  <w:style w:type="character" w:customStyle="1" w:styleId="TL-KontaktyChar">
    <w:name w:val="TL - Kontakty Char"/>
    <w:link w:val="TL-Kontakty"/>
    <w:rsid w:val="005E492C"/>
    <w:rPr>
      <w:rFonts w:ascii="Arial" w:eastAsia="Times New Roman" w:hAnsi="Arial"/>
      <w:b/>
      <w:caps/>
      <w:color w:val="BD1B21"/>
      <w:sz w:val="24"/>
      <w:szCs w:val="24"/>
      <w:lang w:bidi="ar-SA"/>
    </w:rPr>
  </w:style>
  <w:style w:type="character" w:customStyle="1" w:styleId="TL-IdentifikaceChar">
    <w:name w:val="TL - Identifikace Char"/>
    <w:link w:val="TL-Identifikace"/>
    <w:rsid w:val="005E492C"/>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5E492C"/>
    <w:rPr>
      <w:rFonts w:ascii="Arial" w:eastAsia="Times New Roman" w:hAnsi="Arial"/>
      <w:szCs w:val="24"/>
      <w:lang w:bidi="ar-SA"/>
    </w:rPr>
  </w:style>
  <w:style w:type="paragraph" w:customStyle="1" w:styleId="TL-identifikace-sted">
    <w:name w:val="TL - identifikace - střed"/>
    <w:basedOn w:val="Normln"/>
    <w:link w:val="TL-identifikace-stedChar"/>
    <w:qFormat/>
    <w:rsid w:val="005E492C"/>
    <w:pPr>
      <w:spacing w:after="200"/>
    </w:pPr>
    <w:rPr>
      <w:sz w:val="24"/>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rsid w:val="005E492C"/>
    <w:rPr>
      <w:rFonts w:ascii="Arial" w:hAnsi="Arial"/>
      <w:sz w:val="24"/>
      <w:szCs w:val="24"/>
    </w:rPr>
  </w:style>
  <w:style w:type="character" w:customStyle="1" w:styleId="TL-Identifikace-doleChar">
    <w:name w:val="TL - Identifikace - dole Char"/>
    <w:link w:val="TL-Identifikace-dole"/>
    <w:rsid w:val="005E492C"/>
    <w:rPr>
      <w:rFonts w:ascii="Arial" w:hAnsi="Arial" w:cs="Arial"/>
      <w:lang w:eastAsia="ar-SA"/>
    </w:rPr>
  </w:style>
  <w:style w:type="paragraph" w:styleId="Nadpisobsahu">
    <w:name w:val="TOC Heading"/>
    <w:basedOn w:val="Nadpis1"/>
    <w:next w:val="Normln"/>
    <w:uiPriority w:val="71"/>
    <w:semiHidden/>
    <w:unhideWhenUsed/>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unhideWhenUsed/>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unhideWhenUsed/>
    <w:rsid w:val="00D142E5"/>
    <w:pPr>
      <w:ind w:left="200"/>
    </w:pPr>
  </w:style>
  <w:style w:type="paragraph" w:styleId="Obsah3">
    <w:name w:val="toc 3"/>
    <w:basedOn w:val="Normln"/>
    <w:next w:val="Normln"/>
    <w:autoRedefine/>
    <w:uiPriority w:val="39"/>
    <w:unhideWhenUsed/>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rsid w:val="00972263"/>
    <w:rPr>
      <w:rFonts w:ascii="Arial" w:eastAsia="Times New Roman" w:hAnsi="Arial"/>
    </w:rPr>
  </w:style>
  <w:style w:type="character" w:styleId="Znakapoznpodarou">
    <w:name w:val="footnote reference"/>
    <w:rsid w:val="00972263"/>
    <w:rPr>
      <w:vertAlign w:val="superscript"/>
    </w:rPr>
  </w:style>
  <w:style w:type="paragraph" w:styleId="Rozloendokumentu">
    <w:name w:val="Document Map"/>
    <w:basedOn w:val="Normln"/>
    <w:link w:val="RozloendokumentuChar"/>
    <w:uiPriority w:val="99"/>
    <w:semiHidden/>
    <w:unhideWhenUsed/>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D5626D"/>
    <w:rPr>
      <w:rFonts w:ascii="Tahoma" w:eastAsia="Times New Roman" w:hAnsi="Tahoma" w:cs="Tahoma"/>
      <w:sz w:val="16"/>
      <w:szCs w:val="16"/>
    </w:rPr>
  </w:style>
  <w:style w:type="character" w:customStyle="1" w:styleId="Nadpis5Char">
    <w:name w:val="Nadpis 5 Char"/>
    <w:basedOn w:val="Standardnpsmoodstavce"/>
    <w:link w:val="Nadpis5"/>
    <w:uiPriority w:val="9"/>
    <w:semiHidden/>
    <w:rsid w:val="007521A1"/>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7521A1"/>
    <w:rPr>
      <w:rFonts w:ascii="Calibri" w:eastAsia="Times New Roman" w:hAnsi="Calibri" w:cs="Times New Roman"/>
      <w:b/>
      <w:bCs/>
      <w:sz w:val="22"/>
      <w:szCs w:val="22"/>
    </w:rPr>
  </w:style>
  <w:style w:type="character" w:styleId="Siln">
    <w:name w:val="Strong"/>
    <w:basedOn w:val="Standardnpsmoodstavce"/>
    <w:uiPriority w:val="22"/>
    <w:qFormat/>
    <w:rsid w:val="00E921C7"/>
    <w:rPr>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3D47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6674360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8B5DA-F875-4C24-8059-2AED45B0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224</TotalTime>
  <Pages>2</Pages>
  <Words>1117</Words>
  <Characters>6595</Characters>
  <Application>Microsoft Office Word</Application>
  <DocSecurity>0</DocSecurity>
  <Lines>54</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dubska1552</cp:lastModifiedBy>
  <cp:revision>19</cp:revision>
  <cp:lastPrinted>2015-03-20T07:25:00Z</cp:lastPrinted>
  <dcterms:created xsi:type="dcterms:W3CDTF">2015-03-16T09:04:00Z</dcterms:created>
  <dcterms:modified xsi:type="dcterms:W3CDTF">2015-03-20T11:29:00Z</dcterms:modified>
</cp:coreProperties>
</file>