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1F" w:rsidRPr="00F4591F" w:rsidRDefault="00F4591F" w:rsidP="00F43B60">
      <w:pPr>
        <w:pStyle w:val="Nadpis1"/>
        <w:numPr>
          <w:ilvl w:val="0"/>
          <w:numId w:val="49"/>
        </w:numPr>
        <w:jc w:val="both"/>
      </w:pPr>
      <w:bookmarkStart w:id="0" w:name="_Toc414264322"/>
      <w:r>
        <w:t>Výkonnost odvětví</w:t>
      </w:r>
      <w:bookmarkEnd w:id="0"/>
    </w:p>
    <w:tbl>
      <w:tblPr>
        <w:tblW w:w="5000" w:type="pct"/>
        <w:tblCellMar>
          <w:left w:w="28" w:type="dxa"/>
          <w:right w:w="28" w:type="dxa"/>
        </w:tblCellMar>
        <w:tblLook w:val="04A0"/>
      </w:tblPr>
      <w:tblGrid>
        <w:gridCol w:w="2115"/>
        <w:gridCol w:w="283"/>
        <w:gridCol w:w="7296"/>
      </w:tblGrid>
      <w:tr w:rsidR="000F401E" w:rsidTr="000F401E">
        <w:tc>
          <w:tcPr>
            <w:tcW w:w="1091" w:type="pct"/>
          </w:tcPr>
          <w:p w:rsidR="000F401E" w:rsidRDefault="000F401E" w:rsidP="000F401E">
            <w:pPr>
              <w:spacing w:line="240" w:lineRule="auto"/>
              <w:rPr>
                <w:sz w:val="16"/>
                <w:szCs w:val="16"/>
              </w:rPr>
            </w:pPr>
            <w:r>
              <w:rPr>
                <w:sz w:val="16"/>
                <w:szCs w:val="16"/>
              </w:rPr>
              <w:t xml:space="preserve">Růst HPH v průběhu roku 2014 pravidelně zrychloval, </w:t>
            </w:r>
          </w:p>
          <w:p w:rsidR="000F401E" w:rsidRDefault="000F401E" w:rsidP="000F401E">
            <w:pPr>
              <w:spacing w:line="240" w:lineRule="auto"/>
              <w:rPr>
                <w:sz w:val="16"/>
                <w:szCs w:val="16"/>
              </w:rPr>
            </w:pPr>
            <w:r>
              <w:rPr>
                <w:sz w:val="16"/>
                <w:szCs w:val="16"/>
              </w:rPr>
              <w:t xml:space="preserve">a to navzdory postupnému přechodu na vyšší loňskou základnu </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Tři pětiny růstu HPH zabezpečil zpracovatelský průmysl, poprvé od roku 2010 pozitivně přispělo i stavebnictví</w:t>
            </w:r>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0F401E" w:rsidRPr="000F401E" w:rsidRDefault="000F401E" w:rsidP="000F401E">
            <w:pPr>
              <w:pStyle w:val="Textpoznpodarou"/>
              <w:jc w:val="both"/>
              <w:rPr>
                <w:spacing w:val="-4"/>
              </w:rPr>
            </w:pPr>
            <w:r w:rsidRPr="000F401E">
              <w:rPr>
                <w:spacing w:val="-4"/>
              </w:rPr>
              <w:t xml:space="preserve">Rok 2014 přinesl potvrzení i pevnější ukotvení růstových tendencí klíčových odvětví české ekonomiky. Souhrnná sezónně očištěná výše hrubé přidané hodnoty (HPH) pokračovala v nepřetržitém růstu započatém ve 4. čtvrtletí 2013 (v meziročním vyjádření), resp. již ve 2. čtvrtletí 2013 (v </w:t>
            </w:r>
            <w:proofErr w:type="spellStart"/>
            <w:r w:rsidRPr="000F401E">
              <w:rPr>
                <w:spacing w:val="-4"/>
              </w:rPr>
              <w:t>mezičtvrtletním</w:t>
            </w:r>
            <w:proofErr w:type="spellEnd"/>
            <w:r w:rsidRPr="000F401E">
              <w:rPr>
                <w:spacing w:val="-4"/>
              </w:rPr>
              <w:t xml:space="preserve"> pojetí). Během 3. čtvrtletí 2014 se přehoupla přes předkrizovou úroveň (obdobné čtvrtletí roku 2008) a během posledního čtvrtletí mírně akcelerovala (meziročně +2,9 %, za celý rok +2,6 %). Růst HPH byl v roce 2014 ze tří pětin tažen exportně orientovaným zpracovatelským průmyslem. Pozitivně však přispěly (podobně jako v letech silné konjunktury) stavebnictví i většina významných uskupení služeb (vyjma finančního sektoru a oblasti nemovitostí, které nenavázaly na předchozí úspěšné roky).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Růst HPH převyšoval dynamiku celkové zaměstnanosti i odpracované doby, které meziročně posílily především ve vybraných službách</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Pr="000F401E" w:rsidRDefault="000F401E" w:rsidP="000F401E">
            <w:pPr>
              <w:spacing w:line="240" w:lineRule="auto"/>
              <w:rPr>
                <w:spacing w:val="-4"/>
                <w:sz w:val="16"/>
                <w:szCs w:val="16"/>
              </w:rPr>
            </w:pPr>
            <w:r w:rsidRPr="000F401E">
              <w:rPr>
                <w:spacing w:val="-4"/>
                <w:sz w:val="16"/>
                <w:szCs w:val="16"/>
              </w:rPr>
              <w:t>Velmi dobrá úroda (obilovin, cukrovky a řepky) vytáhla HPH v zemědělství na nejvyšší úroveň od roku 2009</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Pr="000F401E" w:rsidRDefault="000F401E" w:rsidP="000F401E">
            <w:pPr>
              <w:spacing w:line="240" w:lineRule="auto"/>
              <w:rPr>
                <w:spacing w:val="-4"/>
                <w:sz w:val="16"/>
                <w:szCs w:val="16"/>
              </w:rPr>
            </w:pPr>
            <w:r w:rsidRPr="000F401E">
              <w:rPr>
                <w:spacing w:val="-4"/>
                <w:sz w:val="16"/>
                <w:szCs w:val="16"/>
              </w:rPr>
              <w:t>Veřejné zakázky i mírná zima oživily stavebnictví, kde rostl</w:t>
            </w:r>
          </w:p>
          <w:p w:rsidR="000F401E" w:rsidRPr="000F401E" w:rsidRDefault="000F401E" w:rsidP="000F401E">
            <w:pPr>
              <w:spacing w:line="240" w:lineRule="auto"/>
              <w:rPr>
                <w:spacing w:val="-4"/>
                <w:sz w:val="16"/>
                <w:szCs w:val="16"/>
              </w:rPr>
            </w:pPr>
            <w:r w:rsidRPr="000F401E">
              <w:rPr>
                <w:spacing w:val="-4"/>
                <w:sz w:val="16"/>
                <w:szCs w:val="16"/>
              </w:rPr>
              <w:t xml:space="preserve"> i počet </w:t>
            </w:r>
            <w:proofErr w:type="spellStart"/>
            <w:r w:rsidRPr="000F401E">
              <w:rPr>
                <w:spacing w:val="-4"/>
                <w:sz w:val="16"/>
                <w:szCs w:val="16"/>
              </w:rPr>
              <w:t>sebezaměstnaných</w:t>
            </w:r>
            <w:proofErr w:type="spellEnd"/>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0F401E" w:rsidRDefault="000F401E" w:rsidP="000F401E">
            <w:pPr>
              <w:pStyle w:val="Textpoznpodarou"/>
              <w:jc w:val="both"/>
              <w:rPr>
                <w:spacing w:val="-4"/>
              </w:rPr>
            </w:pPr>
            <w:r>
              <w:rPr>
                <w:spacing w:val="-4"/>
              </w:rPr>
              <w:t xml:space="preserve">Meziroční zvýšení HPH doprovázel v roce 2014 mírnější růst </w:t>
            </w:r>
            <w:r w:rsidRPr="000F401E">
              <w:rPr>
                <w:spacing w:val="-4"/>
              </w:rPr>
              <w:t xml:space="preserve">zaměstnanosti (0,4 %, </w:t>
            </w:r>
            <w:r w:rsidRPr="005D374F">
              <w:rPr>
                <w:spacing w:val="-4"/>
              </w:rPr>
              <w:t>v pojetí národních účtů), ten ale s obdobnou intenzitou přetrvával i v nedávném</w:t>
            </w:r>
            <w:r>
              <w:rPr>
                <w:spacing w:val="-4"/>
              </w:rPr>
              <w:t xml:space="preserve"> období mělké recese. Jen mírný byl také růst celkové odpracované doby (1,0</w:t>
            </w:r>
            <w:r w:rsidRPr="00EF6BE3">
              <w:rPr>
                <w:spacing w:val="-4"/>
              </w:rPr>
              <w:t xml:space="preserve"> %) s vyšší dynamik</w:t>
            </w:r>
            <w:r>
              <w:rPr>
                <w:spacing w:val="-4"/>
              </w:rPr>
              <w:t>ou soustředěnou (podobně jako u zaměstnanosti) hlavně v</w:t>
            </w:r>
            <w:r w:rsidRPr="00EF6BE3">
              <w:rPr>
                <w:spacing w:val="-4"/>
              </w:rPr>
              <w:t xml:space="preserve"> odvětví </w:t>
            </w:r>
            <w:r>
              <w:rPr>
                <w:spacing w:val="-4"/>
              </w:rPr>
              <w:t>služeb - v</w:t>
            </w:r>
            <w:r w:rsidRPr="00EF6BE3">
              <w:rPr>
                <w:spacing w:val="-4"/>
              </w:rPr>
              <w:t xml:space="preserve"> profesních, vědeckých, technickýc</w:t>
            </w:r>
            <w:r>
              <w:rPr>
                <w:spacing w:val="-4"/>
              </w:rPr>
              <w:t>h a administrativních činnostech (5,8 %) či v oblastech</w:t>
            </w:r>
            <w:r w:rsidRPr="00EF6BE3">
              <w:rPr>
                <w:spacing w:val="-4"/>
              </w:rPr>
              <w:t xml:space="preserve"> nemovitostí</w:t>
            </w:r>
            <w:r>
              <w:rPr>
                <w:spacing w:val="-4"/>
              </w:rPr>
              <w:t xml:space="preserve"> (3,9 %). Zpracovatelský průmysl reagoval na stabilní růst zakázek významnějším růstem zaměstnanosti až s určitým zpožděním (v prvním pololetí 2014 rostl počet zaměstnanců meziročně jen o 0,3 %, v druhé polovině roku již o 1,6 %, nejrychleji od konce roku 2011). Hlavně díky rostlinné výrobě se dařilo </w:t>
            </w:r>
            <w:r w:rsidRPr="000F401E">
              <w:rPr>
                <w:spacing w:val="-4"/>
              </w:rPr>
              <w:t>i zemědělství, jehož HPH v roce 2014 rostla srovnatelným tempem jako zpracovatelský</w:t>
            </w:r>
            <w:r>
              <w:rPr>
                <w:spacing w:val="-4"/>
              </w:rPr>
              <w:t xml:space="preserve"> průmysl (6 %). Oživení veřejných zakázek hlavně v oblasti inženýrského stavitelství se odrazilo v růstu stavebnictví (2,6 %), které ale nadále ztrácelo zaměstnanecká místa, na rozdíl od předchozích let se však navýšil počet </w:t>
            </w:r>
            <w:proofErr w:type="spellStart"/>
            <w:r>
              <w:rPr>
                <w:spacing w:val="-4"/>
              </w:rPr>
              <w:t>sebezaměstnaných</w:t>
            </w:r>
            <w:proofErr w:type="spellEnd"/>
            <w:r>
              <w:rPr>
                <w:spacing w:val="-4"/>
              </w:rPr>
              <w:t xml:space="preserve"> (meziročně o 7 %). Obdobná situace nastala v tomto odvětví v období i těšně po hluboké recesi ekonomiky.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sidRPr="00DA1318">
              <w:rPr>
                <w:sz w:val="16"/>
                <w:szCs w:val="16"/>
              </w:rPr>
              <w:t xml:space="preserve">Veřejné služby </w:t>
            </w:r>
            <w:r>
              <w:rPr>
                <w:sz w:val="16"/>
                <w:szCs w:val="16"/>
              </w:rPr>
              <w:t xml:space="preserve">přispěly k růstu HPH celé terciární sféry ze 40 %, dařilo se však </w:t>
            </w:r>
          </w:p>
          <w:p w:rsidR="000F401E" w:rsidRDefault="000F401E" w:rsidP="000F401E">
            <w:pPr>
              <w:spacing w:line="240" w:lineRule="auto"/>
              <w:rPr>
                <w:sz w:val="16"/>
                <w:szCs w:val="16"/>
              </w:rPr>
            </w:pPr>
            <w:r>
              <w:rPr>
                <w:sz w:val="16"/>
                <w:szCs w:val="16"/>
              </w:rPr>
              <w:t xml:space="preserve">i většině ostatních odvětví vyjma peněžnictví a pojišťovnictví, kde HPH mimořádně poklesla - nejvíce od roku 2002 </w:t>
            </w:r>
          </w:p>
          <w:p w:rsidR="000F401E" w:rsidRPr="00DA1318"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0F401E" w:rsidRPr="000F401E" w:rsidRDefault="000F401E" w:rsidP="000F401E">
            <w:pPr>
              <w:pStyle w:val="Textpoznpodarou"/>
              <w:jc w:val="both"/>
              <w:rPr>
                <w:spacing w:val="-4"/>
              </w:rPr>
            </w:pPr>
            <w:r w:rsidRPr="000F401E">
              <w:rPr>
                <w:spacing w:val="-4"/>
              </w:rPr>
              <w:t>V rámci služeb vzrostla HPH nejvíce v dlouhodobě růstovém odvětví profesních, vědeckých, technických a administrativních činností (+4,2 %) a v informačních a komunikačních činnostech (+3,5 %). V těchto odvětvích se zvýšená poptávk</w:t>
            </w:r>
            <w:r w:rsidR="00DE2ED9">
              <w:rPr>
                <w:spacing w:val="-4"/>
              </w:rPr>
              <w:t>a</w:t>
            </w:r>
            <w:r w:rsidRPr="000F401E">
              <w:rPr>
                <w:spacing w:val="-4"/>
              </w:rPr>
              <w:t xml:space="preserve"> přetavila i do vyšších počtů </w:t>
            </w:r>
            <w:proofErr w:type="spellStart"/>
            <w:r w:rsidRPr="000F401E">
              <w:rPr>
                <w:spacing w:val="-4"/>
              </w:rPr>
              <w:t>sebezaměstnaných</w:t>
            </w:r>
            <w:proofErr w:type="spellEnd"/>
            <w:r w:rsidRPr="000F401E">
              <w:rPr>
                <w:spacing w:val="-4"/>
              </w:rPr>
              <w:t xml:space="preserve"> osob. Díky své váze i dynamice (+2,4 %) pomohly k růstu přidané hodnoty v celé ekonomice z terciární sféry nejvíce veřejné služby. Přispěl k tomu postupný odklon od silnějších úsporných opatření podpořený i větší aktivitou státu v oblasti aktivní politiky zaměstnanosti. Horší rok zažily peněžnictví a pojišťovnictví, kde HPH meziročně klesla o celá 3 % (proti roku 2008 však zůstávala o téměř třetinu výše, zatímco ve zpracovatelském průmyslu „jen“ o desetinu), což se odrazilo i v poklesu pracovních míst. Naopak již šest let po sobě klesá HPH těžbě, do</w:t>
            </w:r>
            <w:r w:rsidR="00DE2ED9">
              <w:rPr>
                <w:spacing w:val="-4"/>
              </w:rPr>
              <w:t>bývání a energetice, poznamenaná</w:t>
            </w:r>
            <w:r w:rsidRPr="000F401E">
              <w:rPr>
                <w:spacing w:val="-4"/>
              </w:rPr>
              <w:t xml:space="preserve"> nepříznivými cenami komodit na světových trzích, v poslední</w:t>
            </w:r>
            <w:r w:rsidR="00DE2ED9">
              <w:rPr>
                <w:spacing w:val="-4"/>
              </w:rPr>
              <w:t>ch dvou letech také</w:t>
            </w:r>
            <w:r w:rsidRPr="000F401E">
              <w:rPr>
                <w:spacing w:val="-4"/>
              </w:rPr>
              <w:t xml:space="preserve"> výkyvy</w:t>
            </w:r>
            <w:r w:rsidR="00DE2ED9">
              <w:rPr>
                <w:spacing w:val="-4"/>
              </w:rPr>
              <w:t xml:space="preserve"> počasí</w:t>
            </w:r>
            <w:r w:rsidRPr="000F401E">
              <w:rPr>
                <w:spacing w:val="-4"/>
              </w:rPr>
              <w:t>.</w:t>
            </w:r>
          </w:p>
          <w:p w:rsidR="000F401E" w:rsidRPr="000F401E" w:rsidRDefault="000F401E" w:rsidP="000F401E">
            <w:pPr>
              <w:pStyle w:val="Textpoznpodarou"/>
              <w:jc w:val="both"/>
              <w:rPr>
                <w:spacing w:val="-4"/>
                <w:sz w:val="16"/>
                <w:szCs w:val="16"/>
              </w:rPr>
            </w:pPr>
            <w:r>
              <w:rPr>
                <w:spacing w:val="-4"/>
              </w:rPr>
              <w:t xml:space="preserve"> </w:t>
            </w:r>
          </w:p>
        </w:tc>
      </w:tr>
      <w:tr w:rsidR="000F401E" w:rsidTr="000F401E">
        <w:tc>
          <w:tcPr>
            <w:tcW w:w="1091" w:type="pct"/>
          </w:tcPr>
          <w:p w:rsidR="000F401E" w:rsidRPr="000F401E" w:rsidRDefault="000F401E" w:rsidP="000F401E">
            <w:pPr>
              <w:spacing w:line="240" w:lineRule="auto"/>
              <w:rPr>
                <w:spacing w:val="-4"/>
                <w:sz w:val="16"/>
                <w:szCs w:val="16"/>
              </w:rPr>
            </w:pPr>
            <w:r w:rsidRPr="000F401E">
              <w:rPr>
                <w:spacing w:val="-4"/>
                <w:sz w:val="16"/>
                <w:szCs w:val="16"/>
              </w:rPr>
              <w:t>Produkce se zvýšila napříč té</w:t>
            </w:r>
            <w:r w:rsidR="0043068A">
              <w:rPr>
                <w:spacing w:val="-4"/>
                <w:sz w:val="16"/>
                <w:szCs w:val="16"/>
              </w:rPr>
              <w:t>měř všemi zpracovatelskými</w:t>
            </w:r>
            <w:r w:rsidRPr="000F401E">
              <w:rPr>
                <w:spacing w:val="-4"/>
                <w:sz w:val="16"/>
                <w:szCs w:val="16"/>
              </w:rPr>
              <w:t xml:space="preserve"> obory, vyjma „malých“ oborů - tiskárenství, dřevařství a oděvnictví</w:t>
            </w:r>
          </w:p>
          <w:p w:rsidR="000F401E" w:rsidRPr="000F401E" w:rsidRDefault="000F401E" w:rsidP="000F401E">
            <w:pPr>
              <w:spacing w:line="240" w:lineRule="auto"/>
              <w:rPr>
                <w:spacing w:val="-4"/>
                <w:sz w:val="16"/>
                <w:szCs w:val="16"/>
              </w:rPr>
            </w:pPr>
          </w:p>
          <w:p w:rsidR="000F401E" w:rsidRPr="000F401E" w:rsidRDefault="000F401E" w:rsidP="000F401E">
            <w:pPr>
              <w:spacing w:line="240" w:lineRule="auto"/>
              <w:rPr>
                <w:spacing w:val="-4"/>
                <w:sz w:val="16"/>
                <w:szCs w:val="16"/>
              </w:rPr>
            </w:pPr>
          </w:p>
          <w:p w:rsidR="000F401E" w:rsidRPr="000F401E" w:rsidRDefault="000F401E" w:rsidP="000F401E">
            <w:pPr>
              <w:spacing w:line="240" w:lineRule="auto"/>
              <w:rPr>
                <w:sz w:val="16"/>
                <w:szCs w:val="16"/>
              </w:rPr>
            </w:pPr>
            <w:r w:rsidRPr="000F401E">
              <w:rPr>
                <w:spacing w:val="-4"/>
                <w:sz w:val="16"/>
                <w:szCs w:val="16"/>
              </w:rPr>
              <w:t>Na prudký propad produkce v roce 2013 navázal těžební průmysl dalším meziročním poklesem (- 2,8 %), mírnější útlum dále přetrvává i v energetice (avšak bez hlubšího dopadu na zaměstnanost)</w:t>
            </w:r>
          </w:p>
        </w:tc>
        <w:tc>
          <w:tcPr>
            <w:tcW w:w="146" w:type="pct"/>
          </w:tcPr>
          <w:p w:rsidR="000F401E" w:rsidRDefault="000F401E" w:rsidP="000F401E">
            <w:pPr>
              <w:pStyle w:val="Textpoznpodarou"/>
              <w:jc w:val="both"/>
              <w:rPr>
                <w:spacing w:val="-2"/>
              </w:rPr>
            </w:pPr>
          </w:p>
        </w:tc>
        <w:tc>
          <w:tcPr>
            <w:tcW w:w="3763" w:type="pct"/>
          </w:tcPr>
          <w:p w:rsidR="000F401E" w:rsidRDefault="000F401E" w:rsidP="000F401E">
            <w:pPr>
              <w:pStyle w:val="Textpoznpodarou"/>
              <w:jc w:val="both"/>
              <w:rPr>
                <w:spacing w:val="-4"/>
              </w:rPr>
            </w:pPr>
            <w:r w:rsidRPr="00573C97">
              <w:rPr>
                <w:spacing w:val="-4"/>
              </w:rPr>
              <w:t>Výkon průmyslu</w:t>
            </w:r>
            <w:r w:rsidRPr="00170B04">
              <w:rPr>
                <w:vertAlign w:val="superscript"/>
              </w:rPr>
              <w:footnoteReference w:id="1"/>
            </w:r>
            <w:r w:rsidRPr="00573C97">
              <w:rPr>
                <w:spacing w:val="-4"/>
              </w:rPr>
              <w:t xml:space="preserve"> </w:t>
            </w:r>
            <w:r>
              <w:rPr>
                <w:spacing w:val="-4"/>
              </w:rPr>
              <w:t>(měřený indexem</w:t>
            </w:r>
            <w:r w:rsidRPr="00573C97">
              <w:rPr>
                <w:spacing w:val="-4"/>
              </w:rPr>
              <w:t xml:space="preserve"> </w:t>
            </w:r>
            <w:r w:rsidR="00C24E77">
              <w:rPr>
                <w:spacing w:val="-4"/>
              </w:rPr>
              <w:t xml:space="preserve">průmyslové </w:t>
            </w:r>
            <w:r w:rsidRPr="00573C97">
              <w:rPr>
                <w:spacing w:val="-4"/>
              </w:rPr>
              <w:t>produ</w:t>
            </w:r>
            <w:r>
              <w:rPr>
                <w:spacing w:val="-4"/>
              </w:rPr>
              <w:t>kce</w:t>
            </w:r>
            <w:r w:rsidR="00C24E77">
              <w:rPr>
                <w:spacing w:val="-4"/>
              </w:rPr>
              <w:t xml:space="preserve"> v reálném vyjádření</w:t>
            </w:r>
            <w:r>
              <w:rPr>
                <w:spacing w:val="-4"/>
              </w:rPr>
              <w:t>) za celý rok 2014 meziročně přidal téměř 5 % (po stagnaci v předchozím roce). Zatímco v</w:t>
            </w:r>
            <w:r w:rsidR="0075315D">
              <w:rPr>
                <w:spacing w:val="-4"/>
              </w:rPr>
              <w:t> prvních dvou čtvrtletích</w:t>
            </w:r>
            <w:r w:rsidR="00C24E77">
              <w:rPr>
                <w:spacing w:val="-4"/>
              </w:rPr>
              <w:t xml:space="preserve"> rostl</w:t>
            </w:r>
            <w:r w:rsidR="0075315D">
              <w:rPr>
                <w:spacing w:val="-4"/>
              </w:rPr>
              <w:t xml:space="preserve"> (po očištění o pracovní dny) shodně o více než 6 %</w:t>
            </w:r>
            <w:r>
              <w:rPr>
                <w:spacing w:val="-4"/>
              </w:rPr>
              <w:t xml:space="preserve"> %, ve druhém pololetí již narazil na silnou loňskou základnu a posílil o 3,5 %. Za růstem stálo o</w:t>
            </w:r>
            <w:r w:rsidRPr="00573C97">
              <w:rPr>
                <w:spacing w:val="-4"/>
              </w:rPr>
              <w:t xml:space="preserve">živení zahraniční poptávky, zpočátku zejména po dopravních prostředcích, </w:t>
            </w:r>
            <w:r>
              <w:rPr>
                <w:spacing w:val="-4"/>
              </w:rPr>
              <w:t xml:space="preserve">které </w:t>
            </w:r>
            <w:r w:rsidRPr="00573C97">
              <w:rPr>
                <w:spacing w:val="-4"/>
              </w:rPr>
              <w:t xml:space="preserve">se postupně přeneslo nejen </w:t>
            </w:r>
            <w:r>
              <w:rPr>
                <w:spacing w:val="-4"/>
              </w:rPr>
              <w:t xml:space="preserve">přímými </w:t>
            </w:r>
            <w:r w:rsidRPr="00573C97">
              <w:rPr>
                <w:spacing w:val="-4"/>
              </w:rPr>
              <w:t>subdodavatelskými vztahy i na většinu ostatních</w:t>
            </w:r>
            <w:r>
              <w:rPr>
                <w:spacing w:val="-4"/>
              </w:rPr>
              <w:t xml:space="preserve"> zpracovatelských oborů, a to i </w:t>
            </w:r>
            <w:r w:rsidRPr="00573C97">
              <w:rPr>
                <w:spacing w:val="-4"/>
              </w:rPr>
              <w:t>v případě domácí poptávky.</w:t>
            </w:r>
            <w:r>
              <w:rPr>
                <w:spacing w:val="-4"/>
              </w:rPr>
              <w:t xml:space="preserve"> Pod úrovní roku 2013 setrvávaly pouze produkčně okrajové obory – tiskárens</w:t>
            </w:r>
            <w:r w:rsidR="0075315D">
              <w:rPr>
                <w:spacing w:val="-4"/>
              </w:rPr>
              <w:t>tví</w:t>
            </w:r>
            <w:r>
              <w:rPr>
                <w:spacing w:val="-4"/>
              </w:rPr>
              <w:t>, dřevařs</w:t>
            </w:r>
            <w:r w:rsidR="0075315D">
              <w:rPr>
                <w:spacing w:val="-4"/>
              </w:rPr>
              <w:t>tví</w:t>
            </w:r>
            <w:r w:rsidR="00C24E77">
              <w:rPr>
                <w:spacing w:val="-4"/>
              </w:rPr>
              <w:t>,</w:t>
            </w:r>
            <w:r>
              <w:rPr>
                <w:spacing w:val="-4"/>
              </w:rPr>
              <w:t xml:space="preserve"> a</w:t>
            </w:r>
            <w:r w:rsidR="00C24E77">
              <w:rPr>
                <w:spacing w:val="-4"/>
              </w:rPr>
              <w:t>le</w:t>
            </w:r>
            <w:r>
              <w:rPr>
                <w:spacing w:val="-4"/>
              </w:rPr>
              <w:t xml:space="preserve"> zejména </w:t>
            </w:r>
            <w:r w:rsidR="00C24E77">
              <w:rPr>
                <w:spacing w:val="-4"/>
              </w:rPr>
              <w:t>oděvní průmysl</w:t>
            </w:r>
            <w:r>
              <w:rPr>
                <w:spacing w:val="-4"/>
              </w:rPr>
              <w:t>, je</w:t>
            </w:r>
            <w:r w:rsidR="00C24E77">
              <w:rPr>
                <w:spacing w:val="-4"/>
              </w:rPr>
              <w:t>hož</w:t>
            </w:r>
            <w:r>
              <w:rPr>
                <w:spacing w:val="-4"/>
              </w:rPr>
              <w:t xml:space="preserve"> produkce byla proti roku 2008 o třetinu slabší. Mimo zpracovatelský segment pokračoval v  dlouhodobých poklesech těžební průmysl (meziročně -2,8 %, proti roku 2007 o celou pětinu), s obdobnou intenzitou (a již po čtyři roky v řadě) i energetika, kde ale redukce produkční výkonnosti nebyla doprovázena razantním úbytkem pracovních míst.</w:t>
            </w:r>
          </w:p>
          <w:p w:rsidR="000F401E" w:rsidRPr="000F401E" w:rsidRDefault="000F401E" w:rsidP="000F401E">
            <w:pPr>
              <w:pStyle w:val="Textpoznpodarou"/>
              <w:jc w:val="both"/>
              <w:rPr>
                <w:spacing w:val="-4"/>
                <w:sz w:val="16"/>
                <w:szCs w:val="16"/>
              </w:rPr>
            </w:pPr>
          </w:p>
        </w:tc>
      </w:tr>
      <w:tr w:rsidR="000F401E" w:rsidTr="000F401E">
        <w:trPr>
          <w:cantSplit/>
          <w:trHeight w:val="203"/>
        </w:trPr>
        <w:tc>
          <w:tcPr>
            <w:tcW w:w="1091" w:type="pct"/>
          </w:tcPr>
          <w:p w:rsidR="000F401E" w:rsidRPr="000F401E" w:rsidRDefault="000F401E" w:rsidP="000F401E">
            <w:pPr>
              <w:spacing w:line="240" w:lineRule="auto"/>
              <w:rPr>
                <w:sz w:val="16"/>
                <w:szCs w:val="16"/>
              </w:rPr>
            </w:pPr>
            <w:r w:rsidRPr="000F401E">
              <w:rPr>
                <w:sz w:val="16"/>
                <w:szCs w:val="16"/>
              </w:rPr>
              <w:t>Klíčovým generátorem růstu zůstával po celý rok automobilový průmysl, který se společně s nejbližšími návaznými obory podílel na růstu produkce celého průmyslu až ze dvou třetin</w:t>
            </w:r>
          </w:p>
        </w:tc>
        <w:tc>
          <w:tcPr>
            <w:tcW w:w="146" w:type="pct"/>
          </w:tcPr>
          <w:p w:rsidR="000F401E" w:rsidRDefault="000F401E" w:rsidP="000F401E">
            <w:pPr>
              <w:rPr>
                <w:szCs w:val="16"/>
              </w:rPr>
            </w:pPr>
          </w:p>
        </w:tc>
        <w:tc>
          <w:tcPr>
            <w:tcW w:w="3763" w:type="pct"/>
          </w:tcPr>
          <w:p w:rsidR="000F401E" w:rsidRPr="000F401E" w:rsidRDefault="000F401E" w:rsidP="000F401E">
            <w:pPr>
              <w:pStyle w:val="Textpoznpodarou"/>
              <w:jc w:val="both"/>
              <w:rPr>
                <w:spacing w:val="-4"/>
              </w:rPr>
            </w:pPr>
            <w:r w:rsidRPr="000F401E">
              <w:rPr>
                <w:spacing w:val="-4"/>
              </w:rPr>
              <w:t>K meziročně vyšší produkci v celém průmyslu v roce</w:t>
            </w:r>
            <w:r w:rsidR="0075315D">
              <w:rPr>
                <w:spacing w:val="-4"/>
              </w:rPr>
              <w:t xml:space="preserve"> 2014 téměř z poloviny</w:t>
            </w:r>
            <w:r w:rsidRPr="000F401E">
              <w:rPr>
                <w:spacing w:val="-4"/>
              </w:rPr>
              <w:t xml:space="preserve"> přispěla </w:t>
            </w:r>
            <w:r w:rsidRPr="00573C97">
              <w:rPr>
                <w:spacing w:val="-4"/>
              </w:rPr>
              <w:t>výroba motorových vozidel</w:t>
            </w:r>
            <w:r w:rsidR="00471EDD">
              <w:rPr>
                <w:spacing w:val="-4"/>
              </w:rPr>
              <w:t xml:space="preserve"> spolu</w:t>
            </w:r>
            <w:r>
              <w:rPr>
                <w:spacing w:val="-4"/>
              </w:rPr>
              <w:t xml:space="preserve"> </w:t>
            </w:r>
            <w:r w:rsidR="00471EDD">
              <w:rPr>
                <w:spacing w:val="-4"/>
              </w:rPr>
              <w:t>s ostatními dopravními prostředky</w:t>
            </w:r>
            <w:r>
              <w:rPr>
                <w:spacing w:val="-4"/>
              </w:rPr>
              <w:t>,</w:t>
            </w:r>
            <w:r w:rsidRPr="00573C97">
              <w:rPr>
                <w:spacing w:val="-4"/>
              </w:rPr>
              <w:t xml:space="preserve"> </w:t>
            </w:r>
            <w:r>
              <w:rPr>
                <w:spacing w:val="-4"/>
              </w:rPr>
              <w:t>desetinu</w:t>
            </w:r>
            <w:r w:rsidRPr="00573C97">
              <w:rPr>
                <w:spacing w:val="-4"/>
              </w:rPr>
              <w:t xml:space="preserve"> </w:t>
            </w:r>
            <w:r>
              <w:rPr>
                <w:spacing w:val="-4"/>
              </w:rPr>
              <w:t>shodně přidaly</w:t>
            </w:r>
            <w:r w:rsidRPr="00573C97">
              <w:rPr>
                <w:spacing w:val="-4"/>
              </w:rPr>
              <w:t xml:space="preserve"> </w:t>
            </w:r>
            <w:r w:rsidR="00471EDD">
              <w:rPr>
                <w:spacing w:val="-4"/>
              </w:rPr>
              <w:t xml:space="preserve">i jednotlivé </w:t>
            </w:r>
            <w:r>
              <w:rPr>
                <w:spacing w:val="-4"/>
              </w:rPr>
              <w:t>subdodavatelské obory – gumárenství</w:t>
            </w:r>
            <w:r w:rsidR="0075315D">
              <w:rPr>
                <w:spacing w:val="-4"/>
              </w:rPr>
              <w:t xml:space="preserve"> (vč. </w:t>
            </w:r>
            <w:r w:rsidR="00AB440B">
              <w:rPr>
                <w:spacing w:val="-4"/>
              </w:rPr>
              <w:t> </w:t>
            </w:r>
            <w:proofErr w:type="spellStart"/>
            <w:r w:rsidRPr="00573C97">
              <w:rPr>
                <w:spacing w:val="-4"/>
              </w:rPr>
              <w:t>plastikářství</w:t>
            </w:r>
            <w:proofErr w:type="spellEnd"/>
            <w:r w:rsidR="0075315D">
              <w:rPr>
                <w:spacing w:val="-4"/>
              </w:rPr>
              <w:t>)</w:t>
            </w:r>
            <w:r w:rsidR="00AB440B">
              <w:rPr>
                <w:spacing w:val="-4"/>
              </w:rPr>
              <w:t>,</w:t>
            </w:r>
            <w:r>
              <w:rPr>
                <w:spacing w:val="-4"/>
              </w:rPr>
              <w:t xml:space="preserve"> výroba elektrických zařízení a kovovýroba. </w:t>
            </w:r>
            <w:r w:rsidRPr="00573C97">
              <w:rPr>
                <w:spacing w:val="-4"/>
              </w:rPr>
              <w:t>Dynamicky rostla produkce i v</w:t>
            </w:r>
            <w:r w:rsidR="0043068A">
              <w:rPr>
                <w:spacing w:val="-4"/>
              </w:rPr>
              <w:t> </w:t>
            </w:r>
            <w:proofErr w:type="spellStart"/>
            <w:r w:rsidR="0043068A">
              <w:rPr>
                <w:spacing w:val="-4"/>
              </w:rPr>
              <w:t>procyklicky</w:t>
            </w:r>
            <w:proofErr w:type="spellEnd"/>
            <w:r>
              <w:rPr>
                <w:spacing w:val="-4"/>
              </w:rPr>
              <w:t xml:space="preserve"> silně exportně orientované</w:t>
            </w:r>
            <w:r w:rsidRPr="00573C97">
              <w:rPr>
                <w:spacing w:val="-4"/>
              </w:rPr>
              <w:t xml:space="preserve"> </w:t>
            </w:r>
            <w:r>
              <w:rPr>
                <w:spacing w:val="-4"/>
              </w:rPr>
              <w:t>výrobě</w:t>
            </w:r>
            <w:r w:rsidRPr="00573C97">
              <w:rPr>
                <w:spacing w:val="-4"/>
              </w:rPr>
              <w:t xml:space="preserve"> počítačů, elektronických </w:t>
            </w:r>
            <w:r>
              <w:rPr>
                <w:spacing w:val="-4"/>
              </w:rPr>
              <w:t>a optických přístrojů (meziročně o šestinu, za dva roky o 37 %</w:t>
            </w:r>
            <w:r w:rsidRPr="00573C97">
              <w:rPr>
                <w:spacing w:val="-4"/>
              </w:rPr>
              <w:t>)</w:t>
            </w:r>
            <w:r w:rsidR="00C24E77">
              <w:rPr>
                <w:spacing w:val="-4"/>
              </w:rPr>
              <w:t xml:space="preserve"> a také </w:t>
            </w:r>
            <w:r>
              <w:rPr>
                <w:spacing w:val="-4"/>
              </w:rPr>
              <w:t>petro</w:t>
            </w:r>
            <w:r w:rsidR="00C24E77">
              <w:rPr>
                <w:spacing w:val="-4"/>
              </w:rPr>
              <w:t xml:space="preserve">chemickém i </w:t>
            </w:r>
            <w:r>
              <w:rPr>
                <w:spacing w:val="-4"/>
              </w:rPr>
              <w:t>chemickém průmyslu (</w:t>
            </w:r>
            <w:r w:rsidR="00AB440B">
              <w:rPr>
                <w:spacing w:val="-4"/>
              </w:rPr>
              <w:t>zčásti také</w:t>
            </w:r>
            <w:r>
              <w:rPr>
                <w:spacing w:val="-4"/>
              </w:rPr>
              <w:t xml:space="preserve"> vlivem omezení výroby v předešlém roce vinou povodní). Jen mírně (1,5 až 2,5 %) naopak posílily významné obory potravinářství a též hutnictví či strojírenství, jejichž většímu oživení bránily meziročně slabší tuzemské zakázky. </w:t>
            </w:r>
            <w:r w:rsidR="00471EDD">
              <w:rPr>
                <w:spacing w:val="-6"/>
              </w:rPr>
              <w:t>S</w:t>
            </w:r>
            <w:r w:rsidRPr="00471EDD">
              <w:rPr>
                <w:spacing w:val="-6"/>
              </w:rPr>
              <w:t>trojírenství společně s výrobou elektrických zařízení patřily k jediným průmyslovým oborům, jejichž produkce se v posledních pěti letech nepřetržitě zvyšovala.</w:t>
            </w:r>
          </w:p>
          <w:p w:rsidR="000F401E" w:rsidRPr="000F401E" w:rsidRDefault="000F401E" w:rsidP="000F401E">
            <w:pPr>
              <w:pStyle w:val="Textpoznpodarou"/>
              <w:jc w:val="both"/>
              <w:rPr>
                <w:spacing w:val="-4"/>
                <w:sz w:val="16"/>
                <w:szCs w:val="16"/>
              </w:rPr>
            </w:pPr>
          </w:p>
        </w:tc>
      </w:tr>
      <w:tr w:rsidR="000F401E" w:rsidTr="000F401E">
        <w:trPr>
          <w:cantSplit/>
          <w:trHeight w:val="250"/>
        </w:trPr>
        <w:tc>
          <w:tcPr>
            <w:tcW w:w="1091" w:type="pct"/>
          </w:tcPr>
          <w:p w:rsidR="000F401E" w:rsidRDefault="000F401E" w:rsidP="000F401E">
            <w:pPr>
              <w:spacing w:line="240" w:lineRule="auto"/>
              <w:rPr>
                <w:sz w:val="16"/>
                <w:szCs w:val="16"/>
              </w:rPr>
            </w:pPr>
            <w:r w:rsidRPr="00680079">
              <w:rPr>
                <w:sz w:val="16"/>
                <w:szCs w:val="16"/>
              </w:rPr>
              <w:t xml:space="preserve">Průmysl jako celek </w:t>
            </w:r>
            <w:proofErr w:type="gramStart"/>
            <w:r w:rsidRPr="00680079">
              <w:rPr>
                <w:sz w:val="16"/>
                <w:szCs w:val="16"/>
              </w:rPr>
              <w:t>ve</w:t>
            </w:r>
            <w:proofErr w:type="gramEnd"/>
            <w:r w:rsidRPr="00680079">
              <w:rPr>
                <w:sz w:val="16"/>
                <w:szCs w:val="16"/>
              </w:rPr>
              <w:t xml:space="preserve"> </w:t>
            </w:r>
          </w:p>
          <w:p w:rsidR="000F401E" w:rsidRPr="000F401E" w:rsidRDefault="000F401E" w:rsidP="000F401E">
            <w:pPr>
              <w:spacing w:line="240" w:lineRule="auto"/>
              <w:rPr>
                <w:sz w:val="16"/>
                <w:szCs w:val="16"/>
              </w:rPr>
            </w:pPr>
            <w:r>
              <w:rPr>
                <w:sz w:val="16"/>
                <w:szCs w:val="16"/>
              </w:rPr>
              <w:t>4. čtvrtletí poprvé překonal</w:t>
            </w:r>
            <w:r w:rsidRPr="00680079">
              <w:rPr>
                <w:sz w:val="16"/>
                <w:szCs w:val="16"/>
              </w:rPr>
              <w:t xml:space="preserve"> úroveň produkce</w:t>
            </w:r>
            <w:r>
              <w:rPr>
                <w:sz w:val="16"/>
                <w:szCs w:val="16"/>
              </w:rPr>
              <w:t xml:space="preserve"> z vrcholu konjunktury</w:t>
            </w:r>
            <w:r w:rsidRPr="00680079">
              <w:rPr>
                <w:sz w:val="16"/>
                <w:szCs w:val="16"/>
              </w:rPr>
              <w:t>, většina oborů však za ní stále z</w:t>
            </w:r>
            <w:r>
              <w:rPr>
                <w:sz w:val="16"/>
                <w:szCs w:val="16"/>
              </w:rPr>
              <w:t>aostávala</w:t>
            </w:r>
          </w:p>
        </w:tc>
        <w:tc>
          <w:tcPr>
            <w:tcW w:w="146" w:type="pct"/>
          </w:tcPr>
          <w:p w:rsidR="000F401E" w:rsidRDefault="000F401E" w:rsidP="000F401E">
            <w:pPr>
              <w:rPr>
                <w:szCs w:val="16"/>
              </w:rPr>
            </w:pPr>
          </w:p>
        </w:tc>
        <w:tc>
          <w:tcPr>
            <w:tcW w:w="3763" w:type="pct"/>
          </w:tcPr>
          <w:p w:rsidR="000F401E" w:rsidRDefault="000F401E" w:rsidP="000F401E">
            <w:pPr>
              <w:pStyle w:val="Textpoznpodarou"/>
              <w:jc w:val="both"/>
              <w:rPr>
                <w:spacing w:val="-4"/>
              </w:rPr>
            </w:pPr>
            <w:r>
              <w:rPr>
                <w:spacing w:val="-4"/>
              </w:rPr>
              <w:t xml:space="preserve">Na sklonku roku 2014 průmysl jako celek poprvé reálně překonal úroveň produkce z vrcholu konjunktury (počátek roku 2008). Nejvíce se o to zasloužila výroba motorových vozidel, resp. ostatních dopravních prostředků (svoji úroveň z roku 2007 překonaly o 45 %, resp. 54 %) a také související odvětví výroby elektrických zařízení (o třetinu). O čtvrtinu vyšší byla produkce i v převážně investičně zaměřených </w:t>
            </w:r>
            <w:r w:rsidRPr="000F401E">
              <w:rPr>
                <w:spacing w:val="-4"/>
              </w:rPr>
              <w:t>oborech - výroba počítačů, elektronických a optických přístrojů, resp. opravy a instalace</w:t>
            </w:r>
            <w:r w:rsidRPr="00306E3B">
              <w:rPr>
                <w:spacing w:val="-4"/>
              </w:rPr>
              <w:t xml:space="preserve"> strojů a zařízení</w:t>
            </w:r>
            <w:r>
              <w:rPr>
                <w:spacing w:val="-4"/>
              </w:rPr>
              <w:t xml:space="preserve">. Většina průmyslových oborů však předkrizové úrovně produkce nedosáhla - vedle těžby především některá menší zpracovatelská odvětví (výroba </w:t>
            </w:r>
            <w:r w:rsidRPr="000F401E">
              <w:rPr>
                <w:spacing w:val="-4"/>
              </w:rPr>
              <w:t>nápojů, textilní, oděvní, kožedělný průmysl, tiskárenství, nábytkářství), z významnějších oborů pak průmysl skla, keramiky, porcelánu a stavebních hmot</w:t>
            </w:r>
            <w:r>
              <w:rPr>
                <w:spacing w:val="-4"/>
              </w:rPr>
              <w:t xml:space="preserve"> (-23 %), potravinářství (-13 %), o desetinu také hutnictví, kovovýroba a energetika.</w:t>
            </w:r>
          </w:p>
          <w:p w:rsidR="000F401E" w:rsidRPr="000F401E" w:rsidRDefault="000F401E" w:rsidP="000F401E">
            <w:pPr>
              <w:pStyle w:val="Textpoznpodarou"/>
              <w:jc w:val="both"/>
              <w:rPr>
                <w:spacing w:val="-4"/>
                <w:sz w:val="16"/>
                <w:szCs w:val="16"/>
              </w:rPr>
            </w:pPr>
          </w:p>
        </w:tc>
      </w:tr>
      <w:tr w:rsidR="000F401E" w:rsidTr="000F401E">
        <w:trPr>
          <w:cantSplit/>
          <w:trHeight w:val="295"/>
        </w:trPr>
        <w:tc>
          <w:tcPr>
            <w:tcW w:w="1091" w:type="pct"/>
          </w:tcPr>
          <w:p w:rsidR="000F401E" w:rsidRPr="000F401E" w:rsidRDefault="000F401E" w:rsidP="000F401E">
            <w:pPr>
              <w:spacing w:line="240" w:lineRule="auto"/>
              <w:rPr>
                <w:sz w:val="16"/>
                <w:szCs w:val="16"/>
              </w:rPr>
            </w:pPr>
            <w:r w:rsidRPr="00605814">
              <w:rPr>
                <w:sz w:val="16"/>
                <w:szCs w:val="16"/>
              </w:rPr>
              <w:t>Průmysl táhly především investičně orientované obory,</w:t>
            </w:r>
            <w:r w:rsidRPr="00043E05">
              <w:rPr>
                <w:sz w:val="16"/>
                <w:szCs w:val="16"/>
              </w:rPr>
              <w:t xml:space="preserve"> zastavil se vleklý pokles produkce u odvětví </w:t>
            </w:r>
            <w:r>
              <w:rPr>
                <w:sz w:val="16"/>
                <w:szCs w:val="16"/>
              </w:rPr>
              <w:t>zaměřených</w:t>
            </w:r>
            <w:r w:rsidRPr="00043E05">
              <w:rPr>
                <w:sz w:val="16"/>
                <w:szCs w:val="16"/>
              </w:rPr>
              <w:t xml:space="preserve"> na krátkodobou spotřebu</w:t>
            </w:r>
          </w:p>
        </w:tc>
        <w:tc>
          <w:tcPr>
            <w:tcW w:w="146" w:type="pct"/>
          </w:tcPr>
          <w:p w:rsidR="000F401E" w:rsidRDefault="000F401E" w:rsidP="000F401E">
            <w:pPr>
              <w:rPr>
                <w:szCs w:val="16"/>
              </w:rPr>
            </w:pPr>
          </w:p>
        </w:tc>
        <w:tc>
          <w:tcPr>
            <w:tcW w:w="3763" w:type="pct"/>
          </w:tcPr>
          <w:p w:rsidR="000F401E" w:rsidRPr="00605814" w:rsidRDefault="000F401E" w:rsidP="000F401E">
            <w:pPr>
              <w:pStyle w:val="Textpoznpodarou"/>
              <w:jc w:val="both"/>
              <w:rPr>
                <w:spacing w:val="-4"/>
              </w:rPr>
            </w:pPr>
            <w:r w:rsidRPr="00605814">
              <w:rPr>
                <w:spacing w:val="-4"/>
              </w:rPr>
              <w:t xml:space="preserve">Podobně jako ve většině let konjunktury táhly i </w:t>
            </w:r>
            <w:r>
              <w:rPr>
                <w:spacing w:val="-4"/>
              </w:rPr>
              <w:t>v roce 2014 průmyslovou produkci</w:t>
            </w:r>
            <w:r w:rsidRPr="00605814">
              <w:rPr>
                <w:spacing w:val="-4"/>
              </w:rPr>
              <w:t xml:space="preserve"> vzhůru hlavně odvětví zaměřená na investice (+8,5 %), následovaná obory vyrábějící</w:t>
            </w:r>
            <w:r w:rsidR="0043068A">
              <w:rPr>
                <w:spacing w:val="-4"/>
              </w:rPr>
              <w:t>mi</w:t>
            </w:r>
            <w:r w:rsidRPr="00605814">
              <w:rPr>
                <w:spacing w:val="-4"/>
              </w:rPr>
              <w:t xml:space="preserve"> produkty pro dlouhodobou spotřebu (+6,2 %) či meziprodukty. Po šesti letech nepřetržitých poklesů mírně posílily (1,8 %) i obory orientované na krátkodobou spotřebu (zahrnující např. potraviny, vč. nápojů, textil, oděvy, léky, hračky). Proti konjunkturnímu roku 2007 se zvýšila produkce jen</w:t>
            </w:r>
            <w:r>
              <w:rPr>
                <w:spacing w:val="-4"/>
              </w:rPr>
              <w:t xml:space="preserve"> </w:t>
            </w:r>
            <w:r w:rsidRPr="00605814">
              <w:rPr>
                <w:spacing w:val="-4"/>
              </w:rPr>
              <w:t xml:space="preserve">u investičně orientovaných odvětví (o čtvrtinu), u produktů krátkodobé spotřeby o šestinu oslabila. </w:t>
            </w:r>
          </w:p>
          <w:p w:rsidR="000F401E" w:rsidRPr="000F401E" w:rsidRDefault="000F401E" w:rsidP="000F401E">
            <w:pPr>
              <w:pStyle w:val="Textpoznpodarou"/>
              <w:jc w:val="both"/>
              <w:rPr>
                <w:spacing w:val="-4"/>
                <w:sz w:val="16"/>
                <w:szCs w:val="16"/>
              </w:rPr>
            </w:pPr>
          </w:p>
        </w:tc>
      </w:tr>
      <w:tr w:rsidR="000F401E" w:rsidTr="000F401E">
        <w:trPr>
          <w:cantSplit/>
          <w:trHeight w:val="272"/>
        </w:trPr>
        <w:tc>
          <w:tcPr>
            <w:tcW w:w="1091" w:type="pct"/>
          </w:tcPr>
          <w:p w:rsidR="000F401E" w:rsidRDefault="000F401E" w:rsidP="000F401E">
            <w:pPr>
              <w:spacing w:line="240" w:lineRule="auto"/>
              <w:rPr>
                <w:sz w:val="16"/>
                <w:szCs w:val="16"/>
              </w:rPr>
            </w:pPr>
            <w:r>
              <w:rPr>
                <w:sz w:val="16"/>
                <w:szCs w:val="16"/>
              </w:rPr>
              <w:t>Dynamika</w:t>
            </w:r>
            <w:r w:rsidRPr="00025501">
              <w:rPr>
                <w:sz w:val="16"/>
                <w:szCs w:val="16"/>
              </w:rPr>
              <w:t xml:space="preserve"> nových </w:t>
            </w:r>
            <w:r>
              <w:rPr>
                <w:sz w:val="16"/>
                <w:szCs w:val="16"/>
              </w:rPr>
              <w:t xml:space="preserve">průmyslových </w:t>
            </w:r>
            <w:r w:rsidRPr="00025501">
              <w:rPr>
                <w:sz w:val="16"/>
                <w:szCs w:val="16"/>
              </w:rPr>
              <w:t xml:space="preserve">zakázek </w:t>
            </w:r>
            <w:r>
              <w:rPr>
                <w:sz w:val="16"/>
                <w:szCs w:val="16"/>
              </w:rPr>
              <w:t>se vrátila k dvouciferným hodnotám, a to i na tuzemském trhu</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Přetrvával vleklý pokles poptávky v oděvnictví, výrobcům počítačů naopak objednávky rostly meziročně o šestinu prakticky po celý rok</w:t>
            </w:r>
          </w:p>
          <w:p w:rsidR="000F401E" w:rsidRPr="000F401E" w:rsidRDefault="000F401E" w:rsidP="000F401E">
            <w:pPr>
              <w:spacing w:line="240" w:lineRule="auto"/>
              <w:rPr>
                <w:sz w:val="16"/>
                <w:szCs w:val="16"/>
              </w:rPr>
            </w:pPr>
          </w:p>
        </w:tc>
        <w:tc>
          <w:tcPr>
            <w:tcW w:w="146" w:type="pct"/>
          </w:tcPr>
          <w:p w:rsidR="000F401E" w:rsidRDefault="000F401E" w:rsidP="000F401E">
            <w:pPr>
              <w:rPr>
                <w:szCs w:val="16"/>
              </w:rPr>
            </w:pPr>
          </w:p>
        </w:tc>
        <w:tc>
          <w:tcPr>
            <w:tcW w:w="3763" w:type="pct"/>
          </w:tcPr>
          <w:p w:rsidR="000F401E" w:rsidRPr="000F401E" w:rsidRDefault="000F401E" w:rsidP="000F401E">
            <w:pPr>
              <w:pStyle w:val="Textpoznpodarou"/>
              <w:jc w:val="both"/>
              <w:rPr>
                <w:spacing w:val="-4"/>
              </w:rPr>
            </w:pPr>
            <w:r w:rsidRPr="000F401E">
              <w:rPr>
                <w:spacing w:val="-4"/>
              </w:rPr>
              <w:t>Příznivé vyhlídky průmyslu dokládají i nové zakázky. Ty v roce 2014 meziročně zrychlily o osminu (nejvíce od roku 2010). Na rozdíl od předchozích let dynamika váhově méně významných tuzemských zakázek (+10,5 %) za těmi zahraničním prakticky nezaostala. Jediné obory bez významnějších růstových „zakázkových“ impulsů zůstaly oděvnictví (s poklesem hodnoty zakázek dvanáct let v řadě) a farmacie (kde mírný růst zakázek ze zahraničí stačil pouze vyrovnat tradiční hlubší poklesy domácí poptávky). Nejvyšší dynamikou zakázek disponoval automobilový průmysl a též výrobci počítačů. Tempo růstu zakázek v průběhu roku 2014 vlivem přechodu na vysokou loňskou základnu sláblo (z 20,3 % v 1. čtvrtletí na 6,5 % v posledním kvartále), stabilní růstovou dynamiku si udržely pouze chemický a strojírenský průmysl a výrobci počítačů.</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Pr>
                <w:sz w:val="16"/>
                <w:szCs w:val="16"/>
              </w:rPr>
              <w:t>Meziroční dynamika průmyslové produkce v ČR byla v roce 2014 ze zemí EU čtvrtá nejvyšší, nejsilnější růst v EU dlouhodobě ve středoevropském regionu a Pobaltí</w:t>
            </w:r>
          </w:p>
          <w:p w:rsidR="000F401E" w:rsidRDefault="000F401E" w:rsidP="000F401E">
            <w:pPr>
              <w:spacing w:line="240" w:lineRule="auto"/>
              <w:rPr>
                <w:sz w:val="16"/>
                <w:szCs w:val="16"/>
              </w:rPr>
            </w:pPr>
          </w:p>
          <w:p w:rsidR="000F401E" w:rsidRDefault="000F401E" w:rsidP="000F401E">
            <w:pPr>
              <w:spacing w:line="240" w:lineRule="auto"/>
              <w:rPr>
                <w:sz w:val="16"/>
                <w:szCs w:val="16"/>
              </w:rPr>
            </w:pPr>
          </w:p>
        </w:tc>
        <w:tc>
          <w:tcPr>
            <w:tcW w:w="146" w:type="pct"/>
          </w:tcPr>
          <w:p w:rsidR="000F401E" w:rsidRDefault="000F401E" w:rsidP="000F401E">
            <w:pPr>
              <w:rPr>
                <w:sz w:val="16"/>
                <w:szCs w:val="16"/>
              </w:rPr>
            </w:pPr>
          </w:p>
        </w:tc>
        <w:tc>
          <w:tcPr>
            <w:tcW w:w="3763" w:type="pct"/>
          </w:tcPr>
          <w:p w:rsidR="000F401E" w:rsidRDefault="000F401E" w:rsidP="000F401E">
            <w:pPr>
              <w:pStyle w:val="Textpoznpodarou"/>
              <w:jc w:val="both"/>
              <w:rPr>
                <w:spacing w:val="-4"/>
              </w:rPr>
            </w:pPr>
            <w:r>
              <w:rPr>
                <w:spacing w:val="-4"/>
              </w:rPr>
              <w:t>Dynamiku průmyslo</w:t>
            </w:r>
            <w:r w:rsidR="0075315D">
              <w:rPr>
                <w:spacing w:val="-4"/>
              </w:rPr>
              <w:t>vé produkce ČR v roce 2014 (+4,9</w:t>
            </w:r>
            <w:r>
              <w:rPr>
                <w:spacing w:val="-4"/>
              </w:rPr>
              <w:t xml:space="preserve"> % meziročně) předčily ze zemí EU28 pouze Maďarsko (+7 %), Lucembursku a rychle se zotavující Irsko (+20</w:t>
            </w:r>
            <w:r w:rsidRPr="000F401E">
              <w:rPr>
                <w:spacing w:val="-4"/>
              </w:rPr>
              <w:t> </w:t>
            </w:r>
            <w:r>
              <w:rPr>
                <w:spacing w:val="-4"/>
              </w:rPr>
              <w:t xml:space="preserve">%). Průmysl v ČR svými růstovými tempy dlouhodobě převyšuje země </w:t>
            </w:r>
            <w:proofErr w:type="spellStart"/>
            <w:r>
              <w:rPr>
                <w:spacing w:val="-4"/>
              </w:rPr>
              <w:t>eurozóny</w:t>
            </w:r>
            <w:proofErr w:type="spellEnd"/>
            <w:r>
              <w:rPr>
                <w:spacing w:val="-4"/>
              </w:rPr>
              <w:t xml:space="preserve"> i celou EU (vyjma roku 2008). Úroveň produkce roku 2007 průmysl překonal již v jedenácti zemích, nejvíce na Slovensku (+29 %) a v Polsku (o čtvrtinu) a Irsku (o šestinu). V Německu, podobně jako v ČR či Maďarsku, tuto metu těsně překonal právě v roce 2014. V celé EU byl nižší o téměř desetinu, především vinou jihoevropských zemí – v Itálii klesl o čtvrtinu, v Řecku a Španělsku bezmála o třetinu. </w:t>
            </w:r>
          </w:p>
          <w:p w:rsidR="000F401E" w:rsidRPr="000F401E" w:rsidRDefault="000F401E" w:rsidP="000F401E">
            <w:pPr>
              <w:pStyle w:val="Textpoznpodarou"/>
              <w:jc w:val="both"/>
              <w:rPr>
                <w:spacing w:val="-4"/>
                <w:sz w:val="16"/>
                <w:szCs w:val="16"/>
              </w:rPr>
            </w:pPr>
          </w:p>
        </w:tc>
      </w:tr>
      <w:tr w:rsidR="000F401E" w:rsidTr="000F401E">
        <w:trPr>
          <w:cantSplit/>
          <w:trHeight w:val="110"/>
        </w:trPr>
        <w:tc>
          <w:tcPr>
            <w:tcW w:w="1091" w:type="pct"/>
          </w:tcPr>
          <w:p w:rsidR="000F401E" w:rsidRDefault="0043068A" w:rsidP="000F401E">
            <w:pPr>
              <w:spacing w:line="240" w:lineRule="auto"/>
              <w:rPr>
                <w:sz w:val="16"/>
                <w:szCs w:val="16"/>
              </w:rPr>
            </w:pPr>
            <w:r>
              <w:rPr>
                <w:sz w:val="16"/>
                <w:szCs w:val="16"/>
              </w:rPr>
              <w:t xml:space="preserve">První růst </w:t>
            </w:r>
            <w:r w:rsidR="000F401E">
              <w:rPr>
                <w:sz w:val="16"/>
                <w:szCs w:val="16"/>
              </w:rPr>
              <w:t xml:space="preserve">produkce </w:t>
            </w:r>
            <w:r>
              <w:rPr>
                <w:sz w:val="16"/>
                <w:szCs w:val="16"/>
              </w:rPr>
              <w:t xml:space="preserve">stavebnictví </w:t>
            </w:r>
            <w:r w:rsidR="000F401E">
              <w:rPr>
                <w:sz w:val="16"/>
                <w:szCs w:val="16"/>
              </w:rPr>
              <w:t>po šesti letech,</w:t>
            </w:r>
          </w:p>
          <w:p w:rsidR="0043068A" w:rsidRDefault="0043068A" w:rsidP="000F401E">
            <w:pPr>
              <w:spacing w:line="240" w:lineRule="auto"/>
              <w:rPr>
                <w:sz w:val="16"/>
                <w:szCs w:val="16"/>
              </w:rPr>
            </w:pPr>
            <w:r>
              <w:rPr>
                <w:sz w:val="16"/>
                <w:szCs w:val="16"/>
              </w:rPr>
              <w:t>mezi roky 2007 a 2013 propadla o</w:t>
            </w:r>
            <w:r w:rsidR="000F401E">
              <w:rPr>
                <w:sz w:val="16"/>
                <w:szCs w:val="16"/>
              </w:rPr>
              <w:t xml:space="preserve"> 27 % v pozemním stavitelství </w:t>
            </w:r>
          </w:p>
          <w:p w:rsidR="000F401E" w:rsidRDefault="000F401E" w:rsidP="000F401E">
            <w:pPr>
              <w:spacing w:line="240" w:lineRule="auto"/>
              <w:rPr>
                <w:sz w:val="16"/>
                <w:szCs w:val="16"/>
              </w:rPr>
            </w:pPr>
            <w:r>
              <w:rPr>
                <w:sz w:val="16"/>
                <w:szCs w:val="16"/>
              </w:rPr>
              <w:t>a o 16 % v inženýrském</w:t>
            </w:r>
          </w:p>
        </w:tc>
        <w:tc>
          <w:tcPr>
            <w:tcW w:w="146" w:type="pct"/>
          </w:tcPr>
          <w:p w:rsidR="000F401E" w:rsidRDefault="000F401E" w:rsidP="000F401E">
            <w:pPr>
              <w:rPr>
                <w:sz w:val="16"/>
                <w:szCs w:val="16"/>
              </w:rPr>
            </w:pPr>
          </w:p>
        </w:tc>
        <w:tc>
          <w:tcPr>
            <w:tcW w:w="3763" w:type="pct"/>
          </w:tcPr>
          <w:p w:rsidR="000F401E" w:rsidRPr="000F401E" w:rsidRDefault="000F401E" w:rsidP="000F401E">
            <w:pPr>
              <w:pStyle w:val="Textpoznpodarou"/>
              <w:jc w:val="both"/>
              <w:rPr>
                <w:spacing w:val="-4"/>
              </w:rPr>
            </w:pPr>
            <w:r w:rsidRPr="000F401E">
              <w:rPr>
                <w:spacing w:val="-4"/>
              </w:rPr>
              <w:t>Rok 2014 lze z pohledu stavebnictví označit za období obratu. Stavební produkce poprvé po šesti nepříznivých letech v řadě (ve kterých se v úhrnu hlavně vlivem pozemního stavitelství smrskla o téměř čtvrtinu) meziročně posílila o 4,3 %. Poprvé od roku 2006 se dařilo oběma hlavním oborům, když váhově významnější pozemní stavitelství (+3,4 %) mírně zaostalo za inženýrským stavitelstvím (+6,4 %), jehož růst, sycený zakázkami velkých dopravních staveb, byl během roku rovnoměrnější. Oběma oborům pomohla mírnější zima, byť se vyskytla již podruhé v řadě.</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Vysoký meziroční růst zakázek v inženýrském stavitelství souvisel s realizací významných dopravních staveb podpořených i ze zdrojů EU</w:t>
            </w:r>
          </w:p>
          <w:p w:rsidR="000F401E" w:rsidRPr="000F401E" w:rsidRDefault="000F401E" w:rsidP="000F401E">
            <w:pPr>
              <w:spacing w:line="240" w:lineRule="auto"/>
              <w:rPr>
                <w:sz w:val="16"/>
                <w:szCs w:val="16"/>
              </w:rPr>
            </w:pPr>
          </w:p>
          <w:p w:rsidR="000F401E" w:rsidRPr="000F401E" w:rsidRDefault="000F401E" w:rsidP="000F401E">
            <w:pPr>
              <w:spacing w:line="240" w:lineRule="auto"/>
              <w:rPr>
                <w:sz w:val="16"/>
                <w:szCs w:val="16"/>
              </w:rPr>
            </w:pPr>
            <w:r w:rsidRPr="000F401E">
              <w:rPr>
                <w:sz w:val="16"/>
                <w:szCs w:val="16"/>
              </w:rPr>
              <w:t>Počet dokončených bytů klesl na úroveň roku 1999, nová výstavba ožívá dosud navzdory příznivé situaci na hypotečním trhu i nižším cenám stavebních prací obezřetně</w:t>
            </w:r>
          </w:p>
          <w:p w:rsidR="000F401E" w:rsidRDefault="000F401E" w:rsidP="000F401E">
            <w:pPr>
              <w:spacing w:line="240" w:lineRule="auto"/>
              <w:rPr>
                <w:sz w:val="16"/>
                <w:szCs w:val="16"/>
              </w:rPr>
            </w:pPr>
          </w:p>
        </w:tc>
        <w:tc>
          <w:tcPr>
            <w:tcW w:w="146" w:type="pct"/>
          </w:tcPr>
          <w:p w:rsidR="000F401E" w:rsidRDefault="000F401E" w:rsidP="000F401E">
            <w:pPr>
              <w:rPr>
                <w:sz w:val="16"/>
                <w:szCs w:val="16"/>
              </w:rPr>
            </w:pPr>
          </w:p>
        </w:tc>
        <w:tc>
          <w:tcPr>
            <w:tcW w:w="3763" w:type="pct"/>
          </w:tcPr>
          <w:p w:rsidR="000F401E" w:rsidRPr="000F401E" w:rsidRDefault="000F401E" w:rsidP="000F401E">
            <w:pPr>
              <w:pStyle w:val="Textpoznpodarou"/>
              <w:jc w:val="both"/>
              <w:rPr>
                <w:spacing w:val="-4"/>
              </w:rPr>
            </w:pPr>
            <w:r>
              <w:rPr>
                <w:spacing w:val="-4"/>
              </w:rPr>
              <w:t xml:space="preserve">Podstatnější roli však nepochybně sehrálo výrazně oživení stavebních zakázek, pozorovatelné v inženýrském stavitelství již od poloviny roku 2013 (hodnota nových zakázek u podniků s 50 a víc zaměstnanci v tomto oboru </w:t>
            </w:r>
            <w:r w:rsidR="0075315D">
              <w:rPr>
                <w:spacing w:val="-4"/>
              </w:rPr>
              <w:t>meziročně posílila o vysokých 41</w:t>
            </w:r>
            <w:r>
              <w:rPr>
                <w:spacing w:val="-4"/>
              </w:rPr>
              <w:t xml:space="preserve"> %, avšak u pozemního stavitelství prakticky pouze stagnovala). Většímu rozmachu pozemního stavitelství zatím bránil velmi opatrný „rozjezd“ nové bytové výstavby. Počet zahájených bytů v roce 2014 proti extrémně nízké loňské základně (nejnižší od roku 1996) sice o desetinu vzrostl, proti vrcholu „stavební“ konjunktury však byly o 45 % nižší. Citelnější meziroční posun u zahájených bytů nastal v roce 2014 pouze u bytových domů </w:t>
            </w:r>
            <w:r w:rsidR="0043068A">
              <w:rPr>
                <w:spacing w:val="-4"/>
              </w:rPr>
              <w:t>(+1,8 tis., na nejvyšší úroveň z</w:t>
            </w:r>
            <w:r>
              <w:rPr>
                <w:spacing w:val="-4"/>
              </w:rPr>
              <w:t>a posledních pět let), částečně i u nebytových budov, z regionů pak v Praze a Jihomoravské</w:t>
            </w:r>
            <w:r w:rsidR="0043068A">
              <w:rPr>
                <w:spacing w:val="-4"/>
              </w:rPr>
              <w:t>m</w:t>
            </w:r>
            <w:r>
              <w:rPr>
                <w:spacing w:val="-4"/>
              </w:rPr>
              <w:t xml:space="preserve"> kraji. Počet </w:t>
            </w:r>
            <w:r w:rsidRPr="000F401E">
              <w:rPr>
                <w:spacing w:val="-6"/>
              </w:rPr>
              <w:t>dokončených bytů v ČR stále setrvačně klesal (-5 %) na ne</w:t>
            </w:r>
            <w:r w:rsidR="0043068A">
              <w:rPr>
                <w:spacing w:val="-6"/>
              </w:rPr>
              <w:t>j</w:t>
            </w:r>
            <w:r w:rsidRPr="000F401E">
              <w:rPr>
                <w:spacing w:val="-6"/>
              </w:rPr>
              <w:t>nižší úroveň od roku 1999. Vysokých 37 % bytů bylo v roce 2014 dokončeno v Praze a středních Čechách.</w:t>
            </w:r>
            <w:r w:rsidRPr="000F401E">
              <w:rPr>
                <w:spacing w:val="-4"/>
              </w:rPr>
              <w:t xml:space="preserve">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Pět let trvající pokles průměrné hodnoty jedné nově uzavřené stavební zakázky se v roce 2014 zastavil</w:t>
            </w:r>
          </w:p>
        </w:tc>
        <w:tc>
          <w:tcPr>
            <w:tcW w:w="146" w:type="pct"/>
          </w:tcPr>
          <w:p w:rsidR="000F401E" w:rsidRDefault="000F401E" w:rsidP="000F401E">
            <w:pPr>
              <w:pStyle w:val="Textpoznpodarou"/>
              <w:jc w:val="both"/>
            </w:pPr>
          </w:p>
        </w:tc>
        <w:tc>
          <w:tcPr>
            <w:tcW w:w="3763" w:type="pct"/>
          </w:tcPr>
          <w:p w:rsidR="000F401E" w:rsidRDefault="000F401E" w:rsidP="000F401E">
            <w:pPr>
              <w:pStyle w:val="Textpoznpodarou"/>
              <w:jc w:val="both"/>
              <w:rPr>
                <w:spacing w:val="-4"/>
              </w:rPr>
            </w:pPr>
            <w:r w:rsidRPr="00FD1261">
              <w:rPr>
                <w:spacing w:val="-4"/>
              </w:rPr>
              <w:t>Oži</w:t>
            </w:r>
            <w:r>
              <w:rPr>
                <w:spacing w:val="-4"/>
              </w:rPr>
              <w:t>vení výstavby větších (hlavně</w:t>
            </w:r>
            <w:r w:rsidRPr="00FD1261">
              <w:rPr>
                <w:spacing w:val="-4"/>
              </w:rPr>
              <w:t xml:space="preserve"> dopravních) staveb </w:t>
            </w:r>
            <w:r>
              <w:rPr>
                <w:spacing w:val="-4"/>
              </w:rPr>
              <w:t xml:space="preserve">se zrcadlí v </w:t>
            </w:r>
            <w:r w:rsidRPr="00FD1261">
              <w:rPr>
                <w:spacing w:val="-4"/>
              </w:rPr>
              <w:t xml:space="preserve">i </w:t>
            </w:r>
            <w:r>
              <w:rPr>
                <w:spacing w:val="-4"/>
              </w:rPr>
              <w:t>pozvolném růstu</w:t>
            </w:r>
            <w:r w:rsidRPr="00FD1261">
              <w:rPr>
                <w:spacing w:val="-4"/>
              </w:rPr>
              <w:t xml:space="preserve"> průměrné hodnoty na jednu nově uzavřenou zakázku (z 3,6 mil. korun v roce 2013 </w:t>
            </w:r>
            <w:r>
              <w:rPr>
                <w:spacing w:val="-4"/>
              </w:rPr>
              <w:t>na 4 mil. korun o rok později), podobně jako u orientační hodnoty na</w:t>
            </w:r>
            <w:r w:rsidRPr="00A14821">
              <w:rPr>
                <w:spacing w:val="-4"/>
              </w:rPr>
              <w:t xml:space="preserve"> </w:t>
            </w:r>
            <w:r>
              <w:rPr>
                <w:spacing w:val="-4"/>
              </w:rPr>
              <w:t xml:space="preserve">jedno </w:t>
            </w:r>
            <w:r w:rsidRPr="00A14821">
              <w:rPr>
                <w:spacing w:val="-4"/>
              </w:rPr>
              <w:t>vydané stavební povolení</w:t>
            </w:r>
            <w:r>
              <w:rPr>
                <w:spacing w:val="-4"/>
              </w:rPr>
              <w:t xml:space="preserve"> (hlavně u bytových budov). Vyšší byla meziročně i celková zásoba dosud nerealizovaných stavebních zakázek, především vlivem vyšších obje</w:t>
            </w:r>
            <w:r w:rsidR="0075315D">
              <w:rPr>
                <w:spacing w:val="-4"/>
              </w:rPr>
              <w:t>dnávek od veřejného sektoru (+23</w:t>
            </w:r>
            <w:r>
              <w:rPr>
                <w:spacing w:val="-4"/>
              </w:rPr>
              <w:t xml:space="preserve"> %), zčásti i v posledních třech letech dynamicky rostoucí poptávky ze zahraničí (v portfoliu zakázek stavebních firem tvořila na konci roku 2014 již pětinu). Nominální hodnota veřejných stavebních zakázek však byla proti konci roku 2006 nižší o</w:t>
            </w:r>
            <w:r w:rsidR="0075315D">
              <w:rPr>
                <w:spacing w:val="-4"/>
              </w:rPr>
              <w:t xml:space="preserve"> 43 %, u soukromých zakázek o 22</w:t>
            </w:r>
            <w:r>
              <w:rPr>
                <w:spacing w:val="-4"/>
              </w:rPr>
              <w:t xml:space="preserve"> %.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Pr="000F401E" w:rsidRDefault="000F401E" w:rsidP="000F401E">
            <w:pPr>
              <w:spacing w:line="240" w:lineRule="auto"/>
              <w:rPr>
                <w:sz w:val="16"/>
                <w:szCs w:val="16"/>
              </w:rPr>
            </w:pPr>
            <w:r w:rsidRPr="000F401E">
              <w:rPr>
                <w:sz w:val="16"/>
                <w:szCs w:val="16"/>
              </w:rPr>
              <w:t>Obnovení růstu zásoby stavebních zakázek přispívá ke stabilizaci zaměstnanosti ve stavebnictví zatím jen pozvolna, dynamika mezd ve stavebnictví v posledních pěti letech zaostala za tempy v celé podnikatelské sféře</w:t>
            </w:r>
          </w:p>
        </w:tc>
        <w:tc>
          <w:tcPr>
            <w:tcW w:w="146" w:type="pct"/>
          </w:tcPr>
          <w:p w:rsidR="000F401E" w:rsidRDefault="000F401E" w:rsidP="000F401E">
            <w:pPr>
              <w:pStyle w:val="Textpoznpodarou"/>
              <w:jc w:val="both"/>
            </w:pPr>
          </w:p>
        </w:tc>
        <w:tc>
          <w:tcPr>
            <w:tcW w:w="3763" w:type="pct"/>
          </w:tcPr>
          <w:p w:rsidR="000F401E" w:rsidRPr="00877E5D" w:rsidRDefault="000F401E" w:rsidP="000F401E">
            <w:pPr>
              <w:pStyle w:val="Textpoznpodarou"/>
              <w:jc w:val="both"/>
              <w:rPr>
                <w:spacing w:val="-4"/>
              </w:rPr>
            </w:pPr>
            <w:r>
              <w:rPr>
                <w:spacing w:val="-4"/>
              </w:rPr>
              <w:t xml:space="preserve">Vleklá „recese“ stavebnictví se setrvačně projevuje pokračující redukcí evidenčního počtu zaměstnanců (v roce 2014 o 5 %), a to vč. středních a větších firem. Proti roku 2008 ztratilo odvětví (ve fyzických </w:t>
            </w:r>
            <w:proofErr w:type="gramStart"/>
            <w:r>
              <w:rPr>
                <w:spacing w:val="-4"/>
              </w:rPr>
              <w:t>os</w:t>
            </w:r>
            <w:proofErr w:type="gramEnd"/>
            <w:r>
              <w:rPr>
                <w:spacing w:val="-4"/>
              </w:rPr>
              <w:t>.) přes 60 tisíc zaměstnanců. I přes významný posun zůstává dle konjunkturálních šetření h</w:t>
            </w:r>
            <w:r w:rsidRPr="00877E5D">
              <w:rPr>
                <w:spacing w:val="-4"/>
              </w:rPr>
              <w:t>lavním faktorem limitujícím stavební aktivitu nedostatečná poptávka</w:t>
            </w:r>
            <w:r>
              <w:rPr>
                <w:spacing w:val="-4"/>
              </w:rPr>
              <w:t xml:space="preserve"> (v prosinci 2013 v 83 % případů, o rok později 68 %). Pokles počtu zaměstnanců v příštích třech měsících očekávala na sklonku roku 2014 třetina stavebních podniků (8,5 % dokonce růst), před rokem dokonce 45 %.</w:t>
            </w:r>
          </w:p>
          <w:p w:rsidR="000F401E" w:rsidRPr="000F401E" w:rsidRDefault="000F401E" w:rsidP="000F401E">
            <w:pPr>
              <w:pStyle w:val="Textpoznpodarou"/>
              <w:jc w:val="both"/>
              <w:rPr>
                <w:spacing w:val="-4"/>
                <w:sz w:val="16"/>
                <w:szCs w:val="16"/>
              </w:rPr>
            </w:pPr>
          </w:p>
        </w:tc>
      </w:tr>
      <w:tr w:rsidR="000F401E" w:rsidTr="000F401E">
        <w:tc>
          <w:tcPr>
            <w:tcW w:w="1091" w:type="pct"/>
          </w:tcPr>
          <w:p w:rsidR="000F401E" w:rsidRDefault="000F401E" w:rsidP="000F401E">
            <w:pPr>
              <w:spacing w:line="240" w:lineRule="auto"/>
              <w:rPr>
                <w:sz w:val="16"/>
                <w:szCs w:val="16"/>
              </w:rPr>
            </w:pPr>
            <w:r>
              <w:rPr>
                <w:sz w:val="16"/>
                <w:szCs w:val="16"/>
              </w:rPr>
              <w:t>Meziroční dynamika stavební produkce v ČR po čtyřech letech opět příznivější než v celé EU</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0F401E" w:rsidRDefault="000F401E" w:rsidP="000F401E">
            <w:pPr>
              <w:pStyle w:val="Textpoznpodarou"/>
              <w:jc w:val="both"/>
              <w:rPr>
                <w:spacing w:val="-4"/>
              </w:rPr>
            </w:pPr>
            <w:r>
              <w:rPr>
                <w:spacing w:val="-4"/>
              </w:rPr>
              <w:t>Dynamika stavební produkce byla na rozdíl od předchozích čtyř let v ČR (+4,3 %) příznivější než v celé EU (+3 %), kterou v roce 2014 táhly vzhůru zejména Velká Británie a Španělsko. Proti vrcholu konjunktury (rok 2007) ubrala produkce v ČR reálně pětinu, shodně jako v celé EU. Tuto úroveň v roce 2014 překonalo jen pět členských zemí (Německo o 8 %, Polsku o 22 %), výrazně hlubší byla na Slovensku (-26 %) a hlavně v jihoevropských státech (Španělsko -46 %, Itálie – 38 %) a Irsku.</w:t>
            </w:r>
          </w:p>
          <w:p w:rsidR="000F401E" w:rsidRPr="000F401E" w:rsidRDefault="000F401E" w:rsidP="000F401E">
            <w:pPr>
              <w:pStyle w:val="Textpoznpodarou"/>
              <w:jc w:val="both"/>
              <w:rPr>
                <w:spacing w:val="-4"/>
                <w:sz w:val="16"/>
                <w:szCs w:val="16"/>
              </w:rPr>
            </w:pPr>
            <w:r>
              <w:rPr>
                <w:spacing w:val="-4"/>
              </w:rPr>
              <w:t xml:space="preserve"> </w:t>
            </w:r>
          </w:p>
        </w:tc>
      </w:tr>
      <w:tr w:rsidR="000F401E" w:rsidTr="000F401E">
        <w:tc>
          <w:tcPr>
            <w:tcW w:w="1091" w:type="pct"/>
          </w:tcPr>
          <w:p w:rsidR="000F401E" w:rsidRDefault="000F401E" w:rsidP="000F401E">
            <w:pPr>
              <w:spacing w:line="240" w:lineRule="auto"/>
              <w:rPr>
                <w:sz w:val="16"/>
                <w:szCs w:val="16"/>
              </w:rPr>
            </w:pPr>
            <w:r>
              <w:rPr>
                <w:sz w:val="16"/>
                <w:szCs w:val="16"/>
              </w:rPr>
              <w:t>Vyšší tržby ve službách poprvé od roku 2008 vlivem dlouhodobého růstu váhově významné dopravy a skladování</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 xml:space="preserve">Ve 4. kvartále přerušen dvanáct </w:t>
            </w:r>
            <w:r w:rsidR="00AB440B">
              <w:rPr>
                <w:sz w:val="16"/>
                <w:szCs w:val="16"/>
              </w:rPr>
              <w:t>čtvrtletí</w:t>
            </w:r>
            <w:r>
              <w:rPr>
                <w:sz w:val="16"/>
                <w:szCs w:val="16"/>
              </w:rPr>
              <w:t xml:space="preserve"> trvající růst ve skladování, zpomalení meziroční dynamiky i v pozemní dopravě</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0F401E" w:rsidRDefault="000F401E" w:rsidP="000F401E">
            <w:pPr>
              <w:spacing w:line="240" w:lineRule="auto"/>
              <w:rPr>
                <w:sz w:val="16"/>
                <w:szCs w:val="16"/>
              </w:rPr>
            </w:pPr>
            <w:r>
              <w:rPr>
                <w:sz w:val="16"/>
                <w:szCs w:val="16"/>
              </w:rPr>
              <w:t>Po pěti letech zastaveny hluboké poklesy tržeb u reklamních činností, silný růst u pracovních agentur pokračoval</w:t>
            </w:r>
          </w:p>
        </w:tc>
        <w:tc>
          <w:tcPr>
            <w:tcW w:w="146" w:type="pct"/>
          </w:tcPr>
          <w:p w:rsidR="000F401E" w:rsidRDefault="000F401E" w:rsidP="000F401E">
            <w:pPr>
              <w:pStyle w:val="Textpoznpodarou"/>
              <w:jc w:val="both"/>
            </w:pPr>
          </w:p>
        </w:tc>
        <w:tc>
          <w:tcPr>
            <w:tcW w:w="3763" w:type="pct"/>
          </w:tcPr>
          <w:p w:rsidR="000F401E" w:rsidRPr="000F401E" w:rsidRDefault="000F401E" w:rsidP="000F401E">
            <w:pPr>
              <w:pStyle w:val="Textpoznpodarou"/>
              <w:jc w:val="both"/>
              <w:rPr>
                <w:spacing w:val="-4"/>
              </w:rPr>
            </w:pPr>
            <w:r w:rsidRPr="000F401E">
              <w:rPr>
                <w:spacing w:val="-4"/>
              </w:rPr>
              <w:t>Tržby ve vybraných službách</w:t>
            </w:r>
            <w:r w:rsidRPr="00170B04">
              <w:rPr>
                <w:vertAlign w:val="superscript"/>
              </w:rPr>
              <w:footnoteReference w:id="2"/>
            </w:r>
            <w:r w:rsidRPr="000F401E">
              <w:rPr>
                <w:spacing w:val="-4"/>
              </w:rPr>
              <w:t xml:space="preserve"> zaznamenaly v roce 2014 první meziroční růst (0,6 %) od propuknutí hluboké recese. Dařilo se zejména oborům, jejichž tržby rostou dlouhodobě, a většinou již přesáhly „předkrizovou úroveň“. V posledním čtvrtletí </w:t>
            </w:r>
            <w:proofErr w:type="gramStart"/>
            <w:r w:rsidRPr="000F401E">
              <w:rPr>
                <w:spacing w:val="-4"/>
              </w:rPr>
              <w:t>2014   ale</w:t>
            </w:r>
            <w:proofErr w:type="gramEnd"/>
            <w:r w:rsidRPr="000F401E">
              <w:rPr>
                <w:spacing w:val="-4"/>
              </w:rPr>
              <w:t xml:space="preserve"> dynamika tržeb ve službách oslabila (-1,1 %) vlivem vývoje ve skladování a vedlejších činností v dopravě (kde tržby narazily na velmi vysokou loňskou základnu). Z dlouhodobého hlediska se daří zejména dopravě a skladování, jejichž tržby v posledních dvou letech dynamizovalo oživení průmyslu a zahraničního obchodu. Již pátým rokem pokračoval růst tržeb v ubytování (poprvé od roku 200</w:t>
            </w:r>
            <w:r w:rsidR="00AB440B">
              <w:rPr>
                <w:spacing w:val="-4"/>
              </w:rPr>
              <w:t>8</w:t>
            </w:r>
            <w:r w:rsidRPr="000F401E">
              <w:rPr>
                <w:spacing w:val="-4"/>
              </w:rPr>
              <w:t xml:space="preserve"> i při cenovém růstu), když výpadek návštěvnosti hostů z Ruska a</w:t>
            </w:r>
            <w:r>
              <w:rPr>
                <w:spacing w:val="-4"/>
              </w:rPr>
              <w:t> </w:t>
            </w:r>
            <w:r w:rsidRPr="000F401E">
              <w:rPr>
                <w:spacing w:val="-4"/>
              </w:rPr>
              <w:t>Ukrajiny bohatě kompenzovali turisté ze vzdálenějších, zejména asijských, zemí. Naopak stravování a pohostinství (po příznivějším letním období 2013) pokračovalo v redukci tržeb</w:t>
            </w:r>
            <w:r w:rsidR="00AB440B">
              <w:rPr>
                <w:spacing w:val="-4"/>
              </w:rPr>
              <w:t>.</w:t>
            </w:r>
            <w:r w:rsidRPr="000F401E">
              <w:rPr>
                <w:spacing w:val="-4"/>
              </w:rPr>
              <w:t xml:space="preserve"> V mírnějším, ale dlouhodobějším útlumu se nachází i činnosti v oblasti nemovitostí a také profesní, vědecké a technické činnosti</w:t>
            </w:r>
            <w:r w:rsidR="0043068A">
              <w:rPr>
                <w:spacing w:val="-4"/>
              </w:rPr>
              <w:t>.</w:t>
            </w:r>
            <w:r w:rsidRPr="000F401E">
              <w:rPr>
                <w:spacing w:val="-4"/>
              </w:rPr>
              <w:t xml:space="preserve">  </w:t>
            </w:r>
          </w:p>
          <w:p w:rsidR="008746E6" w:rsidRDefault="008746E6" w:rsidP="000F401E">
            <w:pPr>
              <w:pStyle w:val="Textpoznpodarou"/>
              <w:jc w:val="both"/>
              <w:rPr>
                <w:spacing w:val="-4"/>
              </w:rPr>
            </w:pPr>
          </w:p>
          <w:p w:rsidR="000F401E" w:rsidRPr="000F401E" w:rsidRDefault="000F401E" w:rsidP="000F401E">
            <w:pPr>
              <w:pStyle w:val="Textpoznpodarou"/>
              <w:jc w:val="both"/>
              <w:rPr>
                <w:spacing w:val="-4"/>
              </w:rPr>
            </w:pPr>
            <w:r w:rsidRPr="000F401E">
              <w:rPr>
                <w:spacing w:val="-4"/>
              </w:rPr>
              <w:t>Naopak již devatenáct čtvrtletí v řadě se daří pracovním</w:t>
            </w:r>
            <w:r w:rsidR="008746E6">
              <w:rPr>
                <w:spacing w:val="-4"/>
              </w:rPr>
              <w:t xml:space="preserve"> agenturám a</w:t>
            </w:r>
            <w:r w:rsidRPr="000F401E">
              <w:rPr>
                <w:spacing w:val="-4"/>
              </w:rPr>
              <w:t xml:space="preserve"> </w:t>
            </w:r>
            <w:r w:rsidR="008746E6">
              <w:rPr>
                <w:spacing w:val="-4"/>
              </w:rPr>
              <w:t>dále i</w:t>
            </w:r>
            <w:r w:rsidRPr="000F401E">
              <w:rPr>
                <w:spacing w:val="-4"/>
              </w:rPr>
              <w:t xml:space="preserve"> (byť při skromnějších tempech růstu) administrativním a kancelářským činnostem a také bezpečnostním a pátracím službám, činnostem v oblasti IT či tvorbě programů a vysílání</w:t>
            </w:r>
            <w:r w:rsidR="008746E6">
              <w:rPr>
                <w:spacing w:val="-4"/>
              </w:rPr>
              <w:t>.</w:t>
            </w:r>
          </w:p>
          <w:p w:rsidR="000F401E" w:rsidRPr="000F401E" w:rsidRDefault="000F401E" w:rsidP="000F401E">
            <w:pPr>
              <w:pStyle w:val="Textpoznpodarou"/>
              <w:jc w:val="both"/>
              <w:rPr>
                <w:spacing w:val="-4"/>
                <w:sz w:val="16"/>
                <w:szCs w:val="16"/>
              </w:rPr>
            </w:pPr>
            <w:r w:rsidRPr="000F401E">
              <w:rPr>
                <w:spacing w:val="-4"/>
              </w:rPr>
              <w:t xml:space="preserve"> </w:t>
            </w:r>
          </w:p>
        </w:tc>
      </w:tr>
      <w:tr w:rsidR="000F401E" w:rsidTr="000F401E">
        <w:tc>
          <w:tcPr>
            <w:tcW w:w="1091" w:type="pct"/>
          </w:tcPr>
          <w:p w:rsidR="000F401E" w:rsidRDefault="000F401E" w:rsidP="008746E6">
            <w:pPr>
              <w:spacing w:line="240" w:lineRule="auto"/>
              <w:rPr>
                <w:sz w:val="16"/>
                <w:szCs w:val="16"/>
              </w:rPr>
            </w:pPr>
            <w:r>
              <w:rPr>
                <w:sz w:val="16"/>
                <w:szCs w:val="16"/>
              </w:rPr>
              <w:t xml:space="preserve">Maloobchodní tržby </w:t>
            </w:r>
            <w:r w:rsidR="0075315D">
              <w:rPr>
                <w:sz w:val="16"/>
                <w:szCs w:val="16"/>
              </w:rPr>
              <w:t>vč. prodeje aut</w:t>
            </w:r>
            <w:r>
              <w:rPr>
                <w:sz w:val="16"/>
                <w:szCs w:val="16"/>
              </w:rPr>
              <w:t xml:space="preserve"> </w:t>
            </w:r>
            <w:r w:rsidR="008746E6">
              <w:rPr>
                <w:sz w:val="16"/>
                <w:szCs w:val="16"/>
              </w:rPr>
              <w:t xml:space="preserve">vzrostly meziročně </w:t>
            </w:r>
            <w:r>
              <w:rPr>
                <w:sz w:val="16"/>
                <w:szCs w:val="16"/>
              </w:rPr>
              <w:t>nejvíce za posledních sedm let a poprvé překonaly úroveň vrcholu konjunktury (r. 2008)</w:t>
            </w:r>
          </w:p>
        </w:tc>
        <w:tc>
          <w:tcPr>
            <w:tcW w:w="146" w:type="pct"/>
          </w:tcPr>
          <w:p w:rsidR="000F401E" w:rsidRDefault="000F401E" w:rsidP="000F401E">
            <w:pPr>
              <w:pStyle w:val="Textpoznpodarou"/>
              <w:jc w:val="both"/>
              <w:rPr>
                <w:spacing w:val="-2"/>
              </w:rPr>
            </w:pPr>
          </w:p>
        </w:tc>
        <w:tc>
          <w:tcPr>
            <w:tcW w:w="3763" w:type="pct"/>
          </w:tcPr>
          <w:p w:rsidR="000F401E" w:rsidRPr="000F401E" w:rsidRDefault="000F401E" w:rsidP="000F401E">
            <w:pPr>
              <w:pStyle w:val="Textpoznpodarou"/>
              <w:jc w:val="both"/>
              <w:rPr>
                <w:spacing w:val="-4"/>
              </w:rPr>
            </w:pPr>
            <w:r w:rsidRPr="000F401E">
              <w:rPr>
                <w:spacing w:val="-4"/>
              </w:rPr>
              <w:t>Obnovení růstu ekonomiky pozvolna následované zlepšením s</w:t>
            </w:r>
            <w:r w:rsidR="0043068A">
              <w:rPr>
                <w:spacing w:val="-4"/>
              </w:rPr>
              <w:t>ituace na trhu práce se promítlo</w:t>
            </w:r>
            <w:r w:rsidRPr="000F401E">
              <w:rPr>
                <w:spacing w:val="-4"/>
              </w:rPr>
              <w:t xml:space="preserve"> do indikátoru spotřebitelské důvěry, který se na sklonku roku 2014 nacházel nejvýše od března 2007. Rekordní byly též maloobchodní tržby</w:t>
            </w:r>
            <w:r w:rsidR="008746E6">
              <w:rPr>
                <w:spacing w:val="-4"/>
              </w:rPr>
              <w:t xml:space="preserve"> (CZ-NACE 45 a 47)</w:t>
            </w:r>
            <w:r w:rsidRPr="000F401E">
              <w:rPr>
                <w:spacing w:val="-4"/>
              </w:rPr>
              <w:t>, které meziročně posílily o 5,4 %. Vyšší tržby měl z</w:t>
            </w:r>
            <w:r w:rsidR="008746E6">
              <w:rPr>
                <w:spacing w:val="-4"/>
              </w:rPr>
              <w:t xml:space="preserve"> více než </w:t>
            </w:r>
            <w:r w:rsidRPr="000F401E">
              <w:rPr>
                <w:spacing w:val="-4"/>
              </w:rPr>
              <w:t xml:space="preserve">poloviny na svědomí dynamický (výrazně </w:t>
            </w:r>
            <w:proofErr w:type="spellStart"/>
            <w:r w:rsidRPr="000F401E">
              <w:rPr>
                <w:spacing w:val="-4"/>
              </w:rPr>
              <w:t>procyklický</w:t>
            </w:r>
            <w:proofErr w:type="spellEnd"/>
            <w:r w:rsidRPr="000F401E">
              <w:rPr>
                <w:spacing w:val="-4"/>
              </w:rPr>
              <w:t xml:space="preserve">) motoristický segment, jehož tržby atakovaly dvouciferné hodnoty (u prodejů i oprav a údržby motorových vozidel). </w:t>
            </w:r>
          </w:p>
          <w:p w:rsidR="000F401E" w:rsidRPr="00460164" w:rsidRDefault="000F401E" w:rsidP="000F401E">
            <w:pPr>
              <w:pStyle w:val="Textpoznpodarou"/>
              <w:jc w:val="both"/>
              <w:rPr>
                <w:spacing w:val="-4"/>
                <w:sz w:val="10"/>
                <w:szCs w:val="10"/>
              </w:rPr>
            </w:pPr>
          </w:p>
        </w:tc>
      </w:tr>
      <w:tr w:rsidR="000F401E" w:rsidTr="000F401E">
        <w:trPr>
          <w:cantSplit/>
          <w:trHeight w:val="230"/>
        </w:trPr>
        <w:tc>
          <w:tcPr>
            <w:tcW w:w="1091" w:type="pct"/>
          </w:tcPr>
          <w:p w:rsidR="000F401E" w:rsidRDefault="000F401E" w:rsidP="008746E6">
            <w:pPr>
              <w:spacing w:line="240" w:lineRule="auto"/>
              <w:rPr>
                <w:sz w:val="16"/>
                <w:szCs w:val="16"/>
              </w:rPr>
            </w:pPr>
            <w:r>
              <w:rPr>
                <w:sz w:val="16"/>
                <w:szCs w:val="16"/>
              </w:rPr>
              <w:t xml:space="preserve">Vyšší tržby za </w:t>
            </w:r>
            <w:proofErr w:type="spellStart"/>
            <w:r>
              <w:rPr>
                <w:sz w:val="16"/>
                <w:szCs w:val="16"/>
              </w:rPr>
              <w:t>nepotravinářské</w:t>
            </w:r>
            <w:proofErr w:type="spellEnd"/>
            <w:r>
              <w:rPr>
                <w:sz w:val="16"/>
                <w:szCs w:val="16"/>
              </w:rPr>
              <w:t xml:space="preserve"> zboží ve specializovaných prodejnách u všech hlavních sortimentních skupin - vyjma farmaceutického a zdravotnického zboží </w:t>
            </w:r>
          </w:p>
        </w:tc>
        <w:tc>
          <w:tcPr>
            <w:tcW w:w="146" w:type="pct"/>
          </w:tcPr>
          <w:p w:rsidR="000F401E" w:rsidRDefault="000F401E" w:rsidP="000F401E">
            <w:pPr>
              <w:pStyle w:val="Textpoznpodarou"/>
              <w:jc w:val="both"/>
              <w:rPr>
                <w:spacing w:val="-2"/>
              </w:rPr>
            </w:pPr>
          </w:p>
        </w:tc>
        <w:tc>
          <w:tcPr>
            <w:tcW w:w="3763" w:type="pct"/>
          </w:tcPr>
          <w:p w:rsidR="000F401E" w:rsidRPr="000F401E" w:rsidRDefault="0043068A" w:rsidP="008746E6">
            <w:pPr>
              <w:pStyle w:val="Textpoznpodarou"/>
              <w:jc w:val="both"/>
              <w:rPr>
                <w:spacing w:val="-4"/>
              </w:rPr>
            </w:pPr>
            <w:r>
              <w:rPr>
                <w:spacing w:val="-4"/>
              </w:rPr>
              <w:t>„</w:t>
            </w:r>
            <w:r w:rsidR="000F401E">
              <w:rPr>
                <w:spacing w:val="-4"/>
              </w:rPr>
              <w:t>Nemotoristický</w:t>
            </w:r>
            <w:r>
              <w:rPr>
                <w:spacing w:val="-4"/>
              </w:rPr>
              <w:t>“</w:t>
            </w:r>
            <w:r w:rsidR="000F401E">
              <w:rPr>
                <w:spacing w:val="-4"/>
              </w:rPr>
              <w:t xml:space="preserve"> seg</w:t>
            </w:r>
            <w:r>
              <w:rPr>
                <w:spacing w:val="-4"/>
              </w:rPr>
              <w:t>ment</w:t>
            </w:r>
            <w:r w:rsidR="000F401E">
              <w:rPr>
                <w:spacing w:val="-4"/>
              </w:rPr>
              <w:t xml:space="preserve"> maloobchodu již tradičně táhl prodej </w:t>
            </w:r>
            <w:proofErr w:type="spellStart"/>
            <w:r w:rsidR="000F401E">
              <w:rPr>
                <w:spacing w:val="-4"/>
              </w:rPr>
              <w:t>nepotravinářského</w:t>
            </w:r>
            <w:proofErr w:type="spellEnd"/>
            <w:r w:rsidR="000F401E">
              <w:rPr>
                <w:spacing w:val="-4"/>
              </w:rPr>
              <w:t xml:space="preserve"> zboží (+4,3 %), kde </w:t>
            </w:r>
            <w:r w:rsidR="008746E6">
              <w:rPr>
                <w:spacing w:val="-4"/>
              </w:rPr>
              <w:t xml:space="preserve">pokles cen </w:t>
            </w:r>
            <w:r w:rsidR="000F401E">
              <w:rPr>
                <w:spacing w:val="-4"/>
              </w:rPr>
              <w:t xml:space="preserve">dlouhodobě pomáhal hlavně prodejům </w:t>
            </w:r>
            <w:r>
              <w:rPr>
                <w:spacing w:val="-4"/>
              </w:rPr>
              <w:t>počítačových a komunikačních zařízení</w:t>
            </w:r>
            <w:r w:rsidR="000F401E">
              <w:rPr>
                <w:spacing w:val="-4"/>
              </w:rPr>
              <w:t xml:space="preserve"> (+17</w:t>
            </w:r>
            <w:r w:rsidR="008746E6">
              <w:rPr>
                <w:spacing w:val="-4"/>
              </w:rPr>
              <w:t>,2</w:t>
            </w:r>
            <w:r w:rsidR="000F401E">
              <w:rPr>
                <w:spacing w:val="-4"/>
              </w:rPr>
              <w:t xml:space="preserve"> %). Rostly ale i tržby v drtivé většině ostatních specializovaných prodejen, zejména u výrobků pro domácnosti, kulturu a rekreaci či u prodejen s textilem, oděvy a obuví. Růst tržeb za potravinářské zboží (1,3 %) byl i přes svou „skromnost“ nejvyšší za posledních šest let. Týkal se především větších subjektů, ve specializovaných prodejnách s potravin</w:t>
            </w:r>
            <w:r w:rsidR="008746E6">
              <w:rPr>
                <w:spacing w:val="-4"/>
              </w:rPr>
              <w:t>ami</w:t>
            </w:r>
            <w:r w:rsidR="000F401E">
              <w:rPr>
                <w:spacing w:val="-4"/>
              </w:rPr>
              <w:t xml:space="preserve"> tržby pokračovaly v dlouhodobých poklesech. Po pěti letech rostly i tržby u čerpacích stanic (1,7 %), k čemuž přispěl i vysoký meziroční prosincový růst (13,6 %), když velmi příznivý cenový vývoj PHM stimuloval poptávku (vč. tranzitní dopravy). Pokračoval dynamický růst u internetových prodejců (</w:t>
            </w:r>
            <w:r w:rsidR="008746E6">
              <w:rPr>
                <w:spacing w:val="-4"/>
              </w:rPr>
              <w:t>19,7</w:t>
            </w:r>
            <w:r w:rsidR="000F401E">
              <w:rPr>
                <w:spacing w:val="-4"/>
              </w:rPr>
              <w:t xml:space="preserve"> %)</w:t>
            </w:r>
            <w:r w:rsidR="008746E6">
              <w:rPr>
                <w:spacing w:val="-4"/>
              </w:rPr>
              <w:t>.</w:t>
            </w:r>
          </w:p>
        </w:tc>
      </w:tr>
    </w:tbl>
    <w:p w:rsidR="000F401E" w:rsidRDefault="000F401E" w:rsidP="000F401E">
      <w:pPr>
        <w:pStyle w:val="Textpoznpodarou"/>
        <w:jc w:val="both"/>
      </w:pPr>
    </w:p>
    <w:tbl>
      <w:tblPr>
        <w:tblW w:w="5111" w:type="pct"/>
        <w:tblCellMar>
          <w:left w:w="28" w:type="dxa"/>
          <w:right w:w="28" w:type="dxa"/>
        </w:tblCellMar>
        <w:tblLook w:val="04A0"/>
      </w:tblPr>
      <w:tblGrid>
        <w:gridCol w:w="1027"/>
        <w:gridCol w:w="3910"/>
        <w:gridCol w:w="963"/>
        <w:gridCol w:w="4009"/>
      </w:tblGrid>
      <w:tr w:rsidR="000F401E" w:rsidTr="000F401E">
        <w:tc>
          <w:tcPr>
            <w:tcW w:w="518" w:type="pct"/>
          </w:tcPr>
          <w:p w:rsidR="000F401E" w:rsidRDefault="000F401E" w:rsidP="000F401E">
            <w:r>
              <w:t>Graf č. 5</w:t>
            </w:r>
          </w:p>
        </w:tc>
        <w:tc>
          <w:tcPr>
            <w:tcW w:w="1973" w:type="pct"/>
          </w:tcPr>
          <w:p w:rsidR="000F401E" w:rsidRPr="00055059" w:rsidRDefault="000F401E" w:rsidP="00055059">
            <w:pPr>
              <w:pStyle w:val="Textpoznpodarou"/>
              <w:rPr>
                <w:b/>
                <w:spacing w:val="-6"/>
              </w:rPr>
            </w:pPr>
            <w:r w:rsidRPr="00055059">
              <w:rPr>
                <w:b/>
                <w:spacing w:val="-6"/>
              </w:rPr>
              <w:t xml:space="preserve">Produkce v průmyslu a vybraných zpracovatelských odvětví </w:t>
            </w:r>
          </w:p>
          <w:p w:rsidR="000F401E" w:rsidRDefault="000F401E" w:rsidP="00055059">
            <w:pPr>
              <w:pStyle w:val="Textpoznpodarou"/>
              <w:rPr>
                <w:b/>
              </w:rPr>
            </w:pPr>
            <w:r w:rsidRPr="00055059">
              <w:rPr>
                <w:spacing w:val="-6"/>
              </w:rPr>
              <w:t>(reálně, y/y, v %)</w:t>
            </w:r>
          </w:p>
        </w:tc>
        <w:tc>
          <w:tcPr>
            <w:tcW w:w="486" w:type="pct"/>
          </w:tcPr>
          <w:p w:rsidR="000F401E" w:rsidRDefault="000F401E" w:rsidP="000F401E">
            <w:r>
              <w:t>Graf č. 6</w:t>
            </w:r>
          </w:p>
        </w:tc>
        <w:tc>
          <w:tcPr>
            <w:tcW w:w="2024" w:type="pct"/>
          </w:tcPr>
          <w:p w:rsidR="000F401E" w:rsidRDefault="000F401E" w:rsidP="00055059">
            <w:pPr>
              <w:spacing w:line="240" w:lineRule="auto"/>
              <w:rPr>
                <w:b/>
              </w:rPr>
            </w:pPr>
            <w:r w:rsidRPr="004B22DA">
              <w:rPr>
                <w:b/>
                <w:spacing w:val="-2"/>
              </w:rPr>
              <w:t>Nové zakázky v automobilovém průmyslu</w:t>
            </w:r>
            <w:r>
              <w:rPr>
                <w:b/>
              </w:rPr>
              <w:t xml:space="preserve">, v průmyslu </w:t>
            </w:r>
            <w:proofErr w:type="gramStart"/>
            <w:r>
              <w:rPr>
                <w:b/>
              </w:rPr>
              <w:t xml:space="preserve">celkem </w:t>
            </w:r>
            <w:r>
              <w:rPr>
                <w:bCs/>
              </w:rPr>
              <w:t>(</w:t>
            </w:r>
            <w:proofErr w:type="spellStart"/>
            <w:r>
              <w:rPr>
                <w:bCs/>
              </w:rPr>
              <w:t>b.c</w:t>
            </w:r>
            <w:proofErr w:type="spellEnd"/>
            <w:r>
              <w:rPr>
                <w:bCs/>
              </w:rPr>
              <w:t>.</w:t>
            </w:r>
            <w:proofErr w:type="gramEnd"/>
            <w:r>
              <w:rPr>
                <w:bCs/>
              </w:rPr>
              <w:t xml:space="preserve">, y/y, v %) </w:t>
            </w:r>
            <w:r w:rsidRPr="004B22DA">
              <w:t>a</w:t>
            </w:r>
            <w:r>
              <w:rPr>
                <w:b/>
              </w:rPr>
              <w:t xml:space="preserve"> saldo indikátoru důvěry v průmyslu </w:t>
            </w:r>
            <w:r w:rsidRPr="00C1711F">
              <w:t>(pravá osa)</w:t>
            </w:r>
          </w:p>
        </w:tc>
      </w:tr>
      <w:tr w:rsidR="000F401E" w:rsidTr="000F401E">
        <w:tc>
          <w:tcPr>
            <w:tcW w:w="2490" w:type="pct"/>
            <w:gridSpan w:val="2"/>
          </w:tcPr>
          <w:p w:rsidR="000F401E" w:rsidRDefault="000F401E" w:rsidP="000F401E">
            <w:pPr>
              <w:pStyle w:val="Textpoznpodarou"/>
              <w:jc w:val="both"/>
            </w:pPr>
            <w:r>
              <w:rPr>
                <w:noProof/>
              </w:rPr>
              <w:drawing>
                <wp:inline distT="0" distB="0" distL="0" distR="0">
                  <wp:extent cx="3048000" cy="2581275"/>
                  <wp:effectExtent l="19050" t="0" r="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48000" cy="2581275"/>
                          </a:xfrm>
                          <a:prstGeom prst="rect">
                            <a:avLst/>
                          </a:prstGeom>
                          <a:noFill/>
                          <a:ln w="9525">
                            <a:noFill/>
                            <a:miter lim="800000"/>
                            <a:headEnd/>
                            <a:tailEnd/>
                          </a:ln>
                        </pic:spPr>
                      </pic:pic>
                    </a:graphicData>
                  </a:graphic>
                </wp:inline>
              </w:drawing>
            </w:r>
          </w:p>
        </w:tc>
        <w:tc>
          <w:tcPr>
            <w:tcW w:w="2510" w:type="pct"/>
            <w:gridSpan w:val="2"/>
          </w:tcPr>
          <w:p w:rsidR="000F401E" w:rsidRDefault="000F401E" w:rsidP="000F401E">
            <w:pPr>
              <w:pStyle w:val="Textpoznpodarou"/>
              <w:jc w:val="both"/>
            </w:pPr>
            <w:r>
              <w:rPr>
                <w:noProof/>
              </w:rPr>
              <w:drawing>
                <wp:inline distT="0" distB="0" distL="0" distR="0">
                  <wp:extent cx="3067050" cy="2581275"/>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67050" cy="2581275"/>
                          </a:xfrm>
                          <a:prstGeom prst="rect">
                            <a:avLst/>
                          </a:prstGeom>
                          <a:noFill/>
                          <a:ln w="9525">
                            <a:noFill/>
                            <a:miter lim="800000"/>
                            <a:headEnd/>
                            <a:tailEnd/>
                          </a:ln>
                        </pic:spPr>
                      </pic:pic>
                    </a:graphicData>
                  </a:graphic>
                </wp:inline>
              </w:drawing>
            </w:r>
          </w:p>
        </w:tc>
      </w:tr>
      <w:tr w:rsidR="000F401E" w:rsidTr="000F401E">
        <w:tc>
          <w:tcPr>
            <w:tcW w:w="5000" w:type="pct"/>
            <w:gridSpan w:val="4"/>
          </w:tcPr>
          <w:p w:rsidR="000F401E" w:rsidRDefault="000F401E" w:rsidP="000F401E">
            <w:pPr>
              <w:pStyle w:val="Textpoznpodarou"/>
              <w:jc w:val="right"/>
              <w:rPr>
                <w:sz w:val="18"/>
                <w:szCs w:val="18"/>
              </w:rPr>
            </w:pPr>
            <w:r>
              <w:rPr>
                <w:rFonts w:cs="Arial"/>
                <w:sz w:val="18"/>
                <w:szCs w:val="18"/>
              </w:rPr>
              <w:t xml:space="preserve">* očištěný údaj o počet pracovních a kalendářních </w:t>
            </w:r>
            <w:proofErr w:type="gramStart"/>
            <w:r>
              <w:rPr>
                <w:rFonts w:cs="Arial"/>
                <w:sz w:val="18"/>
                <w:szCs w:val="18"/>
              </w:rPr>
              <w:t>dní                                                                                         Zdroj</w:t>
            </w:r>
            <w:proofErr w:type="gramEnd"/>
            <w:r>
              <w:rPr>
                <w:rFonts w:cs="Arial"/>
                <w:sz w:val="18"/>
                <w:szCs w:val="18"/>
              </w:rPr>
              <w:t>: ČSÚ</w:t>
            </w:r>
          </w:p>
        </w:tc>
      </w:tr>
    </w:tbl>
    <w:p w:rsidR="000F401E" w:rsidRPr="000F401E" w:rsidRDefault="000F401E" w:rsidP="000F401E">
      <w:pPr>
        <w:pStyle w:val="Odstavecseseznamem"/>
        <w:ind w:left="720"/>
        <w:rPr>
          <w:sz w:val="10"/>
          <w:szCs w:val="10"/>
        </w:rPr>
      </w:pPr>
    </w:p>
    <w:tbl>
      <w:tblPr>
        <w:tblW w:w="5117" w:type="pct"/>
        <w:tblCellMar>
          <w:left w:w="28" w:type="dxa"/>
          <w:right w:w="28" w:type="dxa"/>
        </w:tblCellMar>
        <w:tblLook w:val="04A0"/>
      </w:tblPr>
      <w:tblGrid>
        <w:gridCol w:w="1027"/>
        <w:gridCol w:w="3919"/>
        <w:gridCol w:w="974"/>
        <w:gridCol w:w="4062"/>
      </w:tblGrid>
      <w:tr w:rsidR="000F401E" w:rsidTr="000F401E">
        <w:tc>
          <w:tcPr>
            <w:tcW w:w="515" w:type="pct"/>
          </w:tcPr>
          <w:p w:rsidR="000F401E" w:rsidRDefault="000F401E" w:rsidP="000F401E">
            <w:r>
              <w:t>Graf č. 7</w:t>
            </w:r>
          </w:p>
        </w:tc>
        <w:tc>
          <w:tcPr>
            <w:tcW w:w="1963" w:type="pct"/>
          </w:tcPr>
          <w:p w:rsidR="000F401E" w:rsidRDefault="000F401E" w:rsidP="00055059">
            <w:pPr>
              <w:spacing w:line="240" w:lineRule="auto"/>
              <w:rPr>
                <w:b/>
              </w:rPr>
            </w:pPr>
            <w:r>
              <w:rPr>
                <w:b/>
              </w:rPr>
              <w:t xml:space="preserve">Stavební produkce, hodnota nových zakázek </w:t>
            </w:r>
            <w:r>
              <w:rPr>
                <w:bCs/>
              </w:rPr>
              <w:t xml:space="preserve">(y/y, v %) </w:t>
            </w:r>
            <w:r w:rsidRPr="004B22DA">
              <w:t>a</w:t>
            </w:r>
            <w:r>
              <w:rPr>
                <w:b/>
              </w:rPr>
              <w:t xml:space="preserve"> saldo indikátoru důvěry ve stavebnictví </w:t>
            </w:r>
            <w:r w:rsidRPr="00C1711F">
              <w:t>(pravá osa)</w:t>
            </w:r>
          </w:p>
        </w:tc>
        <w:tc>
          <w:tcPr>
            <w:tcW w:w="488" w:type="pct"/>
          </w:tcPr>
          <w:p w:rsidR="000F401E" w:rsidRDefault="000F401E" w:rsidP="000F401E">
            <w:r>
              <w:t>Graf č. 8</w:t>
            </w:r>
          </w:p>
        </w:tc>
        <w:tc>
          <w:tcPr>
            <w:tcW w:w="2035" w:type="pct"/>
          </w:tcPr>
          <w:p w:rsidR="000F401E" w:rsidRDefault="000F401E" w:rsidP="00055059">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0F401E" w:rsidTr="000F401E">
        <w:tc>
          <w:tcPr>
            <w:tcW w:w="2477" w:type="pct"/>
            <w:gridSpan w:val="2"/>
          </w:tcPr>
          <w:p w:rsidR="000F401E" w:rsidRDefault="000F401E" w:rsidP="000F401E">
            <w:pPr>
              <w:pStyle w:val="Textpoznpodarou"/>
              <w:jc w:val="both"/>
            </w:pPr>
            <w:r>
              <w:rPr>
                <w:noProof/>
              </w:rPr>
              <w:drawing>
                <wp:inline distT="0" distB="0" distL="0" distR="0">
                  <wp:extent cx="3086100" cy="2609850"/>
                  <wp:effectExtent l="1905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86100" cy="2609850"/>
                          </a:xfrm>
                          <a:prstGeom prst="rect">
                            <a:avLst/>
                          </a:prstGeom>
                          <a:noFill/>
                          <a:ln w="9525">
                            <a:noFill/>
                            <a:miter lim="800000"/>
                            <a:headEnd/>
                            <a:tailEnd/>
                          </a:ln>
                        </pic:spPr>
                      </pic:pic>
                    </a:graphicData>
                  </a:graphic>
                </wp:inline>
              </w:drawing>
            </w:r>
          </w:p>
        </w:tc>
        <w:tc>
          <w:tcPr>
            <w:tcW w:w="2523" w:type="pct"/>
            <w:gridSpan w:val="2"/>
          </w:tcPr>
          <w:p w:rsidR="000F401E" w:rsidRDefault="000F401E" w:rsidP="000F401E">
            <w:pPr>
              <w:pStyle w:val="Textpoznpodarou"/>
              <w:jc w:val="both"/>
            </w:pPr>
            <w:r>
              <w:rPr>
                <w:noProof/>
              </w:rPr>
              <w:drawing>
                <wp:inline distT="0" distB="0" distL="0" distR="0">
                  <wp:extent cx="3143250" cy="260985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43250" cy="2609850"/>
                          </a:xfrm>
                          <a:prstGeom prst="rect">
                            <a:avLst/>
                          </a:prstGeom>
                          <a:noFill/>
                          <a:ln w="9525">
                            <a:noFill/>
                            <a:miter lim="800000"/>
                            <a:headEnd/>
                            <a:tailEnd/>
                          </a:ln>
                        </pic:spPr>
                      </pic:pic>
                    </a:graphicData>
                  </a:graphic>
                </wp:inline>
              </w:drawing>
            </w:r>
          </w:p>
        </w:tc>
      </w:tr>
      <w:tr w:rsidR="000F401E" w:rsidTr="000F401E">
        <w:tc>
          <w:tcPr>
            <w:tcW w:w="5000" w:type="pct"/>
            <w:gridSpan w:val="4"/>
          </w:tcPr>
          <w:p w:rsidR="000F401E" w:rsidRDefault="000F401E" w:rsidP="000F401E">
            <w:pPr>
              <w:pStyle w:val="Zhlav"/>
              <w:jc w:val="right"/>
              <w:rPr>
                <w:rFonts w:ascii="Arial" w:eastAsia="Times New Roman" w:hAnsi="Arial" w:cs="Arial"/>
                <w:sz w:val="18"/>
                <w:szCs w:val="18"/>
              </w:rPr>
            </w:pPr>
            <w:r>
              <w:rPr>
                <w:rFonts w:ascii="Arial" w:eastAsia="Times New Roman" w:hAnsi="Arial" w:cs="Arial"/>
                <w:sz w:val="18"/>
                <w:szCs w:val="18"/>
              </w:rPr>
              <w:t xml:space="preserve">* očištěný údaj o počet pracovních a kalendářních </w:t>
            </w:r>
            <w:proofErr w:type="gramStart"/>
            <w:r>
              <w:rPr>
                <w:rFonts w:ascii="Arial" w:eastAsia="Times New Roman" w:hAnsi="Arial" w:cs="Arial"/>
                <w:sz w:val="18"/>
                <w:szCs w:val="18"/>
              </w:rPr>
              <w:t xml:space="preserve">dní                                                                                        </w:t>
            </w:r>
            <w:r w:rsidRPr="000F401E">
              <w:rPr>
                <w:rFonts w:ascii="Arial" w:hAnsi="Arial" w:cs="Arial"/>
                <w:sz w:val="18"/>
                <w:szCs w:val="18"/>
                <w:lang w:eastAsia="cs-CZ"/>
              </w:rPr>
              <w:t>Zdroj</w:t>
            </w:r>
            <w:proofErr w:type="gramEnd"/>
            <w:r w:rsidRPr="000F401E">
              <w:rPr>
                <w:rFonts w:ascii="Arial" w:hAnsi="Arial" w:cs="Arial"/>
                <w:sz w:val="18"/>
                <w:szCs w:val="18"/>
                <w:lang w:eastAsia="cs-CZ"/>
              </w:rPr>
              <w:t>: ČSÚ</w:t>
            </w:r>
          </w:p>
        </w:tc>
      </w:tr>
    </w:tbl>
    <w:p w:rsidR="008F7D28" w:rsidRDefault="008F7D28" w:rsidP="00F72F44"/>
    <w:p w:rsidR="000F401E" w:rsidRDefault="000F401E" w:rsidP="00F72F44"/>
    <w:p w:rsidR="000F401E" w:rsidRDefault="000F401E" w:rsidP="00F72F44"/>
    <w:sectPr w:rsidR="000F401E" w:rsidSect="00F43B60">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5D" w:rsidRDefault="0075315D" w:rsidP="00E71A58">
      <w:r>
        <w:separator/>
      </w:r>
    </w:p>
  </w:endnote>
  <w:endnote w:type="continuationSeparator" w:id="0">
    <w:p w:rsidR="0075315D" w:rsidRDefault="0075315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8588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8"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EC4B4E" w:rsidRPr="005A21E0">
      <w:rPr>
        <w:rFonts w:ascii="Arial" w:hAnsi="Arial" w:cs="Arial"/>
        <w:sz w:val="16"/>
        <w:szCs w:val="16"/>
      </w:rPr>
      <w:fldChar w:fldCharType="begin"/>
    </w:r>
    <w:r w:rsidRPr="005A21E0">
      <w:rPr>
        <w:rFonts w:ascii="Arial" w:hAnsi="Arial" w:cs="Arial"/>
        <w:sz w:val="16"/>
        <w:szCs w:val="16"/>
      </w:rPr>
      <w:instrText>PAGE   \* MERGEFORMAT</w:instrText>
    </w:r>
    <w:r w:rsidR="00EC4B4E" w:rsidRPr="005A21E0">
      <w:rPr>
        <w:rFonts w:ascii="Arial" w:hAnsi="Arial" w:cs="Arial"/>
        <w:sz w:val="16"/>
        <w:szCs w:val="16"/>
      </w:rPr>
      <w:fldChar w:fldCharType="separate"/>
    </w:r>
    <w:r w:rsidR="00F43B60">
      <w:rPr>
        <w:rFonts w:ascii="Arial" w:hAnsi="Arial" w:cs="Arial"/>
        <w:noProof/>
        <w:sz w:val="16"/>
        <w:szCs w:val="16"/>
      </w:rPr>
      <w:t>10</w:t>
    </w:r>
    <w:r w:rsidR="00EC4B4E"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Default="0075315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8793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29"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75315D" w:rsidRPr="00223E00" w:rsidRDefault="0075315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EC4B4E"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EC4B4E" w:rsidRPr="00223E00">
      <w:rPr>
        <w:rFonts w:ascii="Arial" w:hAnsi="Arial" w:cs="Arial"/>
        <w:sz w:val="16"/>
        <w:szCs w:val="16"/>
      </w:rPr>
      <w:fldChar w:fldCharType="separate"/>
    </w:r>
    <w:r w:rsidR="00F43B60">
      <w:rPr>
        <w:rFonts w:ascii="Arial" w:hAnsi="Arial" w:cs="Arial"/>
        <w:noProof/>
        <w:sz w:val="16"/>
        <w:szCs w:val="16"/>
      </w:rPr>
      <w:t>11</w:t>
    </w:r>
    <w:r w:rsidR="00EC4B4E"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5D" w:rsidRDefault="0075315D" w:rsidP="00E71A58">
      <w:r>
        <w:separator/>
      </w:r>
    </w:p>
  </w:footnote>
  <w:footnote w:type="continuationSeparator" w:id="0">
    <w:p w:rsidR="0075315D" w:rsidRDefault="0075315D" w:rsidP="00E71A58">
      <w:r>
        <w:continuationSeparator/>
      </w:r>
    </w:p>
  </w:footnote>
  <w:footnote w:id="1">
    <w:p w:rsidR="0075315D" w:rsidRPr="00EF6BE3" w:rsidRDefault="0075315D" w:rsidP="000F401E">
      <w:pPr>
        <w:pStyle w:val="Textpoznpodarou"/>
        <w:rPr>
          <w:sz w:val="16"/>
          <w:szCs w:val="16"/>
        </w:rPr>
      </w:pPr>
      <w:r>
        <w:rPr>
          <w:rStyle w:val="Znakapoznpodarou"/>
        </w:rPr>
        <w:footnoteRef/>
      </w:r>
      <w:r>
        <w:t xml:space="preserve"> </w:t>
      </w:r>
      <w:r w:rsidRPr="00EF6BE3">
        <w:rPr>
          <w:sz w:val="16"/>
          <w:szCs w:val="16"/>
        </w:rPr>
        <w:t>Zahrnující odvětví dle CZ-NACE: B (Těžba a dobývání), C (Zpracovatelský průmysl), D (Energetika)</w:t>
      </w:r>
    </w:p>
  </w:footnote>
  <w:footnote w:id="2">
    <w:p w:rsidR="0075315D" w:rsidRDefault="0075315D" w:rsidP="000F401E">
      <w:pPr>
        <w:pStyle w:val="Textpoznpodarou"/>
        <w:rPr>
          <w:sz w:val="18"/>
        </w:rPr>
      </w:pPr>
      <w:r>
        <w:rPr>
          <w:rStyle w:val="Znakapoznpodarou"/>
          <w:sz w:val="18"/>
        </w:rPr>
        <w:footnoteRef/>
      </w:r>
      <w:r>
        <w:rPr>
          <w:sz w:val="18"/>
        </w:rPr>
        <w:t xml:space="preserve"> Nezahrnují odvětví obchodu, peněžnictví a pojišťovnictví, vědy a výzkumu a také veřejných služeb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173642" w:rsidRDefault="0075315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5D" w:rsidRPr="00DC5B3B" w:rsidRDefault="0075315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E41B30"/>
    <w:lvl w:ilvl="0">
      <w:start w:val="1"/>
      <w:numFmt w:val="decimal"/>
      <w:lvlText w:val="%1."/>
      <w:lvlJc w:val="left"/>
      <w:pPr>
        <w:tabs>
          <w:tab w:val="num" w:pos="1492"/>
        </w:tabs>
        <w:ind w:left="1492" w:hanging="360"/>
      </w:pPr>
    </w:lvl>
  </w:abstractNum>
  <w:abstractNum w:abstractNumId="1">
    <w:nsid w:val="FFFFFF7D"/>
    <w:multiLevelType w:val="singleLevel"/>
    <w:tmpl w:val="30966A36"/>
    <w:lvl w:ilvl="0">
      <w:start w:val="1"/>
      <w:numFmt w:val="decimal"/>
      <w:lvlText w:val="%1."/>
      <w:lvlJc w:val="left"/>
      <w:pPr>
        <w:tabs>
          <w:tab w:val="num" w:pos="1209"/>
        </w:tabs>
        <w:ind w:left="1209" w:hanging="360"/>
      </w:pPr>
    </w:lvl>
  </w:abstractNum>
  <w:abstractNum w:abstractNumId="2">
    <w:nsid w:val="FFFFFF7E"/>
    <w:multiLevelType w:val="singleLevel"/>
    <w:tmpl w:val="C7463AA2"/>
    <w:lvl w:ilvl="0">
      <w:start w:val="1"/>
      <w:numFmt w:val="decimal"/>
      <w:lvlText w:val="%1."/>
      <w:lvlJc w:val="left"/>
      <w:pPr>
        <w:tabs>
          <w:tab w:val="num" w:pos="926"/>
        </w:tabs>
        <w:ind w:left="926" w:hanging="360"/>
      </w:pPr>
    </w:lvl>
  </w:abstractNum>
  <w:abstractNum w:abstractNumId="3">
    <w:nsid w:val="FFFFFF7F"/>
    <w:multiLevelType w:val="singleLevel"/>
    <w:tmpl w:val="105A984A"/>
    <w:lvl w:ilvl="0">
      <w:start w:val="1"/>
      <w:numFmt w:val="decimal"/>
      <w:lvlText w:val="%1."/>
      <w:lvlJc w:val="left"/>
      <w:pPr>
        <w:tabs>
          <w:tab w:val="num" w:pos="643"/>
        </w:tabs>
        <w:ind w:left="643" w:hanging="360"/>
      </w:pPr>
    </w:lvl>
  </w:abstractNum>
  <w:abstractNum w:abstractNumId="4">
    <w:nsid w:val="FFFFFF80"/>
    <w:multiLevelType w:val="singleLevel"/>
    <w:tmpl w:val="2F289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98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96A3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F05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DAB4D0"/>
    <w:lvl w:ilvl="0">
      <w:start w:val="1"/>
      <w:numFmt w:val="decimal"/>
      <w:lvlText w:val="%1."/>
      <w:lvlJc w:val="left"/>
      <w:pPr>
        <w:tabs>
          <w:tab w:val="num" w:pos="360"/>
        </w:tabs>
        <w:ind w:left="360" w:hanging="360"/>
      </w:pPr>
    </w:lvl>
  </w:abstractNum>
  <w:abstractNum w:abstractNumId="9">
    <w:nsid w:val="FFFFFF89"/>
    <w:multiLevelType w:val="singleLevel"/>
    <w:tmpl w:val="402C3AFA"/>
    <w:lvl w:ilvl="0">
      <w:start w:val="1"/>
      <w:numFmt w:val="bullet"/>
      <w:lvlText w:val=""/>
      <w:lvlJc w:val="left"/>
      <w:pPr>
        <w:tabs>
          <w:tab w:val="num" w:pos="360"/>
        </w:tabs>
        <w:ind w:left="360" w:hanging="360"/>
      </w:pPr>
      <w:rPr>
        <w:rFonts w:ascii="Symbol" w:hAnsi="Symbol" w:hint="default"/>
      </w:rPr>
    </w:lvl>
  </w:abstractNum>
  <w:abstractNum w:abstractNumId="10">
    <w:nsid w:val="0002014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41A7BF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60355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EF1AE0"/>
    <w:multiLevelType w:val="hybridMultilevel"/>
    <w:tmpl w:val="844CE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02814C7"/>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2521970"/>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9D4A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5F91BE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A2125F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A2D63B1"/>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135D4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803D03"/>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9031BA"/>
    <w:multiLevelType w:val="hybridMultilevel"/>
    <w:tmpl w:val="E22EB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936DAC"/>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E686B0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4E50C6"/>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A33D4F"/>
    <w:multiLevelType w:val="hybridMultilevel"/>
    <w:tmpl w:val="B00666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80744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2FD6EF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50148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87323A"/>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50542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183E8F"/>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8B57C7"/>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B07AE6"/>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67C7F3E"/>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6924CEA"/>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8F4261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6C66F9"/>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D103F7D"/>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E96A1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0249E4"/>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6A6971"/>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BE609F0"/>
    <w:multiLevelType w:val="multilevel"/>
    <w:tmpl w:val="5A0C10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8">
    <w:nsid w:val="7E706D5E"/>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3"/>
  </w:num>
  <w:num w:numId="3">
    <w:abstractNumId w:val="28"/>
  </w:num>
  <w:num w:numId="4">
    <w:abstractNumId w:val="22"/>
  </w:num>
  <w:num w:numId="5">
    <w:abstractNumId w:val="36"/>
  </w:num>
  <w:num w:numId="6">
    <w:abstractNumId w:val="42"/>
  </w:num>
  <w:num w:numId="7">
    <w:abstractNumId w:val="14"/>
  </w:num>
  <w:num w:numId="8">
    <w:abstractNumId w:val="34"/>
  </w:num>
  <w:num w:numId="9">
    <w:abstractNumId w:val="41"/>
  </w:num>
  <w:num w:numId="10">
    <w:abstractNumId w:val="17"/>
  </w:num>
  <w:num w:numId="11">
    <w:abstractNumId w:val="46"/>
  </w:num>
  <w:num w:numId="12">
    <w:abstractNumId w:val="29"/>
  </w:num>
  <w:num w:numId="13">
    <w:abstractNumId w:val="4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10"/>
  </w:num>
  <w:num w:numId="26">
    <w:abstractNumId w:val="37"/>
  </w:num>
  <w:num w:numId="27">
    <w:abstractNumId w:val="38"/>
  </w:num>
  <w:num w:numId="28">
    <w:abstractNumId w:val="16"/>
  </w:num>
  <w:num w:numId="29">
    <w:abstractNumId w:val="18"/>
  </w:num>
  <w:num w:numId="30">
    <w:abstractNumId w:val="40"/>
  </w:num>
  <w:num w:numId="31">
    <w:abstractNumId w:val="20"/>
  </w:num>
  <w:num w:numId="32">
    <w:abstractNumId w:val="48"/>
  </w:num>
  <w:num w:numId="33">
    <w:abstractNumId w:val="44"/>
  </w:num>
  <w:num w:numId="34">
    <w:abstractNumId w:val="19"/>
  </w:num>
  <w:num w:numId="35">
    <w:abstractNumId w:val="24"/>
  </w:num>
  <w:num w:numId="36">
    <w:abstractNumId w:val="32"/>
  </w:num>
  <w:num w:numId="37">
    <w:abstractNumId w:val="33"/>
  </w:num>
  <w:num w:numId="38">
    <w:abstractNumId w:val="15"/>
  </w:num>
  <w:num w:numId="39">
    <w:abstractNumId w:val="11"/>
  </w:num>
  <w:num w:numId="40">
    <w:abstractNumId w:val="43"/>
  </w:num>
  <w:num w:numId="41">
    <w:abstractNumId w:val="30"/>
  </w:num>
  <w:num w:numId="42">
    <w:abstractNumId w:val="25"/>
  </w:num>
  <w:num w:numId="43">
    <w:abstractNumId w:val="12"/>
  </w:num>
  <w:num w:numId="44">
    <w:abstractNumId w:val="31"/>
  </w:num>
  <w:num w:numId="45">
    <w:abstractNumId w:val="35"/>
  </w:num>
  <w:num w:numId="46">
    <w:abstractNumId w:val="21"/>
  </w:num>
  <w:num w:numId="47">
    <w:abstractNumId w:val="39"/>
  </w:num>
  <w:num w:numId="48">
    <w:abstractNumId w:val="47"/>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98305">
      <o:colormru v:ext="edit" colors="#ecf4dd,#eaecee,#fcec0a,#fcecdb,#f1daf5"/>
    </o:shapedefaults>
  </w:hdrShapeDefaults>
  <w:footnotePr>
    <w:footnote w:id="-1"/>
    <w:footnote w:id="0"/>
  </w:footnotePr>
  <w:endnotePr>
    <w:endnote w:id="-1"/>
    <w:endnote w:id="0"/>
  </w:endnotePr>
  <w:compat/>
  <w:rsids>
    <w:rsidRoot w:val="009B70BD"/>
    <w:rsid w:val="00003687"/>
    <w:rsid w:val="00003C43"/>
    <w:rsid w:val="0000767A"/>
    <w:rsid w:val="000104B9"/>
    <w:rsid w:val="00010702"/>
    <w:rsid w:val="0001159B"/>
    <w:rsid w:val="0001573E"/>
    <w:rsid w:val="00017F05"/>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706A4"/>
    <w:rsid w:val="00072118"/>
    <w:rsid w:val="00073173"/>
    <w:rsid w:val="000779AC"/>
    <w:rsid w:val="00083803"/>
    <w:rsid w:val="0008716A"/>
    <w:rsid w:val="00087634"/>
    <w:rsid w:val="00091237"/>
    <w:rsid w:val="000920EC"/>
    <w:rsid w:val="00092505"/>
    <w:rsid w:val="000A1183"/>
    <w:rsid w:val="000A2121"/>
    <w:rsid w:val="000B1CFE"/>
    <w:rsid w:val="000B210A"/>
    <w:rsid w:val="000B249B"/>
    <w:rsid w:val="000B3DB9"/>
    <w:rsid w:val="000B3F02"/>
    <w:rsid w:val="000B48E7"/>
    <w:rsid w:val="000B7663"/>
    <w:rsid w:val="000C11D3"/>
    <w:rsid w:val="000C12F5"/>
    <w:rsid w:val="000C3408"/>
    <w:rsid w:val="000D2E41"/>
    <w:rsid w:val="000D5E7A"/>
    <w:rsid w:val="000D5FAA"/>
    <w:rsid w:val="000D65A4"/>
    <w:rsid w:val="000D6AEF"/>
    <w:rsid w:val="000E19A8"/>
    <w:rsid w:val="000E78D2"/>
    <w:rsid w:val="000F3332"/>
    <w:rsid w:val="000F33EE"/>
    <w:rsid w:val="000F401E"/>
    <w:rsid w:val="000F5445"/>
    <w:rsid w:val="000F67B2"/>
    <w:rsid w:val="00102F02"/>
    <w:rsid w:val="001041B6"/>
    <w:rsid w:val="001070EA"/>
    <w:rsid w:val="0011002A"/>
    <w:rsid w:val="0011110A"/>
    <w:rsid w:val="001118AF"/>
    <w:rsid w:val="0011256E"/>
    <w:rsid w:val="00116DB9"/>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51AC0"/>
    <w:rsid w:val="00152046"/>
    <w:rsid w:val="00156318"/>
    <w:rsid w:val="0015639A"/>
    <w:rsid w:val="0016081D"/>
    <w:rsid w:val="001620FA"/>
    <w:rsid w:val="00162853"/>
    <w:rsid w:val="00163793"/>
    <w:rsid w:val="001707DE"/>
    <w:rsid w:val="00170B04"/>
    <w:rsid w:val="00170F47"/>
    <w:rsid w:val="001714F2"/>
    <w:rsid w:val="00173642"/>
    <w:rsid w:val="00174CE8"/>
    <w:rsid w:val="001764D8"/>
    <w:rsid w:val="00176A8F"/>
    <w:rsid w:val="00182981"/>
    <w:rsid w:val="00184CF9"/>
    <w:rsid w:val="00185010"/>
    <w:rsid w:val="001874CF"/>
    <w:rsid w:val="00190D9B"/>
    <w:rsid w:val="00195444"/>
    <w:rsid w:val="001A2BDB"/>
    <w:rsid w:val="001A552F"/>
    <w:rsid w:val="001B1D89"/>
    <w:rsid w:val="001B3110"/>
    <w:rsid w:val="001B44BC"/>
    <w:rsid w:val="001B6545"/>
    <w:rsid w:val="001B681B"/>
    <w:rsid w:val="001B74FB"/>
    <w:rsid w:val="001B77A1"/>
    <w:rsid w:val="001C0422"/>
    <w:rsid w:val="001C0E0E"/>
    <w:rsid w:val="001C1219"/>
    <w:rsid w:val="001C357A"/>
    <w:rsid w:val="001C3A37"/>
    <w:rsid w:val="001C4384"/>
    <w:rsid w:val="001C65FF"/>
    <w:rsid w:val="001D584C"/>
    <w:rsid w:val="001D66C1"/>
    <w:rsid w:val="001E0C65"/>
    <w:rsid w:val="001E23E3"/>
    <w:rsid w:val="001E387A"/>
    <w:rsid w:val="001E3DA4"/>
    <w:rsid w:val="001E684C"/>
    <w:rsid w:val="001E701C"/>
    <w:rsid w:val="001E7C03"/>
    <w:rsid w:val="001F02AF"/>
    <w:rsid w:val="001F28F4"/>
    <w:rsid w:val="001F3C79"/>
    <w:rsid w:val="001F3E68"/>
    <w:rsid w:val="001F4597"/>
    <w:rsid w:val="00200D15"/>
    <w:rsid w:val="00203074"/>
    <w:rsid w:val="00210CC2"/>
    <w:rsid w:val="00210F5B"/>
    <w:rsid w:val="00211262"/>
    <w:rsid w:val="00211AC9"/>
    <w:rsid w:val="002205F2"/>
    <w:rsid w:val="0022080E"/>
    <w:rsid w:val="0022139E"/>
    <w:rsid w:val="0022272B"/>
    <w:rsid w:val="00222A99"/>
    <w:rsid w:val="00223678"/>
    <w:rsid w:val="00223E00"/>
    <w:rsid w:val="002252E0"/>
    <w:rsid w:val="002255F6"/>
    <w:rsid w:val="00226466"/>
    <w:rsid w:val="0023229C"/>
    <w:rsid w:val="00234280"/>
    <w:rsid w:val="002350E3"/>
    <w:rsid w:val="00236443"/>
    <w:rsid w:val="00240A5B"/>
    <w:rsid w:val="002436BA"/>
    <w:rsid w:val="002444ED"/>
    <w:rsid w:val="00244A15"/>
    <w:rsid w:val="00244D40"/>
    <w:rsid w:val="00246AE9"/>
    <w:rsid w:val="0024799E"/>
    <w:rsid w:val="00251D59"/>
    <w:rsid w:val="00252FDC"/>
    <w:rsid w:val="00261E5B"/>
    <w:rsid w:val="00263470"/>
    <w:rsid w:val="00263733"/>
    <w:rsid w:val="00265536"/>
    <w:rsid w:val="00266F3E"/>
    <w:rsid w:val="00272464"/>
    <w:rsid w:val="00273DCD"/>
    <w:rsid w:val="00274291"/>
    <w:rsid w:val="00276CFE"/>
    <w:rsid w:val="00277071"/>
    <w:rsid w:val="0027786C"/>
    <w:rsid w:val="00281416"/>
    <w:rsid w:val="00285CD3"/>
    <w:rsid w:val="0028686A"/>
    <w:rsid w:val="00286E66"/>
    <w:rsid w:val="002919B5"/>
    <w:rsid w:val="00293441"/>
    <w:rsid w:val="0029493E"/>
    <w:rsid w:val="00296C2E"/>
    <w:rsid w:val="002A1B05"/>
    <w:rsid w:val="002A3BD5"/>
    <w:rsid w:val="002A43A2"/>
    <w:rsid w:val="002A4612"/>
    <w:rsid w:val="002A5263"/>
    <w:rsid w:val="002A6821"/>
    <w:rsid w:val="002A74D2"/>
    <w:rsid w:val="002B36C8"/>
    <w:rsid w:val="002B7240"/>
    <w:rsid w:val="002C43BD"/>
    <w:rsid w:val="002C5261"/>
    <w:rsid w:val="002C6091"/>
    <w:rsid w:val="002D0562"/>
    <w:rsid w:val="002D1B5A"/>
    <w:rsid w:val="002D5E94"/>
    <w:rsid w:val="002D632D"/>
    <w:rsid w:val="002E02A1"/>
    <w:rsid w:val="002E2CE4"/>
    <w:rsid w:val="00301357"/>
    <w:rsid w:val="00301D04"/>
    <w:rsid w:val="00304771"/>
    <w:rsid w:val="00305736"/>
    <w:rsid w:val="00306C5B"/>
    <w:rsid w:val="00312C3D"/>
    <w:rsid w:val="00314331"/>
    <w:rsid w:val="003209D6"/>
    <w:rsid w:val="00322164"/>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74F1E"/>
    <w:rsid w:val="00376DEC"/>
    <w:rsid w:val="00380E04"/>
    <w:rsid w:val="00384D8F"/>
    <w:rsid w:val="00385D98"/>
    <w:rsid w:val="00385EC5"/>
    <w:rsid w:val="0039066E"/>
    <w:rsid w:val="00391C95"/>
    <w:rsid w:val="00396DAC"/>
    <w:rsid w:val="003A0214"/>
    <w:rsid w:val="003A1D74"/>
    <w:rsid w:val="003A2B4D"/>
    <w:rsid w:val="003A2D2B"/>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D3600"/>
    <w:rsid w:val="003D3825"/>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D19"/>
    <w:rsid w:val="004000D5"/>
    <w:rsid w:val="00401716"/>
    <w:rsid w:val="00402C25"/>
    <w:rsid w:val="004050D7"/>
    <w:rsid w:val="004078BD"/>
    <w:rsid w:val="00410132"/>
    <w:rsid w:val="004123BE"/>
    <w:rsid w:val="00414CE5"/>
    <w:rsid w:val="00416673"/>
    <w:rsid w:val="0042160D"/>
    <w:rsid w:val="0042681B"/>
    <w:rsid w:val="0043068A"/>
    <w:rsid w:val="004306E0"/>
    <w:rsid w:val="004329BE"/>
    <w:rsid w:val="00437C76"/>
    <w:rsid w:val="004441A0"/>
    <w:rsid w:val="004443BF"/>
    <w:rsid w:val="00446892"/>
    <w:rsid w:val="00450C30"/>
    <w:rsid w:val="00455ECA"/>
    <w:rsid w:val="00460164"/>
    <w:rsid w:val="0046039A"/>
    <w:rsid w:val="00461977"/>
    <w:rsid w:val="004629FD"/>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6C2F"/>
    <w:rsid w:val="0049740D"/>
    <w:rsid w:val="004A269A"/>
    <w:rsid w:val="004A30FB"/>
    <w:rsid w:val="004A35DD"/>
    <w:rsid w:val="004A37D3"/>
    <w:rsid w:val="004A5865"/>
    <w:rsid w:val="004A77DF"/>
    <w:rsid w:val="004B0295"/>
    <w:rsid w:val="004B3CB7"/>
    <w:rsid w:val="004B3D55"/>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4A75"/>
    <w:rsid w:val="004E541A"/>
    <w:rsid w:val="004E5A5C"/>
    <w:rsid w:val="004E76D6"/>
    <w:rsid w:val="004F06F5"/>
    <w:rsid w:val="004F191F"/>
    <w:rsid w:val="004F2A73"/>
    <w:rsid w:val="004F33A0"/>
    <w:rsid w:val="004F447D"/>
    <w:rsid w:val="004F4C28"/>
    <w:rsid w:val="004F5CC5"/>
    <w:rsid w:val="00510189"/>
    <w:rsid w:val="005108C0"/>
    <w:rsid w:val="00511873"/>
    <w:rsid w:val="00513B7E"/>
    <w:rsid w:val="00514474"/>
    <w:rsid w:val="005215EF"/>
    <w:rsid w:val="00525137"/>
    <w:rsid w:val="005251DD"/>
    <w:rsid w:val="0053017A"/>
    <w:rsid w:val="00530492"/>
    <w:rsid w:val="00535359"/>
    <w:rsid w:val="005357A2"/>
    <w:rsid w:val="00535EF0"/>
    <w:rsid w:val="0053734B"/>
    <w:rsid w:val="00537AFD"/>
    <w:rsid w:val="00537CB4"/>
    <w:rsid w:val="005513D5"/>
    <w:rsid w:val="005523B9"/>
    <w:rsid w:val="005545E0"/>
    <w:rsid w:val="00554865"/>
    <w:rsid w:val="00554E57"/>
    <w:rsid w:val="00562749"/>
    <w:rsid w:val="00562DE9"/>
    <w:rsid w:val="005638A5"/>
    <w:rsid w:val="00566381"/>
    <w:rsid w:val="00566A03"/>
    <w:rsid w:val="00574240"/>
    <w:rsid w:val="00575CDC"/>
    <w:rsid w:val="00583D5B"/>
    <w:rsid w:val="00583FFD"/>
    <w:rsid w:val="00587CCD"/>
    <w:rsid w:val="005908AE"/>
    <w:rsid w:val="0059176E"/>
    <w:rsid w:val="00593152"/>
    <w:rsid w:val="00593CA3"/>
    <w:rsid w:val="00594161"/>
    <w:rsid w:val="00594969"/>
    <w:rsid w:val="00596C5E"/>
    <w:rsid w:val="005A21E0"/>
    <w:rsid w:val="005A33A1"/>
    <w:rsid w:val="005A54EE"/>
    <w:rsid w:val="005A7500"/>
    <w:rsid w:val="005B1BDB"/>
    <w:rsid w:val="005B3247"/>
    <w:rsid w:val="005B3409"/>
    <w:rsid w:val="005B7B12"/>
    <w:rsid w:val="005C3F9F"/>
    <w:rsid w:val="005C7F1E"/>
    <w:rsid w:val="005D5802"/>
    <w:rsid w:val="005D73E2"/>
    <w:rsid w:val="005E1E4B"/>
    <w:rsid w:val="005E362D"/>
    <w:rsid w:val="005E492C"/>
    <w:rsid w:val="005E4BAA"/>
    <w:rsid w:val="005E5B56"/>
    <w:rsid w:val="005F4057"/>
    <w:rsid w:val="005F4088"/>
    <w:rsid w:val="005F6119"/>
    <w:rsid w:val="0060107A"/>
    <w:rsid w:val="00601AFF"/>
    <w:rsid w:val="00602D1D"/>
    <w:rsid w:val="00604307"/>
    <w:rsid w:val="0060487F"/>
    <w:rsid w:val="00606B93"/>
    <w:rsid w:val="006118AA"/>
    <w:rsid w:val="006153E3"/>
    <w:rsid w:val="00617D2D"/>
    <w:rsid w:val="00617D83"/>
    <w:rsid w:val="00620AC5"/>
    <w:rsid w:val="00621575"/>
    <w:rsid w:val="006215FC"/>
    <w:rsid w:val="00624093"/>
    <w:rsid w:val="00630F66"/>
    <w:rsid w:val="0063332A"/>
    <w:rsid w:val="006347F9"/>
    <w:rsid w:val="00634C90"/>
    <w:rsid w:val="00635E79"/>
    <w:rsid w:val="006404A7"/>
    <w:rsid w:val="006407F3"/>
    <w:rsid w:val="006451E4"/>
    <w:rsid w:val="006460B8"/>
    <w:rsid w:val="006520C7"/>
    <w:rsid w:val="006530B8"/>
    <w:rsid w:val="006535D6"/>
    <w:rsid w:val="00657E87"/>
    <w:rsid w:val="00660457"/>
    <w:rsid w:val="00660E1E"/>
    <w:rsid w:val="006637B1"/>
    <w:rsid w:val="00665D67"/>
    <w:rsid w:val="00665D77"/>
    <w:rsid w:val="006660CD"/>
    <w:rsid w:val="006676D0"/>
    <w:rsid w:val="006710C9"/>
    <w:rsid w:val="00675E37"/>
    <w:rsid w:val="0068260E"/>
    <w:rsid w:val="0068373D"/>
    <w:rsid w:val="00683BFE"/>
    <w:rsid w:val="00685E66"/>
    <w:rsid w:val="00686B72"/>
    <w:rsid w:val="00690A09"/>
    <w:rsid w:val="00693FEA"/>
    <w:rsid w:val="00695170"/>
    <w:rsid w:val="00695BEF"/>
    <w:rsid w:val="006960D6"/>
    <w:rsid w:val="00696AA5"/>
    <w:rsid w:val="006977F6"/>
    <w:rsid w:val="00697A13"/>
    <w:rsid w:val="006A109C"/>
    <w:rsid w:val="006A672B"/>
    <w:rsid w:val="006B3F8A"/>
    <w:rsid w:val="006B5CA3"/>
    <w:rsid w:val="006B78D8"/>
    <w:rsid w:val="006C090F"/>
    <w:rsid w:val="006C113F"/>
    <w:rsid w:val="006C38DD"/>
    <w:rsid w:val="006C559A"/>
    <w:rsid w:val="006C58FA"/>
    <w:rsid w:val="006D042D"/>
    <w:rsid w:val="006D06EF"/>
    <w:rsid w:val="006D61F6"/>
    <w:rsid w:val="006E1F4C"/>
    <w:rsid w:val="006E279A"/>
    <w:rsid w:val="006E2F3F"/>
    <w:rsid w:val="006E313B"/>
    <w:rsid w:val="006E442A"/>
    <w:rsid w:val="006E5CFD"/>
    <w:rsid w:val="006F3708"/>
    <w:rsid w:val="006F3E6B"/>
    <w:rsid w:val="006F4A59"/>
    <w:rsid w:val="007014C7"/>
    <w:rsid w:val="00702D6F"/>
    <w:rsid w:val="00705D98"/>
    <w:rsid w:val="00707891"/>
    <w:rsid w:val="00711EF1"/>
    <w:rsid w:val="00720FA2"/>
    <w:rsid w:val="007211F5"/>
    <w:rsid w:val="00724666"/>
    <w:rsid w:val="00726043"/>
    <w:rsid w:val="0072704A"/>
    <w:rsid w:val="00730AE8"/>
    <w:rsid w:val="00734321"/>
    <w:rsid w:val="00740652"/>
    <w:rsid w:val="00740F02"/>
    <w:rsid w:val="00740FEC"/>
    <w:rsid w:val="00741493"/>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4782"/>
    <w:rsid w:val="00776527"/>
    <w:rsid w:val="00781834"/>
    <w:rsid w:val="00782818"/>
    <w:rsid w:val="00784C4A"/>
    <w:rsid w:val="00787432"/>
    <w:rsid w:val="007879F2"/>
    <w:rsid w:val="00791CF8"/>
    <w:rsid w:val="00793BAE"/>
    <w:rsid w:val="00794E0A"/>
    <w:rsid w:val="00796642"/>
    <w:rsid w:val="007A327B"/>
    <w:rsid w:val="007A4606"/>
    <w:rsid w:val="007B3DCC"/>
    <w:rsid w:val="007B4518"/>
    <w:rsid w:val="007B5031"/>
    <w:rsid w:val="007B573F"/>
    <w:rsid w:val="007D2AD8"/>
    <w:rsid w:val="007D2C47"/>
    <w:rsid w:val="007E0F4B"/>
    <w:rsid w:val="007E7E61"/>
    <w:rsid w:val="007F0845"/>
    <w:rsid w:val="007F16F9"/>
    <w:rsid w:val="007F5F14"/>
    <w:rsid w:val="008005D7"/>
    <w:rsid w:val="00801FDD"/>
    <w:rsid w:val="0080255C"/>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9FE"/>
    <w:rsid w:val="00857339"/>
    <w:rsid w:val="00863D9E"/>
    <w:rsid w:val="00867E29"/>
    <w:rsid w:val="00870F2B"/>
    <w:rsid w:val="008746E6"/>
    <w:rsid w:val="00876086"/>
    <w:rsid w:val="008768D6"/>
    <w:rsid w:val="008775D1"/>
    <w:rsid w:val="008777BB"/>
    <w:rsid w:val="0088733A"/>
    <w:rsid w:val="00891BE0"/>
    <w:rsid w:val="008945A1"/>
    <w:rsid w:val="00894A63"/>
    <w:rsid w:val="00896BDE"/>
    <w:rsid w:val="008A0861"/>
    <w:rsid w:val="008A0BB2"/>
    <w:rsid w:val="008A1AB3"/>
    <w:rsid w:val="008A1D5C"/>
    <w:rsid w:val="008A3292"/>
    <w:rsid w:val="008A43E9"/>
    <w:rsid w:val="008A4CB1"/>
    <w:rsid w:val="008A632B"/>
    <w:rsid w:val="008A6BFE"/>
    <w:rsid w:val="008B190E"/>
    <w:rsid w:val="008B1A8A"/>
    <w:rsid w:val="008B7306"/>
    <w:rsid w:val="008B775F"/>
    <w:rsid w:val="008B7C02"/>
    <w:rsid w:val="008B7F9E"/>
    <w:rsid w:val="008C0E88"/>
    <w:rsid w:val="008C1AA8"/>
    <w:rsid w:val="008C6CB8"/>
    <w:rsid w:val="008C7815"/>
    <w:rsid w:val="008D0171"/>
    <w:rsid w:val="008D2A16"/>
    <w:rsid w:val="008D2ECF"/>
    <w:rsid w:val="008D3F3D"/>
    <w:rsid w:val="008E31FF"/>
    <w:rsid w:val="008E6AB3"/>
    <w:rsid w:val="008E6AD3"/>
    <w:rsid w:val="008E71A6"/>
    <w:rsid w:val="008E77B6"/>
    <w:rsid w:val="008F032E"/>
    <w:rsid w:val="008F0F14"/>
    <w:rsid w:val="008F4FCE"/>
    <w:rsid w:val="008F7D28"/>
    <w:rsid w:val="009003A8"/>
    <w:rsid w:val="00902CBE"/>
    <w:rsid w:val="00902EFF"/>
    <w:rsid w:val="00903E06"/>
    <w:rsid w:val="00910F93"/>
    <w:rsid w:val="00914426"/>
    <w:rsid w:val="0091675F"/>
    <w:rsid w:val="00917709"/>
    <w:rsid w:val="00917918"/>
    <w:rsid w:val="00921F14"/>
    <w:rsid w:val="009243A5"/>
    <w:rsid w:val="00926283"/>
    <w:rsid w:val="00937B11"/>
    <w:rsid w:val="00940F1F"/>
    <w:rsid w:val="00941250"/>
    <w:rsid w:val="0094427A"/>
    <w:rsid w:val="009459C5"/>
    <w:rsid w:val="0095013A"/>
    <w:rsid w:val="00953AEF"/>
    <w:rsid w:val="009551E2"/>
    <w:rsid w:val="00955783"/>
    <w:rsid w:val="009560B0"/>
    <w:rsid w:val="00957871"/>
    <w:rsid w:val="00964498"/>
    <w:rsid w:val="0096650F"/>
    <w:rsid w:val="009700DB"/>
    <w:rsid w:val="00972263"/>
    <w:rsid w:val="00972D8D"/>
    <w:rsid w:val="00973AAE"/>
    <w:rsid w:val="00974923"/>
    <w:rsid w:val="00974D48"/>
    <w:rsid w:val="00980621"/>
    <w:rsid w:val="00982072"/>
    <w:rsid w:val="00983ECF"/>
    <w:rsid w:val="00986745"/>
    <w:rsid w:val="00987109"/>
    <w:rsid w:val="0099012D"/>
    <w:rsid w:val="00996355"/>
    <w:rsid w:val="009A4E12"/>
    <w:rsid w:val="009B052C"/>
    <w:rsid w:val="009B0EF2"/>
    <w:rsid w:val="009B23A3"/>
    <w:rsid w:val="009B6FD3"/>
    <w:rsid w:val="009B70BD"/>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6DE0"/>
    <w:rsid w:val="00A4778A"/>
    <w:rsid w:val="00A5067F"/>
    <w:rsid w:val="00A55301"/>
    <w:rsid w:val="00A57B3C"/>
    <w:rsid w:val="00A6128E"/>
    <w:rsid w:val="00A62CE1"/>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7E3F"/>
    <w:rsid w:val="00AA23FB"/>
    <w:rsid w:val="00AA42AB"/>
    <w:rsid w:val="00AA559A"/>
    <w:rsid w:val="00AB2AF1"/>
    <w:rsid w:val="00AB440B"/>
    <w:rsid w:val="00AB74C5"/>
    <w:rsid w:val="00AB7DF2"/>
    <w:rsid w:val="00AC1E3F"/>
    <w:rsid w:val="00AC4F18"/>
    <w:rsid w:val="00AD0B46"/>
    <w:rsid w:val="00AD2565"/>
    <w:rsid w:val="00AD306C"/>
    <w:rsid w:val="00AD3424"/>
    <w:rsid w:val="00AD59BB"/>
    <w:rsid w:val="00AD5D68"/>
    <w:rsid w:val="00AD6C73"/>
    <w:rsid w:val="00AE06D0"/>
    <w:rsid w:val="00AE39DC"/>
    <w:rsid w:val="00AE7968"/>
    <w:rsid w:val="00AF128B"/>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3229E"/>
    <w:rsid w:val="00B32DDB"/>
    <w:rsid w:val="00B35BEA"/>
    <w:rsid w:val="00B41BE6"/>
    <w:rsid w:val="00B457E7"/>
    <w:rsid w:val="00B52D2D"/>
    <w:rsid w:val="00B561A6"/>
    <w:rsid w:val="00B62960"/>
    <w:rsid w:val="00B63A11"/>
    <w:rsid w:val="00B63FD0"/>
    <w:rsid w:val="00B65C84"/>
    <w:rsid w:val="00B6608F"/>
    <w:rsid w:val="00B74317"/>
    <w:rsid w:val="00B76D1E"/>
    <w:rsid w:val="00B822D2"/>
    <w:rsid w:val="00B848B8"/>
    <w:rsid w:val="00B84A41"/>
    <w:rsid w:val="00B84D57"/>
    <w:rsid w:val="00B86748"/>
    <w:rsid w:val="00B91EC9"/>
    <w:rsid w:val="00B924CA"/>
    <w:rsid w:val="00B93384"/>
    <w:rsid w:val="00B94417"/>
    <w:rsid w:val="00B95940"/>
    <w:rsid w:val="00B95EF8"/>
    <w:rsid w:val="00B96BD9"/>
    <w:rsid w:val="00BB2C53"/>
    <w:rsid w:val="00BB32DA"/>
    <w:rsid w:val="00BB3A54"/>
    <w:rsid w:val="00BB4E21"/>
    <w:rsid w:val="00BC682B"/>
    <w:rsid w:val="00BC6B04"/>
    <w:rsid w:val="00BD3428"/>
    <w:rsid w:val="00BD366B"/>
    <w:rsid w:val="00BD56BC"/>
    <w:rsid w:val="00BD5D91"/>
    <w:rsid w:val="00BD6615"/>
    <w:rsid w:val="00BD6D50"/>
    <w:rsid w:val="00BE0DB0"/>
    <w:rsid w:val="00BE3F09"/>
    <w:rsid w:val="00BE670A"/>
    <w:rsid w:val="00BE6906"/>
    <w:rsid w:val="00BF18F4"/>
    <w:rsid w:val="00BF1A69"/>
    <w:rsid w:val="00BF3BC8"/>
    <w:rsid w:val="00BF3DF1"/>
    <w:rsid w:val="00BF4C31"/>
    <w:rsid w:val="00C00F20"/>
    <w:rsid w:val="00C034E6"/>
    <w:rsid w:val="00C0784A"/>
    <w:rsid w:val="00C10FAE"/>
    <w:rsid w:val="00C12A69"/>
    <w:rsid w:val="00C150BE"/>
    <w:rsid w:val="00C15A0C"/>
    <w:rsid w:val="00C15DCB"/>
    <w:rsid w:val="00C20744"/>
    <w:rsid w:val="00C20C4D"/>
    <w:rsid w:val="00C21D46"/>
    <w:rsid w:val="00C21F94"/>
    <w:rsid w:val="00C222A1"/>
    <w:rsid w:val="00C23D22"/>
    <w:rsid w:val="00C24E77"/>
    <w:rsid w:val="00C2732D"/>
    <w:rsid w:val="00C273C6"/>
    <w:rsid w:val="00C27913"/>
    <w:rsid w:val="00C300C6"/>
    <w:rsid w:val="00C34FDE"/>
    <w:rsid w:val="00C35C16"/>
    <w:rsid w:val="00C41463"/>
    <w:rsid w:val="00C41A72"/>
    <w:rsid w:val="00C476C5"/>
    <w:rsid w:val="00C503B0"/>
    <w:rsid w:val="00C511C2"/>
    <w:rsid w:val="00C53D82"/>
    <w:rsid w:val="00C60696"/>
    <w:rsid w:val="00C615F1"/>
    <w:rsid w:val="00C61627"/>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6BA1"/>
    <w:rsid w:val="00CA6CD5"/>
    <w:rsid w:val="00CB2150"/>
    <w:rsid w:val="00CB28EE"/>
    <w:rsid w:val="00CB43A7"/>
    <w:rsid w:val="00CB5996"/>
    <w:rsid w:val="00CB7452"/>
    <w:rsid w:val="00CC2642"/>
    <w:rsid w:val="00CC2E15"/>
    <w:rsid w:val="00CC3908"/>
    <w:rsid w:val="00CC62AD"/>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78CC"/>
    <w:rsid w:val="00D4042C"/>
    <w:rsid w:val="00D42312"/>
    <w:rsid w:val="00D43998"/>
    <w:rsid w:val="00D4615E"/>
    <w:rsid w:val="00D478E2"/>
    <w:rsid w:val="00D5264C"/>
    <w:rsid w:val="00D547BA"/>
    <w:rsid w:val="00D55626"/>
    <w:rsid w:val="00D556BC"/>
    <w:rsid w:val="00D5626D"/>
    <w:rsid w:val="00D60277"/>
    <w:rsid w:val="00D62901"/>
    <w:rsid w:val="00D6470C"/>
    <w:rsid w:val="00D64853"/>
    <w:rsid w:val="00D64CB5"/>
    <w:rsid w:val="00D66D48"/>
    <w:rsid w:val="00D73256"/>
    <w:rsid w:val="00D73A30"/>
    <w:rsid w:val="00D74C65"/>
    <w:rsid w:val="00D75DC2"/>
    <w:rsid w:val="00D82462"/>
    <w:rsid w:val="00D868CE"/>
    <w:rsid w:val="00D90C1E"/>
    <w:rsid w:val="00D93F09"/>
    <w:rsid w:val="00D97BB8"/>
    <w:rsid w:val="00DA4AF6"/>
    <w:rsid w:val="00DB016E"/>
    <w:rsid w:val="00DB378E"/>
    <w:rsid w:val="00DB3E9D"/>
    <w:rsid w:val="00DB47B9"/>
    <w:rsid w:val="00DB53CE"/>
    <w:rsid w:val="00DB549D"/>
    <w:rsid w:val="00DC257F"/>
    <w:rsid w:val="00DC408A"/>
    <w:rsid w:val="00DC5B3B"/>
    <w:rsid w:val="00DC6796"/>
    <w:rsid w:val="00DC78DF"/>
    <w:rsid w:val="00DD0821"/>
    <w:rsid w:val="00DD0E32"/>
    <w:rsid w:val="00DD373E"/>
    <w:rsid w:val="00DD57AD"/>
    <w:rsid w:val="00DE009B"/>
    <w:rsid w:val="00DE2ED9"/>
    <w:rsid w:val="00DE319A"/>
    <w:rsid w:val="00DF0DC3"/>
    <w:rsid w:val="00DF5578"/>
    <w:rsid w:val="00DF7FEC"/>
    <w:rsid w:val="00E01C0E"/>
    <w:rsid w:val="00E03B27"/>
    <w:rsid w:val="00E04694"/>
    <w:rsid w:val="00E05B2B"/>
    <w:rsid w:val="00E07F05"/>
    <w:rsid w:val="00E127E1"/>
    <w:rsid w:val="00E144D2"/>
    <w:rsid w:val="00E15346"/>
    <w:rsid w:val="00E215EA"/>
    <w:rsid w:val="00E24619"/>
    <w:rsid w:val="00E25223"/>
    <w:rsid w:val="00E31764"/>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84F21"/>
    <w:rsid w:val="00E921C7"/>
    <w:rsid w:val="00E92995"/>
    <w:rsid w:val="00E94612"/>
    <w:rsid w:val="00E95797"/>
    <w:rsid w:val="00E9682F"/>
    <w:rsid w:val="00E96A8D"/>
    <w:rsid w:val="00E972BA"/>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54B"/>
    <w:rsid w:val="00EC4B4E"/>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F0E75"/>
    <w:rsid w:val="00EF1F5A"/>
    <w:rsid w:val="00EF4685"/>
    <w:rsid w:val="00EF5397"/>
    <w:rsid w:val="00F04811"/>
    <w:rsid w:val="00F0488C"/>
    <w:rsid w:val="00F0496E"/>
    <w:rsid w:val="00F04D10"/>
    <w:rsid w:val="00F0625B"/>
    <w:rsid w:val="00F101FF"/>
    <w:rsid w:val="00F10A33"/>
    <w:rsid w:val="00F15BEF"/>
    <w:rsid w:val="00F172BE"/>
    <w:rsid w:val="00F1776C"/>
    <w:rsid w:val="00F2037E"/>
    <w:rsid w:val="00F2103E"/>
    <w:rsid w:val="00F214FC"/>
    <w:rsid w:val="00F23FFF"/>
    <w:rsid w:val="00F2441D"/>
    <w:rsid w:val="00F24FAA"/>
    <w:rsid w:val="00F26197"/>
    <w:rsid w:val="00F31F76"/>
    <w:rsid w:val="00F3364D"/>
    <w:rsid w:val="00F35ACD"/>
    <w:rsid w:val="00F36BF8"/>
    <w:rsid w:val="00F37760"/>
    <w:rsid w:val="00F403D1"/>
    <w:rsid w:val="00F43921"/>
    <w:rsid w:val="00F43B60"/>
    <w:rsid w:val="00F4591F"/>
    <w:rsid w:val="00F4736B"/>
    <w:rsid w:val="00F47D05"/>
    <w:rsid w:val="00F50030"/>
    <w:rsid w:val="00F51FC9"/>
    <w:rsid w:val="00F54B31"/>
    <w:rsid w:val="00F63DDE"/>
    <w:rsid w:val="00F63FB7"/>
    <w:rsid w:val="00F64726"/>
    <w:rsid w:val="00F6561A"/>
    <w:rsid w:val="00F727D5"/>
    <w:rsid w:val="00F72F44"/>
    <w:rsid w:val="00F73A0C"/>
    <w:rsid w:val="00F771A5"/>
    <w:rsid w:val="00F81C3A"/>
    <w:rsid w:val="00F835FC"/>
    <w:rsid w:val="00F83E21"/>
    <w:rsid w:val="00F84E18"/>
    <w:rsid w:val="00F852E5"/>
    <w:rsid w:val="00F95117"/>
    <w:rsid w:val="00FA05D7"/>
    <w:rsid w:val="00FA1C6C"/>
    <w:rsid w:val="00FA309A"/>
    <w:rsid w:val="00FA7644"/>
    <w:rsid w:val="00FB56F1"/>
    <w:rsid w:val="00FB5FD4"/>
    <w:rsid w:val="00FB67F3"/>
    <w:rsid w:val="00FC0D8A"/>
    <w:rsid w:val="00FC0E5F"/>
    <w:rsid w:val="00FC4660"/>
    <w:rsid w:val="00FC56DE"/>
    <w:rsid w:val="00FD1627"/>
    <w:rsid w:val="00FD473D"/>
    <w:rsid w:val="00FD61C8"/>
    <w:rsid w:val="00FD63CE"/>
    <w:rsid w:val="00FD7D49"/>
    <w:rsid w:val="00FE1251"/>
    <w:rsid w:val="00FE2F78"/>
    <w:rsid w:val="00FE375F"/>
    <w:rsid w:val="00FE4FCB"/>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4E2D2-BDB1-47C0-9612-545574BD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224</TotalTime>
  <Pages>4</Pages>
  <Words>2590</Words>
  <Characters>15281</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dubska1552</cp:lastModifiedBy>
  <cp:revision>19</cp:revision>
  <cp:lastPrinted>2015-03-20T07:25:00Z</cp:lastPrinted>
  <dcterms:created xsi:type="dcterms:W3CDTF">2015-03-16T09:04:00Z</dcterms:created>
  <dcterms:modified xsi:type="dcterms:W3CDTF">2015-03-20T11:28:00Z</dcterms:modified>
</cp:coreProperties>
</file>