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F1" w:rsidRPr="00AE7968" w:rsidRDefault="00CB7452" w:rsidP="007211C3">
      <w:pPr>
        <w:pStyle w:val="Nadpis1"/>
        <w:numPr>
          <w:ilvl w:val="0"/>
          <w:numId w:val="50"/>
        </w:numPr>
      </w:pPr>
      <w:bookmarkStart w:id="0" w:name="_Toc414264321"/>
      <w:r>
        <w:t>Souhrnná výkon</w:t>
      </w:r>
      <w:r w:rsidR="003F6D19">
        <w:t>n</w:t>
      </w:r>
      <w:r>
        <w:t>ost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0779AC" w:rsidRPr="007D44C3" w:rsidTr="008F7D28">
        <w:tc>
          <w:tcPr>
            <w:tcW w:w="1054" w:type="pct"/>
          </w:tcPr>
          <w:p w:rsidR="000779AC" w:rsidRPr="00813FE6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Česká ekonomika v průběhu roku 2014 dále ožívala, …</w:t>
            </w:r>
          </w:p>
        </w:tc>
        <w:tc>
          <w:tcPr>
            <w:tcW w:w="143" w:type="pct"/>
          </w:tcPr>
          <w:p w:rsidR="000779AC" w:rsidRPr="00813FE6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Pr="002E0982" w:rsidRDefault="000779AC" w:rsidP="008B7306">
            <w:pPr>
              <w:pStyle w:val="Textpoznpodarou"/>
              <w:jc w:val="both"/>
              <w:rPr>
                <w:spacing w:val="-2"/>
              </w:rPr>
            </w:pPr>
            <w:r w:rsidRPr="002E0982">
              <w:rPr>
                <w:spacing w:val="-2"/>
              </w:rPr>
              <w:t>Ekonomika ČR, která se ve 2. čtvrtletí 2013 vymanila z recese, v průběhu roku 2014 dále ožívala</w:t>
            </w:r>
            <w:r w:rsidR="00460164">
              <w:rPr>
                <w:rStyle w:val="Znakapoznpodarou"/>
                <w:spacing w:val="-2"/>
              </w:rPr>
              <w:footnoteReference w:id="1"/>
            </w:r>
            <w:r w:rsidRPr="002E0982">
              <w:rPr>
                <w:spacing w:val="-2"/>
              </w:rPr>
              <w:t>. Její výkonnost se zvyšovala – měřeno mezičtvrtletní změnou hrubého domácího produktu (HDP) – po celý rok bez výjimky. Jestliže v 1. čtvrtletí se HDP zvýšil o</w:t>
            </w:r>
            <w:r>
              <w:rPr>
                <w:spacing w:val="-2"/>
              </w:rPr>
              <w:t xml:space="preserve"> 0,3</w:t>
            </w:r>
            <w:r w:rsidRPr="002E0982">
              <w:rPr>
                <w:spacing w:val="-2"/>
              </w:rPr>
              <w:t xml:space="preserve"> % a stejně tak ve 2. kvartále, ve zbývajících dvou čtvrtletích shodně o </w:t>
            </w:r>
            <w:r>
              <w:rPr>
                <w:spacing w:val="-2"/>
              </w:rPr>
              <w:t>0,4</w:t>
            </w:r>
            <w:r w:rsidRPr="002E0982">
              <w:rPr>
                <w:spacing w:val="-2"/>
              </w:rPr>
              <w:t> %. T</w:t>
            </w:r>
            <w:r>
              <w:rPr>
                <w:spacing w:val="-2"/>
              </w:rPr>
              <w:t>akto zachycený</w:t>
            </w:r>
            <w:r w:rsidRPr="002E0982">
              <w:rPr>
                <w:spacing w:val="-2"/>
              </w:rPr>
              <w:t xml:space="preserve"> vývoj</w:t>
            </w:r>
            <w:r>
              <w:rPr>
                <w:spacing w:val="-2"/>
              </w:rPr>
              <w:t xml:space="preserve"> ekonomiky</w:t>
            </w:r>
            <w:r w:rsidRPr="002E0982">
              <w:rPr>
                <w:spacing w:val="-2"/>
              </w:rPr>
              <w:t>, už tak příznivý, byl ale podhodnocen. Předzásobení tabákovými výrobky na konci roku 2013 a s ním související nárůst vybraných spotřebních daní totiž vedl</w:t>
            </w:r>
            <w:r>
              <w:rPr>
                <w:spacing w:val="-2"/>
              </w:rPr>
              <w:t>o</w:t>
            </w:r>
            <w:r w:rsidRPr="002E0982">
              <w:rPr>
                <w:spacing w:val="-2"/>
              </w:rPr>
              <w:t xml:space="preserve"> k</w:t>
            </w:r>
            <w:r>
              <w:rPr>
                <w:spacing w:val="-2"/>
              </w:rPr>
              <w:t> tomu, že saldo daní z produktů –</w:t>
            </w:r>
            <w:r w:rsidRPr="002E0982">
              <w:rPr>
                <w:spacing w:val="-2"/>
              </w:rPr>
              <w:t xml:space="preserve"> které je do HDP </w:t>
            </w:r>
            <w:r>
              <w:rPr>
                <w:spacing w:val="-2"/>
              </w:rPr>
              <w:t>započítáváno –</w:t>
            </w:r>
            <w:r w:rsidRPr="002E0982">
              <w:rPr>
                <w:spacing w:val="-2"/>
              </w:rPr>
              <w:t xml:space="preserve"> v posledním čtvrtletí 2013 značně n</w:t>
            </w:r>
            <w:r>
              <w:rPr>
                <w:spacing w:val="-2"/>
              </w:rPr>
              <w:t>arostlo a růst HDP dynamizovalo,</w:t>
            </w:r>
            <w:r w:rsidRPr="002E0982">
              <w:rPr>
                <w:spacing w:val="-2"/>
              </w:rPr>
              <w:t xml:space="preserve"> avšak</w:t>
            </w:r>
            <w:r>
              <w:rPr>
                <w:spacing w:val="-2"/>
              </w:rPr>
              <w:t xml:space="preserve"> v</w:t>
            </w:r>
            <w:r w:rsidRPr="002E0982">
              <w:rPr>
                <w:spacing w:val="-2"/>
              </w:rPr>
              <w:t> průběhu roku 2014 setrvale klesalo a</w:t>
            </w:r>
            <w:r>
              <w:rPr>
                <w:spacing w:val="-2"/>
              </w:rPr>
              <w:t> </w:t>
            </w:r>
            <w:r w:rsidRPr="002E0982">
              <w:rPr>
                <w:spacing w:val="-2"/>
              </w:rPr>
              <w:t>dynamiku HDP naopak snižovalo. Pokud vyjdeme z mezičtvrtletních změn hrubé přidané hodnoty (HPH), která </w:t>
            </w:r>
            <w:r>
              <w:rPr>
                <w:spacing w:val="-2"/>
              </w:rPr>
              <w:t xml:space="preserve">toto saldo </w:t>
            </w:r>
            <w:r w:rsidRPr="002E0982">
              <w:rPr>
                <w:spacing w:val="-2"/>
              </w:rPr>
              <w:t>neobsahuje a je tak k zachycení skutečného vývoje vhodnější, pak se obrázek o vývoji tuzemské ekonomiky mění k lepšímu. Jestliže v 1. čtvrtletí 2014 se HPH zvýšila v </w:t>
            </w:r>
            <w:proofErr w:type="spellStart"/>
            <w:r w:rsidRPr="002E0982">
              <w:rPr>
                <w:spacing w:val="-2"/>
              </w:rPr>
              <w:t>mezikvartálním</w:t>
            </w:r>
            <w:proofErr w:type="spellEnd"/>
            <w:r w:rsidRPr="002E0982">
              <w:rPr>
                <w:spacing w:val="-2"/>
              </w:rPr>
              <w:t xml:space="preserve"> srovnání o 0,7 % a ve 2. a 3. shodně o 0,5 %, v posledních třech měsících roku o vysokých 1,1 %. Pokud z</w:t>
            </w:r>
            <w:r>
              <w:rPr>
                <w:spacing w:val="-2"/>
              </w:rPr>
              <w:t> údajů o </w:t>
            </w:r>
            <w:r w:rsidRPr="002E0982">
              <w:rPr>
                <w:spacing w:val="-2"/>
              </w:rPr>
              <w:t>HDP bylo patrné, že česká ekonomika v roce 2014 dále ožívala, pak z ukazatele HPH plynulo, že její růst v závěru roku akceleroval.</w:t>
            </w:r>
          </w:p>
          <w:p w:rsidR="000779AC" w:rsidRPr="008F7D28" w:rsidRDefault="000779AC" w:rsidP="008B7306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0779AC" w:rsidRPr="007D44C3" w:rsidTr="008F7D28">
        <w:tc>
          <w:tcPr>
            <w:tcW w:w="1054" w:type="pct"/>
          </w:tcPr>
          <w:p w:rsidR="000779AC" w:rsidRPr="00813FE6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HDP vytvořený v roce 2014 už téměř vyrovnal svoji úroveň z roku 2008</w:t>
            </w:r>
          </w:p>
        </w:tc>
        <w:tc>
          <w:tcPr>
            <w:tcW w:w="143" w:type="pct"/>
          </w:tcPr>
          <w:p w:rsidR="000779AC" w:rsidRPr="00813FE6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Pr="00787507" w:rsidRDefault="000779AC" w:rsidP="008B7306">
            <w:pPr>
              <w:pStyle w:val="Textpoznpodarou"/>
              <w:jc w:val="both"/>
              <w:rPr>
                <w:spacing w:val="-6"/>
              </w:rPr>
            </w:pPr>
            <w:r w:rsidRPr="00787507">
              <w:rPr>
                <w:spacing w:val="-6"/>
              </w:rPr>
              <w:t>Údaje za rok 2014 potvrdily, že česká ekonomika již překonala dva roky recese. Jestliže za roky 2012 a 2013 HDP v ČR klesl v úhrnu o 1,4 %, nárůst z roku 2014 o rovná 2,0 % tento pokles více než kompenzoval. HDP vytvořený v roce 2014 už téměř vyrovnal svoji úroveň z v</w:t>
            </w:r>
            <w:r w:rsidR="00136561">
              <w:rPr>
                <w:spacing w:val="-6"/>
              </w:rPr>
              <w:t>rcholu konjunktury v roce 2008 (</w:t>
            </w:r>
            <w:r w:rsidRPr="00787507">
              <w:rPr>
                <w:spacing w:val="-6"/>
              </w:rPr>
              <w:t>byl nižší jen o 0,2 %</w:t>
            </w:r>
            <w:r w:rsidR="00136561">
              <w:rPr>
                <w:spacing w:val="-6"/>
              </w:rPr>
              <w:t>)</w:t>
            </w:r>
            <w:r w:rsidRPr="00787507">
              <w:rPr>
                <w:spacing w:val="-6"/>
              </w:rPr>
              <w:t>.</w:t>
            </w:r>
          </w:p>
          <w:p w:rsidR="000779AC" w:rsidRPr="008F7D28" w:rsidRDefault="000779AC" w:rsidP="008B7306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0779AC" w:rsidRPr="00B924CA" w:rsidTr="008F7D28">
        <w:tc>
          <w:tcPr>
            <w:tcW w:w="1054" w:type="pct"/>
          </w:tcPr>
          <w:p w:rsidR="000779AC" w:rsidRPr="00CB1910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růstu HDP v roce 2014 přispěly všechny hlavní složky domácí poptávky s výjimkou změny zásob. „Tahounem“ byly investice, …</w:t>
            </w:r>
          </w:p>
        </w:tc>
        <w:tc>
          <w:tcPr>
            <w:tcW w:w="143" w:type="pct"/>
          </w:tcPr>
          <w:p w:rsidR="000779AC" w:rsidRPr="00CB1910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Pr="00E97FA2" w:rsidRDefault="000779AC" w:rsidP="008B7306">
            <w:pPr>
              <w:pStyle w:val="Textpoznpodarou"/>
              <w:jc w:val="both"/>
              <w:rPr>
                <w:spacing w:val="-2"/>
              </w:rPr>
            </w:pPr>
            <w:r w:rsidRPr="00E97FA2">
              <w:rPr>
                <w:spacing w:val="-2"/>
              </w:rPr>
              <w:t>K nárůstu HDP v roce 2014 nejvíce přispěl obnovený růst tvorby hrubého fixního kapitálu, tedy investic</w:t>
            </w:r>
            <w:r w:rsidR="00460164">
              <w:rPr>
                <w:rStyle w:val="Znakapoznpodarou"/>
                <w:spacing w:val="-2"/>
              </w:rPr>
              <w:footnoteReference w:id="2"/>
            </w:r>
            <w:r w:rsidR="00170B04">
              <w:t>.</w:t>
            </w:r>
            <w:r w:rsidRPr="00E97FA2">
              <w:rPr>
                <w:spacing w:val="-2"/>
              </w:rPr>
              <w:t xml:space="preserve"> Jejich příspěvek dosáhl +1,2 </w:t>
            </w:r>
            <w:proofErr w:type="spellStart"/>
            <w:r w:rsidRPr="00E97FA2">
              <w:rPr>
                <w:spacing w:val="-2"/>
              </w:rPr>
              <w:t>pb</w:t>
            </w:r>
            <w:proofErr w:type="spellEnd"/>
            <w:r w:rsidRPr="00E97FA2">
              <w:rPr>
                <w:spacing w:val="-2"/>
              </w:rPr>
              <w:t>., byl kladný poprvé po dvou</w:t>
            </w:r>
            <w:r>
              <w:rPr>
                <w:spacing w:val="-2"/>
              </w:rPr>
              <w:t> </w:t>
            </w:r>
            <w:r w:rsidRPr="00E97FA2">
              <w:rPr>
                <w:spacing w:val="-2"/>
              </w:rPr>
              <w:t>letech a nejvyšší od silného roku 2007, kdy v české ekonomice výrazně investovaly nejen tuzemské a zahraniční podniky, ale i domácnosti. Výdaje na</w:t>
            </w:r>
            <w:r>
              <w:rPr>
                <w:spacing w:val="-2"/>
              </w:rPr>
              <w:t> </w:t>
            </w:r>
            <w:r w:rsidRPr="00E97FA2">
              <w:rPr>
                <w:spacing w:val="-2"/>
              </w:rPr>
              <w:t>konečnou spotřebu domácností a výdaje na konečnou spotřebu vládních institucí se na růstu ekonomiky v roce 2014 podílely sice méně, na rozdíl od investic se ale zvyšovaly již druhým rokem. Zatímco pozitivní vliv spotřeby vládních institucí mírně</w:t>
            </w:r>
            <w:r>
              <w:rPr>
                <w:spacing w:val="-2"/>
              </w:rPr>
              <w:t> </w:t>
            </w:r>
            <w:r w:rsidRPr="00E97FA2">
              <w:rPr>
                <w:spacing w:val="-2"/>
              </w:rPr>
              <w:t xml:space="preserve">oslabil (z +0,4 </w:t>
            </w:r>
            <w:proofErr w:type="spellStart"/>
            <w:r w:rsidRPr="00E97FA2">
              <w:rPr>
                <w:spacing w:val="-2"/>
              </w:rPr>
              <w:t>pb</w:t>
            </w:r>
            <w:proofErr w:type="spellEnd"/>
            <w:r w:rsidRPr="00E97FA2">
              <w:rPr>
                <w:spacing w:val="-2"/>
              </w:rPr>
              <w:t>. v roce 2013 na +0,3 </w:t>
            </w:r>
            <w:proofErr w:type="spellStart"/>
            <w:r w:rsidRPr="00E97FA2">
              <w:rPr>
                <w:spacing w:val="-2"/>
              </w:rPr>
              <w:t>pb</w:t>
            </w:r>
            <w:proofErr w:type="spellEnd"/>
            <w:r w:rsidRPr="00E97FA2">
              <w:rPr>
                <w:spacing w:val="-2"/>
              </w:rPr>
              <w:t xml:space="preserve">. v roce 2014), velikost příspěvku spotřeby domácností značně narostla (z +0,2 </w:t>
            </w:r>
            <w:proofErr w:type="spellStart"/>
            <w:r w:rsidRPr="00E97FA2">
              <w:rPr>
                <w:spacing w:val="-2"/>
              </w:rPr>
              <w:t>pb</w:t>
            </w:r>
            <w:proofErr w:type="spellEnd"/>
            <w:r w:rsidRPr="00E97FA2">
              <w:rPr>
                <w:spacing w:val="-2"/>
              </w:rPr>
              <w:t xml:space="preserve">. na +0,8 </w:t>
            </w:r>
            <w:proofErr w:type="spellStart"/>
            <w:r w:rsidRPr="00E97FA2">
              <w:rPr>
                <w:spacing w:val="-2"/>
              </w:rPr>
              <w:t>pb</w:t>
            </w:r>
            <w:proofErr w:type="spellEnd"/>
            <w:r w:rsidRPr="00E97FA2">
              <w:rPr>
                <w:spacing w:val="-2"/>
              </w:rPr>
              <w:t xml:space="preserve">.). Zbývající složky poptávky, tedy změna zásob (-0,2 </w:t>
            </w:r>
            <w:proofErr w:type="spellStart"/>
            <w:r w:rsidRPr="00E97FA2">
              <w:rPr>
                <w:spacing w:val="-2"/>
              </w:rPr>
              <w:t>pb</w:t>
            </w:r>
            <w:proofErr w:type="spellEnd"/>
            <w:r w:rsidRPr="00E97FA2">
              <w:rPr>
                <w:spacing w:val="-2"/>
              </w:rPr>
              <w:t xml:space="preserve">.) a výsledek zahraničního obchodu (-0,1 </w:t>
            </w:r>
            <w:proofErr w:type="spellStart"/>
            <w:r w:rsidRPr="00E97FA2">
              <w:rPr>
                <w:spacing w:val="-2"/>
              </w:rPr>
              <w:t>pb</w:t>
            </w:r>
            <w:proofErr w:type="spellEnd"/>
            <w:r w:rsidRPr="00E97FA2">
              <w:rPr>
                <w:spacing w:val="-2"/>
              </w:rPr>
              <w:t>.), růst české ekonomiky v roce 2014 brzdily.</w:t>
            </w:r>
          </w:p>
          <w:p w:rsidR="000779AC" w:rsidRPr="008F7D28" w:rsidRDefault="000779AC" w:rsidP="008B7306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0779AC" w:rsidRPr="00B924CA" w:rsidTr="008F7D28">
        <w:tc>
          <w:tcPr>
            <w:tcW w:w="1054" w:type="pct"/>
          </w:tcPr>
          <w:p w:rsidR="000779AC" w:rsidRPr="00383227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pokud ovšem z celkového dovozu vyloučíme dovoz určený pro konečné užití, pak se na růstu české ekonomiky největším dílem podílel výsledek modifikovaného zahraničního obchodu</w:t>
            </w:r>
          </w:p>
        </w:tc>
        <w:tc>
          <w:tcPr>
            <w:tcW w:w="143" w:type="pct"/>
          </w:tcPr>
          <w:p w:rsidR="000779AC" w:rsidRPr="00383227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Pr="001323BA" w:rsidRDefault="000779AC" w:rsidP="008B7306">
            <w:pPr>
              <w:pStyle w:val="Textpoznpodarou"/>
              <w:jc w:val="both"/>
              <w:rPr>
                <w:spacing w:val="-2"/>
              </w:rPr>
            </w:pPr>
            <w:r w:rsidRPr="001323BA">
              <w:rPr>
                <w:spacing w:val="-2"/>
              </w:rPr>
              <w:t>Jestliže z celkového objemu dovozu zboží a služeb do ČR vyloučíme dovoz určený pro konečné užití, který nemá s růstem české ekonomiky fakticky nic společného, pak se příspěvky jednotlivých složek poptávky k růstu HDP výrazně mění. Investice</w:t>
            </w:r>
            <w:r>
              <w:rPr>
                <w:spacing w:val="-2"/>
              </w:rPr>
              <w:t> </w:t>
            </w:r>
            <w:r w:rsidRPr="001323BA">
              <w:rPr>
                <w:spacing w:val="-2"/>
              </w:rPr>
              <w:t xml:space="preserve">a výdaje na konečnou spotřebu domácností, které jsou obecně z velké části </w:t>
            </w:r>
            <w:r>
              <w:rPr>
                <w:spacing w:val="-2"/>
              </w:rPr>
              <w:t>uspokojovány z dovozu</w:t>
            </w:r>
            <w:r w:rsidRPr="001323BA">
              <w:rPr>
                <w:spacing w:val="-2"/>
              </w:rPr>
              <w:t xml:space="preserve"> –</w:t>
            </w:r>
            <w:r>
              <w:rPr>
                <w:spacing w:val="-2"/>
              </w:rPr>
              <w:t xml:space="preserve"> a to se projevilo</w:t>
            </w:r>
            <w:r w:rsidRPr="001323BA">
              <w:rPr>
                <w:spacing w:val="-2"/>
              </w:rPr>
              <w:t xml:space="preserve"> i v údajích za rok 2014 – přispěly v tomto modifikovaném pojetí jen 0,6 </w:t>
            </w:r>
            <w:proofErr w:type="spellStart"/>
            <w:r w:rsidRPr="001323BA">
              <w:rPr>
                <w:spacing w:val="-2"/>
              </w:rPr>
              <w:t>pb</w:t>
            </w:r>
            <w:proofErr w:type="spellEnd"/>
            <w:r w:rsidRPr="001323BA">
              <w:rPr>
                <w:spacing w:val="-2"/>
              </w:rPr>
              <w:t xml:space="preserve">. respektive 0,2 </w:t>
            </w:r>
            <w:proofErr w:type="spellStart"/>
            <w:r w:rsidRPr="001323BA">
              <w:rPr>
                <w:spacing w:val="-2"/>
              </w:rPr>
              <w:t>pb</w:t>
            </w:r>
            <w:proofErr w:type="spellEnd"/>
            <w:r w:rsidRPr="001323BA">
              <w:rPr>
                <w:spacing w:val="-2"/>
              </w:rPr>
              <w:t>. Méně než v klasickém pojetí</w:t>
            </w:r>
            <w:r>
              <w:rPr>
                <w:spacing w:val="-2"/>
              </w:rPr>
              <w:t> </w:t>
            </w:r>
            <w:r w:rsidRPr="001323BA">
              <w:rPr>
                <w:spacing w:val="-2"/>
              </w:rPr>
              <w:t>přispěly k růstu ekonomiky i výdaje na konečnou spotřebu vládních institucí</w:t>
            </w:r>
            <w:r>
              <w:rPr>
                <w:spacing w:val="-2"/>
              </w:rPr>
              <w:t> </w:t>
            </w:r>
            <w:r w:rsidRPr="001323BA">
              <w:rPr>
                <w:spacing w:val="-2"/>
              </w:rPr>
              <w:t>(+0,2</w:t>
            </w:r>
            <w:r>
              <w:rPr>
                <w:spacing w:val="-2"/>
              </w:rPr>
              <w:t> </w:t>
            </w:r>
            <w:proofErr w:type="spellStart"/>
            <w:r w:rsidRPr="001323BA">
              <w:rPr>
                <w:spacing w:val="-2"/>
              </w:rPr>
              <w:t>pb</w:t>
            </w:r>
            <w:proofErr w:type="spellEnd"/>
            <w:r w:rsidRPr="001323BA">
              <w:rPr>
                <w:spacing w:val="-2"/>
              </w:rPr>
              <w:t>.), naproti tomu příspěvek změny zásob se nezměnil</w:t>
            </w:r>
            <w:r>
              <w:rPr>
                <w:spacing w:val="-2"/>
              </w:rPr>
              <w:t>,</w:t>
            </w:r>
            <w:r w:rsidRPr="001323BA">
              <w:rPr>
                <w:spacing w:val="-2"/>
              </w:rPr>
              <w:t xml:space="preserve"> zůstával záporný (-0,2 </w:t>
            </w:r>
            <w:proofErr w:type="spellStart"/>
            <w:r w:rsidRPr="001323BA">
              <w:rPr>
                <w:spacing w:val="-2"/>
              </w:rPr>
              <w:t>pb</w:t>
            </w:r>
            <w:proofErr w:type="spellEnd"/>
            <w:r w:rsidRPr="001323BA">
              <w:rPr>
                <w:spacing w:val="-2"/>
              </w:rPr>
              <w:t xml:space="preserve">.). Hlavním faktorem růstu v roce 2014 </w:t>
            </w:r>
            <w:r>
              <w:rPr>
                <w:spacing w:val="-2"/>
              </w:rPr>
              <w:t xml:space="preserve">tak </w:t>
            </w:r>
            <w:r w:rsidRPr="001323BA">
              <w:rPr>
                <w:spacing w:val="-2"/>
              </w:rPr>
              <w:t xml:space="preserve">byl, jak je zřejmé, zahraniční obchod nezahrnující dovoz určený pro konečné užití (+1,3 </w:t>
            </w:r>
            <w:proofErr w:type="spellStart"/>
            <w:r w:rsidRPr="001323BA">
              <w:rPr>
                <w:spacing w:val="-2"/>
              </w:rPr>
              <w:t>pb</w:t>
            </w:r>
            <w:proofErr w:type="spellEnd"/>
            <w:r w:rsidRPr="001323BA">
              <w:rPr>
                <w:spacing w:val="-2"/>
              </w:rPr>
              <w:t>.).</w:t>
            </w:r>
          </w:p>
          <w:p w:rsidR="000779AC" w:rsidRPr="008F7D28" w:rsidRDefault="000779AC" w:rsidP="008B7306">
            <w:pPr>
              <w:pStyle w:val="Textpoznpodarou"/>
              <w:jc w:val="both"/>
              <w:rPr>
                <w:spacing w:val="-2"/>
                <w:sz w:val="14"/>
                <w:szCs w:val="14"/>
              </w:rPr>
            </w:pPr>
          </w:p>
        </w:tc>
      </w:tr>
      <w:tr w:rsidR="000779AC" w:rsidRPr="00B924CA" w:rsidTr="008F7D28">
        <w:tc>
          <w:tcPr>
            <w:tcW w:w="1054" w:type="pct"/>
          </w:tcPr>
          <w:p w:rsidR="000779AC" w:rsidRPr="00DB4FB8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Česká ekonomika i nadále roste rychleji než země EU a výrazně rychleji než eurozóna</w:t>
            </w:r>
          </w:p>
        </w:tc>
        <w:tc>
          <w:tcPr>
            <w:tcW w:w="143" w:type="pct"/>
          </w:tcPr>
          <w:p w:rsidR="000779AC" w:rsidRPr="00DB4FB8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Default="000779AC" w:rsidP="008B7306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  <w:r w:rsidRPr="007E0F4B">
              <w:rPr>
                <w:spacing w:val="-2"/>
              </w:rPr>
              <w:t>V samotném 4. čtvrtletí</w:t>
            </w:r>
            <w:r>
              <w:rPr>
                <w:spacing w:val="-2"/>
              </w:rPr>
              <w:t xml:space="preserve"> 2014 se</w:t>
            </w:r>
            <w:r w:rsidRPr="006572ED">
              <w:rPr>
                <w:spacing w:val="-2"/>
              </w:rPr>
              <w:t xml:space="preserve"> HDP</w:t>
            </w:r>
            <w:r>
              <w:rPr>
                <w:spacing w:val="-2"/>
              </w:rPr>
              <w:t xml:space="preserve"> v ČR zvýšil o 1,5 % meziročně. Přestože tempo růstu bylo nepříznivě ovlivněno vysokou srovnávací základnou předchozího roku (související s již zmíněným nerovnoměrným výběrem spotřebních daní), posílil tuzemský HDP více než v úhrnu za celou ekonomiku EU (+1,3 %) a výrazně více než v zemích platících eurem (+0,9 %). V porovnání s oběma hospodářskými prostory rostla česká ekonomika rychleji už pět čtvrtletí v řadě.</w:t>
            </w:r>
          </w:p>
          <w:p w:rsidR="000779AC" w:rsidRPr="008F7D28" w:rsidRDefault="000779AC" w:rsidP="008B7306">
            <w:pPr>
              <w:pStyle w:val="Textpoznpodarou"/>
              <w:jc w:val="both"/>
              <w:rPr>
                <w:spacing w:val="-2"/>
                <w:sz w:val="14"/>
                <w:szCs w:val="14"/>
              </w:rPr>
            </w:pPr>
          </w:p>
        </w:tc>
      </w:tr>
      <w:tr w:rsidR="000779AC" w:rsidRPr="00B924CA" w:rsidTr="008F7D28">
        <w:tc>
          <w:tcPr>
            <w:tcW w:w="1054" w:type="pct"/>
          </w:tcPr>
          <w:p w:rsidR="000779AC" w:rsidRPr="00DB4FB8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Ekonomický vývoj čtyř největších unijních ekonomik byl v závěru roku 2014 značně diferencovaný</w:t>
            </w:r>
          </w:p>
        </w:tc>
        <w:tc>
          <w:tcPr>
            <w:tcW w:w="143" w:type="pct"/>
          </w:tcPr>
          <w:p w:rsidR="000779AC" w:rsidRPr="00DB4FB8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FF3DF3" w:rsidRPr="00FF3DF3" w:rsidRDefault="000779AC" w:rsidP="008F7D28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Ze čtyř největších ekonomik EU vzrostlo ve 4. čtvrtletí 2014 </w:t>
            </w:r>
            <w:proofErr w:type="spellStart"/>
            <w:r>
              <w:t>mezikvartálně</w:t>
            </w:r>
            <w:proofErr w:type="spellEnd"/>
            <w:r>
              <w:t xml:space="preserve"> více než ČR jen Německo, které si po faktické stagnaci z předchozích dvou čtvrtletí při</w:t>
            </w:r>
            <w:r w:rsidR="00C23D22">
              <w:t>psalo dle dostupných údajů pátý</w:t>
            </w:r>
            <w:r>
              <w:t xml:space="preserve"> nejvyšší přírůstek HDP ze všech zemí EU (+0,7 %), a také Velká Británie (+0,5 %). Růst HDP ve Francii zpomalil z  +0,3 % ve 3. čtvrtletí 2014 na pouhá +0,1 % v posledním kvartále, Itálie – která se v prvních třech čtvrtletích roku 2014 potýkala s recesí – jen stagnovala.</w:t>
            </w:r>
          </w:p>
        </w:tc>
      </w:tr>
      <w:tr w:rsidR="000779AC" w:rsidRPr="00DB4FB8" w:rsidTr="008F7D28">
        <w:tc>
          <w:tcPr>
            <w:tcW w:w="1054" w:type="pct"/>
          </w:tcPr>
          <w:p w:rsidR="000779AC" w:rsidRPr="00DB4FB8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Zlepšující se situace na trhu práce v roce 2014 se přenesla do vyšších příjmů domácností a v logice věci i do vyšších spotřebních vydání, …</w:t>
            </w:r>
          </w:p>
        </w:tc>
        <w:tc>
          <w:tcPr>
            <w:tcW w:w="143" w:type="pct"/>
          </w:tcPr>
          <w:p w:rsidR="000779AC" w:rsidRPr="00DB4FB8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Pr="000E4A42" w:rsidRDefault="000779AC" w:rsidP="008B7306">
            <w:pPr>
              <w:pStyle w:val="Textpoznpodarou"/>
              <w:jc w:val="both"/>
            </w:pPr>
            <w:r w:rsidRPr="000E4A42">
              <w:t xml:space="preserve">Po </w:t>
            </w:r>
            <w:r>
              <w:t>třech</w:t>
            </w:r>
            <w:r w:rsidRPr="000E4A42">
              <w:t xml:space="preserve"> letech </w:t>
            </w:r>
            <w:r>
              <w:t>2011,</w:t>
            </w:r>
            <w:r w:rsidRPr="000E4A42">
              <w:t xml:space="preserve"> 2012 a 2013, které tvrdě dopadly do celkových příjmů českých domácností, se jejich příjmová situace v roce 2014</w:t>
            </w:r>
            <w:r w:rsidR="00FF3DF3">
              <w:t xml:space="preserve"> (podle dosud známých údajů)</w:t>
            </w:r>
            <w:r>
              <w:t xml:space="preserve"> již </w:t>
            </w:r>
            <w:r w:rsidRPr="000E4A42">
              <w:t xml:space="preserve">zlepšila. Pokračující </w:t>
            </w:r>
            <w:r>
              <w:t>přibývání počtu</w:t>
            </w:r>
            <w:r w:rsidRPr="000E4A42">
              <w:t xml:space="preserve"> zaměstnanců, opětovné prodlužování skutečně odpracované doby, růst</w:t>
            </w:r>
            <w:r>
              <w:t xml:space="preserve"> reálných</w:t>
            </w:r>
            <w:r w:rsidRPr="000E4A42">
              <w:t xml:space="preserve"> mezd v podnikatelské i nepodnikatelské sféře, </w:t>
            </w:r>
            <w:r>
              <w:t>ale i například nárůst</w:t>
            </w:r>
            <w:r w:rsidRPr="000E4A42">
              <w:t xml:space="preserve"> počtu </w:t>
            </w:r>
            <w:proofErr w:type="spellStart"/>
            <w:r>
              <w:t>sebezaměstnaných</w:t>
            </w:r>
            <w:proofErr w:type="spellEnd"/>
            <w:r>
              <w:t xml:space="preserve"> osob (zejména živnostníci)</w:t>
            </w:r>
            <w:r w:rsidRPr="000E4A42">
              <w:t xml:space="preserve"> – to je</w:t>
            </w:r>
            <w:r>
              <w:t> </w:t>
            </w:r>
            <w:r w:rsidRPr="000E4A42">
              <w:t xml:space="preserve">jen stručný nástin </w:t>
            </w:r>
            <w:r>
              <w:t>změn na trhu práce</w:t>
            </w:r>
            <w:r w:rsidRPr="000E4A42">
              <w:t>, které měly na příjmy domácností</w:t>
            </w:r>
            <w:r>
              <w:t xml:space="preserve"> v roce 2014</w:t>
            </w:r>
            <w:r w:rsidRPr="000E4A42">
              <w:t xml:space="preserve"> pozitivní vliv, a</w:t>
            </w:r>
            <w:r>
              <w:t> </w:t>
            </w:r>
            <w:r w:rsidRPr="000E4A42">
              <w:t>v logice věci se tak přenesly i do vyšších spotřebních vydání. Jestliže v</w:t>
            </w:r>
            <w:r>
              <w:t xml:space="preserve"> úhrnu za roky 2011-2013 výdaje na konečnou spotřebu domácností klesly o 1,2 %, </w:t>
            </w:r>
            <w:r w:rsidRPr="000E4A42">
              <w:t>v roce obnoveného růstu české ekonomiky 2014 posílily o 1,7 %. Zvýšily se nejvíce za posledních šest let.</w:t>
            </w:r>
          </w:p>
          <w:p w:rsidR="000779AC" w:rsidRPr="008F7D28" w:rsidRDefault="000779AC" w:rsidP="008B730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0779AC" w:rsidRPr="00DB4FB8" w:rsidTr="008F7D28">
        <w:tc>
          <w:tcPr>
            <w:tcW w:w="1054" w:type="pct"/>
          </w:tcPr>
          <w:p w:rsidR="000779AC" w:rsidRPr="00DB4FB8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v samotném 4. čtvrtletí 2014 výdaje na konečnou spotřebu domácností narostly o 1,2 % </w:t>
            </w:r>
            <w:proofErr w:type="spellStart"/>
            <w:r>
              <w:rPr>
                <w:sz w:val="16"/>
                <w:szCs w:val="16"/>
              </w:rPr>
              <w:t>mezikvartálně</w:t>
            </w:r>
            <w:proofErr w:type="spellEnd"/>
            <w:r>
              <w:rPr>
                <w:sz w:val="16"/>
                <w:szCs w:val="16"/>
              </w:rPr>
              <w:t>, nejvíce od 1. čtvrtletí 2010</w:t>
            </w:r>
          </w:p>
        </w:tc>
        <w:tc>
          <w:tcPr>
            <w:tcW w:w="143" w:type="pct"/>
          </w:tcPr>
          <w:p w:rsidR="000779AC" w:rsidRPr="00DB4FB8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Pr="000500DC" w:rsidRDefault="000779AC" w:rsidP="008B7306">
            <w:pPr>
              <w:pStyle w:val="Textpoznpodarou"/>
              <w:jc w:val="both"/>
              <w:rPr>
                <w:spacing w:val="-2"/>
              </w:rPr>
            </w:pPr>
            <w:r w:rsidRPr="000500DC">
              <w:rPr>
                <w:spacing w:val="-2"/>
              </w:rPr>
              <w:t xml:space="preserve">V samotném 4. čtvrtletí narostla spotřeba domácností o 1,2 % </w:t>
            </w:r>
            <w:proofErr w:type="spellStart"/>
            <w:r w:rsidRPr="000500DC">
              <w:rPr>
                <w:spacing w:val="-2"/>
              </w:rPr>
              <w:t>mezikvartálně</w:t>
            </w:r>
            <w:proofErr w:type="spellEnd"/>
            <w:r w:rsidRPr="000500DC">
              <w:rPr>
                <w:spacing w:val="-2"/>
              </w:rPr>
              <w:t xml:space="preserve">, více než odpovídalo průměru za jednotlivá čtvrtletí 2014 a nejvíce od počátku roku 2010. Ve vydáních domácností se zřejmě pozitivně projevilo nejen avizované zvýšení platů státních zaměstnanců platné od počátku listopadu 2014, ale pozitivní očekávání domácností o dalším vývoji v ekonomice vůbec. Dokládaly to i výsledky konjunkturálních průzkumů ze závěru roku. V posledních třech měsících roku 2014 byla důvěra spotřebitelů v ekonomiku už </w:t>
            </w:r>
            <w:r>
              <w:rPr>
                <w:spacing w:val="-2"/>
              </w:rPr>
              <w:t>tak vysoko</w:t>
            </w:r>
            <w:r w:rsidRPr="000500DC">
              <w:rPr>
                <w:spacing w:val="-2"/>
              </w:rPr>
              <w:t xml:space="preserve">, že </w:t>
            </w:r>
            <w:r>
              <w:rPr>
                <w:spacing w:val="-2"/>
              </w:rPr>
              <w:t>„atakovala“</w:t>
            </w:r>
            <w:r w:rsidRPr="000500DC">
              <w:rPr>
                <w:spacing w:val="-2"/>
              </w:rPr>
              <w:t> </w:t>
            </w:r>
            <w:r>
              <w:rPr>
                <w:spacing w:val="-2"/>
              </w:rPr>
              <w:t xml:space="preserve"> </w:t>
            </w:r>
            <w:r w:rsidRPr="000500DC">
              <w:rPr>
                <w:spacing w:val="-2"/>
              </w:rPr>
              <w:t>historicky nejvyšší úroveň</w:t>
            </w:r>
            <w:r>
              <w:rPr>
                <w:spacing w:val="-2"/>
              </w:rPr>
              <w:t xml:space="preserve"> důvěry</w:t>
            </w:r>
            <w:r w:rsidRPr="000500DC">
              <w:rPr>
                <w:spacing w:val="-2"/>
              </w:rPr>
              <w:t xml:space="preserve"> z přelomu konjunkturních let 2006 a 2007.</w:t>
            </w:r>
          </w:p>
          <w:p w:rsidR="000779AC" w:rsidRPr="008F7D28" w:rsidRDefault="000779AC" w:rsidP="008B730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0779AC" w:rsidRPr="00DB4FB8" w:rsidTr="008F7D28">
        <w:tc>
          <w:tcPr>
            <w:tcW w:w="1054" w:type="pct"/>
          </w:tcPr>
          <w:p w:rsidR="000779AC" w:rsidRPr="00DB4FB8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Uvolněná fiskální politika stimulovala skrze růst spotřeby vládních institucí domácí poptávku i v roce 2014</w:t>
            </w:r>
          </w:p>
        </w:tc>
        <w:tc>
          <w:tcPr>
            <w:tcW w:w="143" w:type="pct"/>
          </w:tcPr>
          <w:p w:rsidR="000779AC" w:rsidRPr="00DB4FB8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Default="000779AC" w:rsidP="008B7306">
            <w:pPr>
              <w:pStyle w:val="Textpoznpodarou"/>
              <w:jc w:val="both"/>
            </w:pPr>
            <w:r>
              <w:t>Přestože dynamika výdajů na konečnou spotřebu vládních institucí byla v průběhu roku 2014 značně nevyrovnaná (s pozitivními mezičtvrtletními přírůstky ve 2. a 4. čtvrtletí a zápornými v 1. a 3. kvartále), převládly růstové tendence. V úhrnu za celý rok 2014 spotřeba vládních institucí posílila o 1,6 %, uvolněná fiskální politika stimulovala domácí poptávku už druhým rokem.</w:t>
            </w:r>
          </w:p>
          <w:p w:rsidR="000779AC" w:rsidRPr="008F7D28" w:rsidRDefault="000779AC" w:rsidP="008B730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0779AC" w:rsidRPr="00DB4FB8" w:rsidTr="008F7D28">
        <w:tc>
          <w:tcPr>
            <w:tcW w:w="1054" w:type="pct"/>
          </w:tcPr>
          <w:p w:rsidR="000779AC" w:rsidRPr="00DB4FB8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Investice se v </w:t>
            </w:r>
            <w:proofErr w:type="spellStart"/>
            <w:r>
              <w:rPr>
                <w:sz w:val="16"/>
                <w:szCs w:val="16"/>
              </w:rPr>
              <w:t>mezikvartálním</w:t>
            </w:r>
            <w:proofErr w:type="spellEnd"/>
            <w:r>
              <w:rPr>
                <w:sz w:val="16"/>
                <w:szCs w:val="16"/>
              </w:rPr>
              <w:t xml:space="preserve"> srovnání zvyšují už šest čtvrtletí v řadě, …</w:t>
            </w:r>
          </w:p>
        </w:tc>
        <w:tc>
          <w:tcPr>
            <w:tcW w:w="143" w:type="pct"/>
          </w:tcPr>
          <w:p w:rsidR="000779AC" w:rsidRPr="00DB4FB8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Pr="009A5C68" w:rsidRDefault="000779AC" w:rsidP="008B7306">
            <w:pPr>
              <w:pStyle w:val="Textpoznpodarou"/>
              <w:jc w:val="both"/>
              <w:rPr>
                <w:spacing w:val="-6"/>
              </w:rPr>
            </w:pPr>
            <w:r w:rsidRPr="009A5C68">
              <w:rPr>
                <w:spacing w:val="-6"/>
              </w:rPr>
              <w:t>Růst české ekonomiky v roce 2014 byl z velké části postaven na vyšší poptávce po investicích. Přestože v porovnání s rokem 2008 – kdy se v </w:t>
            </w:r>
            <w:r w:rsidR="00FF3DF3">
              <w:rPr>
                <w:spacing w:val="-6"/>
              </w:rPr>
              <w:t>ČR</w:t>
            </w:r>
            <w:r w:rsidRPr="009A5C68">
              <w:rPr>
                <w:spacing w:val="-6"/>
              </w:rPr>
              <w:t xml:space="preserve"> proinvestovalo historicky nejvyšších 1 168 mld. korun (v cenách roku 2010) – byly investice stále výrazně nižší (-10,4 %), proti roku 2013 se investiční aktivita v tuzemsku evidentně zlepšila (+4,7 %). Velmi pozitivně lze hodnotit i skutečnost, že k nárůstu investic v ČR nedošlo nárazově, ale že se zvyšují kontinuálně. Již š</w:t>
            </w:r>
            <w:r>
              <w:rPr>
                <w:spacing w:val="-6"/>
              </w:rPr>
              <w:t xml:space="preserve">est čtvrtletí trvající </w:t>
            </w:r>
            <w:proofErr w:type="spellStart"/>
            <w:r>
              <w:rPr>
                <w:spacing w:val="-6"/>
              </w:rPr>
              <w:t>mezikvar</w:t>
            </w:r>
            <w:r w:rsidRPr="009A5C68">
              <w:rPr>
                <w:spacing w:val="-6"/>
              </w:rPr>
              <w:t>tální</w:t>
            </w:r>
            <w:proofErr w:type="spellEnd"/>
            <w:r w:rsidRPr="009A5C68">
              <w:rPr>
                <w:spacing w:val="-6"/>
              </w:rPr>
              <w:t xml:space="preserve"> růst naznačuje, že investiční nálady v </w:t>
            </w:r>
            <w:r w:rsidR="00FF3DF3">
              <w:rPr>
                <w:spacing w:val="-6"/>
              </w:rPr>
              <w:t>ČR</w:t>
            </w:r>
            <w:r w:rsidRPr="009A5C68">
              <w:rPr>
                <w:spacing w:val="-6"/>
              </w:rPr>
              <w:t xml:space="preserve"> jsou nejen pozitivní, ale také stabilní.</w:t>
            </w:r>
          </w:p>
          <w:p w:rsidR="000779AC" w:rsidRPr="008F7D28" w:rsidRDefault="000779AC" w:rsidP="008B7306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0779AC" w:rsidRPr="00DB4FB8" w:rsidTr="008F7D28">
        <w:tc>
          <w:tcPr>
            <w:tcW w:w="1054" w:type="pct"/>
          </w:tcPr>
          <w:p w:rsidR="000779AC" w:rsidRPr="009102BD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více než v roce 2013 se investovalo zejména do ICT, strojů a zařízení</w:t>
            </w:r>
            <w:r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</w:rPr>
              <w:t>budov a staveb</w:t>
            </w:r>
            <w:r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</w:rPr>
              <w:t>ale také do staveb pro bydlení</w:t>
            </w:r>
          </w:p>
        </w:tc>
        <w:tc>
          <w:tcPr>
            <w:tcW w:w="143" w:type="pct"/>
          </w:tcPr>
          <w:p w:rsidR="000779AC" w:rsidRPr="00DB4FB8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Pr="00E539E4" w:rsidRDefault="000779AC" w:rsidP="008B7306">
            <w:pPr>
              <w:pStyle w:val="Textpoznpodarou"/>
              <w:jc w:val="both"/>
              <w:rPr>
                <w:spacing w:val="-4"/>
              </w:rPr>
            </w:pPr>
            <w:r w:rsidRPr="00E539E4">
              <w:rPr>
                <w:spacing w:val="-4"/>
              </w:rPr>
              <w:t>Jak vyplývá z věcného členění tvorby hrubého fixního kapitálu bez sezónního očištění, nejvýrazněji se v roce 2014 zvýšily investice do ICT, strojů a zařízení (+7,4 %), příliš ale nezaostávaly – co se týče vykázané dynamiky – ani investice do budov a staveb (+6,4 %). Zatímco vyšší nákupy ICT, strojů a zařízení měly opodstatnění zejména v rozšiřování výrobních kapacit zpracovatelských podniků, růst investic do budov a staveb lze přisuzovat i obnovené výstavbě velkých infrastrukturních staveb financovaných z veřejných peněz. Nákupy dopravních prostředků a zařízení – které se rozmohly v roce 2013 – již dále neposilovaly (-2,8 %), investice do staveb pro bydlení (domy a byty), do nichž své prostředky ukládají zejména domácnosti, naproti tomu narostly</w:t>
            </w:r>
            <w:r>
              <w:rPr>
                <w:spacing w:val="-4"/>
              </w:rPr>
              <w:t xml:space="preserve"> (+1,1 %)</w:t>
            </w:r>
            <w:r w:rsidRPr="00E539E4">
              <w:rPr>
                <w:spacing w:val="-4"/>
              </w:rPr>
              <w:t xml:space="preserve"> poprvé od roku 2010. Zrcadlily se</w:t>
            </w:r>
            <w:r>
              <w:rPr>
                <w:spacing w:val="-4"/>
              </w:rPr>
              <w:t> </w:t>
            </w:r>
            <w:r w:rsidRPr="00E539E4">
              <w:rPr>
                <w:spacing w:val="-4"/>
              </w:rPr>
              <w:t>v nich vyšší příjmy domácností, snaha vytvořit si do budoucna finanční rezervy, ale</w:t>
            </w:r>
            <w:r>
              <w:rPr>
                <w:spacing w:val="-4"/>
              </w:rPr>
              <w:t> </w:t>
            </w:r>
            <w:r w:rsidRPr="00E539E4">
              <w:rPr>
                <w:spacing w:val="-4"/>
              </w:rPr>
              <w:t>také velmi nízké úrokové sazby z úvěrů na bydlení.</w:t>
            </w:r>
          </w:p>
          <w:p w:rsidR="000779AC" w:rsidRPr="008F7D28" w:rsidRDefault="000779AC" w:rsidP="008B7306">
            <w:pPr>
              <w:pStyle w:val="Textpoznpodarou"/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0779AC" w:rsidRPr="00DB4FB8" w:rsidTr="008F7D28">
        <w:tc>
          <w:tcPr>
            <w:tcW w:w="1054" w:type="pct"/>
          </w:tcPr>
          <w:p w:rsidR="000779AC" w:rsidRPr="00DB4FB8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Výrazný pokles hodnoty zásob na skladech v 1. a 4. čtvrtletí 2014 se promítnul i do výsledku za celý rok</w:t>
            </w:r>
          </w:p>
        </w:tc>
        <w:tc>
          <w:tcPr>
            <w:tcW w:w="143" w:type="pct"/>
          </w:tcPr>
          <w:p w:rsidR="000779AC" w:rsidRPr="00DB4FB8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Default="00FF3DF3" w:rsidP="008B7306">
            <w:pPr>
              <w:pStyle w:val="Textpoznpodarou"/>
              <w:jc w:val="both"/>
            </w:pPr>
            <w:r>
              <w:t>Hodnota zásob</w:t>
            </w:r>
            <w:r w:rsidR="000779AC" w:rsidRPr="00410BCD">
              <w:t xml:space="preserve"> na skladech se v úhrnu za celý rok 2014 snížila, vlivem značného vysklad</w:t>
            </w:r>
            <w:r w:rsidR="000779AC">
              <w:t>ňování na po</w:t>
            </w:r>
            <w:r w:rsidR="000779AC" w:rsidRPr="00410BCD">
              <w:t>čátku a konci roku, o 9,3 mld. korun (</w:t>
            </w:r>
            <w:r w:rsidR="000779AC">
              <w:t xml:space="preserve">nominálně, </w:t>
            </w:r>
            <w:r w:rsidR="000779AC" w:rsidRPr="00410BCD">
              <w:t>bez sezónního očištění). Zatímco v 1. čtvrtletí 2014 byly postupně rozpouštěny zásoby tabákových výrobků naskladněných</w:t>
            </w:r>
            <w:r w:rsidR="000779AC">
              <w:t xml:space="preserve"> v rámci daňové optimalizace</w:t>
            </w:r>
            <w:r w:rsidR="000779AC" w:rsidRPr="00410BCD">
              <w:t xml:space="preserve"> ve</w:t>
            </w:r>
            <w:r w:rsidR="000779AC">
              <w:t> </w:t>
            </w:r>
            <w:r w:rsidR="000779AC" w:rsidRPr="00410BCD">
              <w:t xml:space="preserve">čtvrtletí předchozím, ve 4. </w:t>
            </w:r>
            <w:r w:rsidR="000779AC">
              <w:t xml:space="preserve">kvartále </w:t>
            </w:r>
            <w:r w:rsidR="000779AC" w:rsidRPr="00410BCD">
              <w:t xml:space="preserve">2014 </w:t>
            </w:r>
            <w:r w:rsidR="000779AC">
              <w:t>docházelo v důsledku dále posilující poptávky k redukci zásob zboží a nedokončených výrobků.</w:t>
            </w:r>
          </w:p>
          <w:p w:rsidR="000779AC" w:rsidRPr="008F7D28" w:rsidRDefault="000779AC" w:rsidP="008B730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0779AC" w:rsidRPr="00DB4FB8" w:rsidTr="008F7D28">
        <w:tc>
          <w:tcPr>
            <w:tcW w:w="1054" w:type="pct"/>
          </w:tcPr>
          <w:p w:rsidR="000779AC" w:rsidRPr="00FF3DF3" w:rsidRDefault="000779AC" w:rsidP="00A727BA">
            <w:pPr>
              <w:spacing w:line="240" w:lineRule="auto"/>
              <w:rPr>
                <w:spacing w:val="-6"/>
                <w:sz w:val="16"/>
                <w:szCs w:val="16"/>
              </w:rPr>
            </w:pPr>
            <w:r w:rsidRPr="00FF3DF3">
              <w:rPr>
                <w:spacing w:val="-6"/>
                <w:sz w:val="16"/>
                <w:szCs w:val="16"/>
              </w:rPr>
              <w:t xml:space="preserve">Přebytek zahraničního obchodu ve stálých cenách se v roce 2014 vlivem silného růstu domácí poptávky zmenšil, … </w:t>
            </w:r>
          </w:p>
        </w:tc>
        <w:tc>
          <w:tcPr>
            <w:tcW w:w="143" w:type="pct"/>
          </w:tcPr>
          <w:p w:rsidR="000779AC" w:rsidRPr="00ED336F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301D04" w:rsidRDefault="000779AC" w:rsidP="00301D04">
            <w:pPr>
              <w:pStyle w:val="Textpoznpodarou"/>
              <w:jc w:val="both"/>
            </w:pPr>
            <w:r>
              <w:t>Obnovený hospodářský růst v eurozóně společně se slabší korunou, která zvyšovala konkurenceschopnost domácích exportérů na světových trzích, měl velmi pozitivní vliv na objem vývozu zboží a služeb z ČR do zahraničí. Narostl o 8,8 %, výrazně více než v „chudém“ roce 2013 (+0,3 %), na přírůstek objemu dovozu – jenž byl dynamizován sílou domácí poptávky – to ale nestačilo (+9,6 %).</w:t>
            </w:r>
          </w:p>
          <w:p w:rsidR="00EA06CB" w:rsidRPr="008F7D28" w:rsidRDefault="00EA06CB" w:rsidP="00301D04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0779AC" w:rsidRPr="00DB4FB8" w:rsidTr="008F7D28">
        <w:tc>
          <w:tcPr>
            <w:tcW w:w="1054" w:type="pct"/>
          </w:tcPr>
          <w:p w:rsidR="000779AC" w:rsidRPr="00DB4FB8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avšak v běžných cenách – díky příznivému vývoji cen v obchodě se zbožím – narostl na historické maximum</w:t>
            </w:r>
          </w:p>
        </w:tc>
        <w:tc>
          <w:tcPr>
            <w:tcW w:w="143" w:type="pct"/>
          </w:tcPr>
          <w:p w:rsidR="000779AC" w:rsidRPr="00DB4FB8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Default="000779AC" w:rsidP="00F72F44">
            <w:pPr>
              <w:pStyle w:val="Textpoznpodarou"/>
              <w:jc w:val="both"/>
            </w:pPr>
            <w:r w:rsidRPr="002F7594">
              <w:t>Výsledek zahraničního obchodu se zbožím a službami narostl v roce 2014 na historicky nejvyšších 292,6 mld. korun nominálně. Zatímco samotný přebytek zahraničního obchodu se službami se v porovnání s rokem 2013 o 14,4 mld. korun zmenšil, převaha vývozu zboží nad jeho dovozem díky pozitivním směnným relacím o 71,4 mld. korun narostla.</w:t>
            </w:r>
          </w:p>
          <w:p w:rsidR="00F72F44" w:rsidRPr="00DB016E" w:rsidRDefault="00F72F44" w:rsidP="00F72F44">
            <w:pPr>
              <w:pStyle w:val="Textpoznpodarou"/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0779AC" w:rsidRPr="00DB4FB8" w:rsidTr="008F7D28">
        <w:tc>
          <w:tcPr>
            <w:tcW w:w="1054" w:type="pct"/>
          </w:tcPr>
          <w:p w:rsidR="000779AC" w:rsidRPr="00DB4FB8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Podle hrubé přidané hodnoty již česká ekonomika rok 2008 překonala </w:t>
            </w:r>
          </w:p>
        </w:tc>
        <w:tc>
          <w:tcPr>
            <w:tcW w:w="143" w:type="pct"/>
          </w:tcPr>
          <w:p w:rsidR="000779AC" w:rsidRPr="00DB4FB8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779AC" w:rsidRDefault="000779AC" w:rsidP="00F72F44">
            <w:pPr>
              <w:pStyle w:val="Textpoznpodarou"/>
              <w:jc w:val="both"/>
              <w:rPr>
                <w:spacing w:val="-2"/>
              </w:rPr>
            </w:pPr>
            <w:r w:rsidRPr="00EE0298">
              <w:rPr>
                <w:spacing w:val="-2"/>
              </w:rPr>
              <w:t xml:space="preserve">Celkový výkon české ekonomiky, měřený hrubou přidanou hodnotou, se v roce </w:t>
            </w:r>
            <w:r>
              <w:rPr>
                <w:spacing w:val="-2"/>
              </w:rPr>
              <w:t>2014 zvýšil o 2,6 %. Všechna</w:t>
            </w:r>
            <w:r w:rsidRPr="00EE0298">
              <w:rPr>
                <w:spacing w:val="-2"/>
              </w:rPr>
              <w:t xml:space="preserve"> odvětví v ekonomice ČR vyprodu</w:t>
            </w:r>
            <w:r>
              <w:rPr>
                <w:spacing w:val="-2"/>
              </w:rPr>
              <w:t>kovala</w:t>
            </w:r>
            <w:r w:rsidRPr="00EE0298">
              <w:rPr>
                <w:spacing w:val="-2"/>
              </w:rPr>
              <w:t xml:space="preserve"> společně</w:t>
            </w:r>
            <w:r>
              <w:rPr>
                <w:spacing w:val="-2"/>
              </w:rPr>
              <w:t xml:space="preserve"> </w:t>
            </w:r>
            <w:r w:rsidRPr="00EE0298">
              <w:rPr>
                <w:spacing w:val="-2"/>
              </w:rPr>
              <w:t>zboží a služ</w:t>
            </w:r>
            <w:r>
              <w:rPr>
                <w:spacing w:val="-2"/>
              </w:rPr>
              <w:t>by v objemu</w:t>
            </w:r>
            <w:r w:rsidRPr="00EE0298">
              <w:rPr>
                <w:spacing w:val="-2"/>
              </w:rPr>
              <w:t xml:space="preserve">, </w:t>
            </w:r>
            <w:r>
              <w:rPr>
                <w:spacing w:val="-2"/>
              </w:rPr>
              <w:t>jenž</w:t>
            </w:r>
            <w:r w:rsidRPr="00EE0298">
              <w:rPr>
                <w:spacing w:val="-2"/>
              </w:rPr>
              <w:t xml:space="preserve"> poprvé překročil úroveň roku 2008. Byl vyšší o 0,5 %.</w:t>
            </w:r>
          </w:p>
          <w:p w:rsidR="00F72F44" w:rsidRPr="00DB016E" w:rsidRDefault="00F72F44" w:rsidP="00F72F44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0779AC" w:rsidRPr="00DB4FB8" w:rsidTr="008F7D28">
        <w:tc>
          <w:tcPr>
            <w:tcW w:w="1054" w:type="pct"/>
          </w:tcPr>
          <w:p w:rsidR="000779AC" w:rsidRPr="00DB4FB8" w:rsidRDefault="000779AC" w:rsidP="00A727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růstu hrubé přidané hodnoty v roce 2014 největším dílem přispěl na zahraniční poptávku silně orientovaný zpracovatelský průmysl společně s objemově významnými službami</w:t>
            </w:r>
          </w:p>
        </w:tc>
        <w:tc>
          <w:tcPr>
            <w:tcW w:w="143" w:type="pct"/>
          </w:tcPr>
          <w:p w:rsidR="000779AC" w:rsidRPr="00DB4FB8" w:rsidRDefault="000779AC" w:rsidP="008B730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FF3DF3" w:rsidRDefault="000779AC" w:rsidP="00F72F44">
            <w:pPr>
              <w:pStyle w:val="Textpoznpodarou"/>
              <w:jc w:val="both"/>
              <w:rPr>
                <w:spacing w:val="-4"/>
              </w:rPr>
            </w:pPr>
            <w:r w:rsidRPr="00773613">
              <w:rPr>
                <w:spacing w:val="-4"/>
              </w:rPr>
              <w:t xml:space="preserve">K růstu ekonomiky ČR v roce 2014, z hlediska nabídkové strany, největším dílem přispěl zpracovatelský průmysl (+1,5 </w:t>
            </w:r>
            <w:proofErr w:type="spellStart"/>
            <w:r w:rsidRPr="00773613">
              <w:rPr>
                <w:spacing w:val="-4"/>
              </w:rPr>
              <w:t>pb</w:t>
            </w:r>
            <w:proofErr w:type="spellEnd"/>
            <w:r w:rsidRPr="00773613">
              <w:rPr>
                <w:spacing w:val="-4"/>
              </w:rPr>
              <w:t>.), který již od poloviny roku 2013 těžil z vyšší poptávky v zahraničí i v tuzemsku. Zbývající průmyslová odvětví v úhrnu (CZ-NACE B, D, E) – poznamenaná zejména vleklým poklesem cen uhlí na světovém trhu (těžba</w:t>
            </w:r>
            <w:r>
              <w:rPr>
                <w:spacing w:val="-4"/>
              </w:rPr>
              <w:t> </w:t>
            </w:r>
            <w:r w:rsidRPr="00773613">
              <w:rPr>
                <w:spacing w:val="-4"/>
              </w:rPr>
              <w:t xml:space="preserve">a dobývání) a mírnou zimou (energetika) – růst ekonomiky brzdila (-0,1 </w:t>
            </w:r>
            <w:proofErr w:type="spellStart"/>
            <w:r w:rsidRPr="00773613">
              <w:rPr>
                <w:spacing w:val="-4"/>
              </w:rPr>
              <w:t>pb</w:t>
            </w:r>
            <w:proofErr w:type="spellEnd"/>
            <w:r w:rsidRPr="00773613">
              <w:rPr>
                <w:spacing w:val="-4"/>
              </w:rPr>
              <w:t xml:space="preserve">.). Dobrá úroda zemědělských plodin se pozitivně projevila ve výkonech </w:t>
            </w:r>
            <w:r w:rsidR="00FF3DF3">
              <w:rPr>
                <w:spacing w:val="-4"/>
              </w:rPr>
              <w:t>skupiny</w:t>
            </w:r>
            <w:r w:rsidRPr="00773613">
              <w:rPr>
                <w:spacing w:val="-4"/>
              </w:rPr>
              <w:t xml:space="preserve"> odvětví</w:t>
            </w:r>
            <w:r>
              <w:rPr>
                <w:spacing w:val="-4"/>
              </w:rPr>
              <w:t> </w:t>
            </w:r>
            <w:r w:rsidRPr="00773613">
              <w:rPr>
                <w:spacing w:val="-4"/>
              </w:rPr>
              <w:t xml:space="preserve">zahrnující zemědělství, lesnictví a rybářství (+0,2 </w:t>
            </w:r>
            <w:proofErr w:type="spellStart"/>
            <w:r w:rsidRPr="00773613">
              <w:rPr>
                <w:spacing w:val="-4"/>
              </w:rPr>
              <w:t>pb</w:t>
            </w:r>
            <w:proofErr w:type="spellEnd"/>
            <w:r w:rsidRPr="00773613">
              <w:rPr>
                <w:spacing w:val="-4"/>
              </w:rPr>
              <w:t>.), nárůst poptávky po stavebních činnostech ze strany soukromých osob i veřejných zadavatelů v</w:t>
            </w:r>
            <w:r>
              <w:rPr>
                <w:spacing w:val="-4"/>
              </w:rPr>
              <w:t> </w:t>
            </w:r>
            <w:r w:rsidRPr="00773613">
              <w:rPr>
                <w:spacing w:val="-4"/>
              </w:rPr>
              <w:t>hrubé</w:t>
            </w:r>
            <w:r>
              <w:rPr>
                <w:spacing w:val="-4"/>
              </w:rPr>
              <w:t> </w:t>
            </w:r>
            <w:r w:rsidRPr="00773613">
              <w:rPr>
                <w:spacing w:val="-4"/>
              </w:rPr>
              <w:t>přidané hodnotě stavebnictví (+0,1 </w:t>
            </w:r>
            <w:proofErr w:type="spellStart"/>
            <w:r w:rsidRPr="00773613">
              <w:rPr>
                <w:spacing w:val="-4"/>
              </w:rPr>
              <w:t>pb</w:t>
            </w:r>
            <w:proofErr w:type="spellEnd"/>
            <w:r w:rsidRPr="00773613">
              <w:rPr>
                <w:spacing w:val="-4"/>
              </w:rPr>
              <w:t>.). Služby jako celek</w:t>
            </w:r>
            <w:r>
              <w:rPr>
                <w:spacing w:val="-4"/>
              </w:rPr>
              <w:t xml:space="preserve"> (CZ-NACE G-U)</w:t>
            </w:r>
            <w:r w:rsidRPr="00773613">
              <w:rPr>
                <w:spacing w:val="-4"/>
              </w:rPr>
              <w:t xml:space="preserve">, které se na celkovém výkonu české ekonomiky podílí zhruba třemi pětinami, k růstu ekonomiky v roce 2014 přispěly silou 0,9 </w:t>
            </w:r>
            <w:proofErr w:type="spellStart"/>
            <w:r w:rsidRPr="00773613">
              <w:rPr>
                <w:spacing w:val="-4"/>
              </w:rPr>
              <w:t>pb</w:t>
            </w:r>
            <w:proofErr w:type="spellEnd"/>
            <w:r w:rsidRPr="00773613">
              <w:rPr>
                <w:spacing w:val="-4"/>
              </w:rPr>
              <w:t>.</w:t>
            </w:r>
          </w:p>
          <w:p w:rsidR="00F72F44" w:rsidRPr="008F7D28" w:rsidRDefault="00F72F44" w:rsidP="00F72F44">
            <w:pPr>
              <w:pStyle w:val="Textpoznpodarou"/>
              <w:jc w:val="both"/>
              <w:rPr>
                <w:spacing w:val="-4"/>
                <w:sz w:val="18"/>
                <w:szCs w:val="18"/>
              </w:rPr>
            </w:pPr>
          </w:p>
        </w:tc>
      </w:tr>
    </w:tbl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"/>
        <w:gridCol w:w="3874"/>
        <w:gridCol w:w="616"/>
        <w:gridCol w:w="4310"/>
      </w:tblGrid>
      <w:tr w:rsidR="003D4760" w:rsidRPr="003D4760" w:rsidTr="00782818">
        <w:tc>
          <w:tcPr>
            <w:tcW w:w="534" w:type="pct"/>
          </w:tcPr>
          <w:p w:rsidR="003D4760" w:rsidRPr="003D4760" w:rsidRDefault="003D4760" w:rsidP="008B7306">
            <w:pPr>
              <w:pStyle w:val="Textpoznpodarou"/>
              <w:rPr>
                <w:sz w:val="20"/>
              </w:rPr>
            </w:pPr>
            <w:r w:rsidRPr="003D4760">
              <w:rPr>
                <w:sz w:val="20"/>
              </w:rPr>
              <w:t>Graf č. 1</w:t>
            </w:r>
          </w:p>
        </w:tc>
        <w:tc>
          <w:tcPr>
            <w:tcW w:w="1967" w:type="pct"/>
          </w:tcPr>
          <w:p w:rsidR="003D4760" w:rsidRPr="003D4760" w:rsidRDefault="003D4760" w:rsidP="008B7306">
            <w:pPr>
              <w:pStyle w:val="Textpoznpodarou"/>
              <w:rPr>
                <w:sz w:val="20"/>
              </w:rPr>
            </w:pPr>
            <w:r w:rsidRPr="003D4760">
              <w:rPr>
                <w:b/>
                <w:sz w:val="20"/>
              </w:rPr>
              <w:t xml:space="preserve">HDP </w:t>
            </w:r>
            <w:r w:rsidRPr="003D4760">
              <w:rPr>
                <w:sz w:val="20"/>
              </w:rPr>
              <w:t>(stálé ceny, očištěno od sezónnosti a vlivu počtu pracovních dní, v %)</w:t>
            </w:r>
          </w:p>
        </w:tc>
        <w:tc>
          <w:tcPr>
            <w:tcW w:w="311" w:type="pct"/>
          </w:tcPr>
          <w:p w:rsidR="003D4760" w:rsidRPr="003D4760" w:rsidRDefault="003D4760" w:rsidP="008B7306">
            <w:pPr>
              <w:pStyle w:val="Textpoznpodarou"/>
              <w:rPr>
                <w:sz w:val="20"/>
              </w:rPr>
            </w:pPr>
            <w:r w:rsidRPr="003D4760">
              <w:rPr>
                <w:sz w:val="20"/>
              </w:rPr>
              <w:t>Graf č. 2</w:t>
            </w:r>
          </w:p>
        </w:tc>
        <w:tc>
          <w:tcPr>
            <w:tcW w:w="2189" w:type="pct"/>
          </w:tcPr>
          <w:p w:rsidR="003D4760" w:rsidRPr="003D4760" w:rsidRDefault="003D4760" w:rsidP="008B7306">
            <w:pPr>
              <w:pStyle w:val="Textpoznpodarou"/>
              <w:rPr>
                <w:spacing w:val="-2"/>
                <w:sz w:val="20"/>
              </w:rPr>
            </w:pPr>
            <w:r w:rsidRPr="003D4760">
              <w:rPr>
                <w:b/>
                <w:spacing w:val="-2"/>
                <w:sz w:val="20"/>
              </w:rPr>
              <w:t xml:space="preserve">HDP </w:t>
            </w:r>
            <w:r w:rsidRPr="003D4760">
              <w:rPr>
                <w:spacing w:val="-2"/>
                <w:sz w:val="20"/>
              </w:rPr>
              <w:t xml:space="preserve">(stálé ceny, očištěno od sezónnosti a vlivu počtu pracovních dní, y/y v %, pravá osa) </w:t>
            </w:r>
            <w:r w:rsidRPr="003D4760">
              <w:rPr>
                <w:b/>
                <w:spacing w:val="-2"/>
                <w:sz w:val="20"/>
              </w:rPr>
              <w:t>a indikátory důvěry</w:t>
            </w:r>
            <w:r w:rsidRPr="003D4760">
              <w:rPr>
                <w:spacing w:val="-2"/>
                <w:sz w:val="20"/>
              </w:rPr>
              <w:t xml:space="preserve"> (2005=100, levá osa)</w:t>
            </w:r>
          </w:p>
        </w:tc>
      </w:tr>
      <w:tr w:rsidR="003D4760" w:rsidRPr="007D44C3" w:rsidTr="008B7306">
        <w:tc>
          <w:tcPr>
            <w:tcW w:w="2501" w:type="pct"/>
            <w:gridSpan w:val="2"/>
          </w:tcPr>
          <w:p w:rsidR="003D4760" w:rsidRPr="007D44C3" w:rsidRDefault="003D4760" w:rsidP="008B7306">
            <w:pPr>
              <w:pStyle w:val="Textpoznpodarou"/>
              <w:jc w:val="both"/>
            </w:pPr>
            <w:r w:rsidRPr="009F3BFF">
              <w:rPr>
                <w:noProof/>
              </w:rPr>
              <w:drawing>
                <wp:inline distT="0" distB="0" distL="0" distR="0">
                  <wp:extent cx="3011805" cy="2377440"/>
                  <wp:effectExtent l="19050" t="0" r="0" b="0"/>
                  <wp:docPr id="5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3D4760" w:rsidRPr="007D44C3" w:rsidRDefault="003D4760" w:rsidP="008B7306">
            <w:pPr>
              <w:pStyle w:val="Textpoznpodarou"/>
              <w:jc w:val="both"/>
            </w:pPr>
            <w:r w:rsidRPr="0038158D">
              <w:rPr>
                <w:noProof/>
              </w:rPr>
              <w:drawing>
                <wp:inline distT="0" distB="0" distL="0" distR="0">
                  <wp:extent cx="3005455" cy="2377440"/>
                  <wp:effectExtent l="19050" t="0" r="4445" b="0"/>
                  <wp:docPr id="4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760" w:rsidRPr="007D44C3" w:rsidTr="008B7306">
        <w:tc>
          <w:tcPr>
            <w:tcW w:w="5000" w:type="pct"/>
            <w:gridSpan w:val="4"/>
          </w:tcPr>
          <w:p w:rsidR="006C559A" w:rsidRDefault="003D4760" w:rsidP="008F7D28">
            <w:pPr>
              <w:pStyle w:val="Textpoznpodarou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</w:t>
            </w:r>
            <w:r w:rsidRPr="007D44C3">
              <w:rPr>
                <w:sz w:val="18"/>
                <w:szCs w:val="18"/>
              </w:rPr>
              <w:t xml:space="preserve">: ČSÚ, </w:t>
            </w:r>
            <w:proofErr w:type="spellStart"/>
            <w:r w:rsidRPr="007D44C3">
              <w:rPr>
                <w:sz w:val="18"/>
                <w:szCs w:val="18"/>
              </w:rPr>
              <w:t>Eurostat</w:t>
            </w:r>
            <w:proofErr w:type="spellEnd"/>
          </w:p>
          <w:p w:rsidR="008F7D28" w:rsidRPr="007D44C3" w:rsidRDefault="008F7D28" w:rsidP="008F7D28">
            <w:pPr>
              <w:pStyle w:val="Textpoznpodarou"/>
              <w:jc w:val="right"/>
              <w:rPr>
                <w:sz w:val="18"/>
                <w:szCs w:val="18"/>
              </w:rPr>
            </w:pPr>
          </w:p>
        </w:tc>
      </w:tr>
    </w:tbl>
    <w:tbl>
      <w:tblPr>
        <w:tblStyle w:val="Mkatabulk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"/>
        <w:gridCol w:w="4289"/>
        <w:gridCol w:w="1008"/>
        <w:gridCol w:w="1394"/>
        <w:gridCol w:w="2531"/>
      </w:tblGrid>
      <w:tr w:rsidR="003D4760" w:rsidRPr="003D4760" w:rsidTr="008F7D28">
        <w:tc>
          <w:tcPr>
            <w:tcW w:w="319" w:type="pct"/>
          </w:tcPr>
          <w:p w:rsidR="003D4760" w:rsidRPr="003D4760" w:rsidRDefault="003D4760" w:rsidP="008B7306">
            <w:pPr>
              <w:pStyle w:val="Textpoznpodarou"/>
              <w:rPr>
                <w:sz w:val="20"/>
              </w:rPr>
            </w:pPr>
            <w:r w:rsidRPr="003D4760">
              <w:rPr>
                <w:sz w:val="20"/>
              </w:rPr>
              <w:t>Graf č. 3</w:t>
            </w:r>
          </w:p>
        </w:tc>
        <w:tc>
          <w:tcPr>
            <w:tcW w:w="2178" w:type="pct"/>
          </w:tcPr>
          <w:p w:rsidR="003D4760" w:rsidRPr="003D4760" w:rsidRDefault="003D4760" w:rsidP="008B7306">
            <w:pPr>
              <w:pStyle w:val="Textpoznpodarou"/>
              <w:rPr>
                <w:spacing w:val="-6"/>
                <w:sz w:val="20"/>
              </w:rPr>
            </w:pPr>
            <w:r w:rsidRPr="003D4760">
              <w:rPr>
                <w:b/>
                <w:spacing w:val="-6"/>
                <w:sz w:val="20"/>
              </w:rPr>
              <w:t>Příspěvky výdajových složek ke změně HDP*</w:t>
            </w:r>
            <w:r w:rsidRPr="003D4760">
              <w:rPr>
                <w:spacing w:val="-6"/>
                <w:sz w:val="20"/>
              </w:rPr>
              <w:t xml:space="preserve"> (stálé ceny, y/y, příspěvky v </w:t>
            </w:r>
            <w:proofErr w:type="spellStart"/>
            <w:r w:rsidRPr="003D4760">
              <w:rPr>
                <w:spacing w:val="-6"/>
                <w:sz w:val="20"/>
              </w:rPr>
              <w:t>pb</w:t>
            </w:r>
            <w:proofErr w:type="spellEnd"/>
            <w:r w:rsidRPr="003D4760">
              <w:rPr>
                <w:spacing w:val="-6"/>
                <w:sz w:val="20"/>
              </w:rPr>
              <w:t>., HDP v %)</w:t>
            </w:r>
          </w:p>
        </w:tc>
        <w:tc>
          <w:tcPr>
            <w:tcW w:w="511" w:type="pct"/>
          </w:tcPr>
          <w:p w:rsidR="003D4760" w:rsidRPr="003D4760" w:rsidRDefault="003D4760" w:rsidP="008B7306">
            <w:pPr>
              <w:pStyle w:val="Textpoznpodarou"/>
              <w:rPr>
                <w:sz w:val="20"/>
              </w:rPr>
            </w:pPr>
            <w:r w:rsidRPr="003D4760">
              <w:rPr>
                <w:sz w:val="20"/>
              </w:rPr>
              <w:t>Graf č. 4</w:t>
            </w:r>
          </w:p>
        </w:tc>
        <w:tc>
          <w:tcPr>
            <w:tcW w:w="1992" w:type="pct"/>
            <w:gridSpan w:val="2"/>
          </w:tcPr>
          <w:p w:rsidR="003D4760" w:rsidRPr="003D4760" w:rsidRDefault="003D4760" w:rsidP="008B7306">
            <w:pPr>
              <w:pStyle w:val="Textpoznpodarou"/>
              <w:rPr>
                <w:sz w:val="20"/>
              </w:rPr>
            </w:pPr>
            <w:r w:rsidRPr="003D4760">
              <w:rPr>
                <w:b/>
                <w:sz w:val="20"/>
              </w:rPr>
              <w:t>Příspěvky odvětví ke změně HPH</w:t>
            </w:r>
            <w:r w:rsidRPr="003D4760">
              <w:rPr>
                <w:sz w:val="20"/>
              </w:rPr>
              <w:t xml:space="preserve"> (stálé ceny, y/y, příspěvky v </w:t>
            </w:r>
            <w:proofErr w:type="spellStart"/>
            <w:r w:rsidRPr="003D4760">
              <w:rPr>
                <w:sz w:val="20"/>
              </w:rPr>
              <w:t>pb</w:t>
            </w:r>
            <w:proofErr w:type="spellEnd"/>
            <w:r w:rsidRPr="003D4760">
              <w:rPr>
                <w:sz w:val="20"/>
              </w:rPr>
              <w:t>., HPH v %)</w:t>
            </w:r>
          </w:p>
        </w:tc>
      </w:tr>
      <w:tr w:rsidR="003D4760" w:rsidRPr="007D44C3" w:rsidTr="008F7D28">
        <w:tc>
          <w:tcPr>
            <w:tcW w:w="2497" w:type="pct"/>
            <w:gridSpan w:val="2"/>
          </w:tcPr>
          <w:p w:rsidR="003D4760" w:rsidRPr="007D44C3" w:rsidRDefault="003D4760" w:rsidP="008B7306">
            <w:pPr>
              <w:pStyle w:val="Textpoznpodarou"/>
              <w:jc w:val="both"/>
            </w:pPr>
            <w:r w:rsidRPr="00242588">
              <w:rPr>
                <w:noProof/>
              </w:rPr>
              <w:drawing>
                <wp:inline distT="0" distB="0" distL="0" distR="0">
                  <wp:extent cx="3005455" cy="2377440"/>
                  <wp:effectExtent l="19050" t="0" r="4445" b="0"/>
                  <wp:docPr id="4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pct"/>
            <w:gridSpan w:val="3"/>
          </w:tcPr>
          <w:p w:rsidR="003D4760" w:rsidRPr="007D44C3" w:rsidRDefault="003D4760" w:rsidP="008B7306">
            <w:pPr>
              <w:pStyle w:val="Textpoznpodarou"/>
              <w:jc w:val="both"/>
            </w:pPr>
            <w:r w:rsidRPr="00242588">
              <w:rPr>
                <w:noProof/>
              </w:rPr>
              <w:drawing>
                <wp:inline distT="0" distB="0" distL="0" distR="0">
                  <wp:extent cx="3017520" cy="2377440"/>
                  <wp:effectExtent l="19050" t="0" r="0" b="0"/>
                  <wp:docPr id="12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760" w:rsidRPr="003D4760" w:rsidTr="008F7D28">
        <w:tc>
          <w:tcPr>
            <w:tcW w:w="3715" w:type="pct"/>
            <w:gridSpan w:val="4"/>
          </w:tcPr>
          <w:p w:rsidR="003D4760" w:rsidRPr="003D4760" w:rsidRDefault="003D4760" w:rsidP="008B7306">
            <w:pPr>
              <w:pStyle w:val="Textpoznpodarou"/>
              <w:rPr>
                <w:sz w:val="18"/>
                <w:szCs w:val="18"/>
              </w:rPr>
            </w:pPr>
            <w:r w:rsidRPr="003D4760">
              <w:rPr>
                <w:sz w:val="18"/>
                <w:szCs w:val="18"/>
              </w:rPr>
              <w:t>*příspěvky ke změně HDP bez vyloučení dovozu pro konečné užití</w:t>
            </w:r>
          </w:p>
        </w:tc>
        <w:tc>
          <w:tcPr>
            <w:tcW w:w="1285" w:type="pct"/>
          </w:tcPr>
          <w:p w:rsidR="003D4760" w:rsidRPr="003D4760" w:rsidRDefault="003D4760" w:rsidP="008B7306">
            <w:pPr>
              <w:pStyle w:val="Textpoznpodarou"/>
              <w:jc w:val="right"/>
              <w:rPr>
                <w:sz w:val="18"/>
                <w:szCs w:val="18"/>
              </w:rPr>
            </w:pPr>
            <w:r w:rsidRPr="003D4760">
              <w:rPr>
                <w:sz w:val="18"/>
                <w:szCs w:val="18"/>
              </w:rPr>
              <w:t>Zdroj: ČSÚ</w:t>
            </w:r>
          </w:p>
        </w:tc>
      </w:tr>
    </w:tbl>
    <w:p w:rsidR="00BF3DF1" w:rsidRPr="0043068A" w:rsidRDefault="0085281A" w:rsidP="007211C3">
      <w:pPr>
        <w:pStyle w:val="Nadpis1"/>
        <w:jc w:val="both"/>
        <w:rPr>
          <w:lang w:eastAsia="ar-SA"/>
        </w:rPr>
      </w:pPr>
      <w:r w:rsidRPr="0085281A">
        <w:rPr>
          <w:rFonts w:cs="Arial"/>
          <w:szCs w:val="20"/>
        </w:rPr>
        <w:t xml:space="preserve"> </w:t>
      </w:r>
    </w:p>
    <w:sectPr w:rsidR="00BF3DF1" w:rsidRPr="0043068A" w:rsidSect="007211C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5D" w:rsidRDefault="0075315D" w:rsidP="00E71A58">
      <w:r>
        <w:separator/>
      </w:r>
    </w:p>
  </w:endnote>
  <w:endnote w:type="continuationSeparator" w:id="0">
    <w:p w:rsidR="0075315D" w:rsidRDefault="0075315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2C15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802C15" w:rsidRPr="005A21E0">
      <w:rPr>
        <w:rFonts w:ascii="Arial" w:hAnsi="Arial" w:cs="Arial"/>
        <w:sz w:val="16"/>
        <w:szCs w:val="16"/>
      </w:rPr>
      <w:fldChar w:fldCharType="separate"/>
    </w:r>
    <w:r w:rsidR="007211C3">
      <w:rPr>
        <w:rFonts w:ascii="Arial" w:hAnsi="Arial" w:cs="Arial"/>
        <w:noProof/>
        <w:sz w:val="16"/>
        <w:szCs w:val="16"/>
      </w:rPr>
      <w:t>6</w:t>
    </w:r>
    <w:r w:rsidR="00802C15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29" name="obrázek 142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75315D" w:rsidRPr="00223E00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802C15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802C15" w:rsidRPr="00223E00">
      <w:rPr>
        <w:rFonts w:ascii="Arial" w:hAnsi="Arial" w:cs="Arial"/>
        <w:sz w:val="16"/>
        <w:szCs w:val="16"/>
      </w:rPr>
      <w:fldChar w:fldCharType="separate"/>
    </w:r>
    <w:r w:rsidR="007211C3">
      <w:rPr>
        <w:rFonts w:ascii="Arial" w:hAnsi="Arial" w:cs="Arial"/>
        <w:noProof/>
        <w:sz w:val="16"/>
        <w:szCs w:val="16"/>
      </w:rPr>
      <w:t>7</w:t>
    </w:r>
    <w:r w:rsidR="00802C15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5D" w:rsidRDefault="0075315D" w:rsidP="00E71A58">
      <w:r>
        <w:separator/>
      </w:r>
    </w:p>
  </w:footnote>
  <w:footnote w:type="continuationSeparator" w:id="0">
    <w:p w:rsidR="0075315D" w:rsidRDefault="0075315D" w:rsidP="00E71A58">
      <w:r>
        <w:continuationSeparator/>
      </w:r>
    </w:p>
  </w:footnote>
  <w:footnote w:id="1">
    <w:p w:rsidR="00460164" w:rsidRPr="00460164" w:rsidRDefault="00460164" w:rsidP="00460164">
      <w:pPr>
        <w:pStyle w:val="Textpoznpodarou"/>
        <w:rPr>
          <w:sz w:val="16"/>
          <w:szCs w:val="16"/>
        </w:rPr>
      </w:pPr>
      <w:r w:rsidRPr="00460164">
        <w:rPr>
          <w:sz w:val="16"/>
          <w:szCs w:val="16"/>
          <w:vertAlign w:val="superscript"/>
        </w:rPr>
        <w:footnoteRef/>
      </w:r>
      <w:r w:rsidRPr="00460164">
        <w:rPr>
          <w:sz w:val="16"/>
          <w:szCs w:val="16"/>
          <w:vertAlign w:val="superscript"/>
        </w:rPr>
        <w:t xml:space="preserve"> </w:t>
      </w:r>
      <w:r w:rsidRPr="00A8574B">
        <w:rPr>
          <w:sz w:val="16"/>
          <w:szCs w:val="16"/>
        </w:rPr>
        <w:t>Reálně, očištěno od sezónnosti a vlivu nestejného počtu pracovních dní - pokud není uvedeno jinak.</w:t>
      </w:r>
    </w:p>
  </w:footnote>
  <w:footnote w:id="2">
    <w:p w:rsidR="00460164" w:rsidRDefault="00460164" w:rsidP="00460164">
      <w:pPr>
        <w:pStyle w:val="Textpoznpodarou"/>
      </w:pPr>
      <w:r w:rsidRPr="00460164">
        <w:rPr>
          <w:sz w:val="16"/>
          <w:szCs w:val="16"/>
          <w:vertAlign w:val="superscript"/>
        </w:rPr>
        <w:footnoteRef/>
      </w:r>
      <w:r w:rsidRPr="00460164">
        <w:rPr>
          <w:sz w:val="16"/>
          <w:szCs w:val="16"/>
        </w:rPr>
        <w:t xml:space="preserve"> </w:t>
      </w:r>
      <w:r w:rsidRPr="00A8574B">
        <w:rPr>
          <w:sz w:val="16"/>
          <w:szCs w:val="16"/>
        </w:rPr>
        <w:t>Příspěvky ke změně HDP bez vyloučení dovozu pro konečné užití.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173642" w:rsidRDefault="0075315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DC5B3B" w:rsidRDefault="0075315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E41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966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463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5A9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89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709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96A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05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AB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2C3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2014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41A7BF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0355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F1AE0"/>
    <w:multiLevelType w:val="hybridMultilevel"/>
    <w:tmpl w:val="844CE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14C7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2521970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D4A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5F91BE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A2125F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1A2D63B1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35D4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03D0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031BA"/>
    <w:multiLevelType w:val="hybridMultilevel"/>
    <w:tmpl w:val="E22EB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36DA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E686B0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E50C6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6404E"/>
    <w:multiLevelType w:val="hybridMultilevel"/>
    <w:tmpl w:val="B6EE725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0744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2FD6EF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0148B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7323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0542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83E8F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D832AFA"/>
    <w:multiLevelType w:val="hybridMultilevel"/>
    <w:tmpl w:val="FBE8873C"/>
    <w:lvl w:ilvl="0" w:tplc="8050E9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B57C7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07AE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67C7F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6924CEA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8F4261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C66F9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6D103F7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0E96A1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249E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A6971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BE609F0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7E706D5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22"/>
  </w:num>
  <w:num w:numId="5">
    <w:abstractNumId w:val="37"/>
  </w:num>
  <w:num w:numId="6">
    <w:abstractNumId w:val="43"/>
  </w:num>
  <w:num w:numId="7">
    <w:abstractNumId w:val="14"/>
  </w:num>
  <w:num w:numId="8">
    <w:abstractNumId w:val="34"/>
  </w:num>
  <w:num w:numId="9">
    <w:abstractNumId w:val="42"/>
  </w:num>
  <w:num w:numId="10">
    <w:abstractNumId w:val="17"/>
  </w:num>
  <w:num w:numId="11">
    <w:abstractNumId w:val="47"/>
  </w:num>
  <w:num w:numId="12">
    <w:abstractNumId w:val="29"/>
  </w:num>
  <w:num w:numId="13">
    <w:abstractNumId w:val="4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10"/>
  </w:num>
  <w:num w:numId="26">
    <w:abstractNumId w:val="38"/>
  </w:num>
  <w:num w:numId="27">
    <w:abstractNumId w:val="39"/>
  </w:num>
  <w:num w:numId="28">
    <w:abstractNumId w:val="16"/>
  </w:num>
  <w:num w:numId="29">
    <w:abstractNumId w:val="18"/>
  </w:num>
  <w:num w:numId="30">
    <w:abstractNumId w:val="41"/>
  </w:num>
  <w:num w:numId="31">
    <w:abstractNumId w:val="20"/>
  </w:num>
  <w:num w:numId="32">
    <w:abstractNumId w:val="49"/>
  </w:num>
  <w:num w:numId="33">
    <w:abstractNumId w:val="45"/>
  </w:num>
  <w:num w:numId="34">
    <w:abstractNumId w:val="19"/>
  </w:num>
  <w:num w:numId="35">
    <w:abstractNumId w:val="24"/>
  </w:num>
  <w:num w:numId="36">
    <w:abstractNumId w:val="32"/>
  </w:num>
  <w:num w:numId="37">
    <w:abstractNumId w:val="33"/>
  </w:num>
  <w:num w:numId="38">
    <w:abstractNumId w:val="15"/>
  </w:num>
  <w:num w:numId="39">
    <w:abstractNumId w:val="11"/>
  </w:num>
  <w:num w:numId="40">
    <w:abstractNumId w:val="44"/>
  </w:num>
  <w:num w:numId="41">
    <w:abstractNumId w:val="30"/>
  </w:num>
  <w:num w:numId="42">
    <w:abstractNumId w:val="25"/>
  </w:num>
  <w:num w:numId="43">
    <w:abstractNumId w:val="12"/>
  </w:num>
  <w:num w:numId="44">
    <w:abstractNumId w:val="31"/>
  </w:num>
  <w:num w:numId="45">
    <w:abstractNumId w:val="36"/>
  </w:num>
  <w:num w:numId="46">
    <w:abstractNumId w:val="21"/>
  </w:num>
  <w:num w:numId="47">
    <w:abstractNumId w:val="40"/>
  </w:num>
  <w:num w:numId="48">
    <w:abstractNumId w:val="48"/>
  </w:num>
  <w:num w:numId="49">
    <w:abstractNumId w:val="35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8305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3687"/>
    <w:rsid w:val="00003C43"/>
    <w:rsid w:val="0000767A"/>
    <w:rsid w:val="000104B9"/>
    <w:rsid w:val="00010702"/>
    <w:rsid w:val="0001159B"/>
    <w:rsid w:val="0001573E"/>
    <w:rsid w:val="00017F05"/>
    <w:rsid w:val="000202C6"/>
    <w:rsid w:val="00020946"/>
    <w:rsid w:val="00024887"/>
    <w:rsid w:val="00024CBA"/>
    <w:rsid w:val="00026998"/>
    <w:rsid w:val="0003066A"/>
    <w:rsid w:val="00032838"/>
    <w:rsid w:val="00032C12"/>
    <w:rsid w:val="00035FC6"/>
    <w:rsid w:val="00037667"/>
    <w:rsid w:val="000411E1"/>
    <w:rsid w:val="0004694F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20EC"/>
    <w:rsid w:val="00092505"/>
    <w:rsid w:val="000A1183"/>
    <w:rsid w:val="000A2121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2E41"/>
    <w:rsid w:val="000D5E7A"/>
    <w:rsid w:val="000D5FAA"/>
    <w:rsid w:val="000D65A4"/>
    <w:rsid w:val="000D6AEF"/>
    <w:rsid w:val="000E19A8"/>
    <w:rsid w:val="000E78D2"/>
    <w:rsid w:val="000F3332"/>
    <w:rsid w:val="000F33EE"/>
    <w:rsid w:val="000F401E"/>
    <w:rsid w:val="000F5445"/>
    <w:rsid w:val="000F67B2"/>
    <w:rsid w:val="00102F02"/>
    <w:rsid w:val="001041B6"/>
    <w:rsid w:val="001070EA"/>
    <w:rsid w:val="0011002A"/>
    <w:rsid w:val="0011110A"/>
    <w:rsid w:val="001118AF"/>
    <w:rsid w:val="0011256E"/>
    <w:rsid w:val="00116DB9"/>
    <w:rsid w:val="00121C39"/>
    <w:rsid w:val="00123255"/>
    <w:rsid w:val="00124D2D"/>
    <w:rsid w:val="001307BE"/>
    <w:rsid w:val="00130C8F"/>
    <w:rsid w:val="001314F2"/>
    <w:rsid w:val="001317DA"/>
    <w:rsid w:val="0013254D"/>
    <w:rsid w:val="00133AAC"/>
    <w:rsid w:val="00136561"/>
    <w:rsid w:val="001400E1"/>
    <w:rsid w:val="001405FA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4D8"/>
    <w:rsid w:val="00176A8F"/>
    <w:rsid w:val="00182981"/>
    <w:rsid w:val="00184CF9"/>
    <w:rsid w:val="00185010"/>
    <w:rsid w:val="001874CF"/>
    <w:rsid w:val="00190D9B"/>
    <w:rsid w:val="00195444"/>
    <w:rsid w:val="001A2BDB"/>
    <w:rsid w:val="001A552F"/>
    <w:rsid w:val="001B1D89"/>
    <w:rsid w:val="001B3110"/>
    <w:rsid w:val="001B44BC"/>
    <w:rsid w:val="001B6545"/>
    <w:rsid w:val="001B681B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10CC2"/>
    <w:rsid w:val="00210F5B"/>
    <w:rsid w:val="00211262"/>
    <w:rsid w:val="00211AC9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FDC"/>
    <w:rsid w:val="00261E5B"/>
    <w:rsid w:val="00263470"/>
    <w:rsid w:val="00263733"/>
    <w:rsid w:val="00265536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BD5"/>
    <w:rsid w:val="002A43A2"/>
    <w:rsid w:val="002A4612"/>
    <w:rsid w:val="002A5263"/>
    <w:rsid w:val="002A6821"/>
    <w:rsid w:val="002A74D2"/>
    <w:rsid w:val="002B36C8"/>
    <w:rsid w:val="002B7240"/>
    <w:rsid w:val="002C43BD"/>
    <w:rsid w:val="002C5261"/>
    <w:rsid w:val="002C6091"/>
    <w:rsid w:val="002D0562"/>
    <w:rsid w:val="002D1B5A"/>
    <w:rsid w:val="002D5E94"/>
    <w:rsid w:val="002D632D"/>
    <w:rsid w:val="002E02A1"/>
    <w:rsid w:val="002E2CE4"/>
    <w:rsid w:val="00301357"/>
    <w:rsid w:val="00301D04"/>
    <w:rsid w:val="00304771"/>
    <w:rsid w:val="00305736"/>
    <w:rsid w:val="00306C5B"/>
    <w:rsid w:val="00312C3D"/>
    <w:rsid w:val="00314331"/>
    <w:rsid w:val="003209D6"/>
    <w:rsid w:val="00322164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74F1E"/>
    <w:rsid w:val="00376DEC"/>
    <w:rsid w:val="00380E04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D3600"/>
    <w:rsid w:val="003D3825"/>
    <w:rsid w:val="003D4760"/>
    <w:rsid w:val="003E0663"/>
    <w:rsid w:val="003E133F"/>
    <w:rsid w:val="003E699C"/>
    <w:rsid w:val="003E69F3"/>
    <w:rsid w:val="003E782E"/>
    <w:rsid w:val="003E7A0B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C25"/>
    <w:rsid w:val="004050D7"/>
    <w:rsid w:val="004078BD"/>
    <w:rsid w:val="00410132"/>
    <w:rsid w:val="004123BE"/>
    <w:rsid w:val="00414CE5"/>
    <w:rsid w:val="00416673"/>
    <w:rsid w:val="0042160D"/>
    <w:rsid w:val="0042681B"/>
    <w:rsid w:val="0043068A"/>
    <w:rsid w:val="004306E0"/>
    <w:rsid w:val="004329BE"/>
    <w:rsid w:val="00437C76"/>
    <w:rsid w:val="004441A0"/>
    <w:rsid w:val="004443BF"/>
    <w:rsid w:val="00446892"/>
    <w:rsid w:val="00450C30"/>
    <w:rsid w:val="00455ECA"/>
    <w:rsid w:val="00460164"/>
    <w:rsid w:val="0046039A"/>
    <w:rsid w:val="00461977"/>
    <w:rsid w:val="004629FD"/>
    <w:rsid w:val="00463F4D"/>
    <w:rsid w:val="00465019"/>
    <w:rsid w:val="0046613F"/>
    <w:rsid w:val="0046655D"/>
    <w:rsid w:val="0046765E"/>
    <w:rsid w:val="004676E2"/>
    <w:rsid w:val="00471EDD"/>
    <w:rsid w:val="0047400C"/>
    <w:rsid w:val="00476D29"/>
    <w:rsid w:val="00477EAF"/>
    <w:rsid w:val="00477EE0"/>
    <w:rsid w:val="0048139F"/>
    <w:rsid w:val="004879E9"/>
    <w:rsid w:val="00491218"/>
    <w:rsid w:val="00493362"/>
    <w:rsid w:val="00496C2F"/>
    <w:rsid w:val="0049740D"/>
    <w:rsid w:val="004A269A"/>
    <w:rsid w:val="004A30FB"/>
    <w:rsid w:val="004A35DD"/>
    <w:rsid w:val="004A37D3"/>
    <w:rsid w:val="004A5865"/>
    <w:rsid w:val="004A77DF"/>
    <w:rsid w:val="004B0295"/>
    <w:rsid w:val="004B3CB7"/>
    <w:rsid w:val="004B3D55"/>
    <w:rsid w:val="004B55B7"/>
    <w:rsid w:val="004C00A6"/>
    <w:rsid w:val="004C0BBB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5359"/>
    <w:rsid w:val="005357A2"/>
    <w:rsid w:val="00535EF0"/>
    <w:rsid w:val="0053734B"/>
    <w:rsid w:val="00537AFD"/>
    <w:rsid w:val="00537CB4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4240"/>
    <w:rsid w:val="00575CDC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E0"/>
    <w:rsid w:val="005A33A1"/>
    <w:rsid w:val="005A54EE"/>
    <w:rsid w:val="005A7500"/>
    <w:rsid w:val="005B1BDB"/>
    <w:rsid w:val="005B3247"/>
    <w:rsid w:val="005B3409"/>
    <w:rsid w:val="005B7B12"/>
    <w:rsid w:val="005C3F9F"/>
    <w:rsid w:val="005C7F1E"/>
    <w:rsid w:val="005D5802"/>
    <w:rsid w:val="005D73E2"/>
    <w:rsid w:val="005E1E4B"/>
    <w:rsid w:val="005E362D"/>
    <w:rsid w:val="005E492C"/>
    <w:rsid w:val="005E4BAA"/>
    <w:rsid w:val="005E5B56"/>
    <w:rsid w:val="005F4057"/>
    <w:rsid w:val="005F4088"/>
    <w:rsid w:val="005F6119"/>
    <w:rsid w:val="0060107A"/>
    <w:rsid w:val="00601AFF"/>
    <w:rsid w:val="00602D1D"/>
    <w:rsid w:val="00604307"/>
    <w:rsid w:val="0060487F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332A"/>
    <w:rsid w:val="006347F9"/>
    <w:rsid w:val="00634C90"/>
    <w:rsid w:val="00635E79"/>
    <w:rsid w:val="006404A7"/>
    <w:rsid w:val="006407F3"/>
    <w:rsid w:val="006451E4"/>
    <w:rsid w:val="006460B8"/>
    <w:rsid w:val="006520C7"/>
    <w:rsid w:val="006530B8"/>
    <w:rsid w:val="006535D6"/>
    <w:rsid w:val="00657E87"/>
    <w:rsid w:val="00660457"/>
    <w:rsid w:val="00660E1E"/>
    <w:rsid w:val="006637B1"/>
    <w:rsid w:val="00665D67"/>
    <w:rsid w:val="00665D77"/>
    <w:rsid w:val="006660CD"/>
    <w:rsid w:val="006676D0"/>
    <w:rsid w:val="006710C9"/>
    <w:rsid w:val="00675E37"/>
    <w:rsid w:val="0068260E"/>
    <w:rsid w:val="0068373D"/>
    <w:rsid w:val="00683BFE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8D8"/>
    <w:rsid w:val="006C090F"/>
    <w:rsid w:val="006C113F"/>
    <w:rsid w:val="006C38DD"/>
    <w:rsid w:val="006C559A"/>
    <w:rsid w:val="006C58FA"/>
    <w:rsid w:val="006D042D"/>
    <w:rsid w:val="006D06EF"/>
    <w:rsid w:val="006D61F6"/>
    <w:rsid w:val="006E1F4C"/>
    <w:rsid w:val="006E279A"/>
    <w:rsid w:val="006E2F3F"/>
    <w:rsid w:val="006E313B"/>
    <w:rsid w:val="006E442A"/>
    <w:rsid w:val="006E5CFD"/>
    <w:rsid w:val="006F3708"/>
    <w:rsid w:val="006F3E6B"/>
    <w:rsid w:val="006F4A59"/>
    <w:rsid w:val="007014C7"/>
    <w:rsid w:val="00702D6F"/>
    <w:rsid w:val="00705D98"/>
    <w:rsid w:val="00707891"/>
    <w:rsid w:val="00711EF1"/>
    <w:rsid w:val="00720FA2"/>
    <w:rsid w:val="007211C3"/>
    <w:rsid w:val="007211F5"/>
    <w:rsid w:val="00724666"/>
    <w:rsid w:val="00726043"/>
    <w:rsid w:val="0072704A"/>
    <w:rsid w:val="00730AE8"/>
    <w:rsid w:val="00734321"/>
    <w:rsid w:val="00740652"/>
    <w:rsid w:val="00740F02"/>
    <w:rsid w:val="00740FEC"/>
    <w:rsid w:val="00741493"/>
    <w:rsid w:val="007426B3"/>
    <w:rsid w:val="007426FD"/>
    <w:rsid w:val="00744376"/>
    <w:rsid w:val="007449EA"/>
    <w:rsid w:val="00746DD9"/>
    <w:rsid w:val="0075057A"/>
    <w:rsid w:val="00751771"/>
    <w:rsid w:val="00752180"/>
    <w:rsid w:val="007521A1"/>
    <w:rsid w:val="0075315D"/>
    <w:rsid w:val="00754253"/>
    <w:rsid w:val="007558D3"/>
    <w:rsid w:val="00755D3A"/>
    <w:rsid w:val="007609C6"/>
    <w:rsid w:val="007610A0"/>
    <w:rsid w:val="007620F2"/>
    <w:rsid w:val="00774782"/>
    <w:rsid w:val="00776527"/>
    <w:rsid w:val="00781834"/>
    <w:rsid w:val="00782818"/>
    <w:rsid w:val="00784C4A"/>
    <w:rsid w:val="00787432"/>
    <w:rsid w:val="007879F2"/>
    <w:rsid w:val="00791CF8"/>
    <w:rsid w:val="00793BAE"/>
    <w:rsid w:val="00794E0A"/>
    <w:rsid w:val="00796642"/>
    <w:rsid w:val="007A327B"/>
    <w:rsid w:val="007A4606"/>
    <w:rsid w:val="007B3DCC"/>
    <w:rsid w:val="007B4518"/>
    <w:rsid w:val="007B5031"/>
    <w:rsid w:val="007B573F"/>
    <w:rsid w:val="007D2AD8"/>
    <w:rsid w:val="007D2C47"/>
    <w:rsid w:val="007E0F4B"/>
    <w:rsid w:val="007E7E61"/>
    <w:rsid w:val="007F0845"/>
    <w:rsid w:val="007F16F9"/>
    <w:rsid w:val="007F5F14"/>
    <w:rsid w:val="008005D7"/>
    <w:rsid w:val="00801FDD"/>
    <w:rsid w:val="0080255C"/>
    <w:rsid w:val="00802C15"/>
    <w:rsid w:val="0081187C"/>
    <w:rsid w:val="00811E24"/>
    <w:rsid w:val="00813A70"/>
    <w:rsid w:val="0081645F"/>
    <w:rsid w:val="008178C2"/>
    <w:rsid w:val="008178CF"/>
    <w:rsid w:val="00820C9F"/>
    <w:rsid w:val="00821FF6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2604"/>
    <w:rsid w:val="00843ECF"/>
    <w:rsid w:val="00846673"/>
    <w:rsid w:val="0085281A"/>
    <w:rsid w:val="008559FE"/>
    <w:rsid w:val="00857339"/>
    <w:rsid w:val="00863D9E"/>
    <w:rsid w:val="00867E29"/>
    <w:rsid w:val="00870F2B"/>
    <w:rsid w:val="008746E6"/>
    <w:rsid w:val="00876086"/>
    <w:rsid w:val="008768D6"/>
    <w:rsid w:val="008775D1"/>
    <w:rsid w:val="008777BB"/>
    <w:rsid w:val="0088733A"/>
    <w:rsid w:val="00891BE0"/>
    <w:rsid w:val="008945A1"/>
    <w:rsid w:val="00894A63"/>
    <w:rsid w:val="00896BDE"/>
    <w:rsid w:val="008A0861"/>
    <w:rsid w:val="008A0BB2"/>
    <w:rsid w:val="008A1AB3"/>
    <w:rsid w:val="008A1D5C"/>
    <w:rsid w:val="008A3292"/>
    <w:rsid w:val="008A43E9"/>
    <w:rsid w:val="008A4CB1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CB8"/>
    <w:rsid w:val="008C7815"/>
    <w:rsid w:val="008D0171"/>
    <w:rsid w:val="008D2A16"/>
    <w:rsid w:val="008D2ECF"/>
    <w:rsid w:val="008D3F3D"/>
    <w:rsid w:val="008E31FF"/>
    <w:rsid w:val="008E6AB3"/>
    <w:rsid w:val="008E6AD3"/>
    <w:rsid w:val="008E71A6"/>
    <w:rsid w:val="008E77B6"/>
    <w:rsid w:val="008F032E"/>
    <w:rsid w:val="008F0F14"/>
    <w:rsid w:val="008F4FCE"/>
    <w:rsid w:val="008F7D28"/>
    <w:rsid w:val="009003A8"/>
    <w:rsid w:val="00902CBE"/>
    <w:rsid w:val="00902EFF"/>
    <w:rsid w:val="00903E06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60B0"/>
    <w:rsid w:val="00957871"/>
    <w:rsid w:val="00964498"/>
    <w:rsid w:val="0096650F"/>
    <w:rsid w:val="009700DB"/>
    <w:rsid w:val="00972263"/>
    <w:rsid w:val="00972D8D"/>
    <w:rsid w:val="00973AAE"/>
    <w:rsid w:val="00974923"/>
    <w:rsid w:val="00974D48"/>
    <w:rsid w:val="00980621"/>
    <w:rsid w:val="00982072"/>
    <w:rsid w:val="00983ECF"/>
    <w:rsid w:val="00986745"/>
    <w:rsid w:val="00987109"/>
    <w:rsid w:val="0099012D"/>
    <w:rsid w:val="00996355"/>
    <w:rsid w:val="009A4E12"/>
    <w:rsid w:val="009B052C"/>
    <w:rsid w:val="009B0EF2"/>
    <w:rsid w:val="009B23A3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6DE0"/>
    <w:rsid w:val="00A4778A"/>
    <w:rsid w:val="00A5067F"/>
    <w:rsid w:val="00A55301"/>
    <w:rsid w:val="00A57B3C"/>
    <w:rsid w:val="00A6128E"/>
    <w:rsid w:val="00A62CE1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7E3F"/>
    <w:rsid w:val="00AA23FB"/>
    <w:rsid w:val="00AA42AB"/>
    <w:rsid w:val="00AA559A"/>
    <w:rsid w:val="00AB2AF1"/>
    <w:rsid w:val="00AB440B"/>
    <w:rsid w:val="00AB74C5"/>
    <w:rsid w:val="00AB7DF2"/>
    <w:rsid w:val="00AC1E3F"/>
    <w:rsid w:val="00AC4F18"/>
    <w:rsid w:val="00AD0B46"/>
    <w:rsid w:val="00AD2565"/>
    <w:rsid w:val="00AD306C"/>
    <w:rsid w:val="00AD3424"/>
    <w:rsid w:val="00AD59BB"/>
    <w:rsid w:val="00AD5D68"/>
    <w:rsid w:val="00AD6C73"/>
    <w:rsid w:val="00AE06D0"/>
    <w:rsid w:val="00AE39DC"/>
    <w:rsid w:val="00AE7968"/>
    <w:rsid w:val="00AF128B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3229E"/>
    <w:rsid w:val="00B32DDB"/>
    <w:rsid w:val="00B35BEA"/>
    <w:rsid w:val="00B41BE6"/>
    <w:rsid w:val="00B457E7"/>
    <w:rsid w:val="00B52D2D"/>
    <w:rsid w:val="00B561A6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6748"/>
    <w:rsid w:val="00B91EC9"/>
    <w:rsid w:val="00B924CA"/>
    <w:rsid w:val="00B93384"/>
    <w:rsid w:val="00B94417"/>
    <w:rsid w:val="00B95940"/>
    <w:rsid w:val="00B95EF8"/>
    <w:rsid w:val="00B96BD9"/>
    <w:rsid w:val="00BB2C53"/>
    <w:rsid w:val="00BB32DA"/>
    <w:rsid w:val="00BB3A54"/>
    <w:rsid w:val="00BB4E21"/>
    <w:rsid w:val="00BC682B"/>
    <w:rsid w:val="00BC6B04"/>
    <w:rsid w:val="00BD3428"/>
    <w:rsid w:val="00BD366B"/>
    <w:rsid w:val="00BD56BC"/>
    <w:rsid w:val="00BD5D91"/>
    <w:rsid w:val="00BD6615"/>
    <w:rsid w:val="00BD6D50"/>
    <w:rsid w:val="00BE0DB0"/>
    <w:rsid w:val="00BE3F09"/>
    <w:rsid w:val="00BE670A"/>
    <w:rsid w:val="00BE6906"/>
    <w:rsid w:val="00BF18F4"/>
    <w:rsid w:val="00BF1A69"/>
    <w:rsid w:val="00BF3BC8"/>
    <w:rsid w:val="00BF3DF1"/>
    <w:rsid w:val="00BF4C31"/>
    <w:rsid w:val="00C00F20"/>
    <w:rsid w:val="00C034E6"/>
    <w:rsid w:val="00C0784A"/>
    <w:rsid w:val="00C10FAE"/>
    <w:rsid w:val="00C12A69"/>
    <w:rsid w:val="00C150BE"/>
    <w:rsid w:val="00C15A0C"/>
    <w:rsid w:val="00C15DCB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6D8E"/>
    <w:rsid w:val="00C77833"/>
    <w:rsid w:val="00C80C9B"/>
    <w:rsid w:val="00C8335E"/>
    <w:rsid w:val="00C84CE3"/>
    <w:rsid w:val="00C90CF4"/>
    <w:rsid w:val="00C91C19"/>
    <w:rsid w:val="00C929A0"/>
    <w:rsid w:val="00C93389"/>
    <w:rsid w:val="00C937DB"/>
    <w:rsid w:val="00C94519"/>
    <w:rsid w:val="00C94E83"/>
    <w:rsid w:val="00CA140F"/>
    <w:rsid w:val="00CA37CA"/>
    <w:rsid w:val="00CA6BA1"/>
    <w:rsid w:val="00CA6CD5"/>
    <w:rsid w:val="00CB2150"/>
    <w:rsid w:val="00CB28EE"/>
    <w:rsid w:val="00CB43A7"/>
    <w:rsid w:val="00CB5996"/>
    <w:rsid w:val="00CB7452"/>
    <w:rsid w:val="00CC2642"/>
    <w:rsid w:val="00CC2E15"/>
    <w:rsid w:val="00CC3908"/>
    <w:rsid w:val="00CC62AD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1067C"/>
    <w:rsid w:val="00D136D4"/>
    <w:rsid w:val="00D13ECF"/>
    <w:rsid w:val="00D142E5"/>
    <w:rsid w:val="00D1611E"/>
    <w:rsid w:val="00D16E69"/>
    <w:rsid w:val="00D205A9"/>
    <w:rsid w:val="00D217EE"/>
    <w:rsid w:val="00D26923"/>
    <w:rsid w:val="00D27856"/>
    <w:rsid w:val="00D30740"/>
    <w:rsid w:val="00D3107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90C1E"/>
    <w:rsid w:val="00D93F09"/>
    <w:rsid w:val="00D97BB8"/>
    <w:rsid w:val="00DA4AF6"/>
    <w:rsid w:val="00DB016E"/>
    <w:rsid w:val="00DB378E"/>
    <w:rsid w:val="00DB3E9D"/>
    <w:rsid w:val="00DB47B9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5578"/>
    <w:rsid w:val="00DF7FEC"/>
    <w:rsid w:val="00E01C0E"/>
    <w:rsid w:val="00E03B27"/>
    <w:rsid w:val="00E04694"/>
    <w:rsid w:val="00E05B2B"/>
    <w:rsid w:val="00E07F05"/>
    <w:rsid w:val="00E127E1"/>
    <w:rsid w:val="00E144D2"/>
    <w:rsid w:val="00E15346"/>
    <w:rsid w:val="00E215EA"/>
    <w:rsid w:val="00E24619"/>
    <w:rsid w:val="00E25223"/>
    <w:rsid w:val="00E31764"/>
    <w:rsid w:val="00E34E4A"/>
    <w:rsid w:val="00E365B3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71F2"/>
    <w:rsid w:val="00E57429"/>
    <w:rsid w:val="00E71A58"/>
    <w:rsid w:val="00E84F21"/>
    <w:rsid w:val="00E921C7"/>
    <w:rsid w:val="00E92995"/>
    <w:rsid w:val="00E94612"/>
    <w:rsid w:val="00E95797"/>
    <w:rsid w:val="00E9682F"/>
    <w:rsid w:val="00E96A8D"/>
    <w:rsid w:val="00E972BA"/>
    <w:rsid w:val="00EA06CB"/>
    <w:rsid w:val="00EA0C68"/>
    <w:rsid w:val="00EA3EBE"/>
    <w:rsid w:val="00EA3FAC"/>
    <w:rsid w:val="00EA5CD6"/>
    <w:rsid w:val="00EB20A0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A79"/>
    <w:rsid w:val="00ED2CA5"/>
    <w:rsid w:val="00ED54D6"/>
    <w:rsid w:val="00ED5726"/>
    <w:rsid w:val="00EE0384"/>
    <w:rsid w:val="00EE10AA"/>
    <w:rsid w:val="00EE1637"/>
    <w:rsid w:val="00EE3E78"/>
    <w:rsid w:val="00EE5E02"/>
    <w:rsid w:val="00EE617D"/>
    <w:rsid w:val="00EE61BF"/>
    <w:rsid w:val="00EE6748"/>
    <w:rsid w:val="00EF0E75"/>
    <w:rsid w:val="00EF1F5A"/>
    <w:rsid w:val="00EF4685"/>
    <w:rsid w:val="00EF5397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103E"/>
    <w:rsid w:val="00F214FC"/>
    <w:rsid w:val="00F23FFF"/>
    <w:rsid w:val="00F2441D"/>
    <w:rsid w:val="00F24FAA"/>
    <w:rsid w:val="00F26197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63DDE"/>
    <w:rsid w:val="00F63FB7"/>
    <w:rsid w:val="00F64726"/>
    <w:rsid w:val="00F6561A"/>
    <w:rsid w:val="00F727D5"/>
    <w:rsid w:val="00F72F44"/>
    <w:rsid w:val="00F73A0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309A"/>
    <w:rsid w:val="00FA7644"/>
    <w:rsid w:val="00FB56F1"/>
    <w:rsid w:val="00FB5FD4"/>
    <w:rsid w:val="00FB67F3"/>
    <w:rsid w:val="00FC0D8A"/>
    <w:rsid w:val="00FC0E5F"/>
    <w:rsid w:val="00FC4660"/>
    <w:rsid w:val="00FC56DE"/>
    <w:rsid w:val="00FD1627"/>
    <w:rsid w:val="00FD473D"/>
    <w:rsid w:val="00FD61C8"/>
    <w:rsid w:val="00FD63CE"/>
    <w:rsid w:val="00FD7D49"/>
    <w:rsid w:val="00FE1251"/>
    <w:rsid w:val="00FE2F78"/>
    <w:rsid w:val="00FE375F"/>
    <w:rsid w:val="00FE4FCB"/>
    <w:rsid w:val="00FF28E0"/>
    <w:rsid w:val="00FF2FB4"/>
    <w:rsid w:val="00FF30B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0F594-63A0-4DD1-8BE1-3AE574C7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224</TotalTime>
  <Pages>3</Pages>
  <Words>1730</Words>
  <Characters>10211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dubska1552</cp:lastModifiedBy>
  <cp:revision>19</cp:revision>
  <cp:lastPrinted>2015-03-20T07:25:00Z</cp:lastPrinted>
  <dcterms:created xsi:type="dcterms:W3CDTF">2015-03-16T09:04:00Z</dcterms:created>
  <dcterms:modified xsi:type="dcterms:W3CDTF">2015-03-20T11:26:00Z</dcterms:modified>
</cp:coreProperties>
</file>