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A35" w:rsidRDefault="002A5986" w:rsidP="002A5986">
      <w:pPr>
        <w:pStyle w:val="Nadpis1"/>
        <w:jc w:val="both"/>
      </w:pPr>
      <w:bookmarkStart w:id="0" w:name="_Toc426017678"/>
      <w:r>
        <w:t xml:space="preserve">6. </w:t>
      </w:r>
      <w:r w:rsidR="000264DE">
        <w:t>Vybrané ekonomické aspekty k</w:t>
      </w:r>
      <w:r w:rsidR="005D5A35">
        <w:t>valit</w:t>
      </w:r>
      <w:r w:rsidR="000264DE">
        <w:t>y</w:t>
      </w:r>
      <w:r w:rsidR="005D5A35">
        <w:t xml:space="preserve"> života – nerovnosti</w:t>
      </w:r>
      <w:bookmarkEnd w:id="0"/>
    </w:p>
    <w:p w:rsidR="005D5A35" w:rsidRDefault="005D5A35" w:rsidP="00B87EDC">
      <w:pPr>
        <w:spacing w:line="240" w:lineRule="auto"/>
        <w:jc w:val="both"/>
      </w:pPr>
      <w:r>
        <w:t>Kvalita života má mnoho vrstev. Je vnímaná a odvislá od životních hodnot, které lidé vyznávají. Možnosti jejich naplnění jsou diferencované. Vznikají tak různé typy nerovností, podmíněných významnou měrou materiálními podmínkami. Soustřeďme se na výsek nerovností souvisejících s vytvořenými životními podmínkami lidí v regionech České republiky měřených především příjmovými charakteristikami a dále na</w:t>
      </w:r>
      <w:r w:rsidR="002547A6">
        <w:t> </w:t>
      </w:r>
      <w:r>
        <w:t>sociální disparity v porovnání příjmů a vydání příjmově ne</w:t>
      </w:r>
      <w:r w:rsidR="00354366">
        <w:t>j</w:t>
      </w:r>
      <w:r>
        <w:t>slabších a nesilnějších skupin. Sledovat tedy budeme část materiální kvalit</w:t>
      </w:r>
      <w:r w:rsidR="00354366">
        <w:t>y</w:t>
      </w:r>
      <w:r>
        <w:t xml:space="preserve"> života.  </w:t>
      </w:r>
    </w:p>
    <w:p w:rsidR="005D5A35" w:rsidRDefault="005D5A35" w:rsidP="001F0EC9"/>
    <w:p w:rsidR="005D5A35" w:rsidRPr="00901236" w:rsidRDefault="005D5A35" w:rsidP="002A5986">
      <w:pPr>
        <w:pStyle w:val="Nadpis2"/>
        <w:numPr>
          <w:ilvl w:val="1"/>
          <w:numId w:val="9"/>
        </w:numPr>
      </w:pPr>
      <w:bookmarkStart w:id="1" w:name="_Toc426017679"/>
      <w:r w:rsidRPr="00901236">
        <w:t>Regionální disparity</w:t>
      </w:r>
      <w:bookmarkEnd w:id="1"/>
    </w:p>
    <w:p w:rsidR="005D5A35" w:rsidRPr="00901236" w:rsidRDefault="005D5A35" w:rsidP="002A5986">
      <w:pPr>
        <w:pStyle w:val="Nadpis3"/>
        <w:numPr>
          <w:ilvl w:val="2"/>
          <w:numId w:val="9"/>
        </w:numPr>
      </w:pPr>
      <w:bookmarkStart w:id="2" w:name="_Toc426017680"/>
      <w:r w:rsidRPr="00901236">
        <w:t>HDP na obyvatele</w:t>
      </w:r>
      <w:bookmarkEnd w:id="2"/>
      <w:r w:rsidRPr="00901236">
        <w:t xml:space="preserve"> </w:t>
      </w:r>
    </w:p>
    <w:p w:rsidR="005D5A35" w:rsidRDefault="005D5A35" w:rsidP="007E6455">
      <w:pPr>
        <w:spacing w:line="240" w:lineRule="auto"/>
        <w:jc w:val="both"/>
        <w:rPr>
          <w:szCs w:val="20"/>
        </w:rPr>
      </w:pPr>
      <w:r>
        <w:rPr>
          <w:szCs w:val="20"/>
        </w:rPr>
        <w:t>Měření ekonomické vyspělosti zemí je ve své „komplexní“ podobě zpravidla uváděno za pomoci hrubého domácího produktu na obyvatele v paritě kupní síly. Tento ukazatel umožňuje nejen mezinárodní srovnání, ale i regionální porovnávání uvnitř zemí. I když pro samotné měření životní úrovně - míněna materiální kvalita života - je vhodný spíše disponibilní příjem na obyvatele a sledování jeho rozdílů v jednotlivých regionech, hrubý domácí produkt na obyvatele dané země je i měřítkem toho, jaká je její pozice v poměru ke zvolené referenční úrovni, tj. v případě České republiky např. relace HDP na obyvatele v PPS k EU či v </w:t>
      </w:r>
      <w:proofErr w:type="spellStart"/>
      <w:r>
        <w:rPr>
          <w:szCs w:val="20"/>
        </w:rPr>
        <w:t>eurozóně</w:t>
      </w:r>
      <w:proofErr w:type="spellEnd"/>
      <w:r>
        <w:rPr>
          <w:szCs w:val="20"/>
        </w:rPr>
        <w:t xml:space="preserve">. Sledujme tedy nejprve ukazatel v této podobě.   </w:t>
      </w:r>
    </w:p>
    <w:p w:rsidR="005D5A35" w:rsidRPr="00CB3ACB" w:rsidRDefault="005D5A35" w:rsidP="001F0EC9">
      <w:pPr>
        <w:rPr>
          <w:sz w:val="22"/>
          <w:szCs w:val="22"/>
        </w:rPr>
      </w:pPr>
      <w:r w:rsidRPr="00FA57FD">
        <w:rPr>
          <w:szCs w:val="20"/>
        </w:rPr>
        <w:t xml:space="preserve"> </w:t>
      </w:r>
    </w:p>
    <w:tbl>
      <w:tblPr>
        <w:tblW w:w="5043" w:type="pct"/>
        <w:tblInd w:w="-42" w:type="dxa"/>
        <w:tblCellMar>
          <w:left w:w="28" w:type="dxa"/>
          <w:right w:w="28" w:type="dxa"/>
        </w:tblCellMar>
        <w:tblLook w:val="00A0"/>
      </w:tblPr>
      <w:tblGrid>
        <w:gridCol w:w="40"/>
        <w:gridCol w:w="1162"/>
        <w:gridCol w:w="835"/>
        <w:gridCol w:w="272"/>
        <w:gridCol w:w="2542"/>
        <w:gridCol w:w="706"/>
        <w:gridCol w:w="4220"/>
      </w:tblGrid>
      <w:tr w:rsidR="005D5A35" w:rsidRPr="00764561" w:rsidTr="0022160A">
        <w:tc>
          <w:tcPr>
            <w:tcW w:w="1042" w:type="pct"/>
            <w:gridSpan w:val="3"/>
          </w:tcPr>
          <w:p w:rsidR="005D5A35" w:rsidRDefault="002547A6" w:rsidP="00FA57FD">
            <w:pPr>
              <w:spacing w:line="240" w:lineRule="auto"/>
              <w:rPr>
                <w:color w:val="000000"/>
                <w:sz w:val="16"/>
                <w:szCs w:val="16"/>
              </w:rPr>
            </w:pPr>
            <w:r>
              <w:rPr>
                <w:color w:val="000000"/>
                <w:sz w:val="16"/>
                <w:szCs w:val="16"/>
              </w:rPr>
              <w:t>HDP na ob</w:t>
            </w:r>
            <w:r w:rsidR="005D5A35">
              <w:rPr>
                <w:color w:val="000000"/>
                <w:sz w:val="16"/>
                <w:szCs w:val="16"/>
              </w:rPr>
              <w:t>yvatele v PPS v České republice v letech 2007-2013 jen stagnoval</w:t>
            </w:r>
          </w:p>
        </w:tc>
        <w:tc>
          <w:tcPr>
            <w:tcW w:w="139" w:type="pct"/>
          </w:tcPr>
          <w:p w:rsidR="005D5A35" w:rsidRDefault="005D5A35" w:rsidP="00FA57FD">
            <w:pPr>
              <w:pStyle w:val="Textpoznpodarou"/>
              <w:jc w:val="both"/>
            </w:pPr>
          </w:p>
        </w:tc>
        <w:tc>
          <w:tcPr>
            <w:tcW w:w="3819" w:type="pct"/>
            <w:gridSpan w:val="3"/>
          </w:tcPr>
          <w:p w:rsidR="005D5A35" w:rsidRPr="00B71C2D" w:rsidRDefault="005D5A35" w:rsidP="00FA57FD">
            <w:pPr>
              <w:pStyle w:val="Textpoznpodarou"/>
              <w:jc w:val="both"/>
              <w:rPr>
                <w:color w:val="000000"/>
                <w:spacing w:val="-2"/>
              </w:rPr>
            </w:pPr>
            <w:r>
              <w:rPr>
                <w:color w:val="000000"/>
                <w:spacing w:val="-2"/>
              </w:rPr>
              <w:t xml:space="preserve">V České republice vykazoval HDP na obyvatele v paritě kupní síly v letech 2007-2013 jen nepatrné výkyvy a v úhrnu šlo jen o stagnaci. Nejvyšší úrovně v tomto období dosahoval tento indikátor v roce 2007 (84 % průměru EU 28), nejnižší byl v roce 2010 (81 %). V roce 2014 se díky silnějšímu hospodářskému růstu oproti zlepšení ekonomiky EU dostal HDP na obyvatele v PPS u ČR opět na úroveň 84 % unijního průměru, stejně jako v roce 2007 (graf 1). </w:t>
            </w:r>
            <w:r w:rsidRPr="00764561">
              <w:rPr>
                <w:i/>
                <w:color w:val="000000"/>
                <w:spacing w:val="-2"/>
              </w:rPr>
              <w:t xml:space="preserve"> </w:t>
            </w:r>
          </w:p>
          <w:p w:rsidR="005D5A35" w:rsidRPr="00CB3ACB" w:rsidRDefault="005D5A35" w:rsidP="00FA57FD">
            <w:pPr>
              <w:pStyle w:val="Textpoznpodarou"/>
              <w:jc w:val="both"/>
              <w:rPr>
                <w:i/>
                <w:color w:val="000000"/>
                <w:spacing w:val="-2"/>
                <w:sz w:val="18"/>
                <w:szCs w:val="18"/>
              </w:rPr>
            </w:pPr>
            <w:r>
              <w:rPr>
                <w:color w:val="000000"/>
                <w:spacing w:val="-2"/>
              </w:rPr>
              <w:t xml:space="preserve"> </w:t>
            </w:r>
          </w:p>
        </w:tc>
      </w:tr>
      <w:tr w:rsidR="005D5A35" w:rsidRPr="00764561" w:rsidTr="0022160A">
        <w:tc>
          <w:tcPr>
            <w:tcW w:w="1042" w:type="pct"/>
            <w:gridSpan w:val="3"/>
          </w:tcPr>
          <w:p w:rsidR="005D5A35" w:rsidRDefault="005D5A35" w:rsidP="002547A6">
            <w:pPr>
              <w:spacing w:line="240" w:lineRule="auto"/>
              <w:rPr>
                <w:color w:val="000000"/>
                <w:sz w:val="16"/>
                <w:szCs w:val="16"/>
              </w:rPr>
            </w:pPr>
            <w:r>
              <w:rPr>
                <w:color w:val="000000"/>
                <w:sz w:val="16"/>
                <w:szCs w:val="16"/>
              </w:rPr>
              <w:t>Nárůst o dva procentní body v roce 2014 na 84 % průměru zemí EU 28 a</w:t>
            </w:r>
            <w:r w:rsidR="002547A6">
              <w:rPr>
                <w:color w:val="000000"/>
                <w:sz w:val="16"/>
                <w:szCs w:val="16"/>
              </w:rPr>
              <w:t> </w:t>
            </w:r>
            <w:r>
              <w:rPr>
                <w:color w:val="000000"/>
                <w:sz w:val="16"/>
                <w:szCs w:val="16"/>
              </w:rPr>
              <w:t>78,5</w:t>
            </w:r>
            <w:r w:rsidR="002547A6">
              <w:rPr>
                <w:color w:val="000000"/>
                <w:sz w:val="16"/>
                <w:szCs w:val="16"/>
              </w:rPr>
              <w:t> </w:t>
            </w:r>
            <w:r>
              <w:rPr>
                <w:color w:val="000000"/>
                <w:sz w:val="16"/>
                <w:szCs w:val="16"/>
              </w:rPr>
              <w:t xml:space="preserve">% k zemím </w:t>
            </w:r>
            <w:proofErr w:type="spellStart"/>
            <w:r>
              <w:rPr>
                <w:color w:val="000000"/>
                <w:sz w:val="16"/>
                <w:szCs w:val="16"/>
              </w:rPr>
              <w:t>eurozóny</w:t>
            </w:r>
            <w:proofErr w:type="spellEnd"/>
          </w:p>
        </w:tc>
        <w:tc>
          <w:tcPr>
            <w:tcW w:w="139" w:type="pct"/>
          </w:tcPr>
          <w:p w:rsidR="005D5A35" w:rsidRDefault="005D5A35" w:rsidP="00FA57FD">
            <w:pPr>
              <w:pStyle w:val="Textpoznpodarou"/>
              <w:jc w:val="both"/>
            </w:pPr>
          </w:p>
        </w:tc>
        <w:tc>
          <w:tcPr>
            <w:tcW w:w="3819" w:type="pct"/>
            <w:gridSpan w:val="3"/>
          </w:tcPr>
          <w:p w:rsidR="005D5A35" w:rsidRPr="00FA57FD" w:rsidRDefault="005D5A35" w:rsidP="00FA57FD">
            <w:pPr>
              <w:pStyle w:val="Textpoznpodarou"/>
              <w:jc w:val="both"/>
              <w:rPr>
                <w:color w:val="000000"/>
                <w:spacing w:val="-2"/>
              </w:rPr>
            </w:pPr>
            <w:r>
              <w:rPr>
                <w:color w:val="000000"/>
                <w:spacing w:val="-2"/>
              </w:rPr>
              <w:t>Pozice ČR v relaci k EU 28 byla v roce 2014 stejná jako v roce vrcholící konjunktury české ekonomiky. V poměru k </w:t>
            </w:r>
            <w:proofErr w:type="spellStart"/>
            <w:r>
              <w:rPr>
                <w:color w:val="000000"/>
                <w:spacing w:val="-2"/>
              </w:rPr>
              <w:t>eurozóně</w:t>
            </w:r>
            <w:proofErr w:type="spellEnd"/>
            <w:r>
              <w:rPr>
                <w:color w:val="000000"/>
                <w:spacing w:val="-2"/>
              </w:rPr>
              <w:t xml:space="preserve"> (EA 19) se proporce nepatrně zlepšila (což však může být pouhým zaokrouhlením). V roce 2007 byl </w:t>
            </w:r>
            <w:r w:rsidR="004E0040">
              <w:rPr>
                <w:color w:val="000000"/>
                <w:spacing w:val="-2"/>
              </w:rPr>
              <w:t>HDP na obyvatele</w:t>
            </w:r>
            <w:r w:rsidR="00227993">
              <w:rPr>
                <w:color w:val="000000"/>
                <w:spacing w:val="-2"/>
              </w:rPr>
              <w:t xml:space="preserve"> v PPS v ČR na 77,8</w:t>
            </w:r>
            <w:r>
              <w:rPr>
                <w:color w:val="000000"/>
                <w:spacing w:val="-2"/>
              </w:rPr>
              <w:t xml:space="preserve"> % průměrné úrovně </w:t>
            </w:r>
            <w:proofErr w:type="spellStart"/>
            <w:r>
              <w:rPr>
                <w:color w:val="000000"/>
                <w:spacing w:val="-2"/>
              </w:rPr>
              <w:t>eurozóny</w:t>
            </w:r>
            <w:proofErr w:type="spellEnd"/>
            <w:r>
              <w:rPr>
                <w:color w:val="000000"/>
                <w:spacing w:val="-2"/>
              </w:rPr>
              <w:t xml:space="preserve">, v roce 2014 na 78,5 %. </w:t>
            </w:r>
          </w:p>
          <w:p w:rsidR="005D5A35" w:rsidRPr="00FA57FD" w:rsidRDefault="005D5A35" w:rsidP="00FA57FD">
            <w:pPr>
              <w:pStyle w:val="Textpoznpodarou"/>
              <w:jc w:val="both"/>
              <w:rPr>
                <w:color w:val="000000"/>
                <w:spacing w:val="-2"/>
              </w:rPr>
            </w:pPr>
          </w:p>
        </w:tc>
      </w:tr>
      <w:tr w:rsidR="005D5A35" w:rsidRPr="00764561" w:rsidTr="0022160A">
        <w:tc>
          <w:tcPr>
            <w:tcW w:w="1042" w:type="pct"/>
            <w:gridSpan w:val="3"/>
          </w:tcPr>
          <w:p w:rsidR="005D5A35" w:rsidRDefault="005D5A35" w:rsidP="002555ED">
            <w:pPr>
              <w:spacing w:line="240" w:lineRule="auto"/>
              <w:rPr>
                <w:color w:val="000000"/>
                <w:sz w:val="16"/>
                <w:szCs w:val="16"/>
              </w:rPr>
            </w:pPr>
            <w:r>
              <w:rPr>
                <w:color w:val="000000"/>
                <w:sz w:val="16"/>
                <w:szCs w:val="16"/>
              </w:rPr>
              <w:t>Výlučnost hlavního města Prahy ve vykazovaném HDP na obyvatele v PPS</w:t>
            </w:r>
          </w:p>
        </w:tc>
        <w:tc>
          <w:tcPr>
            <w:tcW w:w="139" w:type="pct"/>
          </w:tcPr>
          <w:p w:rsidR="005D5A35" w:rsidRDefault="005D5A35" w:rsidP="00FA57FD">
            <w:pPr>
              <w:pStyle w:val="Textpoznpodarou"/>
              <w:jc w:val="both"/>
            </w:pPr>
          </w:p>
        </w:tc>
        <w:tc>
          <w:tcPr>
            <w:tcW w:w="3819" w:type="pct"/>
            <w:gridSpan w:val="3"/>
          </w:tcPr>
          <w:p w:rsidR="005D5A35" w:rsidRPr="00FA57FD" w:rsidRDefault="005D5A35" w:rsidP="00FA57FD">
            <w:pPr>
              <w:pStyle w:val="Textpoznpodarou"/>
              <w:jc w:val="both"/>
              <w:rPr>
                <w:color w:val="000000"/>
                <w:spacing w:val="-2"/>
              </w:rPr>
            </w:pPr>
            <w:r>
              <w:rPr>
                <w:color w:val="000000"/>
                <w:spacing w:val="-2"/>
              </w:rPr>
              <w:t>Regionální pohled na úroveň krajů</w:t>
            </w:r>
            <w:r w:rsidR="004E0040">
              <w:rPr>
                <w:color w:val="000000"/>
                <w:spacing w:val="-2"/>
              </w:rPr>
              <w:t xml:space="preserve"> České republiky podle HDP/</w:t>
            </w:r>
            <w:proofErr w:type="spellStart"/>
            <w:r w:rsidR="004E0040">
              <w:rPr>
                <w:color w:val="000000"/>
                <w:spacing w:val="-2"/>
              </w:rPr>
              <w:t>obyv</w:t>
            </w:r>
            <w:proofErr w:type="spellEnd"/>
            <w:r>
              <w:rPr>
                <w:color w:val="000000"/>
                <w:spacing w:val="-2"/>
              </w:rPr>
              <w:t>. v PPS v relaci k EU 28 ukazuje výlučnost hlavního města Prahy (gra</w:t>
            </w:r>
            <w:r w:rsidR="00640C2B">
              <w:rPr>
                <w:color w:val="000000"/>
                <w:spacing w:val="-2"/>
              </w:rPr>
              <w:t>f 2). Jeho výše (173 % průměru U</w:t>
            </w:r>
            <w:r>
              <w:rPr>
                <w:color w:val="000000"/>
                <w:spacing w:val="-2"/>
              </w:rPr>
              <w:t xml:space="preserve">nie v roce 2013) ovlivňuje proporce v ČR (průměr 82,4 %) do té míry, že všechny ostatní kraje tohoto průměru nedosahují. Nejlepší výsledek měl po Praze kraj Jihomoravský (80,7 %), následovaný krajem Plzeňským (76,2 %). Naopak kraj Olomoucký, Ústecký a Karlovarský </w:t>
            </w:r>
            <w:r w:rsidR="00640C2B">
              <w:rPr>
                <w:color w:val="000000"/>
                <w:spacing w:val="-2"/>
              </w:rPr>
              <w:t>měly</w:t>
            </w:r>
            <w:r>
              <w:rPr>
                <w:color w:val="000000"/>
                <w:spacing w:val="-2"/>
              </w:rPr>
              <w:t> nejnižší relativní úrov</w:t>
            </w:r>
            <w:r w:rsidR="00640C2B">
              <w:rPr>
                <w:color w:val="000000"/>
                <w:spacing w:val="-2"/>
              </w:rPr>
              <w:t>eň</w:t>
            </w:r>
            <w:r>
              <w:rPr>
                <w:color w:val="000000"/>
                <w:spacing w:val="-2"/>
              </w:rPr>
              <w:t xml:space="preserve"> HDP/</w:t>
            </w:r>
            <w:proofErr w:type="spellStart"/>
            <w:r>
              <w:rPr>
                <w:color w:val="000000"/>
                <w:spacing w:val="-2"/>
              </w:rPr>
              <w:t>obyv</w:t>
            </w:r>
            <w:proofErr w:type="spellEnd"/>
            <w:r>
              <w:rPr>
                <w:color w:val="000000"/>
                <w:spacing w:val="-2"/>
              </w:rPr>
              <w:t xml:space="preserve">. v PPS, ovlivněnou především strukturou ekonomik v těchto regionech a z ní plynoucích příjmových možností domácností ovlivňujících jejich disponibilní důchod. </w:t>
            </w:r>
          </w:p>
          <w:p w:rsidR="005D5A35" w:rsidRPr="00CB3ACB" w:rsidRDefault="005D5A35" w:rsidP="00FA57FD">
            <w:pPr>
              <w:pStyle w:val="Textpoznpodarou"/>
              <w:jc w:val="both"/>
              <w:rPr>
                <w:color w:val="000000"/>
                <w:spacing w:val="-2"/>
                <w:sz w:val="18"/>
                <w:szCs w:val="18"/>
              </w:rPr>
            </w:pPr>
            <w:r>
              <w:rPr>
                <w:color w:val="000000"/>
                <w:spacing w:val="-2"/>
              </w:rPr>
              <w:t xml:space="preserve"> </w:t>
            </w:r>
          </w:p>
        </w:tc>
      </w:tr>
      <w:tr w:rsidR="005D5A35" w:rsidRPr="00817C98" w:rsidTr="0022160A">
        <w:trPr>
          <w:gridBefore w:val="1"/>
          <w:wBefore w:w="21" w:type="pct"/>
        </w:trPr>
        <w:tc>
          <w:tcPr>
            <w:tcW w:w="594" w:type="pct"/>
          </w:tcPr>
          <w:p w:rsidR="005D5A35" w:rsidRDefault="005D5A35" w:rsidP="00F55CC2">
            <w:pPr>
              <w:spacing w:line="240" w:lineRule="auto"/>
            </w:pPr>
            <w:r>
              <w:t>Graf č.</w:t>
            </w:r>
            <w:r w:rsidR="00F55CC2">
              <w:t xml:space="preserve"> </w:t>
            </w:r>
            <w:r>
              <w:t>1</w:t>
            </w:r>
          </w:p>
        </w:tc>
        <w:tc>
          <w:tcPr>
            <w:tcW w:w="1866" w:type="pct"/>
            <w:gridSpan w:val="3"/>
          </w:tcPr>
          <w:p w:rsidR="005D5A35" w:rsidRDefault="005D5A35" w:rsidP="00BE1C59">
            <w:pPr>
              <w:pStyle w:val="Textpoznpodarou"/>
              <w:rPr>
                <w:rFonts w:cs="Arial"/>
                <w:szCs w:val="24"/>
              </w:rPr>
            </w:pPr>
            <w:r>
              <w:rPr>
                <w:rFonts w:cs="Arial"/>
                <w:b/>
                <w:bCs/>
              </w:rPr>
              <w:t>ČR - HDP na obyvatele v paritě kupní síly (</w:t>
            </w:r>
            <w:proofErr w:type="gramStart"/>
            <w:r>
              <w:rPr>
                <w:rFonts w:cs="Arial"/>
                <w:b/>
                <w:bCs/>
              </w:rPr>
              <w:t xml:space="preserve">PPS) </w:t>
            </w:r>
            <w:r w:rsidRPr="00BE1C59">
              <w:rPr>
                <w:rFonts w:cs="Arial"/>
                <w:bCs/>
              </w:rPr>
              <w:t>(EU</w:t>
            </w:r>
            <w:proofErr w:type="gramEnd"/>
            <w:r w:rsidRPr="00BE1C59">
              <w:rPr>
                <w:rFonts w:cs="Arial"/>
                <w:bCs/>
              </w:rPr>
              <w:t xml:space="preserve"> 28=100)</w:t>
            </w:r>
          </w:p>
        </w:tc>
        <w:tc>
          <w:tcPr>
            <w:tcW w:w="361" w:type="pct"/>
          </w:tcPr>
          <w:p w:rsidR="005D5A35" w:rsidRDefault="005D5A35" w:rsidP="00CB3ACB">
            <w:pPr>
              <w:spacing w:line="240" w:lineRule="auto"/>
            </w:pPr>
            <w:r>
              <w:t>Graf č.</w:t>
            </w:r>
            <w:r w:rsidR="00CB3ACB">
              <w:t> </w:t>
            </w:r>
            <w:r>
              <w:t>2</w:t>
            </w:r>
          </w:p>
        </w:tc>
        <w:tc>
          <w:tcPr>
            <w:tcW w:w="2158" w:type="pct"/>
          </w:tcPr>
          <w:p w:rsidR="005D5A35" w:rsidRPr="00817C98" w:rsidRDefault="005D5A35" w:rsidP="00CB3ACB">
            <w:pPr>
              <w:spacing w:line="240" w:lineRule="auto"/>
              <w:rPr>
                <w:rFonts w:cs="Arial"/>
                <w:b/>
                <w:bCs/>
              </w:rPr>
            </w:pPr>
            <w:r>
              <w:rPr>
                <w:rFonts w:cs="Arial"/>
                <w:b/>
                <w:bCs/>
              </w:rPr>
              <w:t>Kraje - HDP na obyvatele v paritě kupní síly (</w:t>
            </w:r>
            <w:proofErr w:type="gramStart"/>
            <w:r>
              <w:rPr>
                <w:rFonts w:cs="Arial"/>
                <w:b/>
                <w:bCs/>
              </w:rPr>
              <w:t xml:space="preserve">PPS) </w:t>
            </w:r>
            <w:r>
              <w:rPr>
                <w:rFonts w:cs="Arial"/>
                <w:bCs/>
              </w:rPr>
              <w:t>(2013</w:t>
            </w:r>
            <w:proofErr w:type="gramEnd"/>
            <w:r>
              <w:rPr>
                <w:rFonts w:cs="Arial"/>
                <w:bCs/>
              </w:rPr>
              <w:t xml:space="preserve">, </w:t>
            </w:r>
            <w:r w:rsidRPr="00BE1C59">
              <w:rPr>
                <w:rFonts w:cs="Arial"/>
                <w:bCs/>
              </w:rPr>
              <w:t>NUTS</w:t>
            </w:r>
            <w:r>
              <w:rPr>
                <w:rFonts w:cs="Arial"/>
                <w:bCs/>
              </w:rPr>
              <w:t xml:space="preserve"> </w:t>
            </w:r>
            <w:r w:rsidRPr="00BE1C59">
              <w:rPr>
                <w:rFonts w:cs="Arial"/>
                <w:bCs/>
              </w:rPr>
              <w:t xml:space="preserve">3, EU 28=100) </w:t>
            </w:r>
          </w:p>
        </w:tc>
      </w:tr>
      <w:tr w:rsidR="005D5A35" w:rsidTr="0022160A">
        <w:trPr>
          <w:gridBefore w:val="1"/>
          <w:wBefore w:w="21" w:type="pct"/>
        </w:trPr>
        <w:tc>
          <w:tcPr>
            <w:tcW w:w="2460" w:type="pct"/>
            <w:gridSpan w:val="4"/>
          </w:tcPr>
          <w:p w:rsidR="005D5A35" w:rsidRDefault="007B1973" w:rsidP="007351BA">
            <w:pPr>
              <w:pStyle w:val="Textpoznpodarou"/>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7" o:spid="_x0000_i1118" type="#_x0000_t75" style="width:235.5pt;height:193.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">
                  <v:imagedata r:id="rId8" o:title=""/>
                  <o:lock v:ext="edit" aspectratio="f"/>
                </v:shape>
              </w:pict>
            </w:r>
          </w:p>
        </w:tc>
        <w:tc>
          <w:tcPr>
            <w:tcW w:w="2518" w:type="pct"/>
            <w:gridSpan w:val="2"/>
          </w:tcPr>
          <w:p w:rsidR="005D5A35" w:rsidRDefault="007B1973" w:rsidP="007351BA">
            <w:pPr>
              <w:pStyle w:val="Textpoznpodarou"/>
              <w:jc w:val="both"/>
            </w:pPr>
            <w:r>
              <w:rPr>
                <w:noProof/>
              </w:rPr>
              <w:pict>
                <v:shape id="_x0000_i1119" type="#_x0000_t75" style="width:240pt;height:193.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">
                  <v:imagedata r:id="rId9" o:title=""/>
                  <o:lock v:ext="edit" aspectratio="f"/>
                </v:shape>
              </w:pict>
            </w:r>
          </w:p>
        </w:tc>
      </w:tr>
    </w:tbl>
    <w:p w:rsidR="005D5A35" w:rsidRDefault="00F25456" w:rsidP="00F24F20">
      <w:pPr>
        <w:ind w:left="2124" w:firstLine="708"/>
      </w:pPr>
      <w:r w:rsidRPr="00E513F8">
        <w:rPr>
          <w:sz w:val="18"/>
          <w:szCs w:val="18"/>
        </w:rPr>
        <w:t xml:space="preserve">    </w:t>
      </w:r>
      <w:r w:rsidR="00E513F8">
        <w:rPr>
          <w:sz w:val="18"/>
          <w:szCs w:val="18"/>
        </w:rPr>
        <w:t xml:space="preserve">    </w:t>
      </w:r>
      <w:r w:rsidRPr="00E513F8">
        <w:rPr>
          <w:sz w:val="18"/>
          <w:szCs w:val="18"/>
        </w:rPr>
        <w:t xml:space="preserve">      Zdroj</w:t>
      </w:r>
      <w:r w:rsidR="005D5A35" w:rsidRPr="00E513F8">
        <w:rPr>
          <w:sz w:val="18"/>
          <w:szCs w:val="18"/>
        </w:rPr>
        <w:t>:</w:t>
      </w:r>
      <w:r w:rsidRPr="00E513F8">
        <w:rPr>
          <w:sz w:val="18"/>
          <w:szCs w:val="18"/>
        </w:rPr>
        <w:t xml:space="preserve"> </w:t>
      </w:r>
      <w:proofErr w:type="spellStart"/>
      <w:r w:rsidRPr="00E513F8">
        <w:rPr>
          <w:sz w:val="18"/>
          <w:szCs w:val="18"/>
        </w:rPr>
        <w:t>Eurostat</w:t>
      </w:r>
      <w:proofErr w:type="spellEnd"/>
      <w:r>
        <w:t xml:space="preserve"> </w:t>
      </w:r>
      <w:r>
        <w:tab/>
      </w:r>
      <w:r>
        <w:tab/>
      </w:r>
      <w:r>
        <w:tab/>
      </w:r>
      <w:r>
        <w:tab/>
      </w:r>
      <w:r>
        <w:tab/>
      </w:r>
      <w:r w:rsidRPr="00E513F8">
        <w:rPr>
          <w:sz w:val="18"/>
          <w:szCs w:val="18"/>
        </w:rPr>
        <w:t xml:space="preserve">     </w:t>
      </w:r>
      <w:r w:rsidR="00E513F8">
        <w:rPr>
          <w:sz w:val="18"/>
          <w:szCs w:val="18"/>
        </w:rPr>
        <w:t xml:space="preserve">   </w:t>
      </w:r>
      <w:r w:rsidRPr="00E513F8">
        <w:rPr>
          <w:sz w:val="18"/>
          <w:szCs w:val="18"/>
        </w:rPr>
        <w:t xml:space="preserve">  </w:t>
      </w:r>
      <w:r w:rsidR="00E513F8">
        <w:rPr>
          <w:sz w:val="18"/>
          <w:szCs w:val="18"/>
        </w:rPr>
        <w:t xml:space="preserve"> </w:t>
      </w:r>
      <w:r w:rsidRPr="00E513F8">
        <w:rPr>
          <w:sz w:val="18"/>
          <w:szCs w:val="18"/>
        </w:rPr>
        <w:t xml:space="preserve">        Zdroj</w:t>
      </w:r>
      <w:r w:rsidR="005D5A35" w:rsidRPr="00E513F8">
        <w:rPr>
          <w:sz w:val="18"/>
          <w:szCs w:val="18"/>
        </w:rPr>
        <w:t>: ČSÚ</w:t>
      </w:r>
    </w:p>
    <w:p w:rsidR="005D5A35" w:rsidRPr="00901236" w:rsidRDefault="005D5A35" w:rsidP="002A5986">
      <w:pPr>
        <w:pStyle w:val="Nadpis3"/>
        <w:numPr>
          <w:ilvl w:val="2"/>
          <w:numId w:val="9"/>
        </w:numPr>
      </w:pPr>
      <w:bookmarkStart w:id="3" w:name="_Toc426017681"/>
      <w:r w:rsidRPr="00901236">
        <w:lastRenderedPageBreak/>
        <w:t>Čistý disponibilní důchod domácností</w:t>
      </w:r>
      <w:bookmarkEnd w:id="3"/>
      <w:r w:rsidRPr="00901236">
        <w:t xml:space="preserve"> </w:t>
      </w:r>
    </w:p>
    <w:tbl>
      <w:tblPr>
        <w:tblW w:w="5008" w:type="pct"/>
        <w:tblInd w:w="-42" w:type="dxa"/>
        <w:tblCellMar>
          <w:left w:w="28" w:type="dxa"/>
          <w:right w:w="28" w:type="dxa"/>
        </w:tblCellMar>
        <w:tblLook w:val="00A0"/>
      </w:tblPr>
      <w:tblGrid>
        <w:gridCol w:w="11"/>
        <w:gridCol w:w="751"/>
        <w:gridCol w:w="1315"/>
        <w:gridCol w:w="278"/>
        <w:gridCol w:w="2655"/>
        <w:gridCol w:w="740"/>
        <w:gridCol w:w="3960"/>
      </w:tblGrid>
      <w:tr w:rsidR="005D5A35" w:rsidRPr="00764561" w:rsidTr="00C84605">
        <w:tc>
          <w:tcPr>
            <w:tcW w:w="1070" w:type="pct"/>
            <w:gridSpan w:val="3"/>
          </w:tcPr>
          <w:p w:rsidR="005D5A35" w:rsidRDefault="005D5A35" w:rsidP="00BC5111">
            <w:pPr>
              <w:spacing w:line="240" w:lineRule="auto"/>
              <w:rPr>
                <w:color w:val="000000"/>
                <w:sz w:val="16"/>
                <w:szCs w:val="16"/>
              </w:rPr>
            </w:pPr>
            <w:r>
              <w:rPr>
                <w:color w:val="000000"/>
                <w:sz w:val="16"/>
                <w:szCs w:val="16"/>
              </w:rPr>
              <w:t>Celkové příjmy domácností sestávají z různých typů příjmů a kromě nich využívají i zboží a služeb v rámci tzv. naturálních transferů</w:t>
            </w:r>
          </w:p>
        </w:tc>
        <w:tc>
          <w:tcPr>
            <w:tcW w:w="143" w:type="pct"/>
          </w:tcPr>
          <w:p w:rsidR="005D5A35" w:rsidRDefault="005D5A35" w:rsidP="00BC5111">
            <w:pPr>
              <w:pStyle w:val="Textpoznpodarou"/>
              <w:jc w:val="both"/>
            </w:pPr>
          </w:p>
        </w:tc>
        <w:tc>
          <w:tcPr>
            <w:tcW w:w="3787" w:type="pct"/>
            <w:gridSpan w:val="3"/>
          </w:tcPr>
          <w:p w:rsidR="005D5A35" w:rsidRDefault="005D5A35" w:rsidP="00BC5111">
            <w:pPr>
              <w:pStyle w:val="Textpoznpodarou"/>
              <w:jc w:val="both"/>
              <w:rPr>
                <w:color w:val="000000"/>
                <w:spacing w:val="-2"/>
              </w:rPr>
            </w:pPr>
            <w:r>
              <w:rPr>
                <w:color w:val="000000"/>
                <w:spacing w:val="-2"/>
              </w:rPr>
              <w:t>Příjmy lidí popisuje z pohledu národních účtů ukazatel disponibilního důchodu domácností. Jde o úhrn různých typů příjmů, tedy nejen mezd a platů, ale i příjmů z podnikání, čistých příjmů z majetku a saldo z přerozdělení (tj. čisté sociální příjmy). Vykazován je tento ukazatel jako hrubý disponibilní důchod domácností, resp. i ve své čisté formě, to znamená po odečtení spotřeby kapitálu. Pokud zohledníme ve</w:t>
            </w:r>
            <w:r w:rsidR="00C84605">
              <w:rPr>
                <w:color w:val="000000"/>
                <w:spacing w:val="-2"/>
              </w:rPr>
              <w:t> </w:t>
            </w:r>
            <w:r>
              <w:rPr>
                <w:color w:val="000000"/>
                <w:spacing w:val="-2"/>
              </w:rPr>
              <w:t>spotřebě domácností i zboží a služby, které j</w:t>
            </w:r>
            <w:r w:rsidR="00640C2B">
              <w:rPr>
                <w:color w:val="000000"/>
                <w:spacing w:val="-2"/>
              </w:rPr>
              <w:t>sou</w:t>
            </w:r>
            <w:r>
              <w:rPr>
                <w:color w:val="000000"/>
                <w:spacing w:val="-2"/>
              </w:rPr>
              <w:t xml:space="preserve"> jim poskytován</w:t>
            </w:r>
            <w:r w:rsidR="00640C2B">
              <w:rPr>
                <w:color w:val="000000"/>
                <w:spacing w:val="-2"/>
              </w:rPr>
              <w:t>y</w:t>
            </w:r>
            <w:r>
              <w:rPr>
                <w:color w:val="000000"/>
                <w:spacing w:val="-2"/>
              </w:rPr>
              <w:t xml:space="preserve"> vládním sektorem a neziskovými institucemi (např. výdaje od zdravotních pojišťoven anebo vzdělávací služby) – tyto tzv. naturální transfery (ročně ve stovkách miliard korun) zvyšují „příjmy“ domácností a jejich zohledněním pak dostáváme komplexnější obrázek v podobě tzv. upraveného disponibilního důchodu domácností.</w:t>
            </w:r>
          </w:p>
          <w:p w:rsidR="005D5A35" w:rsidRPr="00F40185" w:rsidRDefault="005D5A35" w:rsidP="00BC5111">
            <w:pPr>
              <w:pStyle w:val="Textpoznpodarou"/>
              <w:jc w:val="both"/>
              <w:rPr>
                <w:color w:val="000000"/>
                <w:spacing w:val="-2"/>
              </w:rPr>
            </w:pPr>
          </w:p>
          <w:p w:rsidR="005D5A35" w:rsidRDefault="005D5A35" w:rsidP="00BC5111">
            <w:pPr>
              <w:pStyle w:val="Textpoznpodarou"/>
              <w:jc w:val="both"/>
              <w:rPr>
                <w:color w:val="000000"/>
                <w:spacing w:val="-2"/>
              </w:rPr>
            </w:pPr>
            <w:r>
              <w:rPr>
                <w:color w:val="000000"/>
                <w:spacing w:val="-2"/>
              </w:rPr>
              <w:t>Disponibilní důchod domácností tak může poskytnout „korigující“ informaci o jejich materiální kvalitě života k více frekventované informaci o výši a vývoji HDP na</w:t>
            </w:r>
            <w:r w:rsidR="002547A6">
              <w:rPr>
                <w:color w:val="000000"/>
                <w:spacing w:val="-2"/>
              </w:rPr>
              <w:t> </w:t>
            </w:r>
            <w:r>
              <w:rPr>
                <w:color w:val="000000"/>
                <w:spacing w:val="-2"/>
              </w:rPr>
              <w:t xml:space="preserve">obyvatele v paritě kupní síly. </w:t>
            </w:r>
          </w:p>
          <w:p w:rsidR="005D5A35" w:rsidRDefault="005D5A35" w:rsidP="00DA3FF9">
            <w:pPr>
              <w:pStyle w:val="Textpoznpodarou"/>
              <w:jc w:val="both"/>
              <w:rPr>
                <w:color w:val="000000"/>
                <w:spacing w:val="-2"/>
              </w:rPr>
            </w:pPr>
          </w:p>
        </w:tc>
      </w:tr>
      <w:tr w:rsidR="005D5A35" w:rsidRPr="00764561" w:rsidTr="00C84605">
        <w:tc>
          <w:tcPr>
            <w:tcW w:w="1070" w:type="pct"/>
            <w:gridSpan w:val="3"/>
          </w:tcPr>
          <w:p w:rsidR="005D5A35" w:rsidRDefault="005D5A35" w:rsidP="00BC5111">
            <w:pPr>
              <w:spacing w:line="240" w:lineRule="auto"/>
              <w:rPr>
                <w:color w:val="000000"/>
                <w:sz w:val="16"/>
                <w:szCs w:val="16"/>
              </w:rPr>
            </w:pPr>
            <w:r>
              <w:rPr>
                <w:color w:val="000000"/>
                <w:sz w:val="16"/>
                <w:szCs w:val="16"/>
              </w:rPr>
              <w:t xml:space="preserve">Mezi výší nominálního HDP a čistého disponibilního důchodu </w:t>
            </w:r>
            <w:r w:rsidR="002547A6">
              <w:rPr>
                <w:color w:val="000000"/>
                <w:sz w:val="16"/>
                <w:szCs w:val="16"/>
              </w:rPr>
              <w:t xml:space="preserve">domácností existují disparity, </w:t>
            </w:r>
            <w:r>
              <w:rPr>
                <w:color w:val="000000"/>
                <w:sz w:val="16"/>
                <w:szCs w:val="16"/>
              </w:rPr>
              <w:t>vysoká zejména v některých regionech</w:t>
            </w:r>
          </w:p>
        </w:tc>
        <w:tc>
          <w:tcPr>
            <w:tcW w:w="143" w:type="pct"/>
          </w:tcPr>
          <w:p w:rsidR="005D5A35" w:rsidRDefault="005D5A35" w:rsidP="00BC5111">
            <w:pPr>
              <w:pStyle w:val="Textpoznpodarou"/>
              <w:jc w:val="both"/>
            </w:pPr>
          </w:p>
        </w:tc>
        <w:tc>
          <w:tcPr>
            <w:tcW w:w="3787" w:type="pct"/>
            <w:gridSpan w:val="3"/>
          </w:tcPr>
          <w:p w:rsidR="005D5A35" w:rsidRDefault="005D5A35" w:rsidP="00DA3FF9">
            <w:pPr>
              <w:pStyle w:val="Textpoznpodarou"/>
              <w:jc w:val="both"/>
              <w:rPr>
                <w:color w:val="000000"/>
                <w:spacing w:val="-2"/>
              </w:rPr>
            </w:pPr>
            <w:r>
              <w:rPr>
                <w:color w:val="000000"/>
                <w:spacing w:val="-2"/>
              </w:rPr>
              <w:t>I z porovnání bez přepočtu na obyvatele jsou disparity mezi nominálním HDP a</w:t>
            </w:r>
            <w:r w:rsidR="002547A6">
              <w:rPr>
                <w:color w:val="000000"/>
                <w:spacing w:val="-2"/>
              </w:rPr>
              <w:t> </w:t>
            </w:r>
            <w:r>
              <w:rPr>
                <w:color w:val="000000"/>
                <w:spacing w:val="-2"/>
              </w:rPr>
              <w:t xml:space="preserve">čistým disponibilním důchodem domácností zřejmé, pokud sledujeme např. pozici jednotlivých krajů ČR v jejich podílech na obou veličinách. Zatímco Praha je prakticky čtvrtinou české ekonomiky podle podílu na celorepublikovém HDP v nominálním vyjádření (24,9 % v roce 2013), v podílu na celorepublikovém čistém disponibilním důchodu domácností je její podíl jen zhruba </w:t>
            </w:r>
            <w:proofErr w:type="spellStart"/>
            <w:r>
              <w:rPr>
                <w:color w:val="000000"/>
                <w:spacing w:val="-2"/>
              </w:rPr>
              <w:t>sedminový</w:t>
            </w:r>
            <w:proofErr w:type="spellEnd"/>
            <w:r>
              <w:rPr>
                <w:color w:val="000000"/>
                <w:spacing w:val="-2"/>
              </w:rPr>
              <w:t xml:space="preserve"> (15,7 %). Údaje v přepočtu na obyvatele pak samozřejmě tyto proporce mění.    </w:t>
            </w:r>
          </w:p>
          <w:p w:rsidR="005D5A35" w:rsidRDefault="005D5A35" w:rsidP="00BC5111">
            <w:pPr>
              <w:pStyle w:val="Textpoznpodarou"/>
              <w:jc w:val="both"/>
              <w:rPr>
                <w:color w:val="000000"/>
                <w:spacing w:val="-2"/>
              </w:rPr>
            </w:pPr>
          </w:p>
        </w:tc>
      </w:tr>
      <w:tr w:rsidR="005D5A35" w:rsidRPr="00764561" w:rsidTr="00C84605">
        <w:tc>
          <w:tcPr>
            <w:tcW w:w="1070" w:type="pct"/>
            <w:gridSpan w:val="3"/>
          </w:tcPr>
          <w:p w:rsidR="005D5A35" w:rsidRDefault="005D5A35" w:rsidP="00BC5111">
            <w:pPr>
              <w:spacing w:line="240" w:lineRule="auto"/>
              <w:rPr>
                <w:color w:val="000000"/>
                <w:sz w:val="16"/>
                <w:szCs w:val="16"/>
              </w:rPr>
            </w:pPr>
            <w:r>
              <w:rPr>
                <w:color w:val="000000"/>
                <w:sz w:val="16"/>
                <w:szCs w:val="16"/>
              </w:rPr>
              <w:t>Zhoršení relativní pozice v HDP na obyvatele během recese v roce 2012 zasáh</w:t>
            </w:r>
            <w:r w:rsidR="00354366">
              <w:rPr>
                <w:color w:val="000000"/>
                <w:sz w:val="16"/>
                <w:szCs w:val="16"/>
              </w:rPr>
              <w:t>l</w:t>
            </w:r>
            <w:r>
              <w:rPr>
                <w:color w:val="000000"/>
                <w:sz w:val="16"/>
                <w:szCs w:val="16"/>
              </w:rPr>
              <w:t>o většinu krajů (9 ze 14), v roce 2013 „jen“ čtyři kraje</w:t>
            </w:r>
          </w:p>
        </w:tc>
        <w:tc>
          <w:tcPr>
            <w:tcW w:w="143" w:type="pct"/>
          </w:tcPr>
          <w:p w:rsidR="005D5A35" w:rsidRDefault="005D5A35" w:rsidP="00BC5111">
            <w:pPr>
              <w:pStyle w:val="Textpoznpodarou"/>
              <w:jc w:val="both"/>
            </w:pPr>
          </w:p>
        </w:tc>
        <w:tc>
          <w:tcPr>
            <w:tcW w:w="3787" w:type="pct"/>
            <w:gridSpan w:val="3"/>
          </w:tcPr>
          <w:p w:rsidR="005D5A35" w:rsidRDefault="005D5A35" w:rsidP="00BC5111">
            <w:pPr>
              <w:pStyle w:val="Textpoznpodarou"/>
              <w:jc w:val="both"/>
              <w:rPr>
                <w:color w:val="000000"/>
                <w:spacing w:val="-2"/>
              </w:rPr>
            </w:pPr>
            <w:r>
              <w:rPr>
                <w:color w:val="000000"/>
                <w:spacing w:val="-2"/>
              </w:rPr>
              <w:t>Roky recese poznamenaly i vývoj v krajích tak, že zatímco v roce 2012 se proti roku 2011 zhoršila v ČR relativní pozice HDP na oby</w:t>
            </w:r>
            <w:r w:rsidR="001157D5">
              <w:rPr>
                <w:color w:val="000000"/>
                <w:spacing w:val="-2"/>
              </w:rPr>
              <w:t>vatele v paritě kupní síly</w:t>
            </w:r>
            <w:r>
              <w:rPr>
                <w:color w:val="000000"/>
                <w:spacing w:val="-2"/>
              </w:rPr>
              <w:t xml:space="preserve"> ve</w:t>
            </w:r>
            <w:r w:rsidR="002547A6">
              <w:rPr>
                <w:color w:val="000000"/>
                <w:spacing w:val="-2"/>
              </w:rPr>
              <w:t> </w:t>
            </w:r>
            <w:r>
              <w:rPr>
                <w:color w:val="000000"/>
                <w:spacing w:val="-2"/>
              </w:rPr>
              <w:t>srovnání s průměrem EU 28 celkem v devíti krajích, v roce 2013 jen ve čtyřech krajích. V úhrnu zůstala pozice České republiky stejná, a to na úrovni 82,4 % tohoto ukazatele za EU 28.</w:t>
            </w:r>
          </w:p>
          <w:p w:rsidR="005D5A35" w:rsidRPr="00F40185" w:rsidRDefault="005D5A35" w:rsidP="00BC5111">
            <w:pPr>
              <w:pStyle w:val="Textpoznpodarou"/>
              <w:jc w:val="both"/>
              <w:rPr>
                <w:color w:val="000000"/>
                <w:spacing w:val="-2"/>
              </w:rPr>
            </w:pPr>
          </w:p>
          <w:p w:rsidR="005D5A35" w:rsidRPr="007146CC" w:rsidRDefault="005D5A35" w:rsidP="00BC5111">
            <w:pPr>
              <w:pStyle w:val="Textpoznpodarou"/>
              <w:jc w:val="both"/>
              <w:rPr>
                <w:color w:val="000000"/>
                <w:spacing w:val="-2"/>
              </w:rPr>
            </w:pPr>
            <w:r>
              <w:rPr>
                <w:color w:val="000000"/>
                <w:spacing w:val="-2"/>
              </w:rPr>
              <w:t>Postavení hlavního města v ekonomické struktuře České republiky se projevuje i</w:t>
            </w:r>
            <w:r w:rsidR="002547A6">
              <w:rPr>
                <w:color w:val="000000"/>
                <w:spacing w:val="-2"/>
              </w:rPr>
              <w:t> </w:t>
            </w:r>
            <w:r>
              <w:rPr>
                <w:color w:val="000000"/>
                <w:spacing w:val="-2"/>
              </w:rPr>
              <w:t>v příjmové oblasti, tj. v čistém disponibilním důchodu domácností a jeho vývoji ve</w:t>
            </w:r>
            <w:r w:rsidR="002547A6">
              <w:rPr>
                <w:color w:val="000000"/>
                <w:spacing w:val="-2"/>
              </w:rPr>
              <w:t> </w:t>
            </w:r>
            <w:r>
              <w:rPr>
                <w:color w:val="000000"/>
                <w:spacing w:val="-2"/>
              </w:rPr>
              <w:t xml:space="preserve">srovnání s obdobným ukazatelem za celou ČR (graf 3) </w:t>
            </w:r>
          </w:p>
          <w:p w:rsidR="005D5A35" w:rsidRPr="00764561" w:rsidRDefault="005D5A35" w:rsidP="00BC5111">
            <w:pPr>
              <w:pStyle w:val="Textpoznpodarou"/>
              <w:jc w:val="both"/>
              <w:rPr>
                <w:i/>
                <w:color w:val="000000"/>
                <w:spacing w:val="-2"/>
              </w:rPr>
            </w:pPr>
            <w:r>
              <w:rPr>
                <w:color w:val="000000"/>
                <w:spacing w:val="-2"/>
              </w:rPr>
              <w:t xml:space="preserve"> </w:t>
            </w:r>
          </w:p>
        </w:tc>
      </w:tr>
      <w:tr w:rsidR="005D5A35" w:rsidRPr="00764561" w:rsidTr="00C84605">
        <w:tc>
          <w:tcPr>
            <w:tcW w:w="1070" w:type="pct"/>
            <w:gridSpan w:val="3"/>
          </w:tcPr>
          <w:p w:rsidR="005D5A35" w:rsidRDefault="005D5A35" w:rsidP="00590528">
            <w:pPr>
              <w:spacing w:line="240" w:lineRule="auto"/>
              <w:rPr>
                <w:color w:val="000000"/>
                <w:sz w:val="16"/>
                <w:szCs w:val="16"/>
              </w:rPr>
            </w:pPr>
            <w:r>
              <w:rPr>
                <w:color w:val="000000"/>
                <w:sz w:val="16"/>
                <w:szCs w:val="16"/>
              </w:rPr>
              <w:t>Nejsilnější byl růst čistého</w:t>
            </w:r>
            <w:r w:rsidR="00590528">
              <w:rPr>
                <w:color w:val="000000"/>
                <w:sz w:val="16"/>
                <w:szCs w:val="16"/>
              </w:rPr>
              <w:t> </w:t>
            </w:r>
            <w:r>
              <w:rPr>
                <w:color w:val="000000"/>
                <w:sz w:val="16"/>
                <w:szCs w:val="16"/>
              </w:rPr>
              <w:t>disponibilního důchodu na</w:t>
            </w:r>
            <w:r w:rsidR="00590528">
              <w:rPr>
                <w:color w:val="000000"/>
                <w:sz w:val="16"/>
                <w:szCs w:val="16"/>
              </w:rPr>
              <w:t> </w:t>
            </w:r>
            <w:r w:rsidR="00DB0BA5">
              <w:rPr>
                <w:color w:val="000000"/>
                <w:sz w:val="16"/>
                <w:szCs w:val="16"/>
              </w:rPr>
              <w:t>obyvatele v letech 1995-199</w:t>
            </w:r>
            <w:r>
              <w:rPr>
                <w:color w:val="000000"/>
                <w:sz w:val="16"/>
                <w:szCs w:val="16"/>
              </w:rPr>
              <w:t>8 jako odraz vysoké inflace a</w:t>
            </w:r>
            <w:r w:rsidR="00590528">
              <w:rPr>
                <w:color w:val="000000"/>
                <w:sz w:val="16"/>
                <w:szCs w:val="16"/>
              </w:rPr>
              <w:t> </w:t>
            </w:r>
            <w:r>
              <w:rPr>
                <w:color w:val="000000"/>
                <w:sz w:val="16"/>
                <w:szCs w:val="16"/>
              </w:rPr>
              <w:t>na</w:t>
            </w:r>
            <w:r w:rsidR="00590528">
              <w:rPr>
                <w:color w:val="000000"/>
                <w:sz w:val="16"/>
                <w:szCs w:val="16"/>
              </w:rPr>
              <w:t> </w:t>
            </w:r>
            <w:r>
              <w:rPr>
                <w:color w:val="000000"/>
                <w:sz w:val="16"/>
                <w:szCs w:val="16"/>
              </w:rPr>
              <w:t>ní</w:t>
            </w:r>
            <w:r w:rsidR="00590528">
              <w:rPr>
                <w:color w:val="000000"/>
                <w:sz w:val="16"/>
                <w:szCs w:val="16"/>
              </w:rPr>
              <w:t> </w:t>
            </w:r>
            <w:r>
              <w:rPr>
                <w:color w:val="000000"/>
                <w:sz w:val="16"/>
                <w:szCs w:val="16"/>
              </w:rPr>
              <w:t>reagující růst mezd</w:t>
            </w:r>
          </w:p>
        </w:tc>
        <w:tc>
          <w:tcPr>
            <w:tcW w:w="143" w:type="pct"/>
          </w:tcPr>
          <w:p w:rsidR="005D5A35" w:rsidRDefault="005D5A35" w:rsidP="00FA57FD">
            <w:pPr>
              <w:pStyle w:val="Textpoznpodarou"/>
              <w:jc w:val="both"/>
            </w:pPr>
          </w:p>
        </w:tc>
        <w:tc>
          <w:tcPr>
            <w:tcW w:w="3787" w:type="pct"/>
            <w:gridSpan w:val="3"/>
          </w:tcPr>
          <w:p w:rsidR="005D5A35" w:rsidRPr="00FA57FD" w:rsidRDefault="005D5A35" w:rsidP="00FA57FD">
            <w:pPr>
              <w:pStyle w:val="Textpoznpodarou"/>
              <w:jc w:val="both"/>
              <w:rPr>
                <w:color w:val="000000"/>
                <w:spacing w:val="-2"/>
              </w:rPr>
            </w:pPr>
            <w:r>
              <w:rPr>
                <w:color w:val="000000"/>
                <w:spacing w:val="-2"/>
              </w:rPr>
              <w:t>Silný růst čistého disponibilního důchodu domácností v přepočtu na jednoho obyvatele patrný podle grafu 3 v letech 1995-1998 souvisel především s růstem nominálních mezd, který byl v této době značný, protože i inflace cen pro spotřebitele byla na české poměry relativně vysoká (průměrná míra inflace klesala z 20,8 % v roce 1993 jen pozvolna na 10,7 % v roce 1998, na což samozřejmě reagovala i</w:t>
            </w:r>
            <w:r w:rsidR="00C84605">
              <w:rPr>
                <w:color w:val="000000"/>
                <w:spacing w:val="-2"/>
              </w:rPr>
              <w:t> </w:t>
            </w:r>
            <w:r>
              <w:rPr>
                <w:color w:val="000000"/>
                <w:spacing w:val="-2"/>
              </w:rPr>
              <w:t xml:space="preserve">mzdová vyjednávání).  </w:t>
            </w:r>
            <w:r w:rsidRPr="00FA57FD">
              <w:rPr>
                <w:color w:val="000000"/>
                <w:spacing w:val="-2"/>
              </w:rPr>
              <w:t xml:space="preserve"> </w:t>
            </w:r>
          </w:p>
          <w:p w:rsidR="005D5A35" w:rsidRPr="00FA57FD" w:rsidRDefault="005D5A35" w:rsidP="00FA57FD">
            <w:pPr>
              <w:pStyle w:val="Textpoznpodarou"/>
              <w:jc w:val="both"/>
              <w:rPr>
                <w:color w:val="000000"/>
                <w:spacing w:val="-2"/>
              </w:rPr>
            </w:pPr>
            <w:r>
              <w:rPr>
                <w:color w:val="000000"/>
                <w:spacing w:val="-2"/>
              </w:rPr>
              <w:t xml:space="preserve"> </w:t>
            </w:r>
          </w:p>
        </w:tc>
      </w:tr>
      <w:tr w:rsidR="005D5A35" w:rsidRPr="00764561" w:rsidTr="00C84605">
        <w:tc>
          <w:tcPr>
            <w:tcW w:w="1070" w:type="pct"/>
            <w:gridSpan w:val="3"/>
          </w:tcPr>
          <w:p w:rsidR="005D5A35" w:rsidRPr="002A659A" w:rsidRDefault="005D5A35" w:rsidP="00BC5111">
            <w:pPr>
              <w:spacing w:line="240" w:lineRule="auto"/>
              <w:rPr>
                <w:sz w:val="16"/>
                <w:szCs w:val="16"/>
              </w:rPr>
            </w:pPr>
            <w:r w:rsidRPr="002A659A">
              <w:rPr>
                <w:sz w:val="16"/>
                <w:szCs w:val="16"/>
              </w:rPr>
              <w:t>Čistý disponibilní důchod domácností byl</w:t>
            </w:r>
            <w:r w:rsidR="002A659A" w:rsidRPr="002A659A">
              <w:rPr>
                <w:sz w:val="16"/>
                <w:szCs w:val="16"/>
              </w:rPr>
              <w:t xml:space="preserve"> v Praze</w:t>
            </w:r>
            <w:r w:rsidRPr="002A659A">
              <w:rPr>
                <w:sz w:val="16"/>
                <w:szCs w:val="16"/>
              </w:rPr>
              <w:t xml:space="preserve"> mezi lety 2003-2006 o více než 37 % vyšší než v ČR celkem… </w:t>
            </w:r>
          </w:p>
        </w:tc>
        <w:tc>
          <w:tcPr>
            <w:tcW w:w="143" w:type="pct"/>
          </w:tcPr>
          <w:p w:rsidR="005D5A35" w:rsidRPr="002A659A" w:rsidRDefault="005D5A35" w:rsidP="00BC5111">
            <w:pPr>
              <w:pStyle w:val="Textpoznpodarou"/>
              <w:jc w:val="both"/>
            </w:pPr>
          </w:p>
        </w:tc>
        <w:tc>
          <w:tcPr>
            <w:tcW w:w="3787" w:type="pct"/>
            <w:gridSpan w:val="3"/>
          </w:tcPr>
          <w:p w:rsidR="005D5A35" w:rsidRPr="002A659A" w:rsidRDefault="005D5A35" w:rsidP="004749D9">
            <w:pPr>
              <w:pStyle w:val="Textpoznpodarou"/>
              <w:jc w:val="both"/>
              <w:rPr>
                <w:spacing w:val="-2"/>
              </w:rPr>
            </w:pPr>
            <w:r w:rsidRPr="002A659A">
              <w:rPr>
                <w:spacing w:val="-2"/>
              </w:rPr>
              <w:t xml:space="preserve">Po roce 2001 začalo tempo růstu čistého disponibilního důchodu na obyvatele klesat nejen v ČR jako celku, </w:t>
            </w:r>
            <w:r w:rsidR="002A659A" w:rsidRPr="002A659A">
              <w:rPr>
                <w:spacing w:val="-2"/>
              </w:rPr>
              <w:t xml:space="preserve">ale </w:t>
            </w:r>
            <w:r w:rsidRPr="002A659A">
              <w:rPr>
                <w:spacing w:val="-2"/>
              </w:rPr>
              <w:t>i v hlavním městě Praze. Přesto však právě od</w:t>
            </w:r>
            <w:r w:rsidR="002A659A" w:rsidRPr="002A659A">
              <w:rPr>
                <w:spacing w:val="-2"/>
              </w:rPr>
              <w:t> </w:t>
            </w:r>
            <w:r w:rsidRPr="002A659A">
              <w:rPr>
                <w:spacing w:val="-2"/>
              </w:rPr>
              <w:t>roku 2002 začala v</w:t>
            </w:r>
            <w:r w:rsidR="00552887" w:rsidRPr="002A659A">
              <w:rPr>
                <w:spacing w:val="-2"/>
              </w:rPr>
              <w:t>ýznamně posilovat pozice Prahy,</w:t>
            </w:r>
            <w:r w:rsidRPr="002A659A">
              <w:rPr>
                <w:spacing w:val="-2"/>
              </w:rPr>
              <w:t xml:space="preserve"> pokud jde o čistý disponibilní důchod na obyvatele ve srovnání s jeho úrovní za ČR jako celek – v Praze začaly být tyto příjmy o více než třetinu vyšší. Největší převýšení bylo v roce 2003 a 2006, tj. +37,4 %, resp. +37,2 % - to představovalo nominálně 197 tis. ročních příjmů na obyvatele v Praze proti 143 tisícům za ČR jako celek v roce 2003, resp. 233 tis. oproti 170 tisícům v roce 2006. </w:t>
            </w:r>
          </w:p>
          <w:p w:rsidR="005D5A35" w:rsidRPr="002A659A" w:rsidRDefault="005D5A35" w:rsidP="004749D9">
            <w:pPr>
              <w:pStyle w:val="Textpoznpodarou"/>
              <w:jc w:val="both"/>
              <w:rPr>
                <w:i/>
                <w:spacing w:val="-2"/>
              </w:rPr>
            </w:pPr>
          </w:p>
        </w:tc>
      </w:tr>
      <w:tr w:rsidR="005D5A35" w:rsidRPr="00764561" w:rsidTr="00C84605">
        <w:tc>
          <w:tcPr>
            <w:tcW w:w="1070" w:type="pct"/>
            <w:gridSpan w:val="3"/>
          </w:tcPr>
          <w:p w:rsidR="005D5A35" w:rsidRPr="002A659A" w:rsidRDefault="005D5A35" w:rsidP="002A659A">
            <w:pPr>
              <w:spacing w:line="240" w:lineRule="auto"/>
              <w:rPr>
                <w:sz w:val="16"/>
                <w:szCs w:val="16"/>
              </w:rPr>
            </w:pPr>
            <w:r w:rsidRPr="002A659A">
              <w:rPr>
                <w:sz w:val="16"/>
                <w:szCs w:val="16"/>
              </w:rPr>
              <w:t>… přičemž v roce 1995 o</w:t>
            </w:r>
            <w:r w:rsidR="002A659A" w:rsidRPr="002A659A">
              <w:rPr>
                <w:sz w:val="16"/>
                <w:szCs w:val="16"/>
              </w:rPr>
              <w:t> </w:t>
            </w:r>
            <w:r w:rsidRPr="002A659A">
              <w:rPr>
                <w:sz w:val="16"/>
                <w:szCs w:val="16"/>
              </w:rPr>
              <w:t>22</w:t>
            </w:r>
            <w:r w:rsidR="002A659A" w:rsidRPr="002A659A">
              <w:rPr>
                <w:sz w:val="16"/>
                <w:szCs w:val="16"/>
              </w:rPr>
              <w:t> </w:t>
            </w:r>
            <w:r w:rsidRPr="002A659A">
              <w:rPr>
                <w:sz w:val="16"/>
                <w:szCs w:val="16"/>
              </w:rPr>
              <w:t>% a</w:t>
            </w:r>
            <w:r w:rsidR="002A659A" w:rsidRPr="002A659A">
              <w:rPr>
                <w:sz w:val="16"/>
                <w:szCs w:val="16"/>
              </w:rPr>
              <w:t xml:space="preserve"> podle</w:t>
            </w:r>
            <w:r w:rsidRPr="002A659A">
              <w:rPr>
                <w:sz w:val="16"/>
                <w:szCs w:val="16"/>
              </w:rPr>
              <w:t xml:space="preserve"> posledních dat za rok 2013 byl čistý disponibilní důchod na obyvatele hlavního města Prahy o 31,6 % vyšší než</w:t>
            </w:r>
            <w:r w:rsidR="002A659A" w:rsidRPr="002A659A">
              <w:rPr>
                <w:sz w:val="16"/>
                <w:szCs w:val="16"/>
              </w:rPr>
              <w:t> </w:t>
            </w:r>
            <w:r w:rsidRPr="002A659A">
              <w:rPr>
                <w:sz w:val="16"/>
                <w:szCs w:val="16"/>
              </w:rPr>
              <w:t>za</w:t>
            </w:r>
            <w:r w:rsidR="002A659A" w:rsidRPr="002A659A">
              <w:rPr>
                <w:sz w:val="16"/>
                <w:szCs w:val="16"/>
              </w:rPr>
              <w:t> </w:t>
            </w:r>
            <w:r w:rsidRPr="002A659A">
              <w:rPr>
                <w:sz w:val="16"/>
                <w:szCs w:val="16"/>
              </w:rPr>
              <w:t>celou ČR;</w:t>
            </w:r>
            <w:r w:rsidR="002A659A" w:rsidRPr="002A659A">
              <w:rPr>
                <w:sz w:val="16"/>
                <w:szCs w:val="16"/>
              </w:rPr>
              <w:t xml:space="preserve"> </w:t>
            </w:r>
            <w:r w:rsidRPr="002A659A">
              <w:rPr>
                <w:sz w:val="16"/>
                <w:szCs w:val="16"/>
              </w:rPr>
              <w:t>za roky 1995-2013 se disparita mezi Prahou a „zbytkem“ ČR dále zvětšila</w:t>
            </w:r>
          </w:p>
        </w:tc>
        <w:tc>
          <w:tcPr>
            <w:tcW w:w="143" w:type="pct"/>
          </w:tcPr>
          <w:p w:rsidR="005D5A35" w:rsidRPr="002A659A" w:rsidRDefault="005D5A35" w:rsidP="00BC5111">
            <w:pPr>
              <w:pStyle w:val="Textpoznpodarou"/>
              <w:jc w:val="both"/>
            </w:pPr>
          </w:p>
        </w:tc>
        <w:tc>
          <w:tcPr>
            <w:tcW w:w="3787" w:type="pct"/>
            <w:gridSpan w:val="3"/>
          </w:tcPr>
          <w:p w:rsidR="005D5A35" w:rsidRPr="002A659A" w:rsidRDefault="005D5A35" w:rsidP="004749D9">
            <w:pPr>
              <w:pStyle w:val="Textpoznpodarou"/>
              <w:jc w:val="both"/>
            </w:pPr>
            <w:r w:rsidRPr="002A659A">
              <w:t>Přitom ještě v roce 1995 činil čistý disponibilní důchod na obyvatele v ČR 79 tis. korun ročně, přičemž v Praze byl o 22 % vyšší, tj. 97 tis. korun. V roce 2013 byly obdobné proporce 196 tis. za ČR celkem proti 257 tis. korun příjmů na obyvatele Prahy, což bylo o 31,6 % více</w:t>
            </w:r>
            <w:r w:rsidR="002A659A" w:rsidRPr="002A659A">
              <w:t>,</w:t>
            </w:r>
            <w:r w:rsidRPr="002A659A">
              <w:t xml:space="preserve"> než kolik činil čistý disponibilní důchod na</w:t>
            </w:r>
            <w:r w:rsidR="002A659A">
              <w:t> </w:t>
            </w:r>
            <w:r w:rsidRPr="002A659A">
              <w:t xml:space="preserve">obyvatele za celou Českou republiku. </w:t>
            </w:r>
          </w:p>
          <w:p w:rsidR="005D5A35" w:rsidRPr="002A659A" w:rsidRDefault="005D5A35" w:rsidP="004749D9">
            <w:pPr>
              <w:pStyle w:val="Textpoznpodarou"/>
              <w:jc w:val="both"/>
              <w:rPr>
                <w:spacing w:val="-2"/>
              </w:rPr>
            </w:pPr>
          </w:p>
          <w:p w:rsidR="005D5A35" w:rsidRPr="002A659A" w:rsidRDefault="005D5A35" w:rsidP="004749D9">
            <w:pPr>
              <w:pStyle w:val="Textpoznpodarou"/>
              <w:jc w:val="both"/>
              <w:rPr>
                <w:spacing w:val="-2"/>
              </w:rPr>
            </w:pPr>
            <w:r w:rsidRPr="002A659A">
              <w:rPr>
                <w:spacing w:val="-2"/>
              </w:rPr>
              <w:t xml:space="preserve">Zatímco v úhrnu v ČR stouply tyto příjmy za období 1995-2013 2,47krát, v hlavním městě Praze </w:t>
            </w:r>
            <w:r w:rsidR="00640C2B">
              <w:rPr>
                <w:spacing w:val="-2"/>
              </w:rPr>
              <w:t xml:space="preserve">rostly </w:t>
            </w:r>
            <w:r w:rsidRPr="002A659A">
              <w:rPr>
                <w:spacing w:val="-2"/>
              </w:rPr>
              <w:t xml:space="preserve">rychleji, a to 2,67 krát. Znamená to, že disparita mezi vývojem v hlavním městě a „zbytkem“ České republiky se dále v letech 1995-2013 zvětšila.   </w:t>
            </w:r>
          </w:p>
          <w:p w:rsidR="00F40185" w:rsidRPr="002A659A" w:rsidRDefault="00F40185" w:rsidP="004749D9">
            <w:pPr>
              <w:pStyle w:val="Textpoznpodarou"/>
              <w:jc w:val="both"/>
              <w:rPr>
                <w:spacing w:val="-2"/>
              </w:rPr>
            </w:pPr>
          </w:p>
        </w:tc>
      </w:tr>
      <w:tr w:rsidR="005D5A35" w:rsidRPr="00817C98" w:rsidTr="00C84605">
        <w:trPr>
          <w:gridBefore w:val="1"/>
          <w:wBefore w:w="6" w:type="pct"/>
        </w:trPr>
        <w:tc>
          <w:tcPr>
            <w:tcW w:w="387" w:type="pct"/>
          </w:tcPr>
          <w:p w:rsidR="005D5A35" w:rsidRDefault="005D5A35" w:rsidP="00F40185">
            <w:pPr>
              <w:spacing w:line="240" w:lineRule="auto"/>
            </w:pPr>
            <w:r>
              <w:lastRenderedPageBreak/>
              <w:t>Graf č.</w:t>
            </w:r>
            <w:r w:rsidR="00F40185">
              <w:t> </w:t>
            </w:r>
            <w:r w:rsidR="00F55CC2">
              <w:t>3</w:t>
            </w:r>
          </w:p>
        </w:tc>
        <w:tc>
          <w:tcPr>
            <w:tcW w:w="2187" w:type="pct"/>
            <w:gridSpan w:val="3"/>
          </w:tcPr>
          <w:p w:rsidR="005D5A35" w:rsidRDefault="005D5A35" w:rsidP="00351A67">
            <w:pPr>
              <w:pStyle w:val="Textpoznpodarou"/>
              <w:rPr>
                <w:rFonts w:cs="Arial"/>
                <w:szCs w:val="24"/>
              </w:rPr>
            </w:pPr>
            <w:r>
              <w:rPr>
                <w:rFonts w:cs="Arial"/>
                <w:b/>
                <w:bCs/>
              </w:rPr>
              <w:t xml:space="preserve">Čistý disponibilní důchod domácností v přepočtu na obyvatele </w:t>
            </w:r>
            <w:r w:rsidRPr="00DB06E9">
              <w:rPr>
                <w:rFonts w:cs="Arial"/>
                <w:bCs/>
              </w:rPr>
              <w:t>(</w:t>
            </w:r>
            <w:r>
              <w:rPr>
                <w:rFonts w:cs="Arial"/>
                <w:bCs/>
              </w:rPr>
              <w:t>y/y v %</w:t>
            </w:r>
            <w:r w:rsidRPr="00DB06E9">
              <w:rPr>
                <w:rFonts w:cs="Arial"/>
                <w:bCs/>
              </w:rPr>
              <w:t>)</w:t>
            </w:r>
          </w:p>
        </w:tc>
        <w:tc>
          <w:tcPr>
            <w:tcW w:w="381" w:type="pct"/>
          </w:tcPr>
          <w:p w:rsidR="005D5A35" w:rsidRDefault="005D5A35" w:rsidP="00F40185">
            <w:pPr>
              <w:spacing w:line="240" w:lineRule="auto"/>
            </w:pPr>
            <w:r>
              <w:t>Graf č.</w:t>
            </w:r>
            <w:r w:rsidR="00F40185">
              <w:t> </w:t>
            </w:r>
            <w:r w:rsidR="00F55CC2">
              <w:t>4</w:t>
            </w:r>
          </w:p>
        </w:tc>
        <w:tc>
          <w:tcPr>
            <w:tcW w:w="2040" w:type="pct"/>
          </w:tcPr>
          <w:p w:rsidR="005D5A35" w:rsidRPr="00817C98" w:rsidRDefault="005D5A35" w:rsidP="00FB6D5D">
            <w:pPr>
              <w:spacing w:line="240" w:lineRule="auto"/>
              <w:rPr>
                <w:rFonts w:cs="Arial"/>
                <w:b/>
                <w:bCs/>
              </w:rPr>
            </w:pPr>
            <w:r>
              <w:rPr>
                <w:rFonts w:cs="Arial"/>
                <w:b/>
                <w:bCs/>
              </w:rPr>
              <w:t>Změny čistého disponibilního důchodu domácností/</w:t>
            </w:r>
            <w:proofErr w:type="spellStart"/>
            <w:r>
              <w:rPr>
                <w:rFonts w:cs="Arial"/>
                <w:b/>
                <w:bCs/>
              </w:rPr>
              <w:t>obyv</w:t>
            </w:r>
            <w:proofErr w:type="spellEnd"/>
            <w:r>
              <w:rPr>
                <w:rFonts w:cs="Arial"/>
                <w:b/>
                <w:bCs/>
              </w:rPr>
              <w:t>. a HDP/</w:t>
            </w:r>
            <w:proofErr w:type="spellStart"/>
            <w:r>
              <w:rPr>
                <w:rFonts w:cs="Arial"/>
                <w:b/>
                <w:bCs/>
              </w:rPr>
              <w:t>obyv</w:t>
            </w:r>
            <w:proofErr w:type="spellEnd"/>
            <w:r>
              <w:rPr>
                <w:rFonts w:cs="Arial"/>
                <w:b/>
                <w:bCs/>
              </w:rPr>
              <w:t xml:space="preserve">. v PPS v krajích ČR – změna 2013-2004 </w:t>
            </w:r>
            <w:r w:rsidRPr="00FB6D5D">
              <w:rPr>
                <w:rFonts w:cs="Arial"/>
                <w:bCs/>
              </w:rPr>
              <w:t>(v %)</w:t>
            </w:r>
          </w:p>
        </w:tc>
      </w:tr>
      <w:tr w:rsidR="005D5A35" w:rsidTr="00C84605">
        <w:trPr>
          <w:gridBefore w:val="1"/>
          <w:wBefore w:w="6" w:type="pct"/>
        </w:trPr>
        <w:tc>
          <w:tcPr>
            <w:tcW w:w="2574" w:type="pct"/>
            <w:gridSpan w:val="4"/>
          </w:tcPr>
          <w:p w:rsidR="005D5A35" w:rsidRDefault="007B1973" w:rsidP="002555ED">
            <w:pPr>
              <w:pStyle w:val="Textpoznpodarou"/>
              <w:jc w:val="both"/>
            </w:pPr>
            <w:r w:rsidRPr="007B1973">
              <w:rPr>
                <w:b/>
                <w:sz w:val="12"/>
                <w:szCs w:val="12"/>
              </w:rPr>
              <w:pict>
                <v:shape id="_x0000_i1120" type="#_x0000_t75" style="width:236.25pt;height:198.75pt">
                  <v:imagedata r:id="rId10" o:title=""/>
                </v:shape>
              </w:pict>
            </w:r>
          </w:p>
        </w:tc>
        <w:tc>
          <w:tcPr>
            <w:tcW w:w="2420" w:type="pct"/>
            <w:gridSpan w:val="2"/>
          </w:tcPr>
          <w:p w:rsidR="005D5A35" w:rsidRDefault="007B1973" w:rsidP="00C84605">
            <w:pPr>
              <w:pStyle w:val="Textpoznpodarou"/>
            </w:pPr>
            <w:r w:rsidRPr="007B1973">
              <w:rPr>
                <w:b/>
                <w:sz w:val="12"/>
                <w:szCs w:val="12"/>
              </w:rPr>
              <w:pict>
                <v:shape id="_x0000_i1121" type="#_x0000_t75" style="width:230.25pt;height:198.75pt">
                  <v:imagedata r:id="rId11" o:title=""/>
                </v:shape>
              </w:pict>
            </w:r>
          </w:p>
        </w:tc>
      </w:tr>
    </w:tbl>
    <w:p w:rsidR="005D5A35" w:rsidRPr="003B50F0" w:rsidRDefault="00680292" w:rsidP="003B50F0">
      <w:pPr>
        <w:jc w:val="right"/>
        <w:rPr>
          <w:sz w:val="18"/>
          <w:szCs w:val="18"/>
        </w:rPr>
      </w:pPr>
      <w:r>
        <w:rPr>
          <w:sz w:val="18"/>
          <w:szCs w:val="18"/>
        </w:rPr>
        <w:t>Zdroj</w:t>
      </w:r>
      <w:r w:rsidR="005D5A35" w:rsidRPr="003B50F0">
        <w:rPr>
          <w:sz w:val="18"/>
          <w:szCs w:val="18"/>
        </w:rPr>
        <w:t>: ČŠÚ</w:t>
      </w:r>
    </w:p>
    <w:p w:rsidR="00C84605" w:rsidRPr="003B50F0" w:rsidRDefault="00C84605" w:rsidP="003B50F0">
      <w:pPr>
        <w:jc w:val="both"/>
        <w:rPr>
          <w:b/>
          <w:sz w:val="12"/>
          <w:szCs w:val="12"/>
        </w:rPr>
      </w:pPr>
    </w:p>
    <w:tbl>
      <w:tblPr>
        <w:tblW w:w="5043" w:type="pct"/>
        <w:tblInd w:w="-42" w:type="dxa"/>
        <w:tblCellMar>
          <w:left w:w="28" w:type="dxa"/>
          <w:right w:w="28" w:type="dxa"/>
        </w:tblCellMar>
        <w:tblLook w:val="00A0"/>
      </w:tblPr>
      <w:tblGrid>
        <w:gridCol w:w="2037"/>
        <w:gridCol w:w="272"/>
        <w:gridCol w:w="7468"/>
      </w:tblGrid>
      <w:tr w:rsidR="005D5A35" w:rsidRPr="00FA57FD" w:rsidTr="00C84605">
        <w:tc>
          <w:tcPr>
            <w:tcW w:w="1042" w:type="pct"/>
          </w:tcPr>
          <w:p w:rsidR="005D5A35" w:rsidRDefault="005D5A35" w:rsidP="002A659A">
            <w:pPr>
              <w:spacing w:line="240" w:lineRule="auto"/>
              <w:rPr>
                <w:color w:val="000000"/>
                <w:sz w:val="16"/>
                <w:szCs w:val="16"/>
              </w:rPr>
            </w:pPr>
            <w:r>
              <w:rPr>
                <w:color w:val="000000"/>
                <w:sz w:val="16"/>
                <w:szCs w:val="16"/>
              </w:rPr>
              <w:t>Od roku 1995 do roku 2013 rostly v sedmi krajích příjmy lidí rychleji než</w:t>
            </w:r>
            <w:r w:rsidR="002A659A">
              <w:rPr>
                <w:color w:val="000000"/>
                <w:sz w:val="16"/>
                <w:szCs w:val="16"/>
              </w:rPr>
              <w:t> </w:t>
            </w:r>
            <w:r>
              <w:rPr>
                <w:color w:val="000000"/>
                <w:sz w:val="16"/>
                <w:szCs w:val="16"/>
              </w:rPr>
              <w:t>cel</w:t>
            </w:r>
            <w:r w:rsidR="006A0436">
              <w:rPr>
                <w:color w:val="000000"/>
                <w:sz w:val="16"/>
                <w:szCs w:val="16"/>
              </w:rPr>
              <w:t>orepublikový průměr, nejvíce v K</w:t>
            </w:r>
            <w:r>
              <w:rPr>
                <w:color w:val="000000"/>
                <w:sz w:val="16"/>
                <w:szCs w:val="16"/>
              </w:rPr>
              <w:t>raji Vysočina</w:t>
            </w:r>
          </w:p>
        </w:tc>
        <w:tc>
          <w:tcPr>
            <w:tcW w:w="139" w:type="pct"/>
          </w:tcPr>
          <w:p w:rsidR="005D5A35" w:rsidRDefault="005D5A35" w:rsidP="00BC5111">
            <w:pPr>
              <w:pStyle w:val="Textpoznpodarou"/>
              <w:jc w:val="both"/>
            </w:pPr>
          </w:p>
        </w:tc>
        <w:tc>
          <w:tcPr>
            <w:tcW w:w="3819" w:type="pct"/>
          </w:tcPr>
          <w:p w:rsidR="005D5A35" w:rsidRPr="00FA57FD" w:rsidRDefault="005D5A35" w:rsidP="00BC5111">
            <w:pPr>
              <w:pStyle w:val="Textpoznpodarou"/>
              <w:jc w:val="both"/>
              <w:rPr>
                <w:color w:val="000000"/>
                <w:spacing w:val="-2"/>
              </w:rPr>
            </w:pPr>
            <w:r>
              <w:rPr>
                <w:color w:val="000000"/>
                <w:spacing w:val="-2"/>
              </w:rPr>
              <w:t xml:space="preserve">Za období 1995-2013 stouply příjmy lidí v podobě čistého disponibilního důchodu domácností v přepočtu na obyvatele v celkem sedmi krajích ze čtrnácti. Největší zlepšení své pozice měřeno tempem přírůstku příjmů zaznamenal kraj Vysočina, kde od poloviny 90. let do roku 2013 vzrostl čistý disponibilní důchod na obyvatele 2,73krát, tedy více než v hlavním městě Praze (2,67krát, jak již bylo zmíněno). Nadprůměrný růst zaznamenaly ještě kraje Středočeský, Jihomoravský, Pardubický, Plzeňský a Zlínský.  </w:t>
            </w:r>
          </w:p>
          <w:p w:rsidR="005D5A35" w:rsidRPr="00FA57FD" w:rsidRDefault="005D5A35" w:rsidP="00BC5111">
            <w:pPr>
              <w:pStyle w:val="Textpoznpodarou"/>
              <w:jc w:val="both"/>
              <w:rPr>
                <w:color w:val="000000"/>
                <w:spacing w:val="-2"/>
              </w:rPr>
            </w:pPr>
            <w:r>
              <w:rPr>
                <w:color w:val="000000"/>
                <w:spacing w:val="-2"/>
              </w:rPr>
              <w:t xml:space="preserve"> </w:t>
            </w:r>
          </w:p>
        </w:tc>
      </w:tr>
      <w:tr w:rsidR="005D5A35" w:rsidRPr="00FA57FD" w:rsidTr="00C84605">
        <w:tc>
          <w:tcPr>
            <w:tcW w:w="1042" w:type="pct"/>
          </w:tcPr>
          <w:p w:rsidR="005D5A35" w:rsidRDefault="005D5A35" w:rsidP="002A659A">
            <w:pPr>
              <w:spacing w:line="240" w:lineRule="auto"/>
              <w:rPr>
                <w:color w:val="000000"/>
                <w:sz w:val="16"/>
                <w:szCs w:val="16"/>
              </w:rPr>
            </w:pPr>
            <w:r>
              <w:rPr>
                <w:color w:val="000000"/>
                <w:sz w:val="16"/>
                <w:szCs w:val="16"/>
              </w:rPr>
              <w:t>Z krajů s růstem příjmů nižším než celorepublikový průměr byly naneštěstí i tři, které patřily v polovině 90.</w:t>
            </w:r>
            <w:r w:rsidR="002A659A">
              <w:rPr>
                <w:color w:val="000000"/>
                <w:sz w:val="16"/>
                <w:szCs w:val="16"/>
              </w:rPr>
              <w:t> </w:t>
            </w:r>
            <w:r>
              <w:rPr>
                <w:color w:val="000000"/>
                <w:sz w:val="16"/>
                <w:szCs w:val="16"/>
              </w:rPr>
              <w:t xml:space="preserve">let mezi nejchudší (Karlovarský, Olomoucký, Liberecký) </w:t>
            </w:r>
          </w:p>
        </w:tc>
        <w:tc>
          <w:tcPr>
            <w:tcW w:w="139" w:type="pct"/>
          </w:tcPr>
          <w:p w:rsidR="005D5A35" w:rsidRDefault="005D5A35" w:rsidP="00BC5111">
            <w:pPr>
              <w:pStyle w:val="Textpoznpodarou"/>
              <w:jc w:val="both"/>
            </w:pPr>
          </w:p>
        </w:tc>
        <w:tc>
          <w:tcPr>
            <w:tcW w:w="3819" w:type="pct"/>
          </w:tcPr>
          <w:p w:rsidR="005D5A35" w:rsidRDefault="005D5A35" w:rsidP="009E16D0">
            <w:pPr>
              <w:pStyle w:val="Textpoznpodarou"/>
              <w:jc w:val="both"/>
              <w:rPr>
                <w:color w:val="000000"/>
                <w:spacing w:val="-2"/>
              </w:rPr>
            </w:pPr>
            <w:r>
              <w:rPr>
                <w:color w:val="000000"/>
                <w:spacing w:val="-2"/>
              </w:rPr>
              <w:t xml:space="preserve">Oproti zmíněným krajům, které „bohatly“ oproti průměru za Českou republiku, </w:t>
            </w:r>
            <w:r w:rsidR="00640C2B">
              <w:rPr>
                <w:color w:val="000000"/>
                <w:spacing w:val="-2"/>
              </w:rPr>
              <w:t xml:space="preserve">zaznamenalo stejný </w:t>
            </w:r>
            <w:r>
              <w:rPr>
                <w:color w:val="000000"/>
                <w:spacing w:val="-2"/>
              </w:rPr>
              <w:t>počet krajů, tj. sedm, v letech 1995-2013 přírůstek čistého disponibilního důchodu na obyvatele nižší než celorepublikový průměr. Naneštěstí šlo o kraje, které byly už na počátku sledovaného období, tedy v polovině 90. let, kraji s</w:t>
            </w:r>
            <w:r w:rsidR="00640C2B">
              <w:rPr>
                <w:color w:val="000000"/>
                <w:spacing w:val="-2"/>
              </w:rPr>
              <w:t>píše „chudými“. Platí to o krajích</w:t>
            </w:r>
            <w:r>
              <w:rPr>
                <w:color w:val="000000"/>
                <w:spacing w:val="-2"/>
              </w:rPr>
              <w:t xml:space="preserve"> Karlovarském, Olomouckém a</w:t>
            </w:r>
            <w:r w:rsidRPr="00FA57FD">
              <w:rPr>
                <w:color w:val="000000"/>
                <w:spacing w:val="-2"/>
              </w:rPr>
              <w:t xml:space="preserve"> </w:t>
            </w:r>
            <w:r>
              <w:rPr>
                <w:color w:val="000000"/>
                <w:spacing w:val="-2"/>
              </w:rPr>
              <w:t>Libereckém. Naopak u</w:t>
            </w:r>
            <w:r w:rsidR="002A659A">
              <w:rPr>
                <w:color w:val="000000"/>
                <w:spacing w:val="-2"/>
              </w:rPr>
              <w:t> </w:t>
            </w:r>
            <w:r>
              <w:rPr>
                <w:color w:val="000000"/>
                <w:spacing w:val="-2"/>
              </w:rPr>
              <w:t>ještě chudších krajů, jako byly v té d</w:t>
            </w:r>
            <w:r w:rsidR="00D24DA0">
              <w:rPr>
                <w:color w:val="000000"/>
                <w:spacing w:val="-2"/>
              </w:rPr>
              <w:t>obě kraj Pardubický, Zlínský a K</w:t>
            </w:r>
            <w:r>
              <w:rPr>
                <w:color w:val="000000"/>
                <w:spacing w:val="-2"/>
              </w:rPr>
              <w:t xml:space="preserve">raj Vysočina, došlo k růstu čistého disponibilního důchodu na obyvatele v tempu nadprůměrném, jak je výše zmíněno. </w:t>
            </w:r>
          </w:p>
          <w:p w:rsidR="005D5A35" w:rsidRPr="00FA57FD" w:rsidRDefault="005D5A35" w:rsidP="00063BCF">
            <w:pPr>
              <w:pStyle w:val="Textpoznpodarou"/>
              <w:jc w:val="both"/>
              <w:rPr>
                <w:color w:val="000000"/>
                <w:spacing w:val="-2"/>
              </w:rPr>
            </w:pPr>
          </w:p>
        </w:tc>
      </w:tr>
      <w:tr w:rsidR="005D5A35" w:rsidRPr="00FA57FD" w:rsidTr="005C2412">
        <w:tc>
          <w:tcPr>
            <w:tcW w:w="1042" w:type="pct"/>
          </w:tcPr>
          <w:p w:rsidR="005D5A35" w:rsidRDefault="006A0436" w:rsidP="00BC5111">
            <w:pPr>
              <w:spacing w:line="240" w:lineRule="auto"/>
              <w:rPr>
                <w:color w:val="000000"/>
                <w:sz w:val="16"/>
                <w:szCs w:val="16"/>
              </w:rPr>
            </w:pPr>
            <w:r>
              <w:rPr>
                <w:color w:val="000000"/>
                <w:sz w:val="16"/>
                <w:szCs w:val="16"/>
              </w:rPr>
              <w:t>Ústecký kraj</w:t>
            </w:r>
            <w:r w:rsidR="005D5A35">
              <w:rPr>
                <w:color w:val="000000"/>
                <w:sz w:val="16"/>
                <w:szCs w:val="16"/>
              </w:rPr>
              <w:t xml:space="preserve"> byl v roce 1995 pátým nejbohatším krajem podle čistého disponibilního důchodu na obyvatele, přírůstek za roky 1995-2013 však byl nejnižší ze všech krajů ČR</w:t>
            </w:r>
          </w:p>
        </w:tc>
        <w:tc>
          <w:tcPr>
            <w:tcW w:w="139" w:type="pct"/>
          </w:tcPr>
          <w:p w:rsidR="005D5A35" w:rsidRDefault="005D5A35" w:rsidP="00BC5111">
            <w:pPr>
              <w:pStyle w:val="Textpoznpodarou"/>
              <w:jc w:val="both"/>
            </w:pPr>
          </w:p>
        </w:tc>
        <w:tc>
          <w:tcPr>
            <w:tcW w:w="3819" w:type="pct"/>
          </w:tcPr>
          <w:p w:rsidR="005D5A35" w:rsidRDefault="005D5A35" w:rsidP="00063BCF">
            <w:pPr>
              <w:pStyle w:val="Textpoznpodarou"/>
              <w:jc w:val="both"/>
              <w:rPr>
                <w:color w:val="000000"/>
                <w:spacing w:val="-2"/>
              </w:rPr>
            </w:pPr>
            <w:r>
              <w:rPr>
                <w:color w:val="000000"/>
                <w:spacing w:val="-2"/>
              </w:rPr>
              <w:t xml:space="preserve">Ústecký kraj v roce 1995 </w:t>
            </w:r>
            <w:r w:rsidR="00C21937">
              <w:rPr>
                <w:color w:val="000000"/>
                <w:spacing w:val="-2"/>
              </w:rPr>
              <w:t xml:space="preserve"> - s příjmy na obyvatele ve výši</w:t>
            </w:r>
            <w:r>
              <w:rPr>
                <w:color w:val="000000"/>
                <w:spacing w:val="-2"/>
              </w:rPr>
              <w:t xml:space="preserve"> 79 tis. ročně - </w:t>
            </w:r>
            <w:r w:rsidRPr="00FA57FD">
              <w:rPr>
                <w:color w:val="000000"/>
                <w:spacing w:val="-2"/>
              </w:rPr>
              <w:t xml:space="preserve"> </w:t>
            </w:r>
            <w:r>
              <w:rPr>
                <w:color w:val="000000"/>
                <w:spacing w:val="-2"/>
              </w:rPr>
              <w:t>mezi chudé kraje nepatřil. Byl dokonce pátým nejbohatším po Praze, Středočeském, Jihočeském a Plzeňském kraji (nižší příjmy měli v té době obyvatelé devíti krajů České republiky</w:t>
            </w:r>
            <w:r w:rsidR="00B106D8">
              <w:rPr>
                <w:color w:val="000000"/>
                <w:spacing w:val="-2"/>
              </w:rPr>
              <w:t>)</w:t>
            </w:r>
            <w:r>
              <w:rPr>
                <w:color w:val="000000"/>
                <w:spacing w:val="-2"/>
              </w:rPr>
              <w:t xml:space="preserve">. Ovšem následný vývoj vedl k postupné </w:t>
            </w:r>
            <w:r w:rsidR="00B106D8">
              <w:rPr>
                <w:color w:val="000000"/>
                <w:spacing w:val="-2"/>
              </w:rPr>
              <w:t>ztrátě této pozice a za roky 199</w:t>
            </w:r>
            <w:r>
              <w:rPr>
                <w:color w:val="000000"/>
                <w:spacing w:val="-2"/>
              </w:rPr>
              <w:t>5-2013 byl přírůstek čistého disponibilního důchodu na obyvatele v Ústeckém kraji ze všech krajů ČR nejnižší (2,17krát).</w:t>
            </w:r>
          </w:p>
          <w:p w:rsidR="005D5A35" w:rsidRDefault="005D5A35" w:rsidP="00063BCF">
            <w:pPr>
              <w:pStyle w:val="Textpoznpodarou"/>
              <w:jc w:val="both"/>
              <w:rPr>
                <w:color w:val="000000"/>
                <w:spacing w:val="-2"/>
              </w:rPr>
            </w:pPr>
          </w:p>
        </w:tc>
      </w:tr>
      <w:tr w:rsidR="005D5A35" w:rsidRPr="00FA57FD" w:rsidTr="005C2412">
        <w:tc>
          <w:tcPr>
            <w:tcW w:w="1042" w:type="pct"/>
          </w:tcPr>
          <w:p w:rsidR="005D5A35" w:rsidRDefault="005D5A35" w:rsidP="00C45C2B">
            <w:pPr>
              <w:spacing w:line="240" w:lineRule="auto"/>
              <w:rPr>
                <w:color w:val="000000"/>
                <w:sz w:val="16"/>
                <w:szCs w:val="16"/>
              </w:rPr>
            </w:pPr>
          </w:p>
        </w:tc>
        <w:tc>
          <w:tcPr>
            <w:tcW w:w="139" w:type="pct"/>
          </w:tcPr>
          <w:p w:rsidR="005D5A35" w:rsidRDefault="005D5A35" w:rsidP="00C45C2B">
            <w:pPr>
              <w:pStyle w:val="Textpoznpodarou"/>
              <w:jc w:val="both"/>
            </w:pPr>
          </w:p>
        </w:tc>
        <w:tc>
          <w:tcPr>
            <w:tcW w:w="3819" w:type="pct"/>
          </w:tcPr>
          <w:p w:rsidR="005D5A35" w:rsidRDefault="005D5A35" w:rsidP="00C45C2B">
            <w:pPr>
              <w:pStyle w:val="Textpoznpodarou"/>
              <w:jc w:val="both"/>
              <w:rPr>
                <w:color w:val="000000"/>
                <w:spacing w:val="-2"/>
              </w:rPr>
            </w:pPr>
            <w:r>
              <w:rPr>
                <w:color w:val="000000"/>
                <w:spacing w:val="-2"/>
              </w:rPr>
              <w:t>Ke krajům, které za roky 1995-2013 spíše „chudly“, tj. lidem rostly příjmy v podobě čistého disponibilního důchodu pomaleji než v průměru za ČR, patřily kromě zmíněného Ústeckého kraje s nejnižším přírůstkem příjmů ještě – řazeno podle nejmenšího nárůstu</w:t>
            </w:r>
            <w:r w:rsidR="00B24707">
              <w:rPr>
                <w:color w:val="000000"/>
                <w:spacing w:val="-2"/>
              </w:rPr>
              <w:t xml:space="preserve"> příjmů za roky 1995-2013–</w:t>
            </w:r>
            <w:r>
              <w:rPr>
                <w:color w:val="000000"/>
                <w:spacing w:val="-2"/>
              </w:rPr>
              <w:t xml:space="preserve"> kraj Karlovarský, Jihočeský, Moravskoslezský, Liberecký, Olomoucký a Královéhradecký.</w:t>
            </w:r>
          </w:p>
          <w:p w:rsidR="005D5A35" w:rsidRDefault="005D5A35" w:rsidP="0017789F">
            <w:pPr>
              <w:pStyle w:val="Textpoznpodarou"/>
              <w:jc w:val="both"/>
              <w:rPr>
                <w:color w:val="000000"/>
                <w:spacing w:val="-2"/>
              </w:rPr>
            </w:pPr>
          </w:p>
        </w:tc>
      </w:tr>
      <w:tr w:rsidR="005D5A35" w:rsidRPr="00FA57FD" w:rsidTr="005C2412">
        <w:tc>
          <w:tcPr>
            <w:tcW w:w="1042" w:type="pct"/>
          </w:tcPr>
          <w:p w:rsidR="005D5A35" w:rsidRDefault="005D5A35" w:rsidP="002A659A">
            <w:pPr>
              <w:spacing w:line="240" w:lineRule="auto"/>
              <w:rPr>
                <w:color w:val="000000"/>
                <w:sz w:val="16"/>
                <w:szCs w:val="16"/>
              </w:rPr>
            </w:pPr>
            <w:r>
              <w:rPr>
                <w:color w:val="000000"/>
                <w:sz w:val="16"/>
                <w:szCs w:val="16"/>
              </w:rPr>
              <w:t>Podobně jako v Ústeckém kraji byl nepříz</w:t>
            </w:r>
            <w:r w:rsidR="002A659A">
              <w:rPr>
                <w:color w:val="000000"/>
                <w:sz w:val="16"/>
                <w:szCs w:val="16"/>
              </w:rPr>
              <w:t>nivý</w:t>
            </w:r>
            <w:r>
              <w:rPr>
                <w:color w:val="000000"/>
                <w:sz w:val="16"/>
                <w:szCs w:val="16"/>
              </w:rPr>
              <w:t xml:space="preserve"> vývoj i</w:t>
            </w:r>
            <w:r w:rsidR="002A659A">
              <w:rPr>
                <w:color w:val="000000"/>
                <w:sz w:val="16"/>
                <w:szCs w:val="16"/>
              </w:rPr>
              <w:t> </w:t>
            </w:r>
            <w:r>
              <w:rPr>
                <w:color w:val="000000"/>
                <w:sz w:val="16"/>
                <w:szCs w:val="16"/>
              </w:rPr>
              <w:t>v Jihočeském kraji, který byl v roce 1995 třetím nebohatším krajem podle příjmů na hlavu – zhoršení bylo markantní zejména po</w:t>
            </w:r>
            <w:r w:rsidR="002A659A">
              <w:rPr>
                <w:color w:val="000000"/>
                <w:sz w:val="16"/>
                <w:szCs w:val="16"/>
              </w:rPr>
              <w:t> </w:t>
            </w:r>
            <w:r>
              <w:rPr>
                <w:color w:val="000000"/>
                <w:sz w:val="16"/>
                <w:szCs w:val="16"/>
              </w:rPr>
              <w:t>roce 2004</w:t>
            </w:r>
          </w:p>
        </w:tc>
        <w:tc>
          <w:tcPr>
            <w:tcW w:w="139" w:type="pct"/>
          </w:tcPr>
          <w:p w:rsidR="005D5A35" w:rsidRDefault="005D5A35" w:rsidP="00C45C2B">
            <w:pPr>
              <w:pStyle w:val="Textpoznpodarou"/>
              <w:jc w:val="both"/>
            </w:pPr>
          </w:p>
        </w:tc>
        <w:tc>
          <w:tcPr>
            <w:tcW w:w="3819" w:type="pct"/>
          </w:tcPr>
          <w:p w:rsidR="005D5A35" w:rsidRDefault="005D5A35" w:rsidP="0017789F">
            <w:pPr>
              <w:pStyle w:val="Textpoznpodarou"/>
              <w:jc w:val="both"/>
              <w:rPr>
                <w:color w:val="000000"/>
                <w:spacing w:val="-2"/>
              </w:rPr>
            </w:pPr>
            <w:r>
              <w:rPr>
                <w:color w:val="000000"/>
                <w:spacing w:val="-2"/>
              </w:rPr>
              <w:t>Podobně nepříznivým vývojem - co se příjmů na obyvatele týká - jako v kraji Ústeckém, prošli i obyvatelé kraje Jihočeského, který byl v roce 1995 třetím nejbohatším krajem České republiky s čistým disponibilním důchodem na obyvatele ve výši 80 tis. korun ročně, který se do roku 2013 zvýšil jen 2,29krát. Tuto nepříznivou skutečnost lze připsat především vývoji po roce 2004.</w:t>
            </w:r>
          </w:p>
          <w:p w:rsidR="005D5A35" w:rsidRPr="0094760E" w:rsidRDefault="005D5A35" w:rsidP="0017789F">
            <w:pPr>
              <w:pStyle w:val="Textpoznpodarou"/>
              <w:jc w:val="both"/>
              <w:rPr>
                <w:color w:val="000000"/>
                <w:spacing w:val="-2"/>
                <w:sz w:val="12"/>
                <w:szCs w:val="12"/>
              </w:rPr>
            </w:pPr>
          </w:p>
          <w:p w:rsidR="005D5A35" w:rsidRDefault="005D5A35" w:rsidP="0017789F">
            <w:pPr>
              <w:pStyle w:val="Textpoznpodarou"/>
              <w:jc w:val="both"/>
              <w:rPr>
                <w:color w:val="000000"/>
                <w:spacing w:val="-2"/>
              </w:rPr>
            </w:pPr>
            <w:r>
              <w:rPr>
                <w:color w:val="000000"/>
                <w:spacing w:val="-2"/>
              </w:rPr>
              <w:t>Pouze pro část krajů ČR tedy platí, že od roku 1995 ty chudší ještě dále chudly a</w:t>
            </w:r>
            <w:r w:rsidR="00241C02">
              <w:rPr>
                <w:color w:val="000000"/>
                <w:spacing w:val="-2"/>
              </w:rPr>
              <w:t> </w:t>
            </w:r>
            <w:r>
              <w:rPr>
                <w:color w:val="000000"/>
                <w:spacing w:val="-2"/>
              </w:rPr>
              <w:t xml:space="preserve">naopak bohatší dále bohatly. Tomuto hodnocení se vymyká kraj Ústecký a kraj Jihočeský.  </w:t>
            </w:r>
          </w:p>
          <w:p w:rsidR="005D5A35" w:rsidRDefault="005D5A35" w:rsidP="00C45C2B">
            <w:pPr>
              <w:pStyle w:val="Textpoznpodarou"/>
              <w:jc w:val="both"/>
              <w:rPr>
                <w:color w:val="000000"/>
                <w:spacing w:val="-2"/>
              </w:rPr>
            </w:pPr>
          </w:p>
        </w:tc>
      </w:tr>
    </w:tbl>
    <w:p w:rsidR="005D5A35" w:rsidRPr="00494FA0" w:rsidRDefault="005D5A35" w:rsidP="00494FA0">
      <w:pPr>
        <w:jc w:val="both"/>
        <w:rPr>
          <w:noProof/>
          <w:szCs w:val="20"/>
        </w:rPr>
      </w:pPr>
      <w:r w:rsidRPr="00403598">
        <w:rPr>
          <w:noProof/>
          <w:szCs w:val="20"/>
        </w:rPr>
        <w:lastRenderedPageBreak/>
        <w:t xml:space="preserve">Graf </w:t>
      </w:r>
      <w:r w:rsidR="00F55CC2" w:rsidRPr="00403598">
        <w:rPr>
          <w:noProof/>
          <w:szCs w:val="20"/>
        </w:rPr>
        <w:t>č. 5</w:t>
      </w:r>
      <w:r w:rsidRPr="00403598">
        <w:rPr>
          <w:noProof/>
          <w:szCs w:val="20"/>
        </w:rPr>
        <w:t>:</w:t>
      </w:r>
      <w:r w:rsidRPr="00494FA0">
        <w:rPr>
          <w:b/>
          <w:noProof/>
          <w:szCs w:val="20"/>
        </w:rPr>
        <w:t xml:space="preserve"> Vývoj poz</w:t>
      </w:r>
      <w:r>
        <w:rPr>
          <w:b/>
          <w:noProof/>
          <w:szCs w:val="20"/>
        </w:rPr>
        <w:t xml:space="preserve">ice </w:t>
      </w:r>
      <w:r w:rsidR="008666C3">
        <w:rPr>
          <w:b/>
          <w:noProof/>
          <w:szCs w:val="20"/>
        </w:rPr>
        <w:t xml:space="preserve">vybraných </w:t>
      </w:r>
      <w:r w:rsidR="00E84B50">
        <w:rPr>
          <w:b/>
          <w:noProof/>
          <w:szCs w:val="20"/>
        </w:rPr>
        <w:t>krajů v čistém disp</w:t>
      </w:r>
      <w:r>
        <w:rPr>
          <w:b/>
          <w:noProof/>
          <w:szCs w:val="20"/>
        </w:rPr>
        <w:t>onibiln</w:t>
      </w:r>
      <w:r w:rsidRPr="00494FA0">
        <w:rPr>
          <w:b/>
          <w:noProof/>
          <w:szCs w:val="20"/>
        </w:rPr>
        <w:t>ím důchodu na obyvatele ve srovnání s ČR celkem</w:t>
      </w:r>
      <w:r>
        <w:rPr>
          <w:noProof/>
          <w:szCs w:val="20"/>
        </w:rPr>
        <w:t xml:space="preserve"> (čistý disponibilní důchod za ČR celkem=100%) </w:t>
      </w:r>
    </w:p>
    <w:p w:rsidR="005D5A35" w:rsidRDefault="007B1973" w:rsidP="001B4721">
      <w:pPr>
        <w:jc w:val="center"/>
        <w:rPr>
          <w:noProof/>
          <w:sz w:val="18"/>
          <w:szCs w:val="18"/>
        </w:rPr>
      </w:pPr>
      <w:r w:rsidRPr="007B1973">
        <w:rPr>
          <w:noProof/>
          <w:sz w:val="18"/>
          <w:szCs w:val="18"/>
        </w:rPr>
        <w:pict>
          <v:shape id="_x0000_i1122" type="#_x0000_t75" style="width:441.75pt;height:164.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">
            <v:imagedata r:id="rId12" o:title=""/>
            <o:lock v:ext="edit" aspectratio="f"/>
          </v:shape>
        </w:pict>
      </w:r>
    </w:p>
    <w:p w:rsidR="005D5A35" w:rsidRDefault="00680292" w:rsidP="008518B7">
      <w:pPr>
        <w:jc w:val="right"/>
        <w:rPr>
          <w:sz w:val="18"/>
          <w:szCs w:val="18"/>
        </w:rPr>
      </w:pPr>
      <w:r>
        <w:rPr>
          <w:noProof/>
          <w:sz w:val="18"/>
          <w:szCs w:val="18"/>
        </w:rPr>
        <w:t>Zdroj</w:t>
      </w:r>
      <w:r w:rsidR="00E84B50">
        <w:rPr>
          <w:noProof/>
          <w:sz w:val="18"/>
          <w:szCs w:val="18"/>
        </w:rPr>
        <w:t>: ČSÚ, vlastní vý</w:t>
      </w:r>
      <w:r w:rsidR="005D5A35">
        <w:rPr>
          <w:noProof/>
          <w:sz w:val="18"/>
          <w:szCs w:val="18"/>
        </w:rPr>
        <w:t>počty</w:t>
      </w:r>
    </w:p>
    <w:p w:rsidR="005D5A35" w:rsidRPr="008518B7" w:rsidRDefault="005D5A35" w:rsidP="008518B7">
      <w:pPr>
        <w:jc w:val="right"/>
        <w:rPr>
          <w:sz w:val="18"/>
          <w:szCs w:val="18"/>
        </w:rPr>
      </w:pPr>
    </w:p>
    <w:tbl>
      <w:tblPr>
        <w:tblW w:w="5043" w:type="pct"/>
        <w:tblInd w:w="-42" w:type="dxa"/>
        <w:tblCellMar>
          <w:left w:w="28" w:type="dxa"/>
          <w:right w:w="28" w:type="dxa"/>
        </w:tblCellMar>
        <w:tblLook w:val="00A0"/>
      </w:tblPr>
      <w:tblGrid>
        <w:gridCol w:w="2037"/>
        <w:gridCol w:w="272"/>
        <w:gridCol w:w="7468"/>
      </w:tblGrid>
      <w:tr w:rsidR="005D5A35" w:rsidRPr="00FA57FD" w:rsidTr="00C45C2B">
        <w:tc>
          <w:tcPr>
            <w:tcW w:w="1042" w:type="pct"/>
          </w:tcPr>
          <w:p w:rsidR="005D5A35" w:rsidRDefault="005D5A35" w:rsidP="00C45C2B">
            <w:pPr>
              <w:spacing w:line="240" w:lineRule="auto"/>
              <w:rPr>
                <w:color w:val="000000"/>
                <w:sz w:val="16"/>
                <w:szCs w:val="16"/>
              </w:rPr>
            </w:pPr>
            <w:r>
              <w:rPr>
                <w:color w:val="000000"/>
                <w:sz w:val="16"/>
                <w:szCs w:val="16"/>
              </w:rPr>
              <w:t>Také v období po vstupu země do EU rostly příjmy lidí nadprůměrně v sedmi krajích, ovšem jejich vzorek byl odlišný od růstů za roky 1995-2013</w:t>
            </w:r>
          </w:p>
        </w:tc>
        <w:tc>
          <w:tcPr>
            <w:tcW w:w="139" w:type="pct"/>
          </w:tcPr>
          <w:p w:rsidR="005D5A35" w:rsidRDefault="005D5A35" w:rsidP="00C45C2B">
            <w:pPr>
              <w:pStyle w:val="Textpoznpodarou"/>
              <w:jc w:val="both"/>
            </w:pPr>
          </w:p>
        </w:tc>
        <w:tc>
          <w:tcPr>
            <w:tcW w:w="3819" w:type="pct"/>
          </w:tcPr>
          <w:p w:rsidR="005D5A35" w:rsidRPr="00FA57FD" w:rsidRDefault="005D5A35" w:rsidP="00C45C2B">
            <w:pPr>
              <w:pStyle w:val="Textpoznpodarou"/>
              <w:jc w:val="both"/>
              <w:rPr>
                <w:color w:val="000000"/>
                <w:spacing w:val="-2"/>
              </w:rPr>
            </w:pPr>
            <w:r>
              <w:rPr>
                <w:color w:val="000000"/>
                <w:spacing w:val="-2"/>
              </w:rPr>
              <w:t>Vývoj po vstupu České republiky do EU ukázal, že stejně jako v období 1995-2013 zaznamenalo vyšší než průměrný růst příjmů podle výše čistého disponibilního důchodu na obyvatele celkem sedm krajů, v dalších sedmi pak rostly tyto příjmy tempem nižším než průměrným. Ovšem vzorky těchto krajů jsou ve srovnání s vývojem od roku 1995 odlišné.</w:t>
            </w:r>
            <w:r w:rsidRPr="00FA57FD">
              <w:rPr>
                <w:color w:val="000000"/>
                <w:spacing w:val="-2"/>
              </w:rPr>
              <w:t xml:space="preserve"> </w:t>
            </w:r>
          </w:p>
          <w:p w:rsidR="005D5A35" w:rsidRPr="00FA57FD" w:rsidRDefault="005D5A35" w:rsidP="00C45C2B">
            <w:pPr>
              <w:pStyle w:val="Textpoznpodarou"/>
              <w:jc w:val="both"/>
              <w:rPr>
                <w:color w:val="000000"/>
                <w:spacing w:val="-2"/>
              </w:rPr>
            </w:pPr>
            <w:r>
              <w:rPr>
                <w:color w:val="000000"/>
                <w:spacing w:val="-2"/>
              </w:rPr>
              <w:t xml:space="preserve"> </w:t>
            </w:r>
          </w:p>
        </w:tc>
      </w:tr>
      <w:tr w:rsidR="005D5A35" w:rsidRPr="00FA57FD" w:rsidTr="00C45C2B">
        <w:tc>
          <w:tcPr>
            <w:tcW w:w="1042" w:type="pct"/>
          </w:tcPr>
          <w:p w:rsidR="005D5A35" w:rsidRDefault="005D5A35" w:rsidP="00C45C2B">
            <w:pPr>
              <w:spacing w:line="240" w:lineRule="auto"/>
              <w:rPr>
                <w:color w:val="000000"/>
                <w:sz w:val="16"/>
                <w:szCs w:val="16"/>
              </w:rPr>
            </w:pPr>
            <w:r>
              <w:rPr>
                <w:color w:val="000000"/>
                <w:sz w:val="16"/>
                <w:szCs w:val="16"/>
              </w:rPr>
              <w:t>Od roku 2004 už rostly příjmy obyvatel Prahy 1,25krát ve druhém nejnižším přírůstku po Jihočeském kraji (1,23krát); v úhrnu za ČR se příjmy domácností v přepočtu na obyvatele zvětšily 1,3krát</w:t>
            </w:r>
          </w:p>
        </w:tc>
        <w:tc>
          <w:tcPr>
            <w:tcW w:w="139" w:type="pct"/>
          </w:tcPr>
          <w:p w:rsidR="005D5A35" w:rsidRDefault="005D5A35" w:rsidP="00C45C2B">
            <w:pPr>
              <w:pStyle w:val="Textpoznpodarou"/>
              <w:jc w:val="both"/>
            </w:pPr>
          </w:p>
        </w:tc>
        <w:tc>
          <w:tcPr>
            <w:tcW w:w="3819" w:type="pct"/>
          </w:tcPr>
          <w:p w:rsidR="005D5A35" w:rsidRDefault="005D5A35" w:rsidP="00223F33">
            <w:pPr>
              <w:pStyle w:val="Textpoznpodarou"/>
              <w:jc w:val="both"/>
              <w:rPr>
                <w:color w:val="000000"/>
                <w:spacing w:val="-2"/>
              </w:rPr>
            </w:pPr>
            <w:r>
              <w:rPr>
                <w:color w:val="000000"/>
                <w:spacing w:val="-2"/>
              </w:rPr>
              <w:t xml:space="preserve">Nárůst příjmů obyvatel Prahy, které za období 2004-2013 stouply 1,25krát, byl druhý nejnižší přírůstek čistého disponibilního důchodu na obyvatele po Jihočeském kraji (zde stouply 1,23krát). Poté následuje - co se nižšího než průměrného přírůstku příjmů v době od vstupu ČR do </w:t>
            </w:r>
            <w:r w:rsidR="00D24DA0">
              <w:rPr>
                <w:color w:val="000000"/>
                <w:spacing w:val="-2"/>
              </w:rPr>
              <w:t>U</w:t>
            </w:r>
            <w:r>
              <w:rPr>
                <w:color w:val="000000"/>
                <w:spacing w:val="-2"/>
              </w:rPr>
              <w:t xml:space="preserve">nie týká – skupina „chudších“ krajů, které i po roce 2004 rostly tempem slabším než průměrným (kraj Liberecký, Olomoucký, Karlovarský, Ústecký, ale také Středočeský). </w:t>
            </w:r>
          </w:p>
          <w:p w:rsidR="005D5A35" w:rsidRPr="00241C02" w:rsidRDefault="005D5A35" w:rsidP="00223F33">
            <w:pPr>
              <w:pStyle w:val="Textpoznpodarou"/>
              <w:jc w:val="both"/>
              <w:rPr>
                <w:color w:val="000000"/>
                <w:spacing w:val="-2"/>
              </w:rPr>
            </w:pPr>
          </w:p>
          <w:p w:rsidR="005D5A35" w:rsidRDefault="005D5A35" w:rsidP="00223F33">
            <w:pPr>
              <w:pStyle w:val="Textpoznpodarou"/>
              <w:jc w:val="both"/>
              <w:rPr>
                <w:color w:val="000000"/>
                <w:spacing w:val="-2"/>
              </w:rPr>
            </w:pPr>
            <w:r>
              <w:rPr>
                <w:color w:val="000000"/>
                <w:spacing w:val="-2"/>
              </w:rPr>
              <w:t xml:space="preserve">Příjmy obyvatel ČR jako celku přitom vzrostly za rok 2004-2013 zhruba 1,3krát.  </w:t>
            </w:r>
          </w:p>
          <w:p w:rsidR="005D5A35" w:rsidRDefault="005D5A35" w:rsidP="00223F33">
            <w:pPr>
              <w:pStyle w:val="Textpoznpodarou"/>
              <w:jc w:val="both"/>
              <w:rPr>
                <w:color w:val="000000"/>
                <w:spacing w:val="-2"/>
              </w:rPr>
            </w:pPr>
          </w:p>
        </w:tc>
      </w:tr>
      <w:tr w:rsidR="005D5A35" w:rsidRPr="00FA57FD" w:rsidTr="00C45C2B">
        <w:tc>
          <w:tcPr>
            <w:tcW w:w="1042" w:type="pct"/>
          </w:tcPr>
          <w:p w:rsidR="005D5A35" w:rsidRDefault="005D5A35" w:rsidP="00C45C2B">
            <w:pPr>
              <w:spacing w:line="240" w:lineRule="auto"/>
              <w:rPr>
                <w:color w:val="000000"/>
                <w:sz w:val="16"/>
                <w:szCs w:val="16"/>
              </w:rPr>
            </w:pPr>
            <w:r>
              <w:rPr>
                <w:color w:val="000000"/>
                <w:sz w:val="16"/>
                <w:szCs w:val="16"/>
              </w:rPr>
              <w:t>V letech 2011-2013 příjmy obyvatel Prahy každoročně klesaly, z několika příčin</w:t>
            </w:r>
          </w:p>
        </w:tc>
        <w:tc>
          <w:tcPr>
            <w:tcW w:w="139" w:type="pct"/>
          </w:tcPr>
          <w:p w:rsidR="005D5A35" w:rsidRDefault="005D5A35" w:rsidP="00C45C2B">
            <w:pPr>
              <w:pStyle w:val="Textpoznpodarou"/>
              <w:jc w:val="both"/>
            </w:pPr>
          </w:p>
        </w:tc>
        <w:tc>
          <w:tcPr>
            <w:tcW w:w="3819" w:type="pct"/>
          </w:tcPr>
          <w:p w:rsidR="005D5A35" w:rsidRDefault="005D5A35" w:rsidP="00C45C2B">
            <w:pPr>
              <w:pStyle w:val="Textpoznpodarou"/>
              <w:jc w:val="both"/>
              <w:rPr>
                <w:color w:val="000000"/>
                <w:spacing w:val="-2"/>
              </w:rPr>
            </w:pPr>
            <w:r>
              <w:rPr>
                <w:color w:val="000000"/>
                <w:spacing w:val="-2"/>
              </w:rPr>
              <w:t>Relativně nízký přírůstek příjmů obyvatel Prahy, které v letech 2011-2013 dokonce meziročně klesaly (-1%, -0,6 % a -1,1 %)</w:t>
            </w:r>
            <w:r w:rsidR="00D24DA0">
              <w:rPr>
                <w:color w:val="000000"/>
                <w:spacing w:val="-2"/>
              </w:rPr>
              <w:t>,</w:t>
            </w:r>
            <w:r>
              <w:rPr>
                <w:color w:val="000000"/>
                <w:spacing w:val="-2"/>
              </w:rPr>
              <w:t xml:space="preserve"> může souviset </w:t>
            </w:r>
            <w:r w:rsidR="008666C3">
              <w:rPr>
                <w:color w:val="000000"/>
                <w:spacing w:val="-2"/>
              </w:rPr>
              <w:t xml:space="preserve">obecně </w:t>
            </w:r>
            <w:proofErr w:type="spellStart"/>
            <w:r w:rsidR="008666C3">
              <w:rPr>
                <w:color w:val="000000"/>
                <w:spacing w:val="-2"/>
              </w:rPr>
              <w:t>sí</w:t>
            </w:r>
            <w:proofErr w:type="spellEnd"/>
            <w:r w:rsidR="008666C3">
              <w:rPr>
                <w:color w:val="000000"/>
                <w:spacing w:val="-2"/>
              </w:rPr>
              <w:t xml:space="preserve"> </w:t>
            </w:r>
            <w:r>
              <w:rPr>
                <w:color w:val="000000"/>
                <w:spacing w:val="-2"/>
              </w:rPr>
              <w:t>vysok</w:t>
            </w:r>
            <w:r w:rsidR="008666C3">
              <w:rPr>
                <w:color w:val="000000"/>
                <w:spacing w:val="-2"/>
              </w:rPr>
              <w:t>ou výchozí pozicí</w:t>
            </w:r>
            <w:r w:rsidR="00D24DA0">
              <w:rPr>
                <w:color w:val="000000"/>
                <w:spacing w:val="-2"/>
              </w:rPr>
              <w:t xml:space="preserve"> hlavního města.</w:t>
            </w:r>
            <w:r>
              <w:rPr>
                <w:color w:val="000000"/>
                <w:spacing w:val="-2"/>
              </w:rPr>
              <w:t xml:space="preserve"> </w:t>
            </w:r>
          </w:p>
          <w:p w:rsidR="005D5A35" w:rsidRPr="00241C02" w:rsidRDefault="005D5A35" w:rsidP="00C45C2B">
            <w:pPr>
              <w:pStyle w:val="Textpoznpodarou"/>
              <w:jc w:val="both"/>
              <w:rPr>
                <w:color w:val="000000"/>
                <w:spacing w:val="-2"/>
              </w:rPr>
            </w:pPr>
          </w:p>
          <w:p w:rsidR="005D5A35" w:rsidRDefault="005D5A35" w:rsidP="00C45C2B">
            <w:pPr>
              <w:pStyle w:val="Textpoznpodarou"/>
              <w:jc w:val="both"/>
              <w:rPr>
                <w:color w:val="000000"/>
                <w:spacing w:val="-2"/>
              </w:rPr>
            </w:pPr>
            <w:r>
              <w:rPr>
                <w:color w:val="000000"/>
                <w:spacing w:val="-2"/>
              </w:rPr>
              <w:t xml:space="preserve">Zřejmě však hraje roli i skutečnost, že Praha s vysokým HDP na obyvatele v paritě kupní síly jako měřítka pro poskytování peněz z evropských fondů na toto financování nedosahovala.  Nemohla tak participovat na projektech a rozvoji, který plynul z investic takto spolufinancovaných a posilujících přes vyšší zaměstnanost, resp. mzdy i příjmy obyvatel v ostatních krajích ČR – nikoli však všech, jak je z výše uvedeného vývoj příjmů patrné. </w:t>
            </w:r>
          </w:p>
          <w:p w:rsidR="005D5A35" w:rsidRPr="00FA57FD" w:rsidRDefault="005D5A35" w:rsidP="00C45C2B">
            <w:pPr>
              <w:pStyle w:val="Textpoznpodarou"/>
              <w:jc w:val="both"/>
              <w:rPr>
                <w:color w:val="000000"/>
                <w:spacing w:val="-2"/>
              </w:rPr>
            </w:pPr>
          </w:p>
        </w:tc>
      </w:tr>
      <w:tr w:rsidR="005D5A35" w:rsidRPr="00FA57FD" w:rsidTr="00807A2C">
        <w:tc>
          <w:tcPr>
            <w:tcW w:w="1042" w:type="pct"/>
          </w:tcPr>
          <w:p w:rsidR="005D5A35" w:rsidRDefault="005D5A35" w:rsidP="00121167">
            <w:pPr>
              <w:spacing w:line="240" w:lineRule="auto"/>
              <w:rPr>
                <w:color w:val="000000"/>
                <w:sz w:val="16"/>
                <w:szCs w:val="16"/>
              </w:rPr>
            </w:pPr>
            <w:r>
              <w:rPr>
                <w:color w:val="000000"/>
                <w:sz w:val="16"/>
                <w:szCs w:val="16"/>
              </w:rPr>
              <w:t>Po vstupu do EU těžil z vývoje kraj Jihomoravský, kde do roku 2013 stouply příjmy obyvatel nejrychleji;</w:t>
            </w:r>
          </w:p>
          <w:p w:rsidR="005D5A35" w:rsidRDefault="00FD647C" w:rsidP="00121167">
            <w:pPr>
              <w:spacing w:line="240" w:lineRule="auto"/>
              <w:rPr>
                <w:color w:val="000000"/>
                <w:sz w:val="16"/>
                <w:szCs w:val="16"/>
              </w:rPr>
            </w:pPr>
            <w:r>
              <w:rPr>
                <w:color w:val="000000"/>
                <w:sz w:val="16"/>
                <w:szCs w:val="16"/>
              </w:rPr>
              <w:t>velmi příznivý byl i vývoj v K</w:t>
            </w:r>
            <w:r w:rsidR="005D5A35">
              <w:rPr>
                <w:color w:val="000000"/>
                <w:sz w:val="16"/>
                <w:szCs w:val="16"/>
              </w:rPr>
              <w:t>raji Vysočina, který byl v roce 1995 vůbec nejchudším krajem v ČR…</w:t>
            </w:r>
          </w:p>
        </w:tc>
        <w:tc>
          <w:tcPr>
            <w:tcW w:w="139" w:type="pct"/>
          </w:tcPr>
          <w:p w:rsidR="005D5A35" w:rsidRDefault="005D5A35" w:rsidP="00121167">
            <w:pPr>
              <w:pStyle w:val="Textpoznpodarou"/>
              <w:jc w:val="both"/>
            </w:pPr>
          </w:p>
        </w:tc>
        <w:tc>
          <w:tcPr>
            <w:tcW w:w="3819" w:type="pct"/>
          </w:tcPr>
          <w:p w:rsidR="005D5A35" w:rsidRPr="00FA57FD" w:rsidRDefault="005D5A35" w:rsidP="00121167">
            <w:pPr>
              <w:pStyle w:val="Textpoznpodarou"/>
              <w:jc w:val="both"/>
              <w:rPr>
                <w:color w:val="000000"/>
                <w:spacing w:val="-2"/>
              </w:rPr>
            </w:pPr>
            <w:r>
              <w:rPr>
                <w:color w:val="000000"/>
                <w:spacing w:val="-2"/>
              </w:rPr>
              <w:t>Vývoj po vstupu země do EU ukázal nejrychlejší růst příjmů v kraji Jihomoravském, kde byly v roce 2013 vyšší 1,35krát než v roce 2004, ale také v kraji Pardubickém a</w:t>
            </w:r>
            <w:r w:rsidR="0002366A">
              <w:rPr>
                <w:color w:val="000000"/>
                <w:spacing w:val="-2"/>
              </w:rPr>
              <w:t> </w:t>
            </w:r>
            <w:r>
              <w:rPr>
                <w:color w:val="000000"/>
                <w:spacing w:val="-2"/>
              </w:rPr>
              <w:t>v </w:t>
            </w:r>
            <w:r w:rsidR="00D24DA0">
              <w:rPr>
                <w:color w:val="000000"/>
                <w:spacing w:val="-2"/>
              </w:rPr>
              <w:t>K</w:t>
            </w:r>
            <w:r>
              <w:rPr>
                <w:color w:val="000000"/>
                <w:spacing w:val="-2"/>
              </w:rPr>
              <w:t>raji Vysočina (shodně 1,33krát). Tyto dva kraje se tak dostaly na páté, resp. sedmé místo v pořadí krajů podle výše čistého disponibilního důchodu na obyvatele v roc</w:t>
            </w:r>
            <w:r w:rsidR="00D24DA0">
              <w:rPr>
                <w:color w:val="000000"/>
                <w:spacing w:val="-2"/>
              </w:rPr>
              <w:t>e 2013. Přitom v roce 1995 byl K</w:t>
            </w:r>
            <w:r>
              <w:rPr>
                <w:color w:val="000000"/>
                <w:spacing w:val="-2"/>
              </w:rPr>
              <w:t>raj Vysočina vůbec nejchudším krajem České republiky (14. místo) a kraj Pardubickému patřilo podle příjmů na obyvatele až 12.</w:t>
            </w:r>
            <w:r w:rsidR="0002366A">
              <w:rPr>
                <w:color w:val="000000"/>
                <w:spacing w:val="-2"/>
              </w:rPr>
              <w:t> </w:t>
            </w:r>
            <w:r>
              <w:rPr>
                <w:color w:val="000000"/>
                <w:spacing w:val="-2"/>
              </w:rPr>
              <w:t xml:space="preserve">místo (graf </w:t>
            </w:r>
            <w:r w:rsidR="00354366">
              <w:rPr>
                <w:color w:val="000000"/>
                <w:spacing w:val="-2"/>
              </w:rPr>
              <w:t>6</w:t>
            </w:r>
            <w:r>
              <w:rPr>
                <w:color w:val="000000"/>
                <w:spacing w:val="-2"/>
              </w:rPr>
              <w:t xml:space="preserve">).  </w:t>
            </w:r>
            <w:r w:rsidRPr="00FA57FD">
              <w:rPr>
                <w:color w:val="000000"/>
                <w:spacing w:val="-2"/>
              </w:rPr>
              <w:t xml:space="preserve"> </w:t>
            </w:r>
          </w:p>
          <w:p w:rsidR="005D5A35" w:rsidRDefault="005D5A35" w:rsidP="00121167">
            <w:pPr>
              <w:pStyle w:val="Textpoznpodarou"/>
              <w:jc w:val="both"/>
              <w:rPr>
                <w:color w:val="000000"/>
                <w:spacing w:val="-2"/>
              </w:rPr>
            </w:pPr>
            <w:r>
              <w:rPr>
                <w:color w:val="000000"/>
                <w:spacing w:val="-2"/>
              </w:rPr>
              <w:t xml:space="preserve"> </w:t>
            </w:r>
          </w:p>
          <w:p w:rsidR="00241C02" w:rsidRDefault="00241C02" w:rsidP="00121167">
            <w:pPr>
              <w:pStyle w:val="Textpoznpodarou"/>
              <w:jc w:val="both"/>
              <w:rPr>
                <w:color w:val="000000"/>
                <w:spacing w:val="-2"/>
              </w:rPr>
            </w:pPr>
          </w:p>
          <w:p w:rsidR="00241C02" w:rsidRDefault="00241C02" w:rsidP="00121167">
            <w:pPr>
              <w:pStyle w:val="Textpoznpodarou"/>
              <w:jc w:val="both"/>
              <w:rPr>
                <w:color w:val="000000"/>
                <w:spacing w:val="-2"/>
              </w:rPr>
            </w:pPr>
          </w:p>
          <w:p w:rsidR="00241C02" w:rsidRDefault="00241C02" w:rsidP="00121167">
            <w:pPr>
              <w:pStyle w:val="Textpoznpodarou"/>
              <w:jc w:val="both"/>
              <w:rPr>
                <w:color w:val="000000"/>
                <w:spacing w:val="-2"/>
              </w:rPr>
            </w:pPr>
          </w:p>
          <w:p w:rsidR="00241C02" w:rsidRDefault="00241C02" w:rsidP="00121167">
            <w:pPr>
              <w:pStyle w:val="Textpoznpodarou"/>
              <w:jc w:val="both"/>
              <w:rPr>
                <w:color w:val="000000"/>
                <w:spacing w:val="-2"/>
              </w:rPr>
            </w:pPr>
          </w:p>
          <w:p w:rsidR="00241C02" w:rsidRDefault="00241C02" w:rsidP="00121167">
            <w:pPr>
              <w:pStyle w:val="Textpoznpodarou"/>
              <w:jc w:val="both"/>
              <w:rPr>
                <w:color w:val="000000"/>
                <w:spacing w:val="-2"/>
              </w:rPr>
            </w:pPr>
          </w:p>
          <w:p w:rsidR="00241C02" w:rsidRDefault="00241C02" w:rsidP="00121167">
            <w:pPr>
              <w:pStyle w:val="Textpoznpodarou"/>
              <w:jc w:val="both"/>
              <w:rPr>
                <w:color w:val="000000"/>
                <w:spacing w:val="-2"/>
              </w:rPr>
            </w:pPr>
          </w:p>
          <w:p w:rsidR="00241C02" w:rsidRDefault="00241C02" w:rsidP="00121167">
            <w:pPr>
              <w:pStyle w:val="Textpoznpodarou"/>
              <w:jc w:val="both"/>
              <w:rPr>
                <w:color w:val="000000"/>
                <w:spacing w:val="-2"/>
              </w:rPr>
            </w:pPr>
          </w:p>
          <w:p w:rsidR="00241C02" w:rsidRDefault="00241C02" w:rsidP="00121167">
            <w:pPr>
              <w:pStyle w:val="Textpoznpodarou"/>
              <w:jc w:val="both"/>
              <w:rPr>
                <w:color w:val="000000"/>
                <w:spacing w:val="-2"/>
              </w:rPr>
            </w:pPr>
          </w:p>
          <w:p w:rsidR="00241C02" w:rsidRPr="00FA57FD" w:rsidRDefault="00241C02" w:rsidP="00121167">
            <w:pPr>
              <w:pStyle w:val="Textpoznpodarou"/>
              <w:jc w:val="both"/>
              <w:rPr>
                <w:color w:val="000000"/>
                <w:spacing w:val="-2"/>
              </w:rPr>
            </w:pPr>
          </w:p>
        </w:tc>
      </w:tr>
    </w:tbl>
    <w:p w:rsidR="005D5A35" w:rsidRPr="00E04A40" w:rsidRDefault="005D5A35" w:rsidP="00494FA0">
      <w:pPr>
        <w:jc w:val="both"/>
        <w:rPr>
          <w:szCs w:val="20"/>
        </w:rPr>
      </w:pPr>
      <w:r w:rsidRPr="00241C02">
        <w:rPr>
          <w:szCs w:val="20"/>
        </w:rPr>
        <w:lastRenderedPageBreak/>
        <w:t xml:space="preserve">Graf </w:t>
      </w:r>
      <w:r w:rsidR="00F55CC2" w:rsidRPr="00241C02">
        <w:rPr>
          <w:szCs w:val="20"/>
        </w:rPr>
        <w:t>č. 6</w:t>
      </w:r>
      <w:r w:rsidRPr="00241C02">
        <w:rPr>
          <w:szCs w:val="20"/>
        </w:rPr>
        <w:t>:</w:t>
      </w:r>
      <w:r w:rsidRPr="009348E3">
        <w:rPr>
          <w:b/>
          <w:szCs w:val="20"/>
        </w:rPr>
        <w:t xml:space="preserve"> </w:t>
      </w:r>
      <w:r>
        <w:rPr>
          <w:b/>
          <w:szCs w:val="20"/>
        </w:rPr>
        <w:t xml:space="preserve">Čistý disponibilní důchod na obyvatele v krajích ČR v letech 1995, 2004 a 2013 </w:t>
      </w:r>
      <w:r w:rsidRPr="00E04A40">
        <w:rPr>
          <w:szCs w:val="20"/>
        </w:rPr>
        <w:t>(v korunách)</w:t>
      </w:r>
    </w:p>
    <w:p w:rsidR="005D5A35" w:rsidRDefault="007B1973" w:rsidP="00807A2C">
      <w:pPr>
        <w:jc w:val="center"/>
      </w:pPr>
      <w:r>
        <w:pict>
          <v:shape id="_x0000_i1123" type="#_x0000_t75" style="width:386.25pt;height:177.75pt">
            <v:imagedata r:id="rId13" o:title=""/>
          </v:shape>
        </w:pict>
      </w:r>
    </w:p>
    <w:p w:rsidR="005D5A35" w:rsidRPr="0094760E" w:rsidRDefault="00540BBC" w:rsidP="00241C02">
      <w:pPr>
        <w:spacing w:line="240" w:lineRule="auto"/>
        <w:jc w:val="right"/>
        <w:rPr>
          <w:sz w:val="18"/>
          <w:szCs w:val="18"/>
        </w:rPr>
      </w:pPr>
      <w:r>
        <w:rPr>
          <w:sz w:val="18"/>
          <w:szCs w:val="18"/>
        </w:rPr>
        <w:t>Zdroj</w:t>
      </w:r>
      <w:r w:rsidR="005D5A35" w:rsidRPr="0094760E">
        <w:rPr>
          <w:sz w:val="18"/>
          <w:szCs w:val="18"/>
        </w:rPr>
        <w:t>: ČSÚ</w:t>
      </w:r>
    </w:p>
    <w:p w:rsidR="005D5A35" w:rsidRPr="00241C02" w:rsidRDefault="005D5A35" w:rsidP="0094760E">
      <w:pPr>
        <w:jc w:val="both"/>
        <w:rPr>
          <w:b/>
          <w:szCs w:val="20"/>
        </w:rPr>
      </w:pPr>
    </w:p>
    <w:tbl>
      <w:tblPr>
        <w:tblW w:w="5043" w:type="pct"/>
        <w:tblInd w:w="-42" w:type="dxa"/>
        <w:tblCellMar>
          <w:left w:w="28" w:type="dxa"/>
          <w:right w:w="28" w:type="dxa"/>
        </w:tblCellMar>
        <w:tblLook w:val="00A0"/>
      </w:tblPr>
      <w:tblGrid>
        <w:gridCol w:w="2037"/>
        <w:gridCol w:w="272"/>
        <w:gridCol w:w="7468"/>
      </w:tblGrid>
      <w:tr w:rsidR="005D5A35" w:rsidRPr="00FA57FD" w:rsidTr="00121167">
        <w:tc>
          <w:tcPr>
            <w:tcW w:w="1042" w:type="pct"/>
          </w:tcPr>
          <w:p w:rsidR="005D5A35" w:rsidRDefault="005D5A35" w:rsidP="0002366A">
            <w:pPr>
              <w:spacing w:line="240" w:lineRule="auto"/>
              <w:rPr>
                <w:color w:val="000000"/>
                <w:sz w:val="16"/>
                <w:szCs w:val="16"/>
              </w:rPr>
            </w:pPr>
            <w:r>
              <w:rPr>
                <w:color w:val="000000"/>
                <w:sz w:val="16"/>
                <w:szCs w:val="16"/>
              </w:rPr>
              <w:t>Zatímco v roce 2004 byl podle příjmů na obyvatele nejchudší kraj Ústecký - relativně prudká ztráta jeho pozice se tak odehrála v letech 1995-2004, zřejmě vliv změn v ekonomické struktuře s dopady do</w:t>
            </w:r>
            <w:r w:rsidR="0002366A">
              <w:rPr>
                <w:color w:val="000000"/>
                <w:sz w:val="16"/>
                <w:szCs w:val="16"/>
              </w:rPr>
              <w:t> </w:t>
            </w:r>
            <w:r>
              <w:rPr>
                <w:color w:val="000000"/>
                <w:sz w:val="16"/>
                <w:szCs w:val="16"/>
              </w:rPr>
              <w:t xml:space="preserve">sociálních podmínek  </w:t>
            </w:r>
          </w:p>
        </w:tc>
        <w:tc>
          <w:tcPr>
            <w:tcW w:w="139" w:type="pct"/>
          </w:tcPr>
          <w:p w:rsidR="005D5A35" w:rsidRDefault="005D5A35" w:rsidP="00121167">
            <w:pPr>
              <w:pStyle w:val="Textpoznpodarou"/>
              <w:jc w:val="both"/>
            </w:pPr>
          </w:p>
        </w:tc>
        <w:tc>
          <w:tcPr>
            <w:tcW w:w="3819" w:type="pct"/>
          </w:tcPr>
          <w:p w:rsidR="005D5A35" w:rsidRPr="00241C02" w:rsidRDefault="005D5A35" w:rsidP="00121167">
            <w:pPr>
              <w:pStyle w:val="Textpoznpodarou"/>
              <w:jc w:val="both"/>
              <w:rPr>
                <w:color w:val="000000"/>
              </w:rPr>
            </w:pPr>
            <w:r w:rsidRPr="00241C02">
              <w:rPr>
                <w:color w:val="000000"/>
              </w:rPr>
              <w:t>V roce 2004 byly nejchudšími kraji podle výše příjmů na obyvatele kraj Moravskoslezský a Ústecký. Do roku 2013 se však Moravskoslezský kraj dostal</w:t>
            </w:r>
            <w:r w:rsidR="0002366A">
              <w:rPr>
                <w:color w:val="000000"/>
              </w:rPr>
              <w:t>,</w:t>
            </w:r>
            <w:r w:rsidRPr="00241C02">
              <w:rPr>
                <w:color w:val="000000"/>
              </w:rPr>
              <w:t xml:space="preserve"> co se dynamiky těchto příjmů týká</w:t>
            </w:r>
            <w:r w:rsidR="0002366A">
              <w:rPr>
                <w:color w:val="000000"/>
              </w:rPr>
              <w:t>,</w:t>
            </w:r>
            <w:r w:rsidRPr="00241C02">
              <w:rPr>
                <w:color w:val="000000"/>
              </w:rPr>
              <w:t xml:space="preserve"> do skupiny krajů rostoucích nadprůměrně (příjmy zde stouply 1,32krát), ovšem podle příjmů v nominálním vyjádření v žebříčku krajů postoupil jen o tři příčky na 11. místo. Přírůstek příjmů v Ústeckém kraji byl v letech 2004-2013 nižší než průměr (příjmy byly vyšší 1,28krát), což znamenalo v nominálním vyjádření nejnižší příjmy na obyvatele za rok 2013 ze všech krajů České republiky.  </w:t>
            </w:r>
          </w:p>
          <w:p w:rsidR="005D5A35" w:rsidRPr="00241C02" w:rsidRDefault="005D5A35" w:rsidP="00121167">
            <w:pPr>
              <w:pStyle w:val="Textpoznpodarou"/>
              <w:jc w:val="both"/>
              <w:rPr>
                <w:color w:val="000000"/>
                <w:spacing w:val="-2"/>
              </w:rPr>
            </w:pPr>
            <w:r>
              <w:rPr>
                <w:color w:val="000000"/>
                <w:spacing w:val="-2"/>
              </w:rPr>
              <w:t xml:space="preserve"> </w:t>
            </w:r>
          </w:p>
        </w:tc>
      </w:tr>
      <w:tr w:rsidR="005D5A35" w:rsidRPr="00FA57FD" w:rsidTr="00006CF8">
        <w:tc>
          <w:tcPr>
            <w:tcW w:w="1042" w:type="pct"/>
          </w:tcPr>
          <w:p w:rsidR="005D5A35" w:rsidRDefault="005D5A35" w:rsidP="00121167">
            <w:pPr>
              <w:spacing w:line="240" w:lineRule="auto"/>
              <w:rPr>
                <w:color w:val="000000"/>
                <w:sz w:val="16"/>
                <w:szCs w:val="16"/>
              </w:rPr>
            </w:pPr>
            <w:r>
              <w:rPr>
                <w:color w:val="000000"/>
                <w:sz w:val="16"/>
                <w:szCs w:val="16"/>
              </w:rPr>
              <w:t>Recese 2012-2013 poznamenal</w:t>
            </w:r>
            <w:r w:rsidR="006A23BA">
              <w:rPr>
                <w:color w:val="000000"/>
                <w:sz w:val="16"/>
                <w:szCs w:val="16"/>
              </w:rPr>
              <w:t>a vývoj příjmů</w:t>
            </w:r>
            <w:r>
              <w:rPr>
                <w:color w:val="000000"/>
                <w:sz w:val="16"/>
                <w:szCs w:val="16"/>
              </w:rPr>
              <w:t xml:space="preserve"> obyvatel krajů ČR negat</w:t>
            </w:r>
            <w:r w:rsidR="006A23BA">
              <w:rPr>
                <w:color w:val="000000"/>
                <w:sz w:val="16"/>
                <w:szCs w:val="16"/>
              </w:rPr>
              <w:t>ivně - ty meziročně neklesly pouze v Jihomoravském kraji, K</w:t>
            </w:r>
            <w:r>
              <w:rPr>
                <w:color w:val="000000"/>
                <w:sz w:val="16"/>
                <w:szCs w:val="16"/>
              </w:rPr>
              <w:t xml:space="preserve">raji Vysočina a v Karlovarském kraji  </w:t>
            </w:r>
          </w:p>
        </w:tc>
        <w:tc>
          <w:tcPr>
            <w:tcW w:w="139" w:type="pct"/>
          </w:tcPr>
          <w:p w:rsidR="005D5A35" w:rsidRDefault="005D5A35" w:rsidP="00121167">
            <w:pPr>
              <w:pStyle w:val="Textpoznpodarou"/>
              <w:jc w:val="both"/>
            </w:pPr>
          </w:p>
        </w:tc>
        <w:tc>
          <w:tcPr>
            <w:tcW w:w="3819" w:type="pct"/>
          </w:tcPr>
          <w:p w:rsidR="005D5A35" w:rsidRPr="00241C02" w:rsidRDefault="005D5A35" w:rsidP="00121167">
            <w:pPr>
              <w:pStyle w:val="Textpoznpodarou"/>
              <w:jc w:val="both"/>
              <w:rPr>
                <w:color w:val="000000"/>
              </w:rPr>
            </w:pPr>
            <w:r w:rsidRPr="00241C02">
              <w:rPr>
                <w:color w:val="000000"/>
              </w:rPr>
              <w:t>Rok 2013 jako druhý rok recese, poznamena</w:t>
            </w:r>
            <w:r w:rsidR="00D24DA0">
              <w:rPr>
                <w:color w:val="000000"/>
              </w:rPr>
              <w:t>l</w:t>
            </w:r>
            <w:r w:rsidRPr="00241C02">
              <w:rPr>
                <w:color w:val="000000"/>
              </w:rPr>
              <w:t xml:space="preserve"> příjmy domácností negativně - čistý disponibilní důchod na obyvatele u většiny krajů meziročně klesl s</w:t>
            </w:r>
            <w:r w:rsidR="006A23BA">
              <w:rPr>
                <w:color w:val="000000"/>
              </w:rPr>
              <w:t> </w:t>
            </w:r>
            <w:r w:rsidRPr="00241C02">
              <w:rPr>
                <w:color w:val="000000"/>
              </w:rPr>
              <w:t>výjimkou</w:t>
            </w:r>
            <w:r w:rsidR="006A23BA">
              <w:rPr>
                <w:color w:val="000000"/>
              </w:rPr>
              <w:t xml:space="preserve"> </w:t>
            </w:r>
            <w:r w:rsidRPr="00241C02">
              <w:rPr>
                <w:color w:val="000000"/>
              </w:rPr>
              <w:t>J</w:t>
            </w:r>
            <w:r w:rsidR="00D24DA0">
              <w:rPr>
                <w:color w:val="000000"/>
              </w:rPr>
              <w:t>ihomoravského kraje (+0,2 %) a K</w:t>
            </w:r>
            <w:r w:rsidRPr="00241C02">
              <w:rPr>
                <w:color w:val="000000"/>
              </w:rPr>
              <w:t xml:space="preserve">raje Vysočina (+0,7 %), resp. stagnace v Karlovarském kraji (0,1 %). Ovšem nominální HDP na obyvatele takovýto vývoj nezaznamenal – naopak, většina krajů ČR vykázala jeho meziroční růst. </w:t>
            </w:r>
          </w:p>
          <w:p w:rsidR="005D5A35" w:rsidRPr="00241C02" w:rsidRDefault="005D5A35" w:rsidP="00121167">
            <w:pPr>
              <w:pStyle w:val="Textpoznpodarou"/>
              <w:jc w:val="both"/>
              <w:rPr>
                <w:color w:val="000000"/>
              </w:rPr>
            </w:pPr>
          </w:p>
          <w:p w:rsidR="005D5A35" w:rsidRPr="00241C02" w:rsidRDefault="005D5A35" w:rsidP="001C573E">
            <w:pPr>
              <w:pStyle w:val="Textpoznpodarou"/>
              <w:jc w:val="both"/>
              <w:rPr>
                <w:color w:val="000000"/>
              </w:rPr>
            </w:pPr>
            <w:r w:rsidRPr="00241C02">
              <w:rPr>
                <w:color w:val="000000"/>
              </w:rPr>
              <w:t xml:space="preserve">Z toho plyne, že obecně mohou být změny HDP výraznější než změny v čistém disponibilním </w:t>
            </w:r>
            <w:r w:rsidR="004C6ED6">
              <w:rPr>
                <w:color w:val="000000"/>
              </w:rPr>
              <w:t>důchodu, což je patrné z grafu 7</w:t>
            </w:r>
            <w:r w:rsidRPr="00241C02">
              <w:rPr>
                <w:color w:val="000000"/>
              </w:rPr>
              <w:t>, který ukazuje rozdíly mezi oběma veličinami v přepočtu na obyvatele jednak v nominálním vyjádření, jednak v odlišných tempech v roce 2013. Nejmarkantnějším příkladem je hlavní město Praha, kde nominální HDP v přepočtu na obyvatele činil 816 tisíc korun, ale čistý disponibilní důchod na obyvatele 258 tis. korun.</w:t>
            </w:r>
          </w:p>
          <w:p w:rsidR="005D5A35" w:rsidRPr="00241C02" w:rsidRDefault="005D5A35" w:rsidP="001C573E">
            <w:pPr>
              <w:pStyle w:val="Textpoznpodarou"/>
              <w:jc w:val="both"/>
              <w:rPr>
                <w:color w:val="000000"/>
                <w:spacing w:val="-2"/>
              </w:rPr>
            </w:pPr>
            <w:r>
              <w:rPr>
                <w:color w:val="000000"/>
                <w:spacing w:val="-2"/>
              </w:rPr>
              <w:t xml:space="preserve"> </w:t>
            </w:r>
          </w:p>
        </w:tc>
      </w:tr>
    </w:tbl>
    <w:p w:rsidR="005D5A35" w:rsidRDefault="005D5A35" w:rsidP="00241C02">
      <w:pPr>
        <w:spacing w:line="240" w:lineRule="auto"/>
        <w:jc w:val="both"/>
        <w:rPr>
          <w:b/>
          <w:szCs w:val="20"/>
        </w:rPr>
      </w:pPr>
      <w:r w:rsidRPr="00241C02">
        <w:rPr>
          <w:szCs w:val="20"/>
        </w:rPr>
        <w:t xml:space="preserve">Graf č. </w:t>
      </w:r>
      <w:r w:rsidR="00F55CC2" w:rsidRPr="00241C02">
        <w:rPr>
          <w:szCs w:val="20"/>
        </w:rPr>
        <w:t>7</w:t>
      </w:r>
      <w:r w:rsidRPr="00241C02">
        <w:rPr>
          <w:szCs w:val="20"/>
        </w:rPr>
        <w:t>:</w:t>
      </w:r>
      <w:r>
        <w:rPr>
          <w:b/>
          <w:szCs w:val="20"/>
        </w:rPr>
        <w:t xml:space="preserve"> Rozdíly v přírůstcích/dynamice čistého disponibilního důchodu domácností/</w:t>
      </w:r>
      <w:proofErr w:type="spellStart"/>
      <w:r>
        <w:rPr>
          <w:b/>
          <w:szCs w:val="20"/>
        </w:rPr>
        <w:t>obyv</w:t>
      </w:r>
      <w:proofErr w:type="spellEnd"/>
      <w:r>
        <w:rPr>
          <w:b/>
          <w:szCs w:val="20"/>
        </w:rPr>
        <w:t>. a</w:t>
      </w:r>
      <w:r w:rsidR="00241C02">
        <w:rPr>
          <w:b/>
          <w:szCs w:val="20"/>
        </w:rPr>
        <w:t> </w:t>
      </w:r>
      <w:r>
        <w:rPr>
          <w:b/>
          <w:szCs w:val="20"/>
        </w:rPr>
        <w:t>HDP/</w:t>
      </w:r>
      <w:proofErr w:type="spellStart"/>
      <w:r>
        <w:rPr>
          <w:b/>
          <w:szCs w:val="20"/>
        </w:rPr>
        <w:t>obyv</w:t>
      </w:r>
      <w:proofErr w:type="spellEnd"/>
      <w:r>
        <w:rPr>
          <w:b/>
          <w:szCs w:val="20"/>
        </w:rPr>
        <w:t xml:space="preserve">. v roce 2013 </w:t>
      </w:r>
      <w:r>
        <w:rPr>
          <w:szCs w:val="20"/>
        </w:rPr>
        <w:t>(nominální rozdíl v tis. korun, rozdíl procentních růstů vyjádřený v </w:t>
      </w:r>
      <w:proofErr w:type="spellStart"/>
      <w:r>
        <w:rPr>
          <w:szCs w:val="20"/>
        </w:rPr>
        <w:t>pb</w:t>
      </w:r>
      <w:proofErr w:type="spellEnd"/>
      <w:r>
        <w:rPr>
          <w:szCs w:val="20"/>
        </w:rPr>
        <w:t>.)</w:t>
      </w:r>
      <w:r>
        <w:rPr>
          <w:b/>
          <w:szCs w:val="20"/>
        </w:rPr>
        <w:t xml:space="preserve"> </w:t>
      </w:r>
    </w:p>
    <w:p w:rsidR="005D5A35" w:rsidRPr="0094760E" w:rsidRDefault="005D5A35" w:rsidP="0094760E">
      <w:pPr>
        <w:spacing w:line="240" w:lineRule="auto"/>
        <w:rPr>
          <w:b/>
          <w:sz w:val="4"/>
          <w:szCs w:val="4"/>
        </w:rPr>
      </w:pPr>
    </w:p>
    <w:p w:rsidR="005D5A35" w:rsidRDefault="007B1973" w:rsidP="00063BCF">
      <w:pPr>
        <w:jc w:val="center"/>
        <w:rPr>
          <w:b/>
          <w:sz w:val="24"/>
        </w:rPr>
      </w:pPr>
      <w:r w:rsidRPr="007B1973">
        <w:rPr>
          <w:b/>
          <w:noProof/>
          <w:sz w:val="24"/>
        </w:rPr>
        <w:pict>
          <v:shape id="_x0000_i1124" type="#_x0000_t75" style="width:392.25pt;height:180.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">
            <v:imagedata r:id="rId14" o:title="" cropbottom="-83f"/>
            <o:lock v:ext="edit" aspectratio="f"/>
          </v:shape>
        </w:pict>
      </w:r>
    </w:p>
    <w:p w:rsidR="005D5A35" w:rsidRDefault="00540BBC" w:rsidP="0094760E">
      <w:pPr>
        <w:jc w:val="right"/>
        <w:rPr>
          <w:sz w:val="18"/>
          <w:szCs w:val="18"/>
        </w:rPr>
      </w:pPr>
      <w:r>
        <w:rPr>
          <w:sz w:val="18"/>
          <w:szCs w:val="18"/>
        </w:rPr>
        <w:t>Zdroj</w:t>
      </w:r>
      <w:r w:rsidR="005D5A35" w:rsidRPr="001E0BE1">
        <w:rPr>
          <w:sz w:val="18"/>
          <w:szCs w:val="18"/>
        </w:rPr>
        <w:t>: ČSÚ</w:t>
      </w:r>
    </w:p>
    <w:p w:rsidR="00241C02" w:rsidRDefault="00241C02" w:rsidP="0094760E">
      <w:pPr>
        <w:jc w:val="right"/>
        <w:rPr>
          <w:sz w:val="16"/>
          <w:szCs w:val="16"/>
        </w:rPr>
      </w:pPr>
    </w:p>
    <w:p w:rsidR="00241C02" w:rsidRDefault="00241C02" w:rsidP="0094760E">
      <w:pPr>
        <w:jc w:val="right"/>
        <w:rPr>
          <w:sz w:val="16"/>
          <w:szCs w:val="16"/>
        </w:rPr>
      </w:pPr>
    </w:p>
    <w:tbl>
      <w:tblPr>
        <w:tblW w:w="5043" w:type="pct"/>
        <w:tblInd w:w="-42" w:type="dxa"/>
        <w:tblCellMar>
          <w:left w:w="28" w:type="dxa"/>
          <w:right w:w="28" w:type="dxa"/>
        </w:tblCellMar>
        <w:tblLook w:val="00A0"/>
      </w:tblPr>
      <w:tblGrid>
        <w:gridCol w:w="2037"/>
        <w:gridCol w:w="272"/>
        <w:gridCol w:w="7468"/>
      </w:tblGrid>
      <w:tr w:rsidR="001804ED" w:rsidRPr="00FA57FD" w:rsidTr="001804ED">
        <w:tc>
          <w:tcPr>
            <w:tcW w:w="1042" w:type="pct"/>
          </w:tcPr>
          <w:p w:rsidR="001804ED" w:rsidRDefault="009F3FD0" w:rsidP="009F3FD0">
            <w:pPr>
              <w:spacing w:line="240" w:lineRule="auto"/>
              <w:rPr>
                <w:color w:val="000000"/>
                <w:sz w:val="16"/>
                <w:szCs w:val="16"/>
              </w:rPr>
            </w:pPr>
            <w:r>
              <w:rPr>
                <w:color w:val="000000"/>
                <w:sz w:val="16"/>
                <w:szCs w:val="16"/>
              </w:rPr>
              <w:lastRenderedPageBreak/>
              <w:t>Několik rovin regionálních disparit</w:t>
            </w:r>
            <w:r w:rsidR="001804ED">
              <w:rPr>
                <w:color w:val="000000"/>
                <w:sz w:val="16"/>
                <w:szCs w:val="16"/>
              </w:rPr>
              <w:t xml:space="preserve"> </w:t>
            </w:r>
            <w:r>
              <w:rPr>
                <w:color w:val="000000"/>
                <w:sz w:val="16"/>
                <w:szCs w:val="16"/>
              </w:rPr>
              <w:t>…</w:t>
            </w:r>
          </w:p>
        </w:tc>
        <w:tc>
          <w:tcPr>
            <w:tcW w:w="139" w:type="pct"/>
          </w:tcPr>
          <w:p w:rsidR="001804ED" w:rsidRDefault="001804ED" w:rsidP="001804ED">
            <w:pPr>
              <w:pStyle w:val="Textpoznpodarou"/>
              <w:jc w:val="both"/>
            </w:pPr>
          </w:p>
        </w:tc>
        <w:tc>
          <w:tcPr>
            <w:tcW w:w="3819" w:type="pct"/>
          </w:tcPr>
          <w:p w:rsidR="001804ED" w:rsidRPr="00241C02" w:rsidRDefault="001804ED" w:rsidP="001804ED">
            <w:pPr>
              <w:pStyle w:val="Textpoznpodarou"/>
              <w:jc w:val="both"/>
              <w:rPr>
                <w:color w:val="000000"/>
              </w:rPr>
            </w:pPr>
            <w:r w:rsidRPr="00241C02">
              <w:rPr>
                <w:color w:val="000000"/>
              </w:rPr>
              <w:t>V úhrnu lze říci, že regionální disparity se v České republice projevují v několika rovinách – především ve výlučnos</w:t>
            </w:r>
            <w:r w:rsidR="009F3FD0" w:rsidRPr="00241C02">
              <w:rPr>
                <w:color w:val="000000"/>
              </w:rPr>
              <w:t>ti postavení hlavní města a tak</w:t>
            </w:r>
            <w:r w:rsidRPr="00241C02">
              <w:rPr>
                <w:color w:val="000000"/>
              </w:rPr>
              <w:t>é v</w:t>
            </w:r>
            <w:r w:rsidR="00D74A6A">
              <w:rPr>
                <w:color w:val="000000"/>
              </w:rPr>
              <w:t> </w:t>
            </w:r>
            <w:r w:rsidRPr="00241C02">
              <w:rPr>
                <w:color w:val="000000"/>
              </w:rPr>
              <w:t xml:space="preserve">diferencovaných rozdílech (i jejich změnách v čase) u jednotlivých krajů pokud jde o růst HDP na obyvatele a čistého disponibilního důchodu na obyvatele (platí však jen částečně, že chudé kraje se stávají ještě chudšími a bohaté ještě bohatšími). Dalším zjištěním je </w:t>
            </w:r>
            <w:r w:rsidR="009F3FD0" w:rsidRPr="00241C02">
              <w:rPr>
                <w:color w:val="000000"/>
              </w:rPr>
              <w:t xml:space="preserve">např. </w:t>
            </w:r>
            <w:r w:rsidRPr="00241C02">
              <w:rPr>
                <w:color w:val="000000"/>
              </w:rPr>
              <w:t>významné zhoršení pozice (příjmové i ve vytvořeném HDP na obyvatele) u Jihočeského a Ústeckého kraje, které byly v roce 1995 třetím resp. pátým příjmově „nejbohatším“ krajem ČR.</w:t>
            </w:r>
            <w:r w:rsidR="009F3FD0" w:rsidRPr="00241C02">
              <w:rPr>
                <w:color w:val="000000"/>
              </w:rPr>
              <w:t xml:space="preserve"> U nich více než v ostatních regionech platí, že důvodem je především změna ekonomické struktury s dopady do sociální oblasti.</w:t>
            </w:r>
          </w:p>
          <w:p w:rsidR="001804ED" w:rsidRPr="00241C02" w:rsidRDefault="001804ED" w:rsidP="001804ED">
            <w:pPr>
              <w:pStyle w:val="Textpoznpodarou"/>
              <w:jc w:val="both"/>
              <w:rPr>
                <w:color w:val="000000"/>
              </w:rPr>
            </w:pPr>
          </w:p>
        </w:tc>
      </w:tr>
      <w:tr w:rsidR="001804ED" w:rsidRPr="00FA57FD" w:rsidTr="001804ED">
        <w:tc>
          <w:tcPr>
            <w:tcW w:w="1042" w:type="pct"/>
          </w:tcPr>
          <w:p w:rsidR="001804ED" w:rsidRDefault="009F3FD0" w:rsidP="001804ED">
            <w:pPr>
              <w:spacing w:line="240" w:lineRule="auto"/>
              <w:rPr>
                <w:color w:val="000000"/>
                <w:sz w:val="16"/>
                <w:szCs w:val="16"/>
              </w:rPr>
            </w:pPr>
            <w:r>
              <w:rPr>
                <w:color w:val="000000"/>
                <w:sz w:val="16"/>
                <w:szCs w:val="16"/>
              </w:rPr>
              <w:t>… a faktory, které je ovlivňují</w:t>
            </w:r>
          </w:p>
        </w:tc>
        <w:tc>
          <w:tcPr>
            <w:tcW w:w="139" w:type="pct"/>
          </w:tcPr>
          <w:p w:rsidR="001804ED" w:rsidRDefault="001804ED" w:rsidP="001804ED">
            <w:pPr>
              <w:pStyle w:val="Textpoznpodarou"/>
              <w:jc w:val="both"/>
            </w:pPr>
          </w:p>
        </w:tc>
        <w:tc>
          <w:tcPr>
            <w:tcW w:w="3819" w:type="pct"/>
          </w:tcPr>
          <w:p w:rsidR="001804ED" w:rsidRPr="00241C02" w:rsidRDefault="001804ED" w:rsidP="009F3FD0">
            <w:pPr>
              <w:pStyle w:val="Textpoznpodarou"/>
              <w:jc w:val="both"/>
              <w:rPr>
                <w:color w:val="000000"/>
              </w:rPr>
            </w:pPr>
            <w:r w:rsidRPr="00241C02">
              <w:rPr>
                <w:color w:val="000000"/>
              </w:rPr>
              <w:t>Pří</w:t>
            </w:r>
            <w:r w:rsidR="009F3FD0" w:rsidRPr="00241C02">
              <w:rPr>
                <w:color w:val="000000"/>
              </w:rPr>
              <w:t>či</w:t>
            </w:r>
            <w:r w:rsidRPr="00241C02">
              <w:rPr>
                <w:color w:val="000000"/>
              </w:rPr>
              <w:t xml:space="preserve">nou </w:t>
            </w:r>
            <w:r w:rsidR="009F3FD0" w:rsidRPr="00241C02">
              <w:rPr>
                <w:color w:val="000000"/>
              </w:rPr>
              <w:t xml:space="preserve">regionálních </w:t>
            </w:r>
            <w:r w:rsidRPr="00241C02">
              <w:rPr>
                <w:color w:val="000000"/>
              </w:rPr>
              <w:t xml:space="preserve">disparit </w:t>
            </w:r>
            <w:r w:rsidR="009F3FD0" w:rsidRPr="00241C02">
              <w:rPr>
                <w:color w:val="000000"/>
              </w:rPr>
              <w:t>v ČR, tak jak se měnily v čase, je kromě často velmi výrazných změn jejich ekonomické struktury (zániky či významná redukce aktivit např. klíčových průmyslových podniků, aj.) také rozdílná intenzita přílivu přímých zahraničních investic anebo čerpání peněz z evropských fondů. Ve svém důsledku tyto faktory změnily význa</w:t>
            </w:r>
            <w:r w:rsidR="00CE090E" w:rsidRPr="00241C02">
              <w:rPr>
                <w:color w:val="000000"/>
              </w:rPr>
              <w:t xml:space="preserve">mně </w:t>
            </w:r>
            <w:r w:rsidR="009F3FD0" w:rsidRPr="00241C02">
              <w:rPr>
                <w:color w:val="000000"/>
              </w:rPr>
              <w:t xml:space="preserve">do té doby charakteristické rysy mnoha lokalit s dopady do kvality života lidí. </w:t>
            </w:r>
            <w:r w:rsidRPr="00241C02">
              <w:rPr>
                <w:color w:val="000000"/>
              </w:rPr>
              <w:t xml:space="preserve"> </w:t>
            </w:r>
          </w:p>
        </w:tc>
      </w:tr>
    </w:tbl>
    <w:p w:rsidR="00A25E57" w:rsidRDefault="00A25E57" w:rsidP="00354366">
      <w:pPr>
        <w:jc w:val="both"/>
        <w:rPr>
          <w:szCs w:val="20"/>
        </w:rPr>
      </w:pPr>
    </w:p>
    <w:p w:rsidR="00A25E57" w:rsidRPr="00901236" w:rsidRDefault="00A25E57" w:rsidP="002A5986">
      <w:pPr>
        <w:pStyle w:val="Nadpis2"/>
        <w:numPr>
          <w:ilvl w:val="1"/>
          <w:numId w:val="9"/>
        </w:numPr>
      </w:pPr>
      <w:bookmarkStart w:id="4" w:name="_Toc424903544"/>
      <w:bookmarkStart w:id="5" w:name="_Toc426017682"/>
      <w:r w:rsidRPr="00901236">
        <w:t>Sociální rozdíly</w:t>
      </w:r>
      <w:bookmarkEnd w:id="4"/>
      <w:bookmarkEnd w:id="5"/>
    </w:p>
    <w:p w:rsidR="00A25E57" w:rsidRDefault="00A25E57" w:rsidP="00A25E57">
      <w:pPr>
        <w:spacing w:line="240" w:lineRule="auto"/>
        <w:jc w:val="both"/>
        <w:rPr>
          <w:szCs w:val="20"/>
        </w:rPr>
      </w:pPr>
      <w:r>
        <w:rPr>
          <w:szCs w:val="20"/>
        </w:rPr>
        <w:t>Společenské změny, které přináší přechod na jiný systém – tak jako tomu bylo po roce 1989 i v České republice – jsou spojeny také se změnami v sociální oblasti. Přechod na tržní systém je zpravidla v dalším doprovázen i vyostřením sociálních rozdílů. Pokusme se tedy sledovat, jak se tento fenomén projevoval v České republice, resp. na jeho vyústění podle naposled známých dat.</w:t>
      </w:r>
    </w:p>
    <w:p w:rsidR="00A25E57" w:rsidRPr="00241C02" w:rsidRDefault="00A25E57" w:rsidP="00A25E57">
      <w:pPr>
        <w:spacing w:line="240" w:lineRule="auto"/>
        <w:jc w:val="both"/>
        <w:rPr>
          <w:sz w:val="22"/>
          <w:szCs w:val="22"/>
        </w:rPr>
      </w:pPr>
      <w:r>
        <w:rPr>
          <w:szCs w:val="20"/>
        </w:rPr>
        <w:t xml:space="preserve"> </w:t>
      </w:r>
    </w:p>
    <w:p w:rsidR="00A25E57" w:rsidRPr="00901236" w:rsidRDefault="00A25E57" w:rsidP="002A5986">
      <w:pPr>
        <w:pStyle w:val="Nadpis3"/>
        <w:numPr>
          <w:ilvl w:val="2"/>
          <w:numId w:val="9"/>
        </w:numPr>
      </w:pPr>
      <w:bookmarkStart w:id="6" w:name="_Toc424903545"/>
      <w:bookmarkStart w:id="7" w:name="_Toc426017683"/>
      <w:r w:rsidRPr="00901236">
        <w:t>Změny ve struktuře disponibilních příjmů domácností</w:t>
      </w:r>
      <w:bookmarkEnd w:id="6"/>
      <w:bookmarkEnd w:id="7"/>
    </w:p>
    <w:tbl>
      <w:tblPr>
        <w:tblW w:w="5043" w:type="pct"/>
        <w:tblInd w:w="-42" w:type="dxa"/>
        <w:tblCellMar>
          <w:left w:w="28" w:type="dxa"/>
          <w:right w:w="28" w:type="dxa"/>
        </w:tblCellMar>
        <w:tblLook w:val="00A0"/>
      </w:tblPr>
      <w:tblGrid>
        <w:gridCol w:w="2037"/>
        <w:gridCol w:w="272"/>
        <w:gridCol w:w="7468"/>
      </w:tblGrid>
      <w:tr w:rsidR="00A25E57" w:rsidRPr="00FA57FD" w:rsidTr="00072F46">
        <w:tc>
          <w:tcPr>
            <w:tcW w:w="1042" w:type="pct"/>
          </w:tcPr>
          <w:p w:rsidR="00A25E57" w:rsidRDefault="00A25E57" w:rsidP="00072F46">
            <w:pPr>
              <w:spacing w:line="240" w:lineRule="auto"/>
              <w:rPr>
                <w:color w:val="000000"/>
                <w:sz w:val="16"/>
                <w:szCs w:val="16"/>
              </w:rPr>
            </w:pPr>
            <w:r>
              <w:rPr>
                <w:color w:val="000000"/>
                <w:sz w:val="16"/>
                <w:szCs w:val="16"/>
              </w:rPr>
              <w:t>Struktura komplexních příjmů domácností</w:t>
            </w:r>
          </w:p>
        </w:tc>
        <w:tc>
          <w:tcPr>
            <w:tcW w:w="139" w:type="pct"/>
          </w:tcPr>
          <w:p w:rsidR="00A25E57" w:rsidRDefault="00A25E57" w:rsidP="00072F46">
            <w:pPr>
              <w:pStyle w:val="Textpoznpodarou"/>
              <w:jc w:val="both"/>
            </w:pPr>
          </w:p>
        </w:tc>
        <w:tc>
          <w:tcPr>
            <w:tcW w:w="3819" w:type="pct"/>
          </w:tcPr>
          <w:p w:rsidR="00A25E57" w:rsidRPr="00241C02" w:rsidRDefault="00A25E57" w:rsidP="00072F46">
            <w:pPr>
              <w:pStyle w:val="Textpoznpodarou"/>
              <w:jc w:val="both"/>
              <w:rPr>
                <w:color w:val="000000"/>
              </w:rPr>
            </w:pPr>
            <w:r w:rsidRPr="00241C02">
              <w:rPr>
                <w:color w:val="000000"/>
              </w:rPr>
              <w:t>Příjmy lid</w:t>
            </w:r>
            <w:r w:rsidR="00D24DA0">
              <w:rPr>
                <w:color w:val="000000"/>
              </w:rPr>
              <w:t>í</w:t>
            </w:r>
            <w:r w:rsidRPr="00241C02">
              <w:rPr>
                <w:color w:val="000000"/>
              </w:rPr>
              <w:t xml:space="preserve"> v jejich “komplexní“ podobě lze sledovat na </w:t>
            </w:r>
            <w:proofErr w:type="spellStart"/>
            <w:r w:rsidRPr="00241C02">
              <w:rPr>
                <w:color w:val="000000"/>
              </w:rPr>
              <w:t>makroúrovni</w:t>
            </w:r>
            <w:proofErr w:type="spellEnd"/>
            <w:r w:rsidRPr="00241C02">
              <w:rPr>
                <w:color w:val="000000"/>
              </w:rPr>
              <w:t xml:space="preserve"> podle disponibilního důchodu domácností, ukazatele národních účtů konstruovaného v hrubém a čistém vyjádření (zde se zohledněním spotřeby kapitálu).  Disponibilní důchod domácností sestává -</w:t>
            </w:r>
            <w:r>
              <w:rPr>
                <w:color w:val="000000"/>
              </w:rPr>
              <w:t xml:space="preserve"> jak již bylo naznačeno v kap. 6</w:t>
            </w:r>
            <w:r w:rsidRPr="00241C02">
              <w:rPr>
                <w:color w:val="000000"/>
              </w:rPr>
              <w:t>.1.</w:t>
            </w:r>
            <w:r>
              <w:rPr>
                <w:color w:val="000000"/>
              </w:rPr>
              <w:t>2.</w:t>
            </w:r>
            <w:r w:rsidRPr="00241C02">
              <w:rPr>
                <w:color w:val="000000"/>
              </w:rPr>
              <w:t xml:space="preserve"> - nejen z mezd a</w:t>
            </w:r>
            <w:r>
              <w:rPr>
                <w:color w:val="000000"/>
              </w:rPr>
              <w:t> </w:t>
            </w:r>
            <w:r w:rsidRPr="00241C02">
              <w:rPr>
                <w:color w:val="000000"/>
              </w:rPr>
              <w:t xml:space="preserve">platů, ale také z příjmů z podnikání, čistých příjmů z majetku a salda z přerozdělení (tj. čistých sociálních příjmů). </w:t>
            </w:r>
          </w:p>
          <w:p w:rsidR="00A25E57" w:rsidRPr="00241C02" w:rsidRDefault="00A25E57" w:rsidP="00072F46">
            <w:pPr>
              <w:pStyle w:val="Textpoznpodarou"/>
              <w:jc w:val="both"/>
              <w:rPr>
                <w:color w:val="000000"/>
              </w:rPr>
            </w:pPr>
            <w:r w:rsidRPr="00241C02">
              <w:rPr>
                <w:color w:val="000000"/>
              </w:rPr>
              <w:t xml:space="preserve"> </w:t>
            </w:r>
          </w:p>
        </w:tc>
      </w:tr>
      <w:tr w:rsidR="00A25E57" w:rsidRPr="00FA57FD" w:rsidTr="00072F46">
        <w:tc>
          <w:tcPr>
            <w:tcW w:w="1042" w:type="pct"/>
          </w:tcPr>
          <w:p w:rsidR="00A25E57" w:rsidRDefault="00A25E57" w:rsidP="00072F46">
            <w:pPr>
              <w:spacing w:line="240" w:lineRule="auto"/>
              <w:rPr>
                <w:color w:val="000000"/>
                <w:sz w:val="16"/>
                <w:szCs w:val="16"/>
              </w:rPr>
            </w:pPr>
            <w:r>
              <w:rPr>
                <w:color w:val="000000"/>
                <w:sz w:val="16"/>
                <w:szCs w:val="16"/>
              </w:rPr>
              <w:t xml:space="preserve">Za roky 1999-2014 se hrubý disponibilní důchod domácností ČR zvýšil o čtyři pětiny na dva a čtvrt bilionu korun, za roky 2004-2014 o dvě pětiny </w:t>
            </w:r>
          </w:p>
        </w:tc>
        <w:tc>
          <w:tcPr>
            <w:tcW w:w="139" w:type="pct"/>
          </w:tcPr>
          <w:p w:rsidR="00A25E57" w:rsidRDefault="00A25E57" w:rsidP="00072F46">
            <w:pPr>
              <w:pStyle w:val="Textpoznpodarou"/>
              <w:jc w:val="both"/>
            </w:pPr>
          </w:p>
        </w:tc>
        <w:tc>
          <w:tcPr>
            <w:tcW w:w="3819" w:type="pct"/>
          </w:tcPr>
          <w:p w:rsidR="00A25E57" w:rsidRPr="00241C02" w:rsidRDefault="00A25E57" w:rsidP="00072F46">
            <w:pPr>
              <w:pStyle w:val="Textpoznpodarou"/>
              <w:jc w:val="both"/>
              <w:rPr>
                <w:color w:val="000000"/>
              </w:rPr>
            </w:pPr>
            <w:r w:rsidRPr="00241C02">
              <w:rPr>
                <w:color w:val="000000"/>
              </w:rPr>
              <w:t>Růst hrubého disponibilního důchodu domác</w:t>
            </w:r>
            <w:r>
              <w:rPr>
                <w:color w:val="000000"/>
              </w:rPr>
              <w:t>ností v běžných cenách (graf 8</w:t>
            </w:r>
            <w:r w:rsidRPr="00241C02">
              <w:rPr>
                <w:color w:val="000000"/>
              </w:rPr>
              <w:t>) sledovaný k bázi roku 1999</w:t>
            </w:r>
            <w:r w:rsidR="00D24DA0">
              <w:rPr>
                <w:color w:val="000000"/>
              </w:rPr>
              <w:t>,</w:t>
            </w:r>
            <w:r w:rsidRPr="00241C02">
              <w:rPr>
                <w:rStyle w:val="Znakapoznpodarou"/>
                <w:color w:val="000000"/>
              </w:rPr>
              <w:footnoteReference w:id="1"/>
            </w:r>
            <w:r w:rsidRPr="00241C02">
              <w:rPr>
                <w:color w:val="000000"/>
              </w:rPr>
              <w:t xml:space="preserve"> resp. 2004, ukazuje, že v letech 1999-2014 stouply tyto komplexní příjmy domácností o téměř čtyři pětiny</w:t>
            </w:r>
            <w:r>
              <w:rPr>
                <w:color w:val="000000"/>
              </w:rPr>
              <w:t xml:space="preserve"> (+79,3 % na 2 259,8 mld. korun</w:t>
            </w:r>
            <w:r w:rsidRPr="00241C02">
              <w:rPr>
                <w:color w:val="000000"/>
              </w:rPr>
              <w:t>). Významnou část tohoto růstu lze však identifikovat právě prvními roky nového milénia, neboť naopak za léta 2004-2014 - tedy v období členství České republiky v EU - činil přírůstek hrubého disponibilního důchodu domácností +38,7</w:t>
            </w:r>
            <w:r>
              <w:rPr>
                <w:color w:val="000000"/>
              </w:rPr>
              <w:t> </w:t>
            </w:r>
            <w:r w:rsidRPr="00241C02">
              <w:rPr>
                <w:color w:val="000000"/>
              </w:rPr>
              <w:t>% a představoval tak fakticky polovinu celého růstu za roky 1999-2014. Roli však hraje i postupně rostoucí základna.</w:t>
            </w:r>
          </w:p>
          <w:p w:rsidR="00A25E57" w:rsidRPr="00241C02" w:rsidRDefault="00A25E57" w:rsidP="00072F46">
            <w:pPr>
              <w:pStyle w:val="Textpoznpodarou"/>
              <w:jc w:val="both"/>
              <w:rPr>
                <w:color w:val="000000"/>
              </w:rPr>
            </w:pPr>
          </w:p>
        </w:tc>
      </w:tr>
      <w:tr w:rsidR="00A25E57" w:rsidRPr="00FA57FD" w:rsidTr="00072F46">
        <w:tc>
          <w:tcPr>
            <w:tcW w:w="1042" w:type="pct"/>
          </w:tcPr>
          <w:p w:rsidR="00A25E57" w:rsidRDefault="00A25E57" w:rsidP="00072F46">
            <w:pPr>
              <w:spacing w:line="240" w:lineRule="auto"/>
              <w:rPr>
                <w:color w:val="000000"/>
                <w:sz w:val="16"/>
                <w:szCs w:val="16"/>
              </w:rPr>
            </w:pPr>
            <w:r>
              <w:rPr>
                <w:color w:val="000000"/>
                <w:sz w:val="16"/>
                <w:szCs w:val="16"/>
              </w:rPr>
              <w:t>Náhrady zaměstnancům se za roky 1999-2014 zdvojnásobily, příjmy z podnikání byly vyšší o polovinu a čisté příjmy z majetku o čtvrtinu</w:t>
            </w:r>
          </w:p>
        </w:tc>
        <w:tc>
          <w:tcPr>
            <w:tcW w:w="139" w:type="pct"/>
          </w:tcPr>
          <w:p w:rsidR="00A25E57" w:rsidRDefault="00A25E57" w:rsidP="00072F46">
            <w:pPr>
              <w:pStyle w:val="Textpoznpodarou"/>
              <w:jc w:val="both"/>
            </w:pPr>
          </w:p>
        </w:tc>
        <w:tc>
          <w:tcPr>
            <w:tcW w:w="3819" w:type="pct"/>
          </w:tcPr>
          <w:p w:rsidR="00A25E57" w:rsidRPr="00241C02" w:rsidRDefault="00A25E57" w:rsidP="00072F46">
            <w:pPr>
              <w:pStyle w:val="Textpoznpodarou"/>
              <w:jc w:val="both"/>
              <w:rPr>
                <w:color w:val="000000"/>
              </w:rPr>
            </w:pPr>
            <w:r w:rsidRPr="00241C02">
              <w:rPr>
                <w:color w:val="000000"/>
              </w:rPr>
              <w:t>Co se týká složek hrubého disponibilního důchodu domácností (graf 8), pak příjmy ze závislé činnosti ve formě náhrad zaměstnancům se za roky 1999-2014 prakticky zdvojnásobily (+97,5 % na 1 712,3 mld. korun). Naproti tomu ale příjmy domácností z podnikání stouply jen o polovinu (+51,3 % na 674,9 mld.) a čisté příjmy z majetku o zhruba čtvrtinu (+26,7 % na 124 mld. korun). Čisté sociální příjmy domácností jako saldo z přerozdělení byly v roce 2014 vyšší oproti roku 1999 o dvě třetiny</w:t>
            </w:r>
            <w:r>
              <w:rPr>
                <w:color w:val="000000"/>
              </w:rPr>
              <w:t> </w:t>
            </w:r>
            <w:r w:rsidRPr="00241C02">
              <w:rPr>
                <w:color w:val="000000"/>
              </w:rPr>
              <w:t>(67,2</w:t>
            </w:r>
            <w:r>
              <w:rPr>
                <w:color w:val="000000"/>
              </w:rPr>
              <w:t> </w:t>
            </w:r>
            <w:r w:rsidRPr="00241C02">
              <w:rPr>
                <w:color w:val="000000"/>
              </w:rPr>
              <w:t>%), což v roce 2014 představovalo úroveň záporného salda ve výši 252 mld. korun.</w:t>
            </w:r>
          </w:p>
        </w:tc>
      </w:tr>
    </w:tbl>
    <w:p w:rsidR="00A25E57" w:rsidRDefault="00A25E57" w:rsidP="00A25E57">
      <w:pPr>
        <w:rPr>
          <w:szCs w:val="20"/>
        </w:rPr>
      </w:pPr>
    </w:p>
    <w:p w:rsidR="00A25E57" w:rsidRDefault="00A25E57" w:rsidP="00A25E57">
      <w:pPr>
        <w:rPr>
          <w:szCs w:val="20"/>
        </w:rPr>
      </w:pPr>
    </w:p>
    <w:p w:rsidR="00A25E57" w:rsidRDefault="00A25E57" w:rsidP="00A25E57">
      <w:pPr>
        <w:rPr>
          <w:szCs w:val="20"/>
        </w:rPr>
      </w:pPr>
    </w:p>
    <w:p w:rsidR="00A25E57" w:rsidRDefault="00A25E57" w:rsidP="00A25E57">
      <w:pPr>
        <w:rPr>
          <w:szCs w:val="20"/>
        </w:rPr>
      </w:pPr>
    </w:p>
    <w:p w:rsidR="00A25E57" w:rsidRDefault="00A25E57" w:rsidP="00A25E57">
      <w:pPr>
        <w:rPr>
          <w:szCs w:val="20"/>
        </w:rPr>
      </w:pPr>
    </w:p>
    <w:p w:rsidR="00A25E57" w:rsidRDefault="00A25E57" w:rsidP="00A25E57">
      <w:pPr>
        <w:rPr>
          <w:szCs w:val="20"/>
        </w:rPr>
      </w:pPr>
    </w:p>
    <w:p w:rsidR="00A25E57" w:rsidRDefault="00A25E57" w:rsidP="00A25E57">
      <w:pPr>
        <w:rPr>
          <w:szCs w:val="20"/>
        </w:rPr>
      </w:pPr>
    </w:p>
    <w:p w:rsidR="00A25E57" w:rsidRDefault="00A25E57" w:rsidP="00A25E57">
      <w:pPr>
        <w:rPr>
          <w:szCs w:val="20"/>
        </w:rPr>
      </w:pPr>
    </w:p>
    <w:p w:rsidR="00A25E57" w:rsidRPr="00375F77" w:rsidRDefault="00A25E57" w:rsidP="00A25E57">
      <w:pPr>
        <w:jc w:val="both"/>
        <w:rPr>
          <w:noProof/>
          <w:szCs w:val="20"/>
        </w:rPr>
      </w:pPr>
      <w:r w:rsidRPr="00241C02">
        <w:rPr>
          <w:noProof/>
          <w:szCs w:val="20"/>
        </w:rPr>
        <w:lastRenderedPageBreak/>
        <w:t>Graf č. 8:</w:t>
      </w:r>
      <w:r>
        <w:rPr>
          <w:b/>
          <w:noProof/>
          <w:szCs w:val="20"/>
        </w:rPr>
        <w:t xml:space="preserve"> Struktura hrubého disponibilního důchodu domácností v letech 2000-2014 </w:t>
      </w:r>
      <w:r>
        <w:rPr>
          <w:noProof/>
          <w:szCs w:val="20"/>
        </w:rPr>
        <w:t>(v mil. korun)</w:t>
      </w:r>
    </w:p>
    <w:p w:rsidR="00A25E57" w:rsidRDefault="007B1973" w:rsidP="00A25E57">
      <w:pPr>
        <w:jc w:val="center"/>
        <w:rPr>
          <w:b/>
          <w:noProof/>
          <w:sz w:val="24"/>
        </w:rPr>
      </w:pPr>
      <w:r w:rsidRPr="007B1973">
        <w:rPr>
          <w:b/>
          <w:noProof/>
          <w:sz w:val="24"/>
        </w:rPr>
        <w:pict>
          <v:shape id="_x0000_i1125" type="#_x0000_t75" style="width:418.5pt;height:176.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">
            <v:imagedata r:id="rId15" o:title=""/>
            <o:lock v:ext="edit" aspectratio="f"/>
          </v:shape>
        </w:pict>
      </w:r>
    </w:p>
    <w:p w:rsidR="00A25E57" w:rsidRDefault="00A25E57" w:rsidP="00A25E57">
      <w:pPr>
        <w:jc w:val="right"/>
        <w:rPr>
          <w:sz w:val="18"/>
          <w:szCs w:val="18"/>
        </w:rPr>
      </w:pPr>
      <w:r>
        <w:rPr>
          <w:sz w:val="18"/>
          <w:szCs w:val="18"/>
        </w:rPr>
        <w:t>Zdroj</w:t>
      </w:r>
      <w:r w:rsidRPr="00375F77">
        <w:rPr>
          <w:sz w:val="18"/>
          <w:szCs w:val="18"/>
        </w:rPr>
        <w:t>: ČSÚ</w:t>
      </w:r>
    </w:p>
    <w:p w:rsidR="00A25E57" w:rsidRDefault="00A25E57" w:rsidP="00A25E57">
      <w:pPr>
        <w:jc w:val="both"/>
        <w:rPr>
          <w:sz w:val="18"/>
          <w:szCs w:val="18"/>
        </w:rPr>
      </w:pPr>
    </w:p>
    <w:tbl>
      <w:tblPr>
        <w:tblW w:w="5043" w:type="pct"/>
        <w:tblInd w:w="-42" w:type="dxa"/>
        <w:tblCellMar>
          <w:left w:w="28" w:type="dxa"/>
          <w:right w:w="28" w:type="dxa"/>
        </w:tblCellMar>
        <w:tblLook w:val="00A0"/>
      </w:tblPr>
      <w:tblGrid>
        <w:gridCol w:w="2037"/>
        <w:gridCol w:w="272"/>
        <w:gridCol w:w="7468"/>
      </w:tblGrid>
      <w:tr w:rsidR="00A25E57" w:rsidRPr="00FA57FD" w:rsidTr="00072F46">
        <w:tc>
          <w:tcPr>
            <w:tcW w:w="1042" w:type="pct"/>
          </w:tcPr>
          <w:p w:rsidR="00A25E57" w:rsidRDefault="00A25E57" w:rsidP="00072F46">
            <w:pPr>
              <w:spacing w:line="240" w:lineRule="auto"/>
              <w:rPr>
                <w:color w:val="000000"/>
                <w:sz w:val="16"/>
                <w:szCs w:val="16"/>
              </w:rPr>
            </w:pPr>
            <w:r>
              <w:rPr>
                <w:color w:val="000000"/>
                <w:sz w:val="16"/>
                <w:szCs w:val="16"/>
              </w:rPr>
              <w:t>Mzdy a platy tvoří více než polovinu příjmů domácností</w:t>
            </w:r>
          </w:p>
        </w:tc>
        <w:tc>
          <w:tcPr>
            <w:tcW w:w="139" w:type="pct"/>
          </w:tcPr>
          <w:p w:rsidR="00A25E57" w:rsidRDefault="00A25E57" w:rsidP="00072F46">
            <w:pPr>
              <w:pStyle w:val="Textpoznpodarou"/>
              <w:jc w:val="both"/>
            </w:pPr>
          </w:p>
        </w:tc>
        <w:tc>
          <w:tcPr>
            <w:tcW w:w="3819" w:type="pct"/>
          </w:tcPr>
          <w:p w:rsidR="00A25E57" w:rsidRDefault="00A25E57" w:rsidP="00072F46">
            <w:pPr>
              <w:pStyle w:val="Textpoznpodarou"/>
              <w:jc w:val="both"/>
              <w:rPr>
                <w:color w:val="000000"/>
                <w:spacing w:val="-2"/>
              </w:rPr>
            </w:pPr>
            <w:r>
              <w:rPr>
                <w:color w:val="000000"/>
                <w:spacing w:val="-2"/>
              </w:rPr>
              <w:t xml:space="preserve">Hlavní příjem domácností tvoří příjmy ze závislé činnosti: mzdy a platy představovaly v roce 2014 víc než polovinu (57 %) hrubého disponibilního důchodu domácností (celé náhrady zaměstnancům se na něm podílely třemi čtvrtinami, tj. ze 75,8 %). Podíl mezd se pohybuje dlouhodobě mezi 50-60 % hrubého disponibilního důchodu (v roce 1999 to bylo 52 %, v roce 2004 pak 56 %). </w:t>
            </w:r>
          </w:p>
          <w:p w:rsidR="00A25E57" w:rsidRPr="00241C02" w:rsidRDefault="00A25E57" w:rsidP="00072F46">
            <w:pPr>
              <w:pStyle w:val="Textpoznpodarou"/>
              <w:jc w:val="both"/>
              <w:rPr>
                <w:color w:val="000000"/>
                <w:spacing w:val="-2"/>
                <w:sz w:val="16"/>
                <w:szCs w:val="16"/>
              </w:rPr>
            </w:pPr>
          </w:p>
        </w:tc>
      </w:tr>
      <w:tr w:rsidR="00A25E57" w:rsidRPr="00FA57FD" w:rsidTr="00072F46">
        <w:tc>
          <w:tcPr>
            <w:tcW w:w="1042" w:type="pct"/>
          </w:tcPr>
          <w:p w:rsidR="00A25E57" w:rsidRDefault="00A25E57" w:rsidP="00072F46">
            <w:pPr>
              <w:spacing w:line="240" w:lineRule="auto"/>
              <w:rPr>
                <w:color w:val="000000"/>
                <w:sz w:val="16"/>
                <w:szCs w:val="16"/>
              </w:rPr>
            </w:pPr>
            <w:r>
              <w:rPr>
                <w:color w:val="000000"/>
                <w:sz w:val="16"/>
                <w:szCs w:val="16"/>
              </w:rPr>
              <w:t>Ve struktuře komplexních příjmů domácností narůstá podíl mezd a platů, naopak klesají podíly příjmů z podnikání a čistých příjmů z majetku…</w:t>
            </w:r>
          </w:p>
        </w:tc>
        <w:tc>
          <w:tcPr>
            <w:tcW w:w="139" w:type="pct"/>
          </w:tcPr>
          <w:p w:rsidR="00A25E57" w:rsidRDefault="00A25E57" w:rsidP="00072F46">
            <w:pPr>
              <w:pStyle w:val="Textpoznpodarou"/>
              <w:jc w:val="both"/>
            </w:pPr>
          </w:p>
        </w:tc>
        <w:tc>
          <w:tcPr>
            <w:tcW w:w="3819" w:type="pct"/>
          </w:tcPr>
          <w:p w:rsidR="00A25E57" w:rsidRPr="00FA57FD" w:rsidRDefault="00A25E57" w:rsidP="00072F46">
            <w:pPr>
              <w:pStyle w:val="Textpoznpodarou"/>
              <w:jc w:val="both"/>
              <w:rPr>
                <w:color w:val="000000"/>
                <w:spacing w:val="-2"/>
              </w:rPr>
            </w:pPr>
            <w:r>
              <w:rPr>
                <w:color w:val="000000"/>
                <w:spacing w:val="-2"/>
              </w:rPr>
              <w:t>Zatímco podíl příjmů ze závislé činnosti na výši celkových příjmů domácností v podobě hrubého disponibilního důchodu v čase narůstá, podíl příjmů z podnikání naopak klesá (v letech 1999, 2004 a 2014 to bylo 35,4 %, 34,4 % a 29,9 %), stejně jako v případě příjmů z majetku (pokles podílu ze 7,8 % v roce 1999 na 6,5 % v roce 2004 a 5,5 % v roce 2014).</w:t>
            </w:r>
            <w:r w:rsidRPr="00FA57FD">
              <w:rPr>
                <w:color w:val="000000"/>
                <w:spacing w:val="-2"/>
              </w:rPr>
              <w:t xml:space="preserve"> </w:t>
            </w:r>
          </w:p>
          <w:p w:rsidR="00A25E57" w:rsidRPr="00241C02" w:rsidRDefault="00A25E57" w:rsidP="00072F46">
            <w:pPr>
              <w:pStyle w:val="Textpoznpodarou"/>
              <w:jc w:val="both"/>
              <w:rPr>
                <w:color w:val="000000"/>
                <w:spacing w:val="-2"/>
                <w:sz w:val="18"/>
                <w:szCs w:val="18"/>
              </w:rPr>
            </w:pPr>
            <w:r>
              <w:rPr>
                <w:color w:val="000000"/>
                <w:spacing w:val="-2"/>
              </w:rPr>
              <w:t xml:space="preserve"> </w:t>
            </w:r>
          </w:p>
        </w:tc>
      </w:tr>
      <w:tr w:rsidR="00A25E57" w:rsidRPr="00FA57FD" w:rsidTr="00072F46">
        <w:tc>
          <w:tcPr>
            <w:tcW w:w="1042" w:type="pct"/>
          </w:tcPr>
          <w:p w:rsidR="00A25E57" w:rsidRDefault="00A25E57" w:rsidP="00072F46">
            <w:pPr>
              <w:spacing w:line="240" w:lineRule="auto"/>
              <w:rPr>
                <w:color w:val="000000"/>
                <w:sz w:val="16"/>
                <w:szCs w:val="16"/>
              </w:rPr>
            </w:pPr>
            <w:r>
              <w:rPr>
                <w:color w:val="000000"/>
                <w:sz w:val="16"/>
                <w:szCs w:val="16"/>
              </w:rPr>
              <w:t>… přičemž vývoj salda z přerozdělení jako další složky hrubého disponibilního důchodu domácností byl specifický…</w:t>
            </w:r>
          </w:p>
        </w:tc>
        <w:tc>
          <w:tcPr>
            <w:tcW w:w="139" w:type="pct"/>
          </w:tcPr>
          <w:p w:rsidR="00A25E57" w:rsidRDefault="00A25E57" w:rsidP="00072F46">
            <w:pPr>
              <w:pStyle w:val="Textpoznpodarou"/>
              <w:jc w:val="both"/>
            </w:pPr>
          </w:p>
        </w:tc>
        <w:tc>
          <w:tcPr>
            <w:tcW w:w="3819" w:type="pct"/>
          </w:tcPr>
          <w:p w:rsidR="00A25E57" w:rsidRDefault="00A25E57" w:rsidP="00072F46">
            <w:pPr>
              <w:pStyle w:val="Textpoznpodarou"/>
              <w:jc w:val="both"/>
              <w:rPr>
                <w:color w:val="000000"/>
                <w:spacing w:val="-2"/>
              </w:rPr>
            </w:pPr>
            <w:r>
              <w:rPr>
                <w:color w:val="000000"/>
                <w:spacing w:val="-2"/>
              </w:rPr>
              <w:t xml:space="preserve">Zvláštní vývoj ovlivněný sociální politikou státu a reformami zaznamenává saldo z přerozdělení. </w:t>
            </w:r>
          </w:p>
          <w:p w:rsidR="00A25E57" w:rsidRPr="00241C02" w:rsidRDefault="00A25E57" w:rsidP="00072F46">
            <w:pPr>
              <w:pStyle w:val="Textpoznpodarou"/>
              <w:jc w:val="both"/>
              <w:rPr>
                <w:color w:val="000000"/>
                <w:spacing w:val="-2"/>
                <w:sz w:val="16"/>
                <w:szCs w:val="16"/>
              </w:rPr>
            </w:pPr>
          </w:p>
          <w:p w:rsidR="00A25E57" w:rsidRDefault="00A25E57" w:rsidP="00072F46">
            <w:pPr>
              <w:pStyle w:val="Textpoznpodarou"/>
              <w:jc w:val="both"/>
              <w:rPr>
                <w:color w:val="000000"/>
                <w:spacing w:val="-2"/>
              </w:rPr>
            </w:pPr>
            <w:r>
              <w:rPr>
                <w:color w:val="000000"/>
                <w:spacing w:val="-2"/>
              </w:rPr>
              <w:t>Logické převýšení placených daní, sociálních příspěvků</w:t>
            </w:r>
            <w:r>
              <w:rPr>
                <w:rStyle w:val="Znakapoznpodarou"/>
                <w:color w:val="000000"/>
                <w:spacing w:val="-2"/>
              </w:rPr>
              <w:footnoteReference w:id="2"/>
            </w:r>
            <w:r>
              <w:rPr>
                <w:color w:val="000000"/>
                <w:spacing w:val="-2"/>
              </w:rPr>
              <w:t xml:space="preserve"> a ostatních transferů (z pohledu domácností strana užití) nad stranou zdrojů, tj. přijatých sociálních dávek a ostatních transferů, se po roce 1999 výrazně zvětšovalo (z -150 mld. korun v roce 1999 na -154 mld. v roce 2004 a -310 mld. korun v roce 2007). Zjednodušeně řečeno, lidé odváděli sektoru vládních institucí (vč. příspěvků zaměstnavatelů) stále více, než od něj získávali. Je zřejmé, že takovýto vývoj byl umožněn celkov</w:t>
            </w:r>
            <w:r w:rsidR="00D24DA0">
              <w:rPr>
                <w:color w:val="000000"/>
                <w:spacing w:val="-2"/>
              </w:rPr>
              <w:t>ou ekonomickou prosperitou</w:t>
            </w:r>
            <w:r>
              <w:rPr>
                <w:color w:val="000000"/>
                <w:spacing w:val="-2"/>
              </w:rPr>
              <w:t xml:space="preserve">, kdy rostoucí zaměstnanost zejména v období konjunktury posilovala z pohledu rozpočtů výši daňového inkasa i výběr pojistného.   </w:t>
            </w:r>
          </w:p>
          <w:p w:rsidR="00A25E57" w:rsidRPr="00241C02" w:rsidRDefault="00A25E57" w:rsidP="00072F46">
            <w:pPr>
              <w:pStyle w:val="Textpoznpodarou"/>
              <w:jc w:val="both"/>
              <w:rPr>
                <w:color w:val="000000"/>
                <w:spacing w:val="-2"/>
                <w:sz w:val="16"/>
                <w:szCs w:val="16"/>
              </w:rPr>
            </w:pPr>
          </w:p>
        </w:tc>
      </w:tr>
      <w:tr w:rsidR="00A25E57" w:rsidRPr="00FA57FD" w:rsidTr="00072F46">
        <w:tc>
          <w:tcPr>
            <w:tcW w:w="1042" w:type="pct"/>
          </w:tcPr>
          <w:p w:rsidR="00A25E57" w:rsidRDefault="00A25E57" w:rsidP="00072F46">
            <w:pPr>
              <w:spacing w:line="240" w:lineRule="auto"/>
              <w:rPr>
                <w:color w:val="000000"/>
                <w:sz w:val="16"/>
                <w:szCs w:val="16"/>
              </w:rPr>
            </w:pPr>
            <w:r>
              <w:rPr>
                <w:color w:val="000000"/>
                <w:sz w:val="16"/>
                <w:szCs w:val="16"/>
              </w:rPr>
              <w:t>… a ovlivněný výrazně legislativními změnami s dopady v roce 2008 a zejména v roce 2009</w:t>
            </w:r>
          </w:p>
        </w:tc>
        <w:tc>
          <w:tcPr>
            <w:tcW w:w="139" w:type="pct"/>
          </w:tcPr>
          <w:p w:rsidR="00A25E57" w:rsidRDefault="00A25E57" w:rsidP="00072F46">
            <w:pPr>
              <w:pStyle w:val="Textpoznpodarou"/>
              <w:jc w:val="both"/>
            </w:pPr>
          </w:p>
        </w:tc>
        <w:tc>
          <w:tcPr>
            <w:tcW w:w="3819" w:type="pct"/>
          </w:tcPr>
          <w:p w:rsidR="00A25E57" w:rsidRPr="001C3178" w:rsidRDefault="00A25E57" w:rsidP="00072F46">
            <w:pPr>
              <w:pStyle w:val="Textpoznpodarou"/>
              <w:jc w:val="both"/>
              <w:rPr>
                <w:color w:val="000000" w:themeColor="text1"/>
                <w:spacing w:val="-6"/>
              </w:rPr>
            </w:pPr>
            <w:r w:rsidRPr="001C3178">
              <w:rPr>
                <w:color w:val="000000" w:themeColor="text1"/>
                <w:spacing w:val="-6"/>
              </w:rPr>
              <w:t xml:space="preserve">V roce 2008 a 2009 po legislativních změnách (zavedení rovné daně a jiná opatření reagující na krizový vývoj roku 2009 týkající se </w:t>
            </w:r>
            <w:proofErr w:type="gramStart"/>
            <w:r w:rsidRPr="001C3178">
              <w:rPr>
                <w:color w:val="000000" w:themeColor="text1"/>
                <w:spacing w:val="-6"/>
              </w:rPr>
              <w:t>sociálního</w:t>
            </w:r>
            <w:proofErr w:type="gramEnd"/>
            <w:r w:rsidRPr="001C3178">
              <w:rPr>
                <w:color w:val="000000" w:themeColor="text1"/>
                <w:spacing w:val="-6"/>
              </w:rPr>
              <w:t xml:space="preserve"> pojistného, úlev živnostníkům, aj.) se zmenšilo záporné saldo z přerozdělení jako složky hrubého disponibilního příjmu domácností. Lidem tak zůstalo - jednoduše řečeno - více peněz (čisté sociální příjmy činily v uvedených letech 291 mld., resp. 210 mld. korun). Od roku 2010 se však toto záporné saldo z přerozdělení opět prohlubuje až na 252 mld. korun v roce 2014.</w:t>
            </w:r>
          </w:p>
          <w:p w:rsidR="00A25E57" w:rsidRPr="00FA57FD" w:rsidRDefault="00A25E57" w:rsidP="00072F46">
            <w:pPr>
              <w:pStyle w:val="Textpoznpodarou"/>
              <w:jc w:val="both"/>
              <w:rPr>
                <w:color w:val="000000"/>
                <w:spacing w:val="-2"/>
              </w:rPr>
            </w:pPr>
          </w:p>
        </w:tc>
      </w:tr>
      <w:tr w:rsidR="00A25E57" w:rsidRPr="00FA57FD" w:rsidTr="00072F46">
        <w:tc>
          <w:tcPr>
            <w:tcW w:w="1042" w:type="pct"/>
          </w:tcPr>
          <w:p w:rsidR="00A25E57" w:rsidRDefault="00A25E57" w:rsidP="00072F46">
            <w:pPr>
              <w:spacing w:line="240" w:lineRule="auto"/>
              <w:rPr>
                <w:color w:val="000000"/>
                <w:sz w:val="16"/>
                <w:szCs w:val="16"/>
              </w:rPr>
            </w:pPr>
            <w:r>
              <w:rPr>
                <w:color w:val="000000"/>
                <w:sz w:val="16"/>
                <w:szCs w:val="16"/>
              </w:rPr>
              <w:t>V roce 2014 bylo saldo z přerozdělení, tj. čisté sociální příjmy domácností zhruba stejné jako v roce 2004</w:t>
            </w:r>
          </w:p>
        </w:tc>
        <w:tc>
          <w:tcPr>
            <w:tcW w:w="139" w:type="pct"/>
          </w:tcPr>
          <w:p w:rsidR="00A25E57" w:rsidRDefault="00A25E57" w:rsidP="00072F46">
            <w:pPr>
              <w:pStyle w:val="Textpoznpodarou"/>
              <w:jc w:val="both"/>
            </w:pPr>
          </w:p>
        </w:tc>
        <w:tc>
          <w:tcPr>
            <w:tcW w:w="3819" w:type="pct"/>
          </w:tcPr>
          <w:p w:rsidR="00A25E57" w:rsidRPr="00FA57FD" w:rsidRDefault="00A25E57" w:rsidP="00072F46">
            <w:pPr>
              <w:pStyle w:val="Textpoznpodarou"/>
              <w:jc w:val="both"/>
              <w:rPr>
                <w:color w:val="000000"/>
                <w:spacing w:val="-2"/>
              </w:rPr>
            </w:pPr>
            <w:r>
              <w:rPr>
                <w:color w:val="000000"/>
                <w:spacing w:val="-2"/>
              </w:rPr>
              <w:t xml:space="preserve">Tento vývoj také znamená, že saldo z přerozdělení bylo v roce 2014 na zhruba stejné úrovni, jako v roce 2004, takže celá procentní změna patrná ze srovnání let 2014 a 1999 - záporné saldo z přerozdělení se prohloubilo o dvě třetiny - , připadá na období 1999-2004. </w:t>
            </w:r>
          </w:p>
          <w:p w:rsidR="00A25E57" w:rsidRPr="00FA57FD" w:rsidRDefault="00A25E57" w:rsidP="00072F46">
            <w:pPr>
              <w:pStyle w:val="Textpoznpodarou"/>
              <w:jc w:val="both"/>
              <w:rPr>
                <w:color w:val="000000"/>
                <w:spacing w:val="-2"/>
              </w:rPr>
            </w:pPr>
          </w:p>
        </w:tc>
      </w:tr>
    </w:tbl>
    <w:p w:rsidR="00A25E57" w:rsidRDefault="00A25E57" w:rsidP="00A25E57">
      <w:pPr>
        <w:jc w:val="both"/>
        <w:rPr>
          <w:sz w:val="18"/>
          <w:szCs w:val="18"/>
        </w:rPr>
      </w:pPr>
    </w:p>
    <w:p w:rsidR="00A25E57" w:rsidRPr="00901236" w:rsidRDefault="00A25E57" w:rsidP="002A5986">
      <w:pPr>
        <w:pStyle w:val="Nadpis3"/>
        <w:numPr>
          <w:ilvl w:val="2"/>
          <w:numId w:val="9"/>
        </w:numPr>
      </w:pPr>
      <w:bookmarkStart w:id="8" w:name="_Toc424903546"/>
      <w:bookmarkStart w:id="9" w:name="_Toc426017684"/>
      <w:r w:rsidRPr="00901236">
        <w:t>Spotřeba a hrubé úspory</w:t>
      </w:r>
      <w:bookmarkEnd w:id="8"/>
      <w:bookmarkEnd w:id="9"/>
    </w:p>
    <w:tbl>
      <w:tblPr>
        <w:tblW w:w="5043" w:type="pct"/>
        <w:tblInd w:w="-42" w:type="dxa"/>
        <w:tblCellMar>
          <w:left w:w="28" w:type="dxa"/>
          <w:right w:w="28" w:type="dxa"/>
        </w:tblCellMar>
        <w:tblLook w:val="00A0"/>
      </w:tblPr>
      <w:tblGrid>
        <w:gridCol w:w="2037"/>
        <w:gridCol w:w="272"/>
        <w:gridCol w:w="7468"/>
      </w:tblGrid>
      <w:tr w:rsidR="00A25E57" w:rsidRPr="00FA57FD" w:rsidTr="00072F46">
        <w:tc>
          <w:tcPr>
            <w:tcW w:w="1042" w:type="pct"/>
          </w:tcPr>
          <w:p w:rsidR="00A25E57" w:rsidRDefault="00A25E57" w:rsidP="00072F46">
            <w:pPr>
              <w:spacing w:line="240" w:lineRule="auto"/>
              <w:rPr>
                <w:color w:val="000000"/>
                <w:sz w:val="16"/>
                <w:szCs w:val="16"/>
              </w:rPr>
            </w:pPr>
            <w:r>
              <w:rPr>
                <w:color w:val="000000"/>
                <w:sz w:val="16"/>
                <w:szCs w:val="16"/>
              </w:rPr>
              <w:t xml:space="preserve">V roce 2014 vydali lidé na spotřebu 2 041,5 mld. korun a odložili v podobě </w:t>
            </w:r>
            <w:r>
              <w:rPr>
                <w:color w:val="000000"/>
                <w:sz w:val="16"/>
                <w:szCs w:val="16"/>
              </w:rPr>
              <w:lastRenderedPageBreak/>
              <w:t>hrubých úspor 253,7 mld. korun</w:t>
            </w:r>
          </w:p>
        </w:tc>
        <w:tc>
          <w:tcPr>
            <w:tcW w:w="139" w:type="pct"/>
          </w:tcPr>
          <w:p w:rsidR="00A25E57" w:rsidRDefault="00A25E57" w:rsidP="00072F46">
            <w:pPr>
              <w:pStyle w:val="Textpoznpodarou"/>
              <w:jc w:val="both"/>
            </w:pPr>
          </w:p>
        </w:tc>
        <w:tc>
          <w:tcPr>
            <w:tcW w:w="3819" w:type="pct"/>
          </w:tcPr>
          <w:p w:rsidR="00A25E57" w:rsidRPr="00FA57FD" w:rsidRDefault="00A25E57" w:rsidP="00D24DA0">
            <w:pPr>
              <w:pStyle w:val="Textpoznpodarou"/>
              <w:jc w:val="both"/>
              <w:rPr>
                <w:color w:val="000000"/>
                <w:spacing w:val="-2"/>
              </w:rPr>
            </w:pPr>
            <w:r>
              <w:rPr>
                <w:color w:val="000000"/>
                <w:spacing w:val="-2"/>
              </w:rPr>
              <w:t>Domácnosti užívají své disponibilní příjmy na spotřebu, nespotřebovaná část představuje výši jejich hrubých úspor. Zejména po ro</w:t>
            </w:r>
            <w:r w:rsidR="00D24DA0">
              <w:rPr>
                <w:color w:val="000000"/>
                <w:spacing w:val="-2"/>
              </w:rPr>
              <w:t>ce</w:t>
            </w:r>
            <w:r>
              <w:rPr>
                <w:color w:val="000000"/>
                <w:spacing w:val="-2"/>
              </w:rPr>
              <w:t xml:space="preserve"> 2009 docházelo k významným změnám nejen ve výdajích na konečnou spotřebu, ale i ve vývoji </w:t>
            </w:r>
            <w:r>
              <w:rPr>
                <w:color w:val="000000"/>
                <w:spacing w:val="-2"/>
              </w:rPr>
              <w:lastRenderedPageBreak/>
              <w:t xml:space="preserve">hrubých úspor domácností (graf 9), které většinou meziročně klesaly. Porovnejme však toto období s předchozími čtyřletými periodami (graf 10), které byly pro českou ekonomiku a sektor domácností v několika směrech typické. </w:t>
            </w:r>
            <w:r w:rsidRPr="00FA57FD">
              <w:rPr>
                <w:color w:val="000000"/>
                <w:spacing w:val="-2"/>
              </w:rPr>
              <w:t xml:space="preserve"> </w:t>
            </w:r>
          </w:p>
        </w:tc>
      </w:tr>
    </w:tbl>
    <w:p w:rsidR="00A25E57" w:rsidRPr="0094760E" w:rsidRDefault="00A25E57" w:rsidP="00A25E57">
      <w:pPr>
        <w:rPr>
          <w:b/>
          <w:sz w:val="16"/>
          <w:szCs w:val="16"/>
        </w:rPr>
      </w:pPr>
    </w:p>
    <w:tbl>
      <w:tblPr>
        <w:tblW w:w="5021" w:type="pct"/>
        <w:tblLayout w:type="fixed"/>
        <w:tblCellMar>
          <w:left w:w="28" w:type="dxa"/>
          <w:right w:w="28" w:type="dxa"/>
        </w:tblCellMar>
        <w:tblLook w:val="00A0"/>
      </w:tblPr>
      <w:tblGrid>
        <w:gridCol w:w="732"/>
        <w:gridCol w:w="4079"/>
        <w:gridCol w:w="705"/>
        <w:gridCol w:w="4219"/>
      </w:tblGrid>
      <w:tr w:rsidR="00A25E57" w:rsidRPr="00817C98" w:rsidTr="00072F46">
        <w:tc>
          <w:tcPr>
            <w:tcW w:w="376" w:type="pct"/>
          </w:tcPr>
          <w:p w:rsidR="00A25E57" w:rsidRDefault="00A25E57" w:rsidP="00072F46">
            <w:pPr>
              <w:spacing w:line="240" w:lineRule="auto"/>
            </w:pPr>
            <w:r>
              <w:t>Graf č. 9</w:t>
            </w:r>
          </w:p>
        </w:tc>
        <w:tc>
          <w:tcPr>
            <w:tcW w:w="2095" w:type="pct"/>
          </w:tcPr>
          <w:p w:rsidR="00A25E57" w:rsidRDefault="00A25E57" w:rsidP="00072F46">
            <w:pPr>
              <w:pStyle w:val="Textpoznpodarou"/>
              <w:rPr>
                <w:rFonts w:cs="Arial"/>
                <w:b/>
                <w:bCs/>
              </w:rPr>
            </w:pPr>
            <w:r>
              <w:rPr>
                <w:rFonts w:cs="Arial"/>
                <w:b/>
                <w:bCs/>
              </w:rPr>
              <w:t>Změny výdajů na konečnou spotřebu domácností a hrubých úspor</w:t>
            </w:r>
          </w:p>
          <w:p w:rsidR="00A25E57" w:rsidRDefault="00A25E57" w:rsidP="00072F46">
            <w:pPr>
              <w:pStyle w:val="Textpoznpodarou"/>
              <w:rPr>
                <w:rFonts w:cs="Arial"/>
                <w:szCs w:val="24"/>
              </w:rPr>
            </w:pPr>
            <w:r w:rsidRPr="00DB06E9">
              <w:rPr>
                <w:rFonts w:cs="Arial"/>
                <w:bCs/>
              </w:rPr>
              <w:t>(</w:t>
            </w:r>
            <w:r>
              <w:rPr>
                <w:rFonts w:cs="Arial"/>
                <w:bCs/>
              </w:rPr>
              <w:t xml:space="preserve">y/y, </w:t>
            </w:r>
            <w:r w:rsidRPr="00DB06E9">
              <w:rPr>
                <w:rFonts w:cs="Arial"/>
                <w:bCs/>
              </w:rPr>
              <w:t>v m</w:t>
            </w:r>
            <w:r>
              <w:rPr>
                <w:rFonts w:cs="Arial"/>
                <w:bCs/>
              </w:rPr>
              <w:t>i</w:t>
            </w:r>
            <w:r w:rsidRPr="00DB06E9">
              <w:rPr>
                <w:rFonts w:cs="Arial"/>
                <w:bCs/>
              </w:rPr>
              <w:t>l. korun)</w:t>
            </w:r>
          </w:p>
        </w:tc>
        <w:tc>
          <w:tcPr>
            <w:tcW w:w="362" w:type="pct"/>
          </w:tcPr>
          <w:p w:rsidR="00A25E57" w:rsidRDefault="00A25E57" w:rsidP="00072F46">
            <w:pPr>
              <w:spacing w:line="240" w:lineRule="auto"/>
            </w:pPr>
            <w:r>
              <w:t>Graf č. 10</w:t>
            </w:r>
          </w:p>
        </w:tc>
        <w:tc>
          <w:tcPr>
            <w:tcW w:w="2167" w:type="pct"/>
          </w:tcPr>
          <w:p w:rsidR="00A25E57" w:rsidRPr="00817C98" w:rsidRDefault="00A25E57" w:rsidP="00072F46">
            <w:pPr>
              <w:spacing w:line="240" w:lineRule="auto"/>
              <w:rPr>
                <w:rFonts w:cs="Arial"/>
                <w:b/>
                <w:bCs/>
              </w:rPr>
            </w:pPr>
            <w:r>
              <w:rPr>
                <w:rFonts w:cs="Arial"/>
                <w:b/>
                <w:bCs/>
              </w:rPr>
              <w:t xml:space="preserve">Průměrné meziroční změny spotřeby a hrubých úspor domácností v časových intervalech </w:t>
            </w:r>
            <w:r w:rsidRPr="00DB06E9">
              <w:rPr>
                <w:rFonts w:cs="Arial"/>
                <w:bCs/>
              </w:rPr>
              <w:t>(v m</w:t>
            </w:r>
            <w:r>
              <w:rPr>
                <w:rFonts w:cs="Arial"/>
                <w:bCs/>
              </w:rPr>
              <w:t>i</w:t>
            </w:r>
            <w:r w:rsidRPr="00DB06E9">
              <w:rPr>
                <w:rFonts w:cs="Arial"/>
                <w:bCs/>
              </w:rPr>
              <w:t>l. korun</w:t>
            </w:r>
            <w:r>
              <w:rPr>
                <w:rFonts w:cs="Arial"/>
                <w:bCs/>
              </w:rPr>
              <w:t>)</w:t>
            </w:r>
            <w:r>
              <w:rPr>
                <w:rFonts w:cs="Arial"/>
                <w:b/>
                <w:bCs/>
              </w:rPr>
              <w:t xml:space="preserve"> </w:t>
            </w:r>
          </w:p>
        </w:tc>
      </w:tr>
      <w:tr w:rsidR="00A25E57" w:rsidTr="00072F46">
        <w:tc>
          <w:tcPr>
            <w:tcW w:w="2471" w:type="pct"/>
            <w:gridSpan w:val="2"/>
          </w:tcPr>
          <w:p w:rsidR="00A25E57" w:rsidRDefault="002A5986" w:rsidP="00072F46">
            <w:pPr>
              <w:pStyle w:val="Textpoznpodarou"/>
              <w:jc w:val="both"/>
            </w:pPr>
            <w:r>
              <w:rPr>
                <w:noProof/>
              </w:rPr>
              <w:pict>
                <v:shape id="_x0000_i1126" type="#_x0000_t75" style="width:233.25pt;height:180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">
                  <v:imagedata r:id="rId16" o:title=""/>
                  <o:lock v:ext="edit" aspectratio="f"/>
                </v:shape>
              </w:pict>
            </w:r>
          </w:p>
        </w:tc>
        <w:tc>
          <w:tcPr>
            <w:tcW w:w="2529" w:type="pct"/>
            <w:gridSpan w:val="2"/>
          </w:tcPr>
          <w:p w:rsidR="00A25E57" w:rsidRPr="006C4BB5" w:rsidRDefault="002A5986" w:rsidP="00072F46">
            <w:pPr>
              <w:pStyle w:val="Textpoznpodarou"/>
              <w:jc w:val="right"/>
            </w:pPr>
            <w:r>
              <w:pict>
                <v:shape id="_x0000_i1127" type="#_x0000_t75" style="width:239.25pt;height:184.5pt">
                  <v:imagedata r:id="rId17" o:title=""/>
                </v:shape>
              </w:pict>
            </w:r>
          </w:p>
        </w:tc>
      </w:tr>
    </w:tbl>
    <w:p w:rsidR="00A25E57" w:rsidRDefault="00A25E57" w:rsidP="00A25E57">
      <w:pPr>
        <w:jc w:val="right"/>
        <w:rPr>
          <w:sz w:val="18"/>
          <w:szCs w:val="18"/>
        </w:rPr>
      </w:pPr>
      <w:r>
        <w:rPr>
          <w:sz w:val="18"/>
          <w:szCs w:val="18"/>
        </w:rPr>
        <w:t>Zdroj</w:t>
      </w:r>
      <w:r w:rsidRPr="00375F77">
        <w:rPr>
          <w:sz w:val="18"/>
          <w:szCs w:val="18"/>
        </w:rPr>
        <w:t>: ČSÚ</w:t>
      </w:r>
      <w:r w:rsidR="00EA77C6">
        <w:rPr>
          <w:sz w:val="18"/>
          <w:szCs w:val="18"/>
        </w:rPr>
        <w:t>, vlastní vý</w:t>
      </w:r>
      <w:r>
        <w:rPr>
          <w:sz w:val="18"/>
          <w:szCs w:val="18"/>
        </w:rPr>
        <w:t>počty</w:t>
      </w:r>
    </w:p>
    <w:p w:rsidR="00A25E57" w:rsidRDefault="00A25E57" w:rsidP="00A25E57">
      <w:pPr>
        <w:jc w:val="right"/>
        <w:rPr>
          <w:sz w:val="18"/>
          <w:szCs w:val="18"/>
        </w:rPr>
      </w:pPr>
    </w:p>
    <w:tbl>
      <w:tblPr>
        <w:tblW w:w="5043" w:type="pct"/>
        <w:tblInd w:w="-42" w:type="dxa"/>
        <w:tblCellMar>
          <w:left w:w="28" w:type="dxa"/>
          <w:right w:w="28" w:type="dxa"/>
        </w:tblCellMar>
        <w:tblLook w:val="00A0"/>
      </w:tblPr>
      <w:tblGrid>
        <w:gridCol w:w="41"/>
        <w:gridCol w:w="731"/>
        <w:gridCol w:w="1265"/>
        <w:gridCol w:w="272"/>
        <w:gridCol w:w="2542"/>
        <w:gridCol w:w="706"/>
        <w:gridCol w:w="4220"/>
      </w:tblGrid>
      <w:tr w:rsidR="00A25E57" w:rsidRPr="00FA57FD" w:rsidTr="00072F46">
        <w:tc>
          <w:tcPr>
            <w:tcW w:w="1042" w:type="pct"/>
            <w:gridSpan w:val="3"/>
          </w:tcPr>
          <w:p w:rsidR="00A25E57" w:rsidRDefault="00A25E57" w:rsidP="00072F46">
            <w:pPr>
              <w:spacing w:line="240" w:lineRule="auto"/>
              <w:rPr>
                <w:color w:val="000000"/>
                <w:sz w:val="16"/>
                <w:szCs w:val="16"/>
              </w:rPr>
            </w:pPr>
            <w:r>
              <w:rPr>
                <w:color w:val="000000"/>
                <w:sz w:val="16"/>
                <w:szCs w:val="16"/>
              </w:rPr>
              <w:t>Silná tempa spotřeby domácností z let 2002-2009 (v průměru ročně více než 5 %) vystřídala nižší dynamika v letech 2010-2014 (+1,5 % v průměru meziročně)</w:t>
            </w:r>
          </w:p>
        </w:tc>
        <w:tc>
          <w:tcPr>
            <w:tcW w:w="139" w:type="pct"/>
          </w:tcPr>
          <w:p w:rsidR="00A25E57" w:rsidRDefault="00A25E57" w:rsidP="00072F46">
            <w:pPr>
              <w:pStyle w:val="Textpoznpodarou"/>
              <w:jc w:val="both"/>
            </w:pPr>
          </w:p>
        </w:tc>
        <w:tc>
          <w:tcPr>
            <w:tcW w:w="3819" w:type="pct"/>
            <w:gridSpan w:val="3"/>
          </w:tcPr>
          <w:p w:rsidR="00A25E57" w:rsidRPr="00241C02" w:rsidRDefault="00A25E57" w:rsidP="00072F46">
            <w:pPr>
              <w:pStyle w:val="Textpoznpodarou"/>
              <w:jc w:val="both"/>
              <w:rPr>
                <w:color w:val="000000"/>
              </w:rPr>
            </w:pPr>
            <w:r w:rsidRPr="00241C02">
              <w:rPr>
                <w:color w:val="000000"/>
              </w:rPr>
              <w:t xml:space="preserve">Zatímco výdaje domácností na konečnou spotřebu v předchozí dekádě v letech 2002-2005 i 2006-2009 rostly v průměru přibližně pětiprocentním tempem (+5 %, resp. +5,2 %), což byly přírůstky relativně značně silné, v období 2010-2014 se tato spotřeba domácností vlivem let recese zvyšovala ročně jen o 1,5 %. Růst spotřeby domácností by byl ještě slabší nebýt ovlivnění výsledkem za rok 2014 (+2 %), který byl nejmarkantnější meziročním zvýšením spotřeby domácností od roku 2008. </w:t>
            </w:r>
          </w:p>
          <w:p w:rsidR="00A25E57" w:rsidRPr="00FA57FD" w:rsidRDefault="00A25E57" w:rsidP="00072F46">
            <w:pPr>
              <w:pStyle w:val="Textpoznpodarou"/>
              <w:jc w:val="both"/>
              <w:rPr>
                <w:color w:val="000000"/>
                <w:spacing w:val="-2"/>
              </w:rPr>
            </w:pPr>
            <w:r>
              <w:rPr>
                <w:color w:val="000000"/>
                <w:spacing w:val="-2"/>
              </w:rPr>
              <w:t xml:space="preserve"> </w:t>
            </w:r>
          </w:p>
        </w:tc>
      </w:tr>
      <w:tr w:rsidR="00A25E57" w:rsidRPr="00FA57FD" w:rsidTr="00072F46">
        <w:tc>
          <w:tcPr>
            <w:tcW w:w="1042" w:type="pct"/>
            <w:gridSpan w:val="3"/>
          </w:tcPr>
          <w:p w:rsidR="00A25E57" w:rsidRDefault="00A25E57" w:rsidP="00072F46">
            <w:pPr>
              <w:spacing w:line="240" w:lineRule="auto"/>
              <w:rPr>
                <w:color w:val="000000"/>
                <w:sz w:val="16"/>
                <w:szCs w:val="16"/>
              </w:rPr>
            </w:pPr>
            <w:r>
              <w:rPr>
                <w:color w:val="000000"/>
                <w:sz w:val="16"/>
                <w:szCs w:val="16"/>
              </w:rPr>
              <w:t>Hrubé úspory domácností</w:t>
            </w:r>
          </w:p>
          <w:p w:rsidR="00A25E57" w:rsidRDefault="00A25E57" w:rsidP="00072F46">
            <w:pPr>
              <w:spacing w:line="240" w:lineRule="auto"/>
              <w:rPr>
                <w:color w:val="000000"/>
                <w:sz w:val="16"/>
                <w:szCs w:val="16"/>
              </w:rPr>
            </w:pPr>
            <w:r>
              <w:rPr>
                <w:color w:val="000000"/>
                <w:sz w:val="16"/>
                <w:szCs w:val="16"/>
              </w:rPr>
              <w:t>rostly nejvíce…</w:t>
            </w:r>
          </w:p>
        </w:tc>
        <w:tc>
          <w:tcPr>
            <w:tcW w:w="139" w:type="pct"/>
          </w:tcPr>
          <w:p w:rsidR="00A25E57" w:rsidRDefault="00A25E57" w:rsidP="00072F46">
            <w:pPr>
              <w:pStyle w:val="Textpoznpodarou"/>
              <w:jc w:val="both"/>
            </w:pPr>
          </w:p>
        </w:tc>
        <w:tc>
          <w:tcPr>
            <w:tcW w:w="3819" w:type="pct"/>
            <w:gridSpan w:val="3"/>
          </w:tcPr>
          <w:p w:rsidR="00A25E57" w:rsidRDefault="00A25E57" w:rsidP="00072F46">
            <w:pPr>
              <w:pStyle w:val="Textpoznpodarou"/>
              <w:jc w:val="both"/>
              <w:rPr>
                <w:color w:val="000000"/>
                <w:spacing w:val="-2"/>
              </w:rPr>
            </w:pPr>
            <w:r>
              <w:rPr>
                <w:color w:val="000000"/>
                <w:spacing w:val="-2"/>
              </w:rPr>
              <w:t>Vývoj hrubých úspor domácností byl oproti vývoji jejich spotřeby „</w:t>
            </w:r>
            <w:proofErr w:type="spellStart"/>
            <w:r>
              <w:rPr>
                <w:color w:val="000000"/>
                <w:spacing w:val="-2"/>
              </w:rPr>
              <w:t>excentričtější</w:t>
            </w:r>
            <w:proofErr w:type="spellEnd"/>
            <w:r>
              <w:rPr>
                <w:color w:val="000000"/>
                <w:spacing w:val="-2"/>
              </w:rPr>
              <w:t xml:space="preserve">“. V období 2002-2005 rostly hrubé úspory domácností v průměru ročně pomaleji (+4,2 %) než výdaje na konečnou spotřebu (+5 %) vlivem otevřených horizontů spotřeby patrných zejména od druhé poloviny 90. let. </w:t>
            </w:r>
          </w:p>
          <w:p w:rsidR="00A25E57" w:rsidRPr="00FA57FD" w:rsidRDefault="00A25E57" w:rsidP="00072F46">
            <w:pPr>
              <w:pStyle w:val="Textpoznpodarou"/>
              <w:jc w:val="both"/>
              <w:rPr>
                <w:color w:val="000000"/>
                <w:spacing w:val="-2"/>
              </w:rPr>
            </w:pPr>
          </w:p>
        </w:tc>
      </w:tr>
      <w:tr w:rsidR="00A25E57" w:rsidRPr="00FA57FD" w:rsidTr="00072F46">
        <w:tc>
          <w:tcPr>
            <w:tcW w:w="1042" w:type="pct"/>
            <w:gridSpan w:val="3"/>
          </w:tcPr>
          <w:p w:rsidR="00A25E57" w:rsidRDefault="00A25E57" w:rsidP="00072F46">
            <w:pPr>
              <w:spacing w:line="240" w:lineRule="auto"/>
              <w:rPr>
                <w:color w:val="000000"/>
                <w:sz w:val="16"/>
                <w:szCs w:val="16"/>
              </w:rPr>
            </w:pPr>
            <w:r>
              <w:rPr>
                <w:color w:val="000000"/>
                <w:sz w:val="16"/>
                <w:szCs w:val="16"/>
              </w:rPr>
              <w:t>… v letech konjunktury a byly investovány především do vlastnického bydlení</w:t>
            </w:r>
          </w:p>
        </w:tc>
        <w:tc>
          <w:tcPr>
            <w:tcW w:w="139" w:type="pct"/>
          </w:tcPr>
          <w:p w:rsidR="00A25E57" w:rsidRDefault="00A25E57" w:rsidP="00072F46">
            <w:pPr>
              <w:pStyle w:val="Textpoznpodarou"/>
              <w:jc w:val="both"/>
            </w:pPr>
          </w:p>
        </w:tc>
        <w:tc>
          <w:tcPr>
            <w:tcW w:w="3819" w:type="pct"/>
            <w:gridSpan w:val="3"/>
          </w:tcPr>
          <w:p w:rsidR="00A25E57" w:rsidRPr="00241C02" w:rsidRDefault="00A25E57" w:rsidP="00072F46">
            <w:pPr>
              <w:pStyle w:val="Textpoznpodarou"/>
              <w:jc w:val="both"/>
              <w:rPr>
                <w:color w:val="000000"/>
              </w:rPr>
            </w:pPr>
            <w:r w:rsidRPr="00241C02">
              <w:rPr>
                <w:color w:val="000000"/>
              </w:rPr>
              <w:t>Naopak v nejsilnějších letech konjunktury české ekonomiky s přesahem do roku krize (2005-2009) stoupaly hrubé úspory českých domácností v průměru ročně tempem +11,8 %. Takovouto intenzitu růstu odkládaných prostředků umožňoval silný růst nominálních mezd (v průměru ročně o 64 mld., v roce 2007 dokonce o</w:t>
            </w:r>
            <w:r>
              <w:rPr>
                <w:color w:val="000000"/>
              </w:rPr>
              <w:t> </w:t>
            </w:r>
            <w:r w:rsidRPr="00241C02">
              <w:rPr>
                <w:color w:val="000000"/>
              </w:rPr>
              <w:t xml:space="preserve">112 mld. korun) i zisků živnostníků (o 29 mld. v průměru ročně) a obecně pozitivní očekávání. Lidé tyto své úspory investovali, především do pořizování vlastního bydlení.  </w:t>
            </w:r>
          </w:p>
          <w:p w:rsidR="00A25E57" w:rsidRPr="00241C02" w:rsidRDefault="00A25E57" w:rsidP="00072F46">
            <w:pPr>
              <w:pStyle w:val="Textpoznpodarou"/>
              <w:jc w:val="both"/>
              <w:rPr>
                <w:color w:val="000000"/>
                <w:spacing w:val="-2"/>
              </w:rPr>
            </w:pPr>
          </w:p>
          <w:p w:rsidR="00A25E57" w:rsidRPr="00FA57FD" w:rsidRDefault="00A25E57" w:rsidP="00072F46">
            <w:pPr>
              <w:pStyle w:val="Textpoznpodarou"/>
              <w:jc w:val="both"/>
              <w:rPr>
                <w:color w:val="000000"/>
                <w:spacing w:val="-2"/>
              </w:rPr>
            </w:pPr>
            <w:r>
              <w:rPr>
                <w:color w:val="000000"/>
                <w:spacing w:val="-2"/>
              </w:rPr>
              <w:t xml:space="preserve">V úhrnu pak hospodařili s přebytky, které v celém sektoru domácností činily v průměru let 2005-2009 každý rok 71 mld. korun. Jimi se financovaly potřeby ostatních institucionálních sektorů v ekonomice. </w:t>
            </w:r>
          </w:p>
          <w:p w:rsidR="00A25E57" w:rsidRPr="00FA57FD" w:rsidRDefault="00A25E57" w:rsidP="00072F46">
            <w:pPr>
              <w:pStyle w:val="Textpoznpodarou"/>
              <w:jc w:val="both"/>
              <w:rPr>
                <w:color w:val="000000"/>
                <w:spacing w:val="-2"/>
              </w:rPr>
            </w:pPr>
            <w:r>
              <w:rPr>
                <w:color w:val="000000"/>
                <w:spacing w:val="-2"/>
              </w:rPr>
              <w:t xml:space="preserve"> </w:t>
            </w:r>
          </w:p>
        </w:tc>
      </w:tr>
      <w:tr w:rsidR="00A25E57" w:rsidRPr="00FA57FD" w:rsidTr="00072F46">
        <w:tc>
          <w:tcPr>
            <w:tcW w:w="1042" w:type="pct"/>
            <w:gridSpan w:val="3"/>
          </w:tcPr>
          <w:p w:rsidR="00A25E57" w:rsidRDefault="00A25E57" w:rsidP="00072F46">
            <w:pPr>
              <w:spacing w:line="240" w:lineRule="auto"/>
              <w:rPr>
                <w:color w:val="000000"/>
                <w:sz w:val="16"/>
                <w:szCs w:val="16"/>
              </w:rPr>
            </w:pPr>
            <w:r>
              <w:rPr>
                <w:color w:val="000000"/>
                <w:sz w:val="16"/>
                <w:szCs w:val="16"/>
              </w:rPr>
              <w:t>V letech 2010-2014 docházelo v průměru ročně k poklesu hrubých úspor o 2,8 %, ale v roce 2014 domácnosti odložily o 4 % více než v roce 2013 a investovaly 182 mld. korun – v úhrnu činil přebytek jejich hospodaření 104 mld. korun (vyšší v celé časové řadě byl jen v roce 2009, tj. 106 mld. korun)</w:t>
            </w:r>
          </w:p>
        </w:tc>
        <w:tc>
          <w:tcPr>
            <w:tcW w:w="139" w:type="pct"/>
          </w:tcPr>
          <w:p w:rsidR="00A25E57" w:rsidRDefault="00A25E57" w:rsidP="00072F46">
            <w:pPr>
              <w:pStyle w:val="Textpoznpodarou"/>
              <w:jc w:val="both"/>
            </w:pPr>
          </w:p>
        </w:tc>
        <w:tc>
          <w:tcPr>
            <w:tcW w:w="3819" w:type="pct"/>
            <w:gridSpan w:val="3"/>
          </w:tcPr>
          <w:p w:rsidR="00A25E57" w:rsidRDefault="00A25E57" w:rsidP="00072F46">
            <w:pPr>
              <w:pStyle w:val="Textpoznpodarou"/>
              <w:jc w:val="both"/>
              <w:rPr>
                <w:color w:val="000000"/>
                <w:spacing w:val="-2"/>
              </w:rPr>
            </w:pPr>
            <w:r>
              <w:rPr>
                <w:color w:val="000000"/>
                <w:spacing w:val="-2"/>
              </w:rPr>
              <w:t xml:space="preserve">Období 2010-2014 znamenalo nejen snížení dynamiky výdajů na konečnou spotřebu domácností, ale u hrubých úspor dokonce jejich pokles – v průměru se každý rok snižovaly meziročně o 2,8 % (hlavně vlivem slabých let 2010 a 2011 s meziročními poklesy hrubých úspor o -5,6 % a -11,6 %, naopak v letech 2012 a 2014 rostly, a to o 3,4 %, resp. 4 %). Vývoj odrážel horší příjmovou situaci českých domácností po většinu uvedeného období. </w:t>
            </w:r>
          </w:p>
          <w:p w:rsidR="00A25E57" w:rsidRPr="00241C02" w:rsidRDefault="00A25E57" w:rsidP="00072F46">
            <w:pPr>
              <w:pStyle w:val="Textpoznpodarou"/>
              <w:jc w:val="both"/>
              <w:rPr>
                <w:color w:val="000000"/>
                <w:spacing w:val="-2"/>
              </w:rPr>
            </w:pPr>
          </w:p>
          <w:p w:rsidR="00A25E57" w:rsidRPr="00FA57FD" w:rsidRDefault="00A25E57" w:rsidP="00072F46">
            <w:pPr>
              <w:pStyle w:val="Textpoznpodarou"/>
              <w:jc w:val="both"/>
              <w:rPr>
                <w:color w:val="000000"/>
                <w:spacing w:val="-2"/>
              </w:rPr>
            </w:pPr>
            <w:r>
              <w:rPr>
                <w:color w:val="000000"/>
                <w:spacing w:val="-2"/>
              </w:rPr>
              <w:t xml:space="preserve">V samotném roce 2014 domácnosti ze svých úspor investovaly (tvorba hrubého kapitálu vč. čistého pořízení nevyráběných nefinančních aktiv) téměř 182 mld. korun. Zbytek spolu se saldem kapitálových transferů představoval přebytek hospodaření sektoru domácností v roce 2014, který činil 104 mld. korun. Byl druhý nejvyšší v časové řadě od roku 1999 (v roce 2009 činil 106 mld. korun).  </w:t>
            </w:r>
            <w:r w:rsidRPr="00FA57FD">
              <w:rPr>
                <w:color w:val="000000"/>
                <w:spacing w:val="-2"/>
              </w:rPr>
              <w:t xml:space="preserve"> </w:t>
            </w:r>
          </w:p>
        </w:tc>
      </w:tr>
      <w:tr w:rsidR="00A25E57" w:rsidRPr="00817C98" w:rsidTr="00072F46">
        <w:trPr>
          <w:gridBefore w:val="1"/>
          <w:wBefore w:w="21" w:type="pct"/>
        </w:trPr>
        <w:tc>
          <w:tcPr>
            <w:tcW w:w="374" w:type="pct"/>
          </w:tcPr>
          <w:p w:rsidR="00A25E57" w:rsidRDefault="00A25E57" w:rsidP="00072F46">
            <w:pPr>
              <w:spacing w:line="240" w:lineRule="auto"/>
            </w:pPr>
            <w:r>
              <w:lastRenderedPageBreak/>
              <w:t>Graf č. 11</w:t>
            </w:r>
          </w:p>
        </w:tc>
        <w:tc>
          <w:tcPr>
            <w:tcW w:w="2086" w:type="pct"/>
            <w:gridSpan w:val="3"/>
          </w:tcPr>
          <w:p w:rsidR="00A25E57" w:rsidRDefault="00A25E57" w:rsidP="00072F46">
            <w:pPr>
              <w:pStyle w:val="Textpoznpodarou"/>
              <w:rPr>
                <w:rFonts w:cs="Arial"/>
                <w:szCs w:val="24"/>
              </w:rPr>
            </w:pPr>
            <w:r>
              <w:rPr>
                <w:rFonts w:cs="Arial"/>
                <w:b/>
                <w:bCs/>
              </w:rPr>
              <w:t xml:space="preserve">Dynamika spotřeby a hrubých úspor 2000-2014 </w:t>
            </w:r>
            <w:r w:rsidRPr="00DB06E9">
              <w:rPr>
                <w:rFonts w:cs="Arial"/>
                <w:bCs/>
              </w:rPr>
              <w:t>(</w:t>
            </w:r>
            <w:r>
              <w:rPr>
                <w:rFonts w:cs="Arial"/>
                <w:bCs/>
              </w:rPr>
              <w:t xml:space="preserve">meziroční změny v </w:t>
            </w:r>
            <w:r w:rsidRPr="00DB06E9">
              <w:rPr>
                <w:rFonts w:cs="Arial"/>
                <w:bCs/>
              </w:rPr>
              <w:t>mld. korun)</w:t>
            </w:r>
          </w:p>
        </w:tc>
        <w:tc>
          <w:tcPr>
            <w:tcW w:w="361" w:type="pct"/>
          </w:tcPr>
          <w:p w:rsidR="00A25E57" w:rsidRDefault="00A25E57" w:rsidP="00072F46">
            <w:pPr>
              <w:spacing w:line="240" w:lineRule="auto"/>
            </w:pPr>
            <w:r>
              <w:t>Graf č. 12</w:t>
            </w:r>
          </w:p>
        </w:tc>
        <w:tc>
          <w:tcPr>
            <w:tcW w:w="2158" w:type="pct"/>
          </w:tcPr>
          <w:p w:rsidR="00A25E57" w:rsidRPr="00817C98" w:rsidRDefault="00A25E57" w:rsidP="00072F46">
            <w:pPr>
              <w:spacing w:line="240" w:lineRule="auto"/>
              <w:rPr>
                <w:rFonts w:cs="Arial"/>
                <w:b/>
                <w:bCs/>
              </w:rPr>
            </w:pPr>
            <w:r>
              <w:rPr>
                <w:rFonts w:cs="Arial"/>
                <w:b/>
                <w:bCs/>
              </w:rPr>
              <w:t xml:space="preserve">Meziroční změny výdajů domácností na konečnou spotřebu a hrubých úspor </w:t>
            </w:r>
            <w:r w:rsidRPr="001C573E">
              <w:rPr>
                <w:rFonts w:cs="Arial"/>
                <w:bCs/>
              </w:rPr>
              <w:t>(v %)</w:t>
            </w:r>
          </w:p>
        </w:tc>
      </w:tr>
      <w:tr w:rsidR="00A25E57" w:rsidTr="00072F46">
        <w:trPr>
          <w:gridBefore w:val="1"/>
          <w:wBefore w:w="21" w:type="pct"/>
        </w:trPr>
        <w:tc>
          <w:tcPr>
            <w:tcW w:w="2460" w:type="pct"/>
            <w:gridSpan w:val="4"/>
          </w:tcPr>
          <w:p w:rsidR="00A25E57" w:rsidRDefault="002A5986" w:rsidP="00072F46">
            <w:pPr>
              <w:pStyle w:val="Textpoznpodarou"/>
              <w:jc w:val="both"/>
            </w:pPr>
            <w:r>
              <w:rPr>
                <w:noProof/>
              </w:rPr>
              <w:pict>
                <v:shape id="_x0000_i1128" type="#_x0000_t75" style="width:234pt;height:189pt;visibility:visible" o:bordertopcolor="this" o:borderleftcolor="this" o:borderbottomcolor="this" o:borderrightcolor="this">
                  <v:imagedata r:id="rId18" o:title=""/>
                  <o:lock v:ext="edit" aspectratio="f"/>
                  <w10:bordertop type="single" width="2"/>
                  <w10:borderleft type="single" width="2"/>
                  <w10:borderbottom type="single" width="2"/>
                  <w10:borderright type="single" width="2"/>
                </v:shape>
              </w:pict>
            </w:r>
          </w:p>
        </w:tc>
        <w:tc>
          <w:tcPr>
            <w:tcW w:w="2518" w:type="pct"/>
            <w:gridSpan w:val="2"/>
          </w:tcPr>
          <w:p w:rsidR="00A25E57" w:rsidRPr="00AF659A" w:rsidRDefault="002A5986" w:rsidP="00072F46">
            <w:pPr>
              <w:pStyle w:val="Textpoznpodarou"/>
              <w:jc w:val="both"/>
            </w:pPr>
            <w:r>
              <w:pict>
                <v:shape id="_x0000_i1129" type="#_x0000_t75" style="width:234.75pt;height:193.5pt">
                  <v:imagedata r:id="rId19" o:title=""/>
                </v:shape>
              </w:pict>
            </w:r>
          </w:p>
        </w:tc>
      </w:tr>
    </w:tbl>
    <w:p w:rsidR="00A25E57" w:rsidRPr="00D85A88" w:rsidRDefault="00A25E57" w:rsidP="00A25E57">
      <w:pPr>
        <w:spacing w:line="240" w:lineRule="auto"/>
        <w:jc w:val="right"/>
        <w:rPr>
          <w:sz w:val="18"/>
          <w:szCs w:val="18"/>
        </w:rPr>
      </w:pPr>
      <w:r w:rsidRPr="00D85A88">
        <w:rPr>
          <w:sz w:val="18"/>
          <w:szCs w:val="18"/>
        </w:rPr>
        <w:t>Zdroj: ČSÚ</w:t>
      </w:r>
    </w:p>
    <w:p w:rsidR="00A25E57" w:rsidRPr="00060A26" w:rsidRDefault="00A25E57" w:rsidP="00A25E57">
      <w:pPr>
        <w:rPr>
          <w:sz w:val="14"/>
          <w:szCs w:val="14"/>
        </w:rPr>
      </w:pPr>
    </w:p>
    <w:p w:rsidR="00A25E57" w:rsidRPr="00901236" w:rsidRDefault="00A25E57" w:rsidP="002A5986">
      <w:pPr>
        <w:pStyle w:val="Nadpis3"/>
        <w:numPr>
          <w:ilvl w:val="2"/>
          <w:numId w:val="9"/>
        </w:numPr>
      </w:pPr>
      <w:bookmarkStart w:id="10" w:name="_Toc424903547"/>
      <w:bookmarkStart w:id="11" w:name="_Toc426017685"/>
      <w:r w:rsidRPr="00901236">
        <w:t xml:space="preserve">Příjmová </w:t>
      </w:r>
      <w:proofErr w:type="spellStart"/>
      <w:r w:rsidRPr="00901236">
        <w:t>rozvrstvenost</w:t>
      </w:r>
      <w:proofErr w:type="spellEnd"/>
      <w:r w:rsidRPr="00901236">
        <w:t xml:space="preserve"> domácností a jejich vydání</w:t>
      </w:r>
      <w:bookmarkEnd w:id="10"/>
      <w:bookmarkEnd w:id="11"/>
    </w:p>
    <w:tbl>
      <w:tblPr>
        <w:tblW w:w="5043" w:type="pct"/>
        <w:tblInd w:w="-42" w:type="dxa"/>
        <w:tblCellMar>
          <w:left w:w="28" w:type="dxa"/>
          <w:right w:w="28" w:type="dxa"/>
        </w:tblCellMar>
        <w:tblLook w:val="00A0"/>
      </w:tblPr>
      <w:tblGrid>
        <w:gridCol w:w="2037"/>
        <w:gridCol w:w="272"/>
        <w:gridCol w:w="7468"/>
      </w:tblGrid>
      <w:tr w:rsidR="00A25E57" w:rsidRPr="00FA57FD" w:rsidTr="00072F46">
        <w:tc>
          <w:tcPr>
            <w:tcW w:w="1042" w:type="pct"/>
          </w:tcPr>
          <w:p w:rsidR="00A25E57" w:rsidRDefault="00A25E57" w:rsidP="00072F46">
            <w:pPr>
              <w:spacing w:line="240" w:lineRule="auto"/>
              <w:rPr>
                <w:color w:val="000000"/>
                <w:sz w:val="16"/>
                <w:szCs w:val="16"/>
              </w:rPr>
            </w:pPr>
            <w:r>
              <w:rPr>
                <w:color w:val="000000"/>
                <w:sz w:val="16"/>
                <w:szCs w:val="16"/>
              </w:rPr>
              <w:t>Příjmy, spotřební a nespotřební vydání domácností</w:t>
            </w:r>
          </w:p>
        </w:tc>
        <w:tc>
          <w:tcPr>
            <w:tcW w:w="139" w:type="pct"/>
          </w:tcPr>
          <w:p w:rsidR="00A25E57" w:rsidRDefault="00A25E57" w:rsidP="00072F46">
            <w:pPr>
              <w:pStyle w:val="Textpoznpodarou"/>
              <w:jc w:val="both"/>
            </w:pPr>
          </w:p>
        </w:tc>
        <w:tc>
          <w:tcPr>
            <w:tcW w:w="3819" w:type="pct"/>
          </w:tcPr>
          <w:p w:rsidR="00A25E57" w:rsidRPr="00B37A71" w:rsidRDefault="00A25E57" w:rsidP="00072F46">
            <w:pPr>
              <w:pStyle w:val="Textpoznpodarou"/>
              <w:jc w:val="both"/>
              <w:rPr>
                <w:color w:val="000000"/>
              </w:rPr>
            </w:pPr>
            <w:r w:rsidRPr="00B37A71">
              <w:rPr>
                <w:color w:val="000000"/>
              </w:rPr>
              <w:t>Jak spotřeba, tak i hrubé úspory představující spotřebu odloženou jsou diferencované, pokud jde o jednotlivé sociální skupiny domácnosti i domácnosti jednotlivě.  V závislosti na velikosti příjmů i jejich struktuře se odvíjejí i spotřební a</w:t>
            </w:r>
            <w:r>
              <w:rPr>
                <w:color w:val="000000"/>
              </w:rPr>
              <w:t> </w:t>
            </w:r>
            <w:r w:rsidRPr="00B37A71">
              <w:rPr>
                <w:color w:val="000000"/>
              </w:rPr>
              <w:t>nespotřební výdaje domácností.</w:t>
            </w:r>
          </w:p>
          <w:p w:rsidR="00A25E57" w:rsidRPr="00060A26" w:rsidRDefault="00A25E57" w:rsidP="00072F46">
            <w:pPr>
              <w:pStyle w:val="Textpoznpodarou"/>
              <w:jc w:val="both"/>
              <w:rPr>
                <w:color w:val="000000"/>
                <w:spacing w:val="-2"/>
              </w:rPr>
            </w:pPr>
          </w:p>
        </w:tc>
      </w:tr>
      <w:tr w:rsidR="00A25E57" w:rsidRPr="00FA57FD" w:rsidTr="00072F46">
        <w:tc>
          <w:tcPr>
            <w:tcW w:w="1042" w:type="pct"/>
          </w:tcPr>
          <w:p w:rsidR="00A25E57" w:rsidRDefault="00A25E57" w:rsidP="00072F46">
            <w:pPr>
              <w:spacing w:line="240" w:lineRule="auto"/>
              <w:rPr>
                <w:color w:val="000000"/>
                <w:sz w:val="16"/>
                <w:szCs w:val="16"/>
              </w:rPr>
            </w:pPr>
            <w:r>
              <w:rPr>
                <w:color w:val="000000"/>
                <w:sz w:val="16"/>
                <w:szCs w:val="16"/>
              </w:rPr>
              <w:t>Datové zdroje a možnosti kvantilového rozdělení</w:t>
            </w:r>
          </w:p>
        </w:tc>
        <w:tc>
          <w:tcPr>
            <w:tcW w:w="139" w:type="pct"/>
          </w:tcPr>
          <w:p w:rsidR="00A25E57" w:rsidRDefault="00A25E57" w:rsidP="00072F46">
            <w:pPr>
              <w:pStyle w:val="Textpoznpodarou"/>
              <w:jc w:val="both"/>
            </w:pPr>
          </w:p>
        </w:tc>
        <w:tc>
          <w:tcPr>
            <w:tcW w:w="3819" w:type="pct"/>
          </w:tcPr>
          <w:p w:rsidR="00A25E57" w:rsidRDefault="00A25E57" w:rsidP="00072F46">
            <w:pPr>
              <w:pStyle w:val="Textpoznpodarou"/>
              <w:jc w:val="both"/>
              <w:rPr>
                <w:color w:val="000000"/>
                <w:spacing w:val="-2"/>
              </w:rPr>
            </w:pPr>
            <w:r>
              <w:rPr>
                <w:color w:val="000000"/>
                <w:spacing w:val="-2"/>
              </w:rPr>
              <w:t>Zdroje dat z rodinných účtů a z šetření životních podmínek domácností</w:t>
            </w:r>
            <w:r w:rsidR="00D24DA0">
              <w:rPr>
                <w:color w:val="000000"/>
                <w:spacing w:val="-2"/>
              </w:rPr>
              <w:t xml:space="preserve"> (SILC)</w:t>
            </w:r>
            <w:r>
              <w:rPr>
                <w:rStyle w:val="Znakapoznpodarou"/>
                <w:color w:val="000000"/>
                <w:spacing w:val="-2"/>
              </w:rPr>
              <w:footnoteReference w:id="3"/>
            </w:r>
            <w:r>
              <w:rPr>
                <w:color w:val="000000"/>
                <w:spacing w:val="-2"/>
              </w:rPr>
              <w:t xml:space="preserve"> umožňují na základě kvantilového rozdělení porovnat příjmovou situaci a rozdíly ve vydáních podle zvolených skupin domácností vycházejících z </w:t>
            </w:r>
            <w:proofErr w:type="spellStart"/>
            <w:r>
              <w:rPr>
                <w:color w:val="000000"/>
                <w:spacing w:val="-2"/>
              </w:rPr>
              <w:t>rozvrstvenosti</w:t>
            </w:r>
            <w:proofErr w:type="spellEnd"/>
            <w:r>
              <w:rPr>
                <w:color w:val="000000"/>
                <w:spacing w:val="-2"/>
              </w:rPr>
              <w:t xml:space="preserve"> jejich příjmů. Jde o roční příjmy na člena domácnosti, což platí pro celý prováděný rozbor kapitoly 6.2.3. i vydání </w:t>
            </w:r>
            <w:r w:rsidR="00D24DA0">
              <w:rPr>
                <w:color w:val="000000"/>
                <w:spacing w:val="-2"/>
              </w:rPr>
              <w:t>analyzovaná</w:t>
            </w:r>
            <w:r>
              <w:rPr>
                <w:color w:val="000000"/>
                <w:spacing w:val="-2"/>
              </w:rPr>
              <w:t xml:space="preserve"> v kapitole 6.2.4., pokud není uvedeno jinak.   </w:t>
            </w:r>
          </w:p>
          <w:p w:rsidR="00A25E57" w:rsidRPr="00060A26" w:rsidRDefault="00A25E57" w:rsidP="00072F46">
            <w:pPr>
              <w:pStyle w:val="Textpoznpodarou"/>
              <w:jc w:val="both"/>
              <w:rPr>
                <w:color w:val="000000"/>
                <w:spacing w:val="-2"/>
              </w:rPr>
            </w:pPr>
          </w:p>
          <w:p w:rsidR="00A25E57" w:rsidRDefault="00A25E57" w:rsidP="00072F46">
            <w:pPr>
              <w:pStyle w:val="Textpoznpodarou"/>
              <w:jc w:val="both"/>
              <w:rPr>
                <w:color w:val="000000"/>
                <w:spacing w:val="-2"/>
              </w:rPr>
            </w:pPr>
            <w:r>
              <w:rPr>
                <w:color w:val="000000"/>
                <w:spacing w:val="-2"/>
              </w:rPr>
              <w:t xml:space="preserve">Při dělení skupin domácností podle výše čistého peněžního příjmu na jednoho člena domácnosti za rok je možné použít decilové rozdělení, tj. vzorek deseti skupin (decilů) ve škále od 10 % domácností s nejnižšími příjmy po 10 % domácností s nejvyššími příjmy. Kromě tohoto dělení použijeme v dalších ještě dělení </w:t>
            </w:r>
            <w:proofErr w:type="spellStart"/>
            <w:r>
              <w:rPr>
                <w:color w:val="000000"/>
                <w:spacing w:val="-2"/>
              </w:rPr>
              <w:t>kvintilové</w:t>
            </w:r>
            <w:proofErr w:type="spellEnd"/>
            <w:r>
              <w:rPr>
                <w:color w:val="000000"/>
                <w:spacing w:val="-2"/>
              </w:rPr>
              <w:t xml:space="preserve">, tj. obdobně dělené skupiny domácností na pětinové intervaly. </w:t>
            </w:r>
          </w:p>
          <w:p w:rsidR="00A25E57" w:rsidRPr="00060A26" w:rsidRDefault="00A25E57" w:rsidP="00072F46">
            <w:pPr>
              <w:pStyle w:val="Textpoznpodarou"/>
              <w:jc w:val="both"/>
              <w:rPr>
                <w:color w:val="000000"/>
                <w:spacing w:val="-2"/>
              </w:rPr>
            </w:pPr>
          </w:p>
        </w:tc>
      </w:tr>
      <w:tr w:rsidR="00A25E57" w:rsidRPr="00FA57FD" w:rsidTr="00072F46">
        <w:tc>
          <w:tcPr>
            <w:tcW w:w="1042" w:type="pct"/>
          </w:tcPr>
          <w:p w:rsidR="00A25E57" w:rsidRDefault="00A25E57" w:rsidP="00072F46">
            <w:pPr>
              <w:spacing w:line="240" w:lineRule="auto"/>
              <w:rPr>
                <w:color w:val="000000"/>
                <w:sz w:val="16"/>
                <w:szCs w:val="16"/>
              </w:rPr>
            </w:pPr>
            <w:r>
              <w:rPr>
                <w:color w:val="000000"/>
                <w:sz w:val="16"/>
                <w:szCs w:val="16"/>
              </w:rPr>
              <w:t>Možnosti a současně omezení daná sledováním a porovnáváním skupin domácností desetiny s nejnižšími a desetiny s nejvyššími příjmy</w:t>
            </w:r>
          </w:p>
        </w:tc>
        <w:tc>
          <w:tcPr>
            <w:tcW w:w="139" w:type="pct"/>
          </w:tcPr>
          <w:p w:rsidR="00A25E57" w:rsidRDefault="00A25E57" w:rsidP="00072F46">
            <w:pPr>
              <w:pStyle w:val="Textpoznpodarou"/>
              <w:jc w:val="both"/>
            </w:pPr>
          </w:p>
        </w:tc>
        <w:tc>
          <w:tcPr>
            <w:tcW w:w="3819" w:type="pct"/>
          </w:tcPr>
          <w:p w:rsidR="00A25E57" w:rsidRPr="00FA57FD" w:rsidRDefault="00A25E57" w:rsidP="00D24DA0">
            <w:pPr>
              <w:pStyle w:val="Textpoznpodarou"/>
              <w:jc w:val="both"/>
              <w:rPr>
                <w:color w:val="000000"/>
                <w:spacing w:val="-2"/>
              </w:rPr>
            </w:pPr>
            <w:r>
              <w:rPr>
                <w:color w:val="000000"/>
                <w:spacing w:val="-2"/>
              </w:rPr>
              <w:t xml:space="preserve">Sledováním skupiny domácností s nejnižšími příjmy a skupiny s nejvyššími příjmy lze porovnávat tyto dvě „extrémní“ příjmové skupiny podle toho, jak hospodaří se svými peněžními prostředky. Je také možné pozorovat největší rozdíly v útratách, resp. jakou váhu mají jednotlivé položky spotřeby v jejich spotřebních vydáních, kolik utrácejí za zboží a služby „zbytné“ a „nezbytné“, aj.  </w:t>
            </w:r>
          </w:p>
        </w:tc>
      </w:tr>
    </w:tbl>
    <w:p w:rsidR="00A25E57" w:rsidRPr="00060A26" w:rsidRDefault="00A25E57" w:rsidP="00A25E57">
      <w:pPr>
        <w:rPr>
          <w:b/>
          <w:szCs w:val="20"/>
        </w:rPr>
      </w:pPr>
    </w:p>
    <w:p w:rsidR="00A25E57" w:rsidRPr="00C0165A" w:rsidRDefault="00A25E57" w:rsidP="002A5986">
      <w:pPr>
        <w:pStyle w:val="Nadpis3"/>
        <w:numPr>
          <w:ilvl w:val="3"/>
          <w:numId w:val="9"/>
        </w:numPr>
        <w:rPr>
          <w:color w:val="auto"/>
          <w:sz w:val="20"/>
          <w:szCs w:val="20"/>
        </w:rPr>
      </w:pPr>
      <w:bookmarkStart w:id="12" w:name="_Toc424903548"/>
      <w:bookmarkStart w:id="13" w:name="_Toc426017686"/>
      <w:r w:rsidRPr="00C0165A">
        <w:rPr>
          <w:color w:val="auto"/>
          <w:sz w:val="20"/>
          <w:szCs w:val="20"/>
        </w:rPr>
        <w:t>Peněžní příjmy domácností horního a dolního decilu</w:t>
      </w:r>
      <w:bookmarkEnd w:id="12"/>
      <w:bookmarkEnd w:id="13"/>
    </w:p>
    <w:tbl>
      <w:tblPr>
        <w:tblW w:w="5043" w:type="pct"/>
        <w:tblInd w:w="-42" w:type="dxa"/>
        <w:tblCellMar>
          <w:left w:w="28" w:type="dxa"/>
          <w:right w:w="28" w:type="dxa"/>
        </w:tblCellMar>
        <w:tblLook w:val="00A0"/>
      </w:tblPr>
      <w:tblGrid>
        <w:gridCol w:w="41"/>
        <w:gridCol w:w="731"/>
        <w:gridCol w:w="1265"/>
        <w:gridCol w:w="272"/>
        <w:gridCol w:w="2542"/>
        <w:gridCol w:w="706"/>
        <w:gridCol w:w="4220"/>
      </w:tblGrid>
      <w:tr w:rsidR="00A25E57" w:rsidRPr="00FA57FD" w:rsidTr="00072F46">
        <w:tc>
          <w:tcPr>
            <w:tcW w:w="1042" w:type="pct"/>
            <w:gridSpan w:val="3"/>
          </w:tcPr>
          <w:p w:rsidR="00A25E57" w:rsidRDefault="00A25E57" w:rsidP="00072F46">
            <w:pPr>
              <w:spacing w:line="240" w:lineRule="auto"/>
              <w:rPr>
                <w:color w:val="000000"/>
                <w:sz w:val="16"/>
                <w:szCs w:val="16"/>
              </w:rPr>
            </w:pPr>
            <w:r>
              <w:rPr>
                <w:color w:val="000000"/>
                <w:sz w:val="16"/>
                <w:szCs w:val="16"/>
              </w:rPr>
              <w:t>V desetině domácnosti s nejnižšími příjmy žilo v roce 2014 téměř 1,5 mil. lidí (v roce 2013 přes 1,5 milionu osob)…</w:t>
            </w:r>
          </w:p>
        </w:tc>
        <w:tc>
          <w:tcPr>
            <w:tcW w:w="139" w:type="pct"/>
          </w:tcPr>
          <w:p w:rsidR="00A25E57" w:rsidRDefault="00A25E57" w:rsidP="00072F46">
            <w:pPr>
              <w:pStyle w:val="Textpoznpodarou"/>
              <w:jc w:val="both"/>
            </w:pPr>
          </w:p>
        </w:tc>
        <w:tc>
          <w:tcPr>
            <w:tcW w:w="3819" w:type="pct"/>
            <w:gridSpan w:val="3"/>
          </w:tcPr>
          <w:p w:rsidR="00A25E57" w:rsidRPr="00B37A71" w:rsidRDefault="00B160A4" w:rsidP="00072F46">
            <w:pPr>
              <w:pStyle w:val="Textpoznpodarou"/>
              <w:jc w:val="both"/>
              <w:rPr>
                <w:color w:val="000000"/>
              </w:rPr>
            </w:pPr>
            <w:r>
              <w:rPr>
                <w:color w:val="000000"/>
              </w:rPr>
              <w:t>Ze šetření „Životní</w:t>
            </w:r>
            <w:r w:rsidR="00A25E57" w:rsidRPr="00B37A71">
              <w:rPr>
                <w:color w:val="000000"/>
              </w:rPr>
              <w:t xml:space="preserve"> podmín</w:t>
            </w:r>
            <w:r>
              <w:rPr>
                <w:color w:val="000000"/>
              </w:rPr>
              <w:t>ky</w:t>
            </w:r>
            <w:r w:rsidR="00A25E57" w:rsidRPr="00B37A71">
              <w:rPr>
                <w:color w:val="000000"/>
              </w:rPr>
              <w:t xml:space="preserve"> domácností 2014</w:t>
            </w:r>
            <w:r>
              <w:rPr>
                <w:color w:val="000000"/>
              </w:rPr>
              <w:t>“</w:t>
            </w:r>
            <w:r w:rsidR="00A25E57" w:rsidRPr="00B37A71">
              <w:rPr>
                <w:color w:val="000000"/>
              </w:rPr>
              <w:t xml:space="preserve"> (z příjmů </w:t>
            </w:r>
            <w:r w:rsidR="00D24DA0">
              <w:rPr>
                <w:color w:val="000000"/>
              </w:rPr>
              <w:t>a</w:t>
            </w:r>
            <w:r w:rsidR="00A25E57" w:rsidRPr="00B37A71">
              <w:rPr>
                <w:color w:val="000000"/>
              </w:rPr>
              <w:t> výdajů roku 2013) vyplývá, že nejvíce lidí žije v domácnostech s nejnižšími příjmy (dolní decil)</w:t>
            </w:r>
            <w:r w:rsidR="00A25E57" w:rsidRPr="00B37A71">
              <w:rPr>
                <w:rStyle w:val="Znakapoznpodarou"/>
                <w:color w:val="000000"/>
              </w:rPr>
              <w:footnoteReference w:id="4"/>
            </w:r>
            <w:r w:rsidR="00A25E57" w:rsidRPr="00B37A71">
              <w:rPr>
                <w:color w:val="000000"/>
              </w:rPr>
              <w:t>, a to 1 466,8 tis. osob. V domácnostech s nejvyššími příjmy (horní decil) žilo v roce 2014 téměř 806,7 tis. osob. Počet lidí žijící</w:t>
            </w:r>
            <w:r w:rsidR="00D24DA0">
              <w:rPr>
                <w:color w:val="000000"/>
              </w:rPr>
              <w:t>ch</w:t>
            </w:r>
            <w:r w:rsidR="00A25E57" w:rsidRPr="00B37A71">
              <w:rPr>
                <w:color w:val="000000"/>
              </w:rPr>
              <w:t xml:space="preserve"> v domácnostech s nejnižšími příjmy se proti roku 2013 mírně snížil (přibližně o 43 tis. osob), naopak počty členů domácností s nejvyššími příjmy o necelých šest tisíc narostly   </w:t>
            </w:r>
          </w:p>
          <w:p w:rsidR="00A25E57" w:rsidRPr="00060A26" w:rsidRDefault="00A25E57" w:rsidP="00072F46">
            <w:pPr>
              <w:pStyle w:val="Textpoznpodarou"/>
              <w:jc w:val="both"/>
              <w:rPr>
                <w:color w:val="000000"/>
                <w:spacing w:val="-2"/>
              </w:rPr>
            </w:pPr>
          </w:p>
        </w:tc>
      </w:tr>
      <w:tr w:rsidR="00A25E57" w:rsidRPr="00FA57FD" w:rsidTr="00072F46">
        <w:tc>
          <w:tcPr>
            <w:tcW w:w="1042" w:type="pct"/>
            <w:gridSpan w:val="3"/>
          </w:tcPr>
          <w:p w:rsidR="00A25E57" w:rsidRDefault="00A25E57" w:rsidP="00072F46">
            <w:pPr>
              <w:spacing w:line="240" w:lineRule="auto"/>
              <w:rPr>
                <w:color w:val="000000"/>
                <w:sz w:val="16"/>
                <w:szCs w:val="16"/>
              </w:rPr>
            </w:pPr>
            <w:r>
              <w:rPr>
                <w:color w:val="000000"/>
                <w:sz w:val="16"/>
                <w:szCs w:val="16"/>
              </w:rPr>
              <w:t xml:space="preserve">… a na jednu domácnost připadalo 3,41 osoby proti 1,88 osobě u desetiny </w:t>
            </w:r>
            <w:r>
              <w:rPr>
                <w:color w:val="000000"/>
                <w:sz w:val="16"/>
                <w:szCs w:val="16"/>
              </w:rPr>
              <w:lastRenderedPageBreak/>
              <w:t>domácností s nejvyššími příjmy - proti roku 2013 nepatrný pozitivní posun</w:t>
            </w:r>
          </w:p>
        </w:tc>
        <w:tc>
          <w:tcPr>
            <w:tcW w:w="139" w:type="pct"/>
          </w:tcPr>
          <w:p w:rsidR="00A25E57" w:rsidRDefault="00A25E57" w:rsidP="00072F46">
            <w:pPr>
              <w:pStyle w:val="Textpoznpodarou"/>
              <w:jc w:val="both"/>
            </w:pPr>
          </w:p>
        </w:tc>
        <w:tc>
          <w:tcPr>
            <w:tcW w:w="3819" w:type="pct"/>
            <w:gridSpan w:val="3"/>
          </w:tcPr>
          <w:p w:rsidR="00A25E57" w:rsidRDefault="00A25E57" w:rsidP="00072F46">
            <w:pPr>
              <w:pStyle w:val="Textpoznpodarou"/>
              <w:jc w:val="both"/>
              <w:rPr>
                <w:color w:val="000000"/>
                <w:spacing w:val="-2"/>
              </w:rPr>
            </w:pPr>
            <w:r>
              <w:rPr>
                <w:color w:val="000000"/>
                <w:spacing w:val="-2"/>
              </w:rPr>
              <w:t>V domácnostech s nejnižšími příjmy žilo v roce 2014 v průměru 3,41 osob v jedné domácnosti, v domácnostech s nejvyššími příjmy pak 1,88 osob. Oproti roku 2013 klesl průměrný počet členů domácností s nejnižšími příjmy (</w:t>
            </w:r>
            <w:proofErr w:type="gramStart"/>
            <w:r>
              <w:rPr>
                <w:color w:val="000000"/>
                <w:spacing w:val="-2"/>
              </w:rPr>
              <w:t>ze</w:t>
            </w:r>
            <w:proofErr w:type="gramEnd"/>
            <w:r>
              <w:rPr>
                <w:color w:val="000000"/>
                <w:spacing w:val="-2"/>
              </w:rPr>
              <w:t xml:space="preserve"> 3,51 osob), </w:t>
            </w:r>
            <w:r>
              <w:rPr>
                <w:color w:val="000000"/>
                <w:spacing w:val="-2"/>
              </w:rPr>
              <w:lastRenderedPageBreak/>
              <w:t>u domácností s nejvyšší</w:t>
            </w:r>
            <w:r w:rsidR="00D24DA0">
              <w:rPr>
                <w:color w:val="000000"/>
                <w:spacing w:val="-2"/>
              </w:rPr>
              <w:t>mi</w:t>
            </w:r>
            <w:r>
              <w:rPr>
                <w:color w:val="000000"/>
                <w:spacing w:val="-2"/>
              </w:rPr>
              <w:t xml:space="preserve"> příjmy byl pohyb jen nepatrný (1,87 členů domácnosti v průměru v roce 2013). U obou decilů jde sice o pohyb nepatrný, ale pozitivní.</w:t>
            </w:r>
          </w:p>
          <w:p w:rsidR="00A25E57" w:rsidRPr="00FA57FD" w:rsidRDefault="00A25E57" w:rsidP="00072F46">
            <w:pPr>
              <w:pStyle w:val="Textpoznpodarou"/>
              <w:jc w:val="both"/>
              <w:rPr>
                <w:color w:val="000000"/>
                <w:spacing w:val="-2"/>
              </w:rPr>
            </w:pPr>
          </w:p>
        </w:tc>
      </w:tr>
      <w:tr w:rsidR="00A25E57" w:rsidRPr="00817C98" w:rsidTr="00072F46">
        <w:trPr>
          <w:gridBefore w:val="1"/>
          <w:wBefore w:w="21" w:type="pct"/>
        </w:trPr>
        <w:tc>
          <w:tcPr>
            <w:tcW w:w="374" w:type="pct"/>
          </w:tcPr>
          <w:p w:rsidR="00A25E57" w:rsidRDefault="00A25E57" w:rsidP="00072F46">
            <w:pPr>
              <w:spacing w:line="240" w:lineRule="auto"/>
            </w:pPr>
            <w:r>
              <w:lastRenderedPageBreak/>
              <w:t>Graf č. 13</w:t>
            </w:r>
          </w:p>
        </w:tc>
        <w:tc>
          <w:tcPr>
            <w:tcW w:w="2086" w:type="pct"/>
            <w:gridSpan w:val="3"/>
          </w:tcPr>
          <w:p w:rsidR="00A25E57" w:rsidRDefault="00A25E57" w:rsidP="00072F46">
            <w:pPr>
              <w:pStyle w:val="Textpoznpodarou"/>
              <w:rPr>
                <w:rFonts w:cs="Arial"/>
                <w:b/>
                <w:bCs/>
              </w:rPr>
            </w:pPr>
            <w:r>
              <w:rPr>
                <w:rFonts w:cs="Arial"/>
                <w:b/>
                <w:bCs/>
              </w:rPr>
              <w:t xml:space="preserve">Hrubé peněžní příjmy na člena domácnosti za rok - dolní a horní decil </w:t>
            </w:r>
          </w:p>
          <w:p w:rsidR="00A25E57" w:rsidRDefault="00A25E57" w:rsidP="00072F46">
            <w:pPr>
              <w:pStyle w:val="Textpoznpodarou"/>
              <w:rPr>
                <w:rFonts w:cs="Arial"/>
                <w:szCs w:val="24"/>
              </w:rPr>
            </w:pPr>
            <w:r w:rsidRPr="00DB06E9">
              <w:rPr>
                <w:rFonts w:cs="Arial"/>
                <w:bCs/>
              </w:rPr>
              <w:t>(</w:t>
            </w:r>
            <w:r>
              <w:rPr>
                <w:rFonts w:cs="Arial"/>
                <w:bCs/>
              </w:rPr>
              <w:t xml:space="preserve">2013, v </w:t>
            </w:r>
            <w:r w:rsidRPr="00DB06E9">
              <w:rPr>
                <w:rFonts w:cs="Arial"/>
                <w:bCs/>
              </w:rPr>
              <w:t>korun</w:t>
            </w:r>
            <w:r>
              <w:rPr>
                <w:rFonts w:cs="Arial"/>
                <w:bCs/>
              </w:rPr>
              <w:t>ách</w:t>
            </w:r>
            <w:r w:rsidRPr="00DB06E9">
              <w:rPr>
                <w:rFonts w:cs="Arial"/>
                <w:bCs/>
              </w:rPr>
              <w:t>)</w:t>
            </w:r>
          </w:p>
        </w:tc>
        <w:tc>
          <w:tcPr>
            <w:tcW w:w="361" w:type="pct"/>
          </w:tcPr>
          <w:p w:rsidR="00A25E57" w:rsidRDefault="00A25E57" w:rsidP="00072F46">
            <w:pPr>
              <w:spacing w:line="240" w:lineRule="auto"/>
            </w:pPr>
            <w:r>
              <w:t>Graf č. 14</w:t>
            </w:r>
          </w:p>
        </w:tc>
        <w:tc>
          <w:tcPr>
            <w:tcW w:w="2158" w:type="pct"/>
          </w:tcPr>
          <w:p w:rsidR="00A25E57" w:rsidRDefault="00A25E57" w:rsidP="00072F46">
            <w:pPr>
              <w:spacing w:line="240" w:lineRule="auto"/>
              <w:rPr>
                <w:rFonts w:cs="Arial"/>
                <w:b/>
                <w:bCs/>
              </w:rPr>
            </w:pPr>
            <w:r>
              <w:rPr>
                <w:rFonts w:cs="Arial"/>
                <w:b/>
                <w:bCs/>
              </w:rPr>
              <w:t xml:space="preserve">Počty pracujících a vyživovaných dětí v domácnostech – dolní a horní decil </w:t>
            </w:r>
          </w:p>
          <w:p w:rsidR="00A25E57" w:rsidRPr="00817C98" w:rsidRDefault="00A25E57" w:rsidP="00072F46">
            <w:pPr>
              <w:rPr>
                <w:rFonts w:cs="Arial"/>
                <w:b/>
                <w:bCs/>
              </w:rPr>
            </w:pPr>
            <w:r w:rsidRPr="00DB06E9">
              <w:rPr>
                <w:rFonts w:cs="Arial"/>
                <w:bCs/>
              </w:rPr>
              <w:t>(</w:t>
            </w:r>
            <w:r>
              <w:rPr>
                <w:rFonts w:cs="Arial"/>
                <w:bCs/>
              </w:rPr>
              <w:t>2014, osoby, v průměru na domácnost</w:t>
            </w:r>
            <w:r w:rsidRPr="00DB06E9">
              <w:rPr>
                <w:rFonts w:cs="Arial"/>
                <w:bCs/>
              </w:rPr>
              <w:t>)</w:t>
            </w:r>
          </w:p>
        </w:tc>
      </w:tr>
      <w:tr w:rsidR="00A25E57" w:rsidTr="00072F46">
        <w:trPr>
          <w:gridBefore w:val="1"/>
          <w:wBefore w:w="21" w:type="pct"/>
        </w:trPr>
        <w:tc>
          <w:tcPr>
            <w:tcW w:w="2460" w:type="pct"/>
            <w:gridSpan w:val="4"/>
          </w:tcPr>
          <w:p w:rsidR="00A25E57" w:rsidRPr="005E0D10" w:rsidRDefault="002A5986" w:rsidP="00072F46">
            <w:pPr>
              <w:pStyle w:val="Textpoznpodarou"/>
              <w:jc w:val="both"/>
            </w:pPr>
            <w:r>
              <w:pict>
                <v:shape id="_x0000_i1130" type="#_x0000_t75" style="width:237pt;height:196.5pt">
                  <v:imagedata r:id="rId20" o:title=""/>
                </v:shape>
              </w:pict>
            </w:r>
          </w:p>
        </w:tc>
        <w:tc>
          <w:tcPr>
            <w:tcW w:w="2518" w:type="pct"/>
            <w:gridSpan w:val="2"/>
          </w:tcPr>
          <w:p w:rsidR="00A25E57" w:rsidRDefault="002A5986" w:rsidP="00072F46">
            <w:pPr>
              <w:pStyle w:val="Textpoznpodarou"/>
              <w:jc w:val="right"/>
            </w:pPr>
            <w:r>
              <w:pict>
                <v:shape id="_x0000_i1131" type="#_x0000_t75" style="width:236.25pt;height:195.75pt">
                  <v:imagedata r:id="rId21" o:title=""/>
                </v:shape>
              </w:pict>
            </w:r>
          </w:p>
          <w:p w:rsidR="00A25E57" w:rsidRPr="003B50F0" w:rsidRDefault="00A25E57" w:rsidP="00072F46">
            <w:pPr>
              <w:pStyle w:val="Textpoznpodarou"/>
              <w:jc w:val="right"/>
              <w:rPr>
                <w:sz w:val="18"/>
                <w:szCs w:val="18"/>
              </w:rPr>
            </w:pPr>
            <w:r>
              <w:rPr>
                <w:sz w:val="18"/>
                <w:szCs w:val="18"/>
              </w:rPr>
              <w:t>Zdroj</w:t>
            </w:r>
            <w:r w:rsidR="0025186A">
              <w:rPr>
                <w:sz w:val="18"/>
                <w:szCs w:val="18"/>
              </w:rPr>
              <w:t>: ČSÚ</w:t>
            </w:r>
            <w:r w:rsidRPr="003B50F0">
              <w:rPr>
                <w:sz w:val="18"/>
                <w:szCs w:val="18"/>
              </w:rPr>
              <w:t xml:space="preserve"> </w:t>
            </w:r>
            <w:r w:rsidR="0025186A">
              <w:rPr>
                <w:sz w:val="18"/>
                <w:szCs w:val="18"/>
              </w:rPr>
              <w:t>(</w:t>
            </w:r>
            <w:r w:rsidRPr="003B50F0">
              <w:rPr>
                <w:sz w:val="18"/>
                <w:szCs w:val="18"/>
              </w:rPr>
              <w:t>SILC</w:t>
            </w:r>
            <w:r w:rsidR="0025186A">
              <w:rPr>
                <w:sz w:val="18"/>
                <w:szCs w:val="18"/>
              </w:rPr>
              <w:t>)</w:t>
            </w:r>
          </w:p>
        </w:tc>
      </w:tr>
    </w:tbl>
    <w:p w:rsidR="00A25E57" w:rsidRPr="003B50F0" w:rsidRDefault="00A25E57" w:rsidP="00A25E57">
      <w:pPr>
        <w:rPr>
          <w:b/>
          <w:sz w:val="12"/>
          <w:szCs w:val="12"/>
        </w:rPr>
      </w:pPr>
    </w:p>
    <w:tbl>
      <w:tblPr>
        <w:tblW w:w="5043" w:type="pct"/>
        <w:tblInd w:w="-42" w:type="dxa"/>
        <w:tblCellMar>
          <w:left w:w="28" w:type="dxa"/>
          <w:right w:w="28" w:type="dxa"/>
        </w:tblCellMar>
        <w:tblLook w:val="00A0"/>
      </w:tblPr>
      <w:tblGrid>
        <w:gridCol w:w="25"/>
        <w:gridCol w:w="737"/>
        <w:gridCol w:w="1279"/>
        <w:gridCol w:w="274"/>
        <w:gridCol w:w="2568"/>
        <w:gridCol w:w="690"/>
        <w:gridCol w:w="4204"/>
      </w:tblGrid>
      <w:tr w:rsidR="00A25E57" w:rsidRPr="00060A26" w:rsidTr="00072F46">
        <w:tc>
          <w:tcPr>
            <w:tcW w:w="1044" w:type="pct"/>
            <w:gridSpan w:val="3"/>
          </w:tcPr>
          <w:p w:rsidR="00A25E57" w:rsidRDefault="00A25E57" w:rsidP="00072F46">
            <w:pPr>
              <w:spacing w:line="240" w:lineRule="auto"/>
              <w:rPr>
                <w:color w:val="000000"/>
                <w:sz w:val="16"/>
                <w:szCs w:val="16"/>
              </w:rPr>
            </w:pPr>
            <w:r>
              <w:rPr>
                <w:color w:val="000000"/>
                <w:sz w:val="16"/>
                <w:szCs w:val="16"/>
              </w:rPr>
              <w:t>Nerovnost mezi horním a dolním decilem ukazuje téměř sedminásobné převýšení hrubých peněžních příjmů na člena domácnosti</w:t>
            </w:r>
          </w:p>
        </w:tc>
        <w:tc>
          <w:tcPr>
            <w:tcW w:w="140" w:type="pct"/>
          </w:tcPr>
          <w:p w:rsidR="00A25E57" w:rsidRDefault="00A25E57" w:rsidP="00072F46">
            <w:pPr>
              <w:pStyle w:val="Textpoznpodarou"/>
              <w:jc w:val="both"/>
            </w:pPr>
          </w:p>
        </w:tc>
        <w:tc>
          <w:tcPr>
            <w:tcW w:w="3816" w:type="pct"/>
            <w:gridSpan w:val="3"/>
          </w:tcPr>
          <w:p w:rsidR="00A25E57" w:rsidRPr="00060A26" w:rsidRDefault="00A25E57" w:rsidP="00072F46">
            <w:pPr>
              <w:pStyle w:val="Textpoznpodarou"/>
              <w:jc w:val="both"/>
              <w:rPr>
                <w:color w:val="000000"/>
              </w:rPr>
            </w:pPr>
            <w:r w:rsidRPr="00060A26">
              <w:rPr>
                <w:color w:val="000000"/>
              </w:rPr>
              <w:t xml:space="preserve">Hrubé peněžní příjmy na člena domácnosti s nejnižšími a nejvyššími příjmy ukazují (graf 13), že u domácností v horní desetině převyšovaly podle šetření v roce 2014 tyto hrubé příjmy za rok 2013 téměř sedmkrát (6,9krát) hrubé příjmy domácností v dolní desetině.  V případě čistých příjmů je převýšení menší (5,9krát) vlivem vyšších daňových a dalších odvodů z hrubých příjmů, které v rámci přerozdělení odvádějí </w:t>
            </w:r>
            <w:proofErr w:type="spellStart"/>
            <w:r w:rsidRPr="00060A26">
              <w:rPr>
                <w:color w:val="000000"/>
              </w:rPr>
              <w:t>výšepříjmoví</w:t>
            </w:r>
            <w:proofErr w:type="spellEnd"/>
            <w:r w:rsidRPr="00060A26">
              <w:rPr>
                <w:color w:val="000000"/>
              </w:rPr>
              <w:t xml:space="preserve">.  </w:t>
            </w:r>
          </w:p>
          <w:p w:rsidR="00A25E57" w:rsidRPr="00060A26" w:rsidRDefault="00A25E57" w:rsidP="00072F46">
            <w:pPr>
              <w:pStyle w:val="Textpoznpodarou"/>
              <w:jc w:val="both"/>
              <w:rPr>
                <w:color w:val="000000"/>
              </w:rPr>
            </w:pPr>
          </w:p>
        </w:tc>
      </w:tr>
      <w:tr w:rsidR="00A25E57" w:rsidRPr="00FA57FD" w:rsidTr="00072F46">
        <w:tc>
          <w:tcPr>
            <w:tcW w:w="1044" w:type="pct"/>
            <w:gridSpan w:val="3"/>
          </w:tcPr>
          <w:p w:rsidR="00A25E57" w:rsidRDefault="00A25E57" w:rsidP="00B160A4">
            <w:pPr>
              <w:spacing w:line="240" w:lineRule="auto"/>
              <w:rPr>
                <w:color w:val="000000"/>
                <w:sz w:val="16"/>
                <w:szCs w:val="16"/>
              </w:rPr>
            </w:pPr>
            <w:r>
              <w:rPr>
                <w:color w:val="000000"/>
                <w:sz w:val="16"/>
                <w:szCs w:val="16"/>
              </w:rPr>
              <w:t>V desetině nejníže příjmových domácností jsou nejnižší počty pracujících členů a přitom počet vyživovaných dětí je u nich nejvyšší…,</w:t>
            </w:r>
          </w:p>
        </w:tc>
        <w:tc>
          <w:tcPr>
            <w:tcW w:w="140" w:type="pct"/>
          </w:tcPr>
          <w:p w:rsidR="00A25E57" w:rsidRDefault="00A25E57" w:rsidP="00072F46">
            <w:pPr>
              <w:pStyle w:val="Textpoznpodarou"/>
              <w:jc w:val="both"/>
            </w:pPr>
          </w:p>
        </w:tc>
        <w:tc>
          <w:tcPr>
            <w:tcW w:w="3816" w:type="pct"/>
            <w:gridSpan w:val="3"/>
          </w:tcPr>
          <w:p w:rsidR="00A25E57" w:rsidRPr="00B37A71" w:rsidRDefault="00A25E57" w:rsidP="00072F46">
            <w:pPr>
              <w:pStyle w:val="Textpoznpodarou"/>
              <w:jc w:val="both"/>
              <w:rPr>
                <w:color w:val="000000"/>
              </w:rPr>
            </w:pPr>
            <w:r w:rsidRPr="00B37A71">
              <w:rPr>
                <w:color w:val="000000"/>
              </w:rPr>
              <w:t>D</w:t>
            </w:r>
            <w:r>
              <w:rPr>
                <w:color w:val="000000"/>
              </w:rPr>
              <w:t>alší nerovností je podle grafu 14</w:t>
            </w:r>
            <w:r w:rsidRPr="00B37A71">
              <w:rPr>
                <w:color w:val="000000"/>
              </w:rPr>
              <w:t xml:space="preserve"> počet pracujících členů nízko- a </w:t>
            </w:r>
            <w:proofErr w:type="spellStart"/>
            <w:r w:rsidRPr="00B37A71">
              <w:rPr>
                <w:color w:val="000000"/>
              </w:rPr>
              <w:t>vysokopříjmových</w:t>
            </w:r>
            <w:proofErr w:type="spellEnd"/>
            <w:r w:rsidRPr="00B37A71">
              <w:rPr>
                <w:color w:val="000000"/>
              </w:rPr>
              <w:t xml:space="preserve"> domácností</w:t>
            </w:r>
            <w:r>
              <w:rPr>
                <w:color w:val="000000"/>
              </w:rPr>
              <w:t xml:space="preserve">. V domácnostech </w:t>
            </w:r>
            <w:r w:rsidRPr="00B37A71">
              <w:rPr>
                <w:color w:val="000000"/>
              </w:rPr>
              <w:t xml:space="preserve">dolního decilu pracuje </w:t>
            </w:r>
            <w:r>
              <w:rPr>
                <w:color w:val="000000"/>
              </w:rPr>
              <w:t xml:space="preserve">podle údajů </w:t>
            </w:r>
            <w:r w:rsidRPr="00E43F41">
              <w:rPr>
                <w:color w:val="000000"/>
              </w:rPr>
              <w:t>S</w:t>
            </w:r>
            <w:r>
              <w:rPr>
                <w:color w:val="000000"/>
              </w:rPr>
              <w:t>I</w:t>
            </w:r>
            <w:r w:rsidRPr="00E43F41">
              <w:rPr>
                <w:color w:val="000000"/>
              </w:rPr>
              <w:t>LC ze</w:t>
            </w:r>
            <w:r w:rsidRPr="00B37A71">
              <w:rPr>
                <w:color w:val="000000"/>
              </w:rPr>
              <w:t xml:space="preserve"> zmíněných 3,41 osob připadajících na jednu takovouto domácnost v průměru jen 0,82 osob a přitom počet vyživovaných dětí je v nich nejvyšší ze</w:t>
            </w:r>
            <w:r>
              <w:rPr>
                <w:color w:val="000000"/>
              </w:rPr>
              <w:t> </w:t>
            </w:r>
            <w:r w:rsidRPr="00B37A71">
              <w:rPr>
                <w:color w:val="000000"/>
              </w:rPr>
              <w:t xml:space="preserve">všech skupin decilového rozdělení (v průměru 1,48 dítěte). </w:t>
            </w:r>
          </w:p>
          <w:p w:rsidR="00A25E57" w:rsidRPr="00060A26" w:rsidRDefault="00A25E57" w:rsidP="00072F46">
            <w:pPr>
              <w:pStyle w:val="Textpoznpodarou"/>
              <w:jc w:val="both"/>
              <w:rPr>
                <w:color w:val="000000"/>
              </w:rPr>
            </w:pPr>
          </w:p>
        </w:tc>
      </w:tr>
      <w:tr w:rsidR="00A25E57" w:rsidRPr="00FA57FD" w:rsidTr="00072F46">
        <w:tc>
          <w:tcPr>
            <w:tcW w:w="1044" w:type="pct"/>
            <w:gridSpan w:val="3"/>
          </w:tcPr>
          <w:p w:rsidR="00A25E57" w:rsidRPr="00B37A71" w:rsidRDefault="00A25E57" w:rsidP="00072F46">
            <w:pPr>
              <w:spacing w:line="240" w:lineRule="auto"/>
              <w:rPr>
                <w:color w:val="000000"/>
                <w:spacing w:val="-4"/>
                <w:sz w:val="16"/>
                <w:szCs w:val="16"/>
              </w:rPr>
            </w:pPr>
            <w:r w:rsidRPr="00B37A71">
              <w:rPr>
                <w:color w:val="000000"/>
                <w:spacing w:val="-4"/>
                <w:sz w:val="16"/>
                <w:szCs w:val="16"/>
              </w:rPr>
              <w:t xml:space="preserve">… ale v domácnostech </w:t>
            </w:r>
            <w:proofErr w:type="spellStart"/>
            <w:r w:rsidRPr="00B37A71">
              <w:rPr>
                <w:color w:val="000000"/>
                <w:spacing w:val="-4"/>
                <w:sz w:val="16"/>
                <w:szCs w:val="16"/>
              </w:rPr>
              <w:t>vysokopříjmových</w:t>
            </w:r>
            <w:proofErr w:type="spellEnd"/>
            <w:r w:rsidRPr="00B37A71">
              <w:rPr>
                <w:color w:val="000000"/>
                <w:spacing w:val="-4"/>
                <w:sz w:val="16"/>
                <w:szCs w:val="16"/>
              </w:rPr>
              <w:t xml:space="preserve"> je tomu naopak – z průměrných 1,88 člena na desetinu nejvýše příjmových pracuje 1,50 člena</w:t>
            </w:r>
            <w:r>
              <w:rPr>
                <w:color w:val="000000"/>
                <w:spacing w:val="-4"/>
                <w:sz w:val="16"/>
                <w:szCs w:val="16"/>
              </w:rPr>
              <w:t>,</w:t>
            </w:r>
            <w:r w:rsidRPr="00B37A71">
              <w:rPr>
                <w:color w:val="000000"/>
                <w:spacing w:val="-4"/>
                <w:sz w:val="16"/>
                <w:szCs w:val="16"/>
              </w:rPr>
              <w:t xml:space="preserve"> počty vyživovaných dětí jsou minimální; významné změny sociologického charakteru</w:t>
            </w:r>
          </w:p>
        </w:tc>
        <w:tc>
          <w:tcPr>
            <w:tcW w:w="140" w:type="pct"/>
          </w:tcPr>
          <w:p w:rsidR="00A25E57" w:rsidRDefault="00A25E57" w:rsidP="00072F46">
            <w:pPr>
              <w:pStyle w:val="Textpoznpodarou"/>
              <w:jc w:val="both"/>
            </w:pPr>
          </w:p>
        </w:tc>
        <w:tc>
          <w:tcPr>
            <w:tcW w:w="3816" w:type="pct"/>
            <w:gridSpan w:val="3"/>
          </w:tcPr>
          <w:p w:rsidR="00A25E57" w:rsidRPr="00B160A4" w:rsidRDefault="00A25E57" w:rsidP="00072F46">
            <w:pPr>
              <w:pStyle w:val="Textpoznpodarou"/>
              <w:jc w:val="both"/>
              <w:rPr>
                <w:color w:val="000000"/>
                <w:spacing w:val="-4"/>
              </w:rPr>
            </w:pPr>
            <w:r w:rsidRPr="00B160A4">
              <w:rPr>
                <w:color w:val="000000"/>
                <w:spacing w:val="-4"/>
              </w:rPr>
              <w:t xml:space="preserve">Naopak u domácností </w:t>
            </w:r>
            <w:proofErr w:type="spellStart"/>
            <w:r w:rsidRPr="00B160A4">
              <w:rPr>
                <w:color w:val="000000"/>
                <w:spacing w:val="-4"/>
              </w:rPr>
              <w:t>vysokopříjmových</w:t>
            </w:r>
            <w:proofErr w:type="spellEnd"/>
            <w:r w:rsidRPr="00B160A4">
              <w:rPr>
                <w:color w:val="000000"/>
                <w:spacing w:val="-4"/>
              </w:rPr>
              <w:t xml:space="preserve"> není </w:t>
            </w:r>
            <w:r w:rsidR="00B160A4" w:rsidRPr="00B160A4">
              <w:rPr>
                <w:color w:val="000000"/>
                <w:spacing w:val="-4"/>
              </w:rPr>
              <w:t xml:space="preserve">zřejmě </w:t>
            </w:r>
            <w:r w:rsidRPr="00B160A4">
              <w:rPr>
                <w:color w:val="000000"/>
                <w:spacing w:val="-4"/>
              </w:rPr>
              <w:t xml:space="preserve">s prací problém  - z průměrných 1,88 osob připadajících na takovouto domácností pracovalo v roce 2014 v průměru 1,50 člena. Navíc šlo o domácnosti prakticky bez dětí (na jednu domácnost z desetiny nejvýše příjmových připadalo v průměru pouze 0,19 vyživovaných dětí). </w:t>
            </w:r>
          </w:p>
          <w:p w:rsidR="00A25E57" w:rsidRPr="00060A26" w:rsidRDefault="00A25E57" w:rsidP="00072F46">
            <w:pPr>
              <w:pStyle w:val="Textpoznpodarou"/>
              <w:jc w:val="both"/>
              <w:rPr>
                <w:color w:val="000000"/>
                <w:spacing w:val="-2"/>
              </w:rPr>
            </w:pPr>
          </w:p>
          <w:p w:rsidR="00A25E57" w:rsidRDefault="00A25E57" w:rsidP="00072F46">
            <w:pPr>
              <w:pStyle w:val="Textpoznpodarou"/>
              <w:jc w:val="both"/>
              <w:rPr>
                <w:color w:val="000000"/>
                <w:spacing w:val="-2"/>
                <w:sz w:val="16"/>
                <w:szCs w:val="16"/>
              </w:rPr>
            </w:pPr>
            <w:r>
              <w:rPr>
                <w:color w:val="000000"/>
                <w:spacing w:val="-2"/>
              </w:rPr>
              <w:t xml:space="preserve">Tento stav ukazuje na významné sociologické změny v charakteru rodin v posledních zhruba dvou dekádách – jednak odklon od rodin </w:t>
            </w:r>
            <w:proofErr w:type="spellStart"/>
            <w:r>
              <w:rPr>
                <w:color w:val="000000"/>
                <w:spacing w:val="-2"/>
              </w:rPr>
              <w:t>vícegeneračních</w:t>
            </w:r>
            <w:proofErr w:type="spellEnd"/>
            <w:r>
              <w:rPr>
                <w:color w:val="000000"/>
                <w:spacing w:val="-2"/>
              </w:rPr>
              <w:t>, ale i kariérní preference před zakládáním rodin s dětmi, aj.</w:t>
            </w:r>
          </w:p>
          <w:p w:rsidR="00A25E57" w:rsidRPr="00060A26" w:rsidRDefault="00A25E57" w:rsidP="00072F46">
            <w:pPr>
              <w:pStyle w:val="Textpoznpodarou"/>
              <w:jc w:val="both"/>
              <w:rPr>
                <w:color w:val="000000"/>
                <w:spacing w:val="-2"/>
              </w:rPr>
            </w:pPr>
          </w:p>
        </w:tc>
      </w:tr>
      <w:tr w:rsidR="00A25E57" w:rsidRPr="00FA57FD" w:rsidTr="00072F46">
        <w:tc>
          <w:tcPr>
            <w:tcW w:w="1044" w:type="pct"/>
            <w:gridSpan w:val="3"/>
          </w:tcPr>
          <w:p w:rsidR="00A25E57" w:rsidRDefault="00A25E57" w:rsidP="00072F46">
            <w:pPr>
              <w:spacing w:line="240" w:lineRule="auto"/>
              <w:rPr>
                <w:color w:val="000000"/>
                <w:sz w:val="16"/>
                <w:szCs w:val="16"/>
              </w:rPr>
            </w:pPr>
            <w:r>
              <w:rPr>
                <w:color w:val="000000"/>
                <w:sz w:val="16"/>
                <w:szCs w:val="16"/>
              </w:rPr>
              <w:t xml:space="preserve">Zatímco u </w:t>
            </w:r>
            <w:proofErr w:type="spellStart"/>
            <w:r>
              <w:rPr>
                <w:color w:val="000000"/>
                <w:sz w:val="16"/>
                <w:szCs w:val="16"/>
              </w:rPr>
              <w:t>nízkopříjmových</w:t>
            </w:r>
            <w:proofErr w:type="spellEnd"/>
            <w:r>
              <w:rPr>
                <w:color w:val="000000"/>
                <w:sz w:val="16"/>
                <w:szCs w:val="16"/>
              </w:rPr>
              <w:t xml:space="preserve"> domácností tvořily v roce 2013 třetinu hrubých příjmů sociální příjmy, u </w:t>
            </w:r>
            <w:proofErr w:type="spellStart"/>
            <w:r>
              <w:rPr>
                <w:color w:val="000000"/>
                <w:sz w:val="16"/>
                <w:szCs w:val="16"/>
              </w:rPr>
              <w:t>vysokopřímových</w:t>
            </w:r>
            <w:proofErr w:type="spellEnd"/>
            <w:r>
              <w:rPr>
                <w:color w:val="000000"/>
                <w:sz w:val="16"/>
                <w:szCs w:val="16"/>
              </w:rPr>
              <w:t xml:space="preserve"> pocházelo</w:t>
            </w:r>
          </w:p>
          <w:p w:rsidR="00A25E57" w:rsidRPr="00B37A71" w:rsidRDefault="00A25E57" w:rsidP="00072F46">
            <w:pPr>
              <w:spacing w:line="240" w:lineRule="auto"/>
              <w:rPr>
                <w:color w:val="000000"/>
                <w:spacing w:val="-4"/>
                <w:sz w:val="16"/>
                <w:szCs w:val="16"/>
              </w:rPr>
            </w:pPr>
            <w:r>
              <w:rPr>
                <w:color w:val="000000"/>
                <w:sz w:val="16"/>
                <w:szCs w:val="16"/>
              </w:rPr>
              <w:t>téměř devět desetin příjmů z mezd a z podnikání</w:t>
            </w:r>
          </w:p>
        </w:tc>
        <w:tc>
          <w:tcPr>
            <w:tcW w:w="140" w:type="pct"/>
          </w:tcPr>
          <w:p w:rsidR="00A25E57" w:rsidRDefault="00A25E57" w:rsidP="00072F46">
            <w:pPr>
              <w:pStyle w:val="Textpoznpodarou"/>
              <w:jc w:val="both"/>
            </w:pPr>
          </w:p>
        </w:tc>
        <w:tc>
          <w:tcPr>
            <w:tcW w:w="3816" w:type="pct"/>
            <w:gridSpan w:val="3"/>
          </w:tcPr>
          <w:p w:rsidR="00A25E57" w:rsidRDefault="00A25E57" w:rsidP="00072F46">
            <w:pPr>
              <w:pStyle w:val="Textpoznpodarou"/>
              <w:jc w:val="both"/>
              <w:rPr>
                <w:color w:val="000000"/>
                <w:spacing w:val="-2"/>
              </w:rPr>
            </w:pPr>
            <w:r>
              <w:rPr>
                <w:color w:val="000000"/>
                <w:spacing w:val="-2"/>
              </w:rPr>
              <w:t xml:space="preserve">Pohled na strukturu příjmů nízko- a </w:t>
            </w:r>
            <w:proofErr w:type="spellStart"/>
            <w:r>
              <w:rPr>
                <w:color w:val="000000"/>
                <w:spacing w:val="-2"/>
              </w:rPr>
              <w:t>vysokopříjmových</w:t>
            </w:r>
            <w:proofErr w:type="spellEnd"/>
            <w:r>
              <w:rPr>
                <w:color w:val="000000"/>
                <w:spacing w:val="-2"/>
              </w:rPr>
              <w:t xml:space="preserve"> domácností (grafy 15 a 16) dokládá výše zmíněné konstatace týkající se složení těchto příjmů. Zatímco v desetině nejníže příjmových tvořil podle SILC v roce 2013 podíl mezd a platů (příjmů ze závislé činnosti) jen polovinu jejich celkových hrubých příjmů (51 %) a nízký byl i podíl příjmů z podnikání (11,3 %), třetinu hrubých příjmů naopak představovaly sociální příjmy. Z charakteru </w:t>
            </w:r>
            <w:proofErr w:type="spellStart"/>
            <w:r>
              <w:rPr>
                <w:color w:val="000000"/>
                <w:spacing w:val="-2"/>
              </w:rPr>
              <w:t>nízkopříjmových</w:t>
            </w:r>
            <w:proofErr w:type="spellEnd"/>
            <w:r>
              <w:rPr>
                <w:color w:val="000000"/>
                <w:spacing w:val="-2"/>
              </w:rPr>
              <w:t xml:space="preserve"> domácností je takováto struktura logická. </w:t>
            </w:r>
          </w:p>
          <w:p w:rsidR="00A25E57" w:rsidRPr="00060A26" w:rsidRDefault="00A25E57" w:rsidP="00072F46">
            <w:pPr>
              <w:pStyle w:val="Textpoznpodarou"/>
              <w:jc w:val="both"/>
              <w:rPr>
                <w:color w:val="000000"/>
                <w:spacing w:val="-2"/>
              </w:rPr>
            </w:pPr>
          </w:p>
          <w:p w:rsidR="00A25E57" w:rsidRDefault="00A25E57" w:rsidP="00072F46">
            <w:pPr>
              <w:pStyle w:val="Textpoznpodarou"/>
              <w:jc w:val="both"/>
              <w:rPr>
                <w:color w:val="000000"/>
                <w:spacing w:val="-2"/>
              </w:rPr>
            </w:pPr>
            <w:r>
              <w:rPr>
                <w:color w:val="000000"/>
                <w:spacing w:val="-2"/>
              </w:rPr>
              <w:t xml:space="preserve">U </w:t>
            </w:r>
            <w:proofErr w:type="spellStart"/>
            <w:r>
              <w:rPr>
                <w:color w:val="000000"/>
                <w:spacing w:val="-2"/>
              </w:rPr>
              <w:t>vysokopříjmových</w:t>
            </w:r>
            <w:proofErr w:type="spellEnd"/>
            <w:r>
              <w:rPr>
                <w:color w:val="000000"/>
                <w:spacing w:val="-2"/>
              </w:rPr>
              <w:t xml:space="preserve"> domácností pocházelo v roce 2013 téměř devět desetin (88,9 %) všech hrubých peněžních příjmů z mezd a platů a z podnikání (ze závislé činnosti téměř dvě třetiny těchto příjmů).</w:t>
            </w:r>
          </w:p>
          <w:p w:rsidR="00A25E57" w:rsidRPr="00060A26" w:rsidRDefault="00A25E57" w:rsidP="00072F46">
            <w:pPr>
              <w:pStyle w:val="Textpoznpodarou"/>
              <w:jc w:val="both"/>
              <w:rPr>
                <w:color w:val="000000"/>
                <w:spacing w:val="-2"/>
              </w:rPr>
            </w:pPr>
          </w:p>
        </w:tc>
      </w:tr>
      <w:tr w:rsidR="00A25E57" w:rsidRPr="00FA57FD" w:rsidTr="00072F46">
        <w:tc>
          <w:tcPr>
            <w:tcW w:w="1044" w:type="pct"/>
            <w:gridSpan w:val="3"/>
          </w:tcPr>
          <w:p w:rsidR="00A25E57" w:rsidRPr="00B37A71" w:rsidRDefault="00A25E57" w:rsidP="00072F46">
            <w:pPr>
              <w:spacing w:line="240" w:lineRule="auto"/>
              <w:rPr>
                <w:color w:val="000000"/>
                <w:spacing w:val="-4"/>
                <w:sz w:val="16"/>
                <w:szCs w:val="16"/>
              </w:rPr>
            </w:pPr>
            <w:r>
              <w:rPr>
                <w:color w:val="000000"/>
                <w:sz w:val="16"/>
                <w:szCs w:val="16"/>
              </w:rPr>
              <w:t xml:space="preserve">Nerovnost mezi nízko- a </w:t>
            </w:r>
            <w:proofErr w:type="spellStart"/>
            <w:r>
              <w:rPr>
                <w:color w:val="000000"/>
                <w:sz w:val="16"/>
                <w:szCs w:val="16"/>
              </w:rPr>
              <w:t>vysokopříjmovými</w:t>
            </w:r>
            <w:proofErr w:type="spellEnd"/>
            <w:r>
              <w:rPr>
                <w:color w:val="000000"/>
                <w:sz w:val="16"/>
                <w:szCs w:val="16"/>
              </w:rPr>
              <w:t xml:space="preserve"> domácnostmi se ve druhém roce recese české </w:t>
            </w:r>
            <w:r>
              <w:rPr>
                <w:color w:val="000000"/>
                <w:sz w:val="16"/>
                <w:szCs w:val="16"/>
              </w:rPr>
              <w:lastRenderedPageBreak/>
              <w:t>ekonomiky (2013) meziročně dále zvětšila</w:t>
            </w:r>
          </w:p>
        </w:tc>
        <w:tc>
          <w:tcPr>
            <w:tcW w:w="140" w:type="pct"/>
          </w:tcPr>
          <w:p w:rsidR="00A25E57" w:rsidRDefault="00A25E57" w:rsidP="00072F46">
            <w:pPr>
              <w:pStyle w:val="Textpoznpodarou"/>
              <w:jc w:val="both"/>
            </w:pPr>
          </w:p>
        </w:tc>
        <w:tc>
          <w:tcPr>
            <w:tcW w:w="3816" w:type="pct"/>
            <w:gridSpan w:val="3"/>
          </w:tcPr>
          <w:p w:rsidR="00A25E57" w:rsidRDefault="00A25E57" w:rsidP="00072F46">
            <w:pPr>
              <w:pStyle w:val="Textpoznpodarou"/>
              <w:jc w:val="both"/>
              <w:rPr>
                <w:color w:val="000000"/>
                <w:spacing w:val="-2"/>
              </w:rPr>
            </w:pPr>
            <w:r>
              <w:rPr>
                <w:color w:val="000000"/>
                <w:spacing w:val="-2"/>
              </w:rPr>
              <w:t>V úhrnu představovaly za rok 2013 hrubé peněžní příjmy na osobu v desetině nejníže příjmových domácností 68 0</w:t>
            </w:r>
            <w:r w:rsidR="00A674E1">
              <w:rPr>
                <w:color w:val="000000"/>
                <w:spacing w:val="-2"/>
              </w:rPr>
              <w:t>8</w:t>
            </w:r>
            <w:r>
              <w:rPr>
                <w:color w:val="000000"/>
                <w:spacing w:val="-2"/>
              </w:rPr>
              <w:t>5 korun, zatímco u desetiny domácností s nejvyššími příjmy 470 741 korun na osobu.</w:t>
            </w:r>
          </w:p>
          <w:p w:rsidR="00A25E57" w:rsidRPr="00060A26" w:rsidRDefault="00A25E57" w:rsidP="00072F46">
            <w:pPr>
              <w:pStyle w:val="Textpoznpodarou"/>
              <w:jc w:val="both"/>
              <w:rPr>
                <w:color w:val="000000"/>
              </w:rPr>
            </w:pPr>
            <w:r w:rsidRPr="00060A26">
              <w:rPr>
                <w:color w:val="000000"/>
              </w:rPr>
              <w:lastRenderedPageBreak/>
              <w:t>Srovnáme-li tyto částky s ob</w:t>
            </w:r>
            <w:r>
              <w:rPr>
                <w:color w:val="000000"/>
              </w:rPr>
              <w:t>dobnými za rok 2012, tedy první rok</w:t>
            </w:r>
            <w:r w:rsidRPr="00060A26">
              <w:rPr>
                <w:color w:val="000000"/>
              </w:rPr>
              <w:t xml:space="preserve"> recese české ekonomiky, je z nich patrné, že sociální disparita měřená rozdíly mezi desetinou nejníže příjmových a desetinou nejvýše příjmových domácností se v roce 2013 dále zvětšila. Zatímco hrubé peněžní příjmy na osobu domácností v dolním decilu meziročně pouze stagnovaly (-0,04 %), příjmy domácností v horním decilu významně stouply (+5 %).</w:t>
            </w:r>
          </w:p>
          <w:p w:rsidR="00A25E57" w:rsidRPr="00477A06" w:rsidRDefault="00A25E57" w:rsidP="00072F46">
            <w:pPr>
              <w:pStyle w:val="Textpoznpodarou"/>
              <w:jc w:val="both"/>
              <w:rPr>
                <w:color w:val="000000"/>
                <w:spacing w:val="-2"/>
                <w:sz w:val="16"/>
                <w:szCs w:val="16"/>
              </w:rPr>
            </w:pPr>
          </w:p>
        </w:tc>
      </w:tr>
      <w:tr w:rsidR="00A25E57" w:rsidRPr="00817C98" w:rsidTr="00072F46">
        <w:trPr>
          <w:gridBefore w:val="1"/>
          <w:wBefore w:w="13" w:type="pct"/>
        </w:trPr>
        <w:tc>
          <w:tcPr>
            <w:tcW w:w="377" w:type="pct"/>
          </w:tcPr>
          <w:p w:rsidR="00A25E57" w:rsidRDefault="00A25E57" w:rsidP="00072F46">
            <w:pPr>
              <w:spacing w:line="240" w:lineRule="auto"/>
            </w:pPr>
            <w:r>
              <w:lastRenderedPageBreak/>
              <w:t>Graf č. 15</w:t>
            </w:r>
          </w:p>
        </w:tc>
        <w:tc>
          <w:tcPr>
            <w:tcW w:w="2107" w:type="pct"/>
            <w:gridSpan w:val="3"/>
          </w:tcPr>
          <w:p w:rsidR="00A25E57" w:rsidRDefault="00A25E57" w:rsidP="00072F46">
            <w:pPr>
              <w:pStyle w:val="Textpoznpodarou"/>
              <w:rPr>
                <w:rFonts w:cs="Arial"/>
                <w:szCs w:val="24"/>
              </w:rPr>
            </w:pPr>
            <w:r>
              <w:rPr>
                <w:rFonts w:cs="Arial"/>
                <w:b/>
                <w:bCs/>
              </w:rPr>
              <w:t xml:space="preserve">Dolní decil – struktura hrubých peněžních příjmů domácností na osobu </w:t>
            </w:r>
            <w:r w:rsidRPr="00DB06E9">
              <w:rPr>
                <w:rFonts w:cs="Arial"/>
                <w:bCs/>
              </w:rPr>
              <w:t>(</w:t>
            </w:r>
            <w:r>
              <w:rPr>
                <w:rFonts w:cs="Arial"/>
                <w:bCs/>
              </w:rPr>
              <w:t>podíly v %)</w:t>
            </w:r>
          </w:p>
        </w:tc>
        <w:tc>
          <w:tcPr>
            <w:tcW w:w="353" w:type="pct"/>
          </w:tcPr>
          <w:p w:rsidR="00A25E57" w:rsidRDefault="00A25E57" w:rsidP="00072F46">
            <w:pPr>
              <w:spacing w:line="240" w:lineRule="auto"/>
            </w:pPr>
            <w:r>
              <w:t>Graf č. 16</w:t>
            </w:r>
          </w:p>
        </w:tc>
        <w:tc>
          <w:tcPr>
            <w:tcW w:w="2150" w:type="pct"/>
          </w:tcPr>
          <w:p w:rsidR="00A25E57" w:rsidRPr="00817C98" w:rsidRDefault="00A25E57" w:rsidP="00072F46">
            <w:pPr>
              <w:rPr>
                <w:rFonts w:cs="Arial"/>
                <w:b/>
                <w:bCs/>
              </w:rPr>
            </w:pPr>
            <w:r>
              <w:rPr>
                <w:rFonts w:cs="Arial"/>
                <w:b/>
                <w:bCs/>
              </w:rPr>
              <w:t xml:space="preserve">Horní decil – struktura hrubých peněžních příjmů domácností na osobu </w:t>
            </w:r>
            <w:r w:rsidRPr="00DB06E9">
              <w:rPr>
                <w:rFonts w:cs="Arial"/>
                <w:bCs/>
              </w:rPr>
              <w:t>(</w:t>
            </w:r>
            <w:r>
              <w:rPr>
                <w:rFonts w:cs="Arial"/>
                <w:bCs/>
              </w:rPr>
              <w:t xml:space="preserve">podíly v %) </w:t>
            </w:r>
          </w:p>
        </w:tc>
      </w:tr>
      <w:tr w:rsidR="00A25E57" w:rsidTr="00072F46">
        <w:trPr>
          <w:gridBefore w:val="1"/>
          <w:wBefore w:w="13" w:type="pct"/>
        </w:trPr>
        <w:tc>
          <w:tcPr>
            <w:tcW w:w="2484" w:type="pct"/>
            <w:gridSpan w:val="4"/>
          </w:tcPr>
          <w:p w:rsidR="00A25E57" w:rsidRPr="008A5942" w:rsidRDefault="002A5986" w:rsidP="00072F46">
            <w:pPr>
              <w:pStyle w:val="Textpoznpodarou"/>
              <w:jc w:val="both"/>
            </w:pPr>
            <w:r>
              <w:pict>
                <v:shape id="_x0000_i1132" type="#_x0000_t75" style="width:240pt;height:195.75pt">
                  <v:imagedata r:id="rId22" o:title=""/>
                </v:shape>
              </w:pict>
            </w:r>
          </w:p>
        </w:tc>
        <w:tc>
          <w:tcPr>
            <w:tcW w:w="2503" w:type="pct"/>
            <w:gridSpan w:val="2"/>
          </w:tcPr>
          <w:p w:rsidR="00A25E57" w:rsidRPr="002155A9" w:rsidRDefault="002A5986" w:rsidP="00072F46">
            <w:pPr>
              <w:pStyle w:val="Textpoznpodarou"/>
              <w:jc w:val="right"/>
              <w:rPr>
                <w:noProof/>
              </w:rPr>
            </w:pPr>
            <w:r>
              <w:rPr>
                <w:noProof/>
              </w:rPr>
              <w:pict>
                <v:shape id="_x0000_i1133" type="#_x0000_t75" style="width:240pt;height:195.75pt">
                  <v:imagedata r:id="rId23" o:title=""/>
                </v:shape>
              </w:pict>
            </w:r>
          </w:p>
          <w:p w:rsidR="00A25E57" w:rsidRPr="000F5E7A" w:rsidRDefault="00A25E57" w:rsidP="00072F46">
            <w:pPr>
              <w:pStyle w:val="Textpoznpodarou"/>
              <w:jc w:val="right"/>
              <w:rPr>
                <w:sz w:val="18"/>
                <w:szCs w:val="18"/>
              </w:rPr>
            </w:pPr>
            <w:r>
              <w:rPr>
                <w:sz w:val="18"/>
                <w:szCs w:val="18"/>
              </w:rPr>
              <w:t>Zdroj</w:t>
            </w:r>
            <w:r w:rsidR="0025186A">
              <w:rPr>
                <w:sz w:val="18"/>
                <w:szCs w:val="18"/>
              </w:rPr>
              <w:t>: ČSÚ</w:t>
            </w:r>
            <w:r w:rsidRPr="000F5E7A">
              <w:rPr>
                <w:sz w:val="18"/>
                <w:szCs w:val="18"/>
              </w:rPr>
              <w:t xml:space="preserve"> </w:t>
            </w:r>
            <w:r w:rsidR="0025186A">
              <w:rPr>
                <w:sz w:val="18"/>
                <w:szCs w:val="18"/>
              </w:rPr>
              <w:t>(</w:t>
            </w:r>
            <w:r w:rsidRPr="000F5E7A">
              <w:rPr>
                <w:sz w:val="18"/>
                <w:szCs w:val="18"/>
              </w:rPr>
              <w:t>SILC</w:t>
            </w:r>
            <w:r w:rsidR="0025186A">
              <w:rPr>
                <w:sz w:val="18"/>
                <w:szCs w:val="18"/>
              </w:rPr>
              <w:t>)</w:t>
            </w:r>
          </w:p>
        </w:tc>
      </w:tr>
    </w:tbl>
    <w:p w:rsidR="00A25E57" w:rsidRPr="00060A26" w:rsidRDefault="00A25E57" w:rsidP="00A25E57">
      <w:pPr>
        <w:rPr>
          <w:b/>
          <w:szCs w:val="20"/>
        </w:rPr>
      </w:pPr>
    </w:p>
    <w:p w:rsidR="00A25E57" w:rsidRPr="00C0165A" w:rsidRDefault="00A25E57" w:rsidP="002A5986">
      <w:pPr>
        <w:pStyle w:val="Nadpis3"/>
        <w:numPr>
          <w:ilvl w:val="3"/>
          <w:numId w:val="9"/>
        </w:numPr>
        <w:rPr>
          <w:color w:val="auto"/>
          <w:sz w:val="20"/>
          <w:szCs w:val="20"/>
        </w:rPr>
      </w:pPr>
      <w:bookmarkStart w:id="14" w:name="_Toc424903549"/>
      <w:bookmarkStart w:id="15" w:name="_Toc426017687"/>
      <w:r w:rsidRPr="00C0165A">
        <w:rPr>
          <w:color w:val="auto"/>
          <w:sz w:val="20"/>
          <w:szCs w:val="20"/>
        </w:rPr>
        <w:t>Rozdíly mezi domácnostmi zaměstnanců a domácnostmi důchodců</w:t>
      </w:r>
      <w:bookmarkEnd w:id="14"/>
      <w:bookmarkEnd w:id="15"/>
    </w:p>
    <w:tbl>
      <w:tblPr>
        <w:tblW w:w="5043" w:type="pct"/>
        <w:tblInd w:w="-42" w:type="dxa"/>
        <w:tblCellMar>
          <w:left w:w="28" w:type="dxa"/>
          <w:right w:w="28" w:type="dxa"/>
        </w:tblCellMar>
        <w:tblLook w:val="00A0"/>
      </w:tblPr>
      <w:tblGrid>
        <w:gridCol w:w="30"/>
        <w:gridCol w:w="630"/>
        <w:gridCol w:w="1377"/>
        <w:gridCol w:w="272"/>
        <w:gridCol w:w="2532"/>
        <w:gridCol w:w="706"/>
        <w:gridCol w:w="4230"/>
      </w:tblGrid>
      <w:tr w:rsidR="00A25E57" w:rsidRPr="00FA57FD" w:rsidTr="00072F46">
        <w:tc>
          <w:tcPr>
            <w:tcW w:w="1042" w:type="pct"/>
            <w:gridSpan w:val="3"/>
          </w:tcPr>
          <w:p w:rsidR="00A25E57" w:rsidRDefault="00A25E57" w:rsidP="00072F46">
            <w:pPr>
              <w:spacing w:line="240" w:lineRule="auto"/>
              <w:rPr>
                <w:color w:val="000000"/>
                <w:sz w:val="16"/>
                <w:szCs w:val="16"/>
              </w:rPr>
            </w:pPr>
            <w:r>
              <w:rPr>
                <w:color w:val="000000"/>
                <w:sz w:val="16"/>
                <w:szCs w:val="16"/>
              </w:rPr>
              <w:t>Domácnosti zaměstnanců a domácnosti důchodců mají rozdílnou strukturu spotřeby, struktur členů domácnosti i rozdíly v příjmech</w:t>
            </w:r>
          </w:p>
        </w:tc>
        <w:tc>
          <w:tcPr>
            <w:tcW w:w="139" w:type="pct"/>
          </w:tcPr>
          <w:p w:rsidR="00A25E57" w:rsidRDefault="00A25E57" w:rsidP="00072F46">
            <w:pPr>
              <w:pStyle w:val="Textpoznpodarou"/>
              <w:jc w:val="both"/>
            </w:pPr>
          </w:p>
        </w:tc>
        <w:tc>
          <w:tcPr>
            <w:tcW w:w="3819" w:type="pct"/>
            <w:gridSpan w:val="3"/>
          </w:tcPr>
          <w:p w:rsidR="00A25E57" w:rsidRDefault="00A25E57" w:rsidP="00072F46">
            <w:pPr>
              <w:pStyle w:val="Textpoznpodarou"/>
              <w:jc w:val="both"/>
              <w:rPr>
                <w:color w:val="000000"/>
                <w:spacing w:val="-2"/>
              </w:rPr>
            </w:pPr>
            <w:r>
              <w:rPr>
                <w:color w:val="000000"/>
                <w:spacing w:val="-2"/>
              </w:rPr>
              <w:t>O disparitách mezi sociálními skupinami vypovídají i data za domácnosti zaměstnanců a domácnosti důchodců. Jde</w:t>
            </w:r>
            <w:r w:rsidR="0025186A">
              <w:rPr>
                <w:color w:val="000000"/>
                <w:spacing w:val="-2"/>
              </w:rPr>
              <w:t xml:space="preserve"> h</w:t>
            </w:r>
            <w:r w:rsidR="00D24DA0">
              <w:rPr>
                <w:color w:val="000000"/>
                <w:spacing w:val="-2"/>
              </w:rPr>
              <w:t>l</w:t>
            </w:r>
            <w:r w:rsidR="0025186A">
              <w:rPr>
                <w:color w:val="000000"/>
                <w:spacing w:val="-2"/>
              </w:rPr>
              <w:t>a</w:t>
            </w:r>
            <w:r w:rsidR="00D24DA0">
              <w:rPr>
                <w:color w:val="000000"/>
                <w:spacing w:val="-2"/>
              </w:rPr>
              <w:t>vně</w:t>
            </w:r>
            <w:r>
              <w:rPr>
                <w:color w:val="000000"/>
                <w:spacing w:val="-2"/>
              </w:rPr>
              <w:t xml:space="preserve"> o strukturu jejich spotřeby, která je rozdílná (v domácnostech důchodců mají větší váhu základní potřeby jako potraviny a bydlení, ale i výdaje za zdraví), v domácnostech zaměstnanců pak hraje roli, zda jde o domácnosti s dětmi či bez dětí. </w:t>
            </w:r>
          </w:p>
          <w:p w:rsidR="00A25E57" w:rsidRPr="00477A06" w:rsidRDefault="00A25E57" w:rsidP="00072F46">
            <w:pPr>
              <w:pStyle w:val="Textpoznpodarou"/>
              <w:jc w:val="both"/>
              <w:rPr>
                <w:color w:val="000000"/>
                <w:spacing w:val="-2"/>
                <w:sz w:val="16"/>
                <w:szCs w:val="16"/>
              </w:rPr>
            </w:pPr>
          </w:p>
          <w:p w:rsidR="00A25E57" w:rsidRDefault="00A25E57" w:rsidP="00072F46">
            <w:pPr>
              <w:pStyle w:val="Textpoznpodarou"/>
              <w:jc w:val="both"/>
              <w:rPr>
                <w:color w:val="000000"/>
                <w:spacing w:val="-2"/>
              </w:rPr>
            </w:pPr>
            <w:r>
              <w:rPr>
                <w:color w:val="000000"/>
                <w:spacing w:val="-2"/>
              </w:rPr>
              <w:t>Rozdíly mezi oběma typy domácností však panují i v příjmech, resp. jejich struktuře. I zde lze sledovat diference podle kvantilového rozdělení, v tomto případě po </w:t>
            </w:r>
            <w:proofErr w:type="spellStart"/>
            <w:r>
              <w:rPr>
                <w:color w:val="000000"/>
                <w:spacing w:val="-2"/>
              </w:rPr>
              <w:t>kvintilech</w:t>
            </w:r>
            <w:proofErr w:type="spellEnd"/>
            <w:r>
              <w:rPr>
                <w:color w:val="000000"/>
                <w:spacing w:val="-2"/>
              </w:rPr>
              <w:t xml:space="preserve"> – jako pětině nejvýše a nejníže příjmových v každé sociální skupině. </w:t>
            </w:r>
          </w:p>
          <w:p w:rsidR="00A25E57" w:rsidRPr="00477A06" w:rsidRDefault="00A25E57" w:rsidP="00072F46">
            <w:pPr>
              <w:pStyle w:val="Textpoznpodarou"/>
              <w:jc w:val="both"/>
              <w:rPr>
                <w:color w:val="000000"/>
                <w:spacing w:val="-2"/>
                <w:sz w:val="16"/>
                <w:szCs w:val="16"/>
              </w:rPr>
            </w:pPr>
            <w:r>
              <w:rPr>
                <w:color w:val="000000"/>
                <w:spacing w:val="-2"/>
              </w:rPr>
              <w:t xml:space="preserve"> </w:t>
            </w:r>
          </w:p>
        </w:tc>
      </w:tr>
      <w:tr w:rsidR="00A25E57" w:rsidRPr="00FA57FD" w:rsidTr="00072F46">
        <w:tc>
          <w:tcPr>
            <w:tcW w:w="1042" w:type="pct"/>
            <w:gridSpan w:val="3"/>
          </w:tcPr>
          <w:p w:rsidR="00A25E57" w:rsidRDefault="00A25E57" w:rsidP="00072F46">
            <w:pPr>
              <w:spacing w:line="240" w:lineRule="auto"/>
              <w:rPr>
                <w:color w:val="000000"/>
                <w:sz w:val="16"/>
                <w:szCs w:val="16"/>
              </w:rPr>
            </w:pPr>
            <w:r>
              <w:rPr>
                <w:color w:val="000000"/>
                <w:sz w:val="16"/>
                <w:szCs w:val="16"/>
              </w:rPr>
              <w:t>V příjmové struktuře pětiny domácností s nejnižšími příjmy fakticky vůbec nefigurují příjmy z podnikání a jejich chudobu dokládá i velmi nízký podíl tzv. ostatních příjmů</w:t>
            </w:r>
          </w:p>
        </w:tc>
        <w:tc>
          <w:tcPr>
            <w:tcW w:w="139" w:type="pct"/>
          </w:tcPr>
          <w:p w:rsidR="00A25E57" w:rsidRDefault="00A25E57" w:rsidP="00072F46">
            <w:pPr>
              <w:pStyle w:val="Textpoznpodarou"/>
              <w:jc w:val="both"/>
            </w:pPr>
          </w:p>
        </w:tc>
        <w:tc>
          <w:tcPr>
            <w:tcW w:w="3819" w:type="pct"/>
            <w:gridSpan w:val="3"/>
          </w:tcPr>
          <w:p w:rsidR="00A25E57" w:rsidRDefault="00A25E57" w:rsidP="00072F46">
            <w:pPr>
              <w:pStyle w:val="Textpoznpodarou"/>
              <w:jc w:val="both"/>
              <w:rPr>
                <w:color w:val="000000"/>
              </w:rPr>
            </w:pPr>
            <w:r w:rsidRPr="00B37A71">
              <w:rPr>
                <w:color w:val="000000"/>
              </w:rPr>
              <w:t>Srovnáme-li pětinu nejníže příjmových domácností zaměstnanců a pětinu nejníže příjmových d</w:t>
            </w:r>
            <w:r>
              <w:rPr>
                <w:color w:val="000000"/>
              </w:rPr>
              <w:t>omácností důchodců, je z grafu 17</w:t>
            </w:r>
            <w:r w:rsidRPr="00B37A71">
              <w:rPr>
                <w:color w:val="000000"/>
              </w:rPr>
              <w:t xml:space="preserve"> patrná nejen evidentní skutečnost, že v příjmech zaměstnanců převažují mzdy a platy a v příjmech důchodců sociální příjmy. U nejníže příjmových důchodců prakticky vůbec nefigurují příjmy z podnikání, což lze zřejmě vysvětlit charakterem předchozího pracovního působení těchto lidí (před odchodem do důchodu vykonávali pravděpodobně méně placenou práci v pracovním poměru). I v důchodu z nich zřejmě dále pracuje jen velmi malá část (ve struktuře příjmů jsou u pětiny nejníže příjmových důchodců zastoupeny příjmy ze závislé činnosti jen </w:t>
            </w:r>
            <w:proofErr w:type="gramStart"/>
            <w:r w:rsidRPr="00B37A71">
              <w:rPr>
                <w:color w:val="000000"/>
              </w:rPr>
              <w:t>z</w:t>
            </w:r>
            <w:r>
              <w:rPr>
                <w:color w:val="000000"/>
              </w:rPr>
              <w:t>e</w:t>
            </w:r>
            <w:proofErr w:type="gramEnd"/>
            <w:r>
              <w:rPr>
                <w:color w:val="000000"/>
              </w:rPr>
              <w:t xml:space="preserve"> 2</w:t>
            </w:r>
            <w:r w:rsidRPr="00B37A71">
              <w:rPr>
                <w:color w:val="000000"/>
              </w:rPr>
              <w:t xml:space="preserve"> %). O jejich relativní chudobě svědčí i velmi nízké zastoupení ostatních příjmů (1</w:t>
            </w:r>
            <w:r>
              <w:rPr>
                <w:color w:val="000000"/>
              </w:rPr>
              <w:t>,7</w:t>
            </w:r>
            <w:r w:rsidRPr="00B37A71">
              <w:rPr>
                <w:color w:val="000000"/>
              </w:rPr>
              <w:t xml:space="preserve"> % hrubých peněžních příjmů).</w:t>
            </w:r>
          </w:p>
          <w:p w:rsidR="00A25E57" w:rsidRPr="00477A06" w:rsidRDefault="00A25E57" w:rsidP="00072F46">
            <w:pPr>
              <w:pStyle w:val="Textpoznpodarou"/>
              <w:jc w:val="both"/>
              <w:rPr>
                <w:color w:val="000000"/>
                <w:spacing w:val="-2"/>
                <w:sz w:val="16"/>
                <w:szCs w:val="16"/>
              </w:rPr>
            </w:pPr>
          </w:p>
        </w:tc>
      </w:tr>
      <w:tr w:rsidR="00A25E57" w:rsidRPr="00FA57FD" w:rsidTr="00072F46">
        <w:tc>
          <w:tcPr>
            <w:tcW w:w="1042" w:type="pct"/>
            <w:gridSpan w:val="3"/>
          </w:tcPr>
          <w:p w:rsidR="00A25E57" w:rsidRDefault="00A25E57" w:rsidP="00072F46">
            <w:pPr>
              <w:spacing w:line="240" w:lineRule="auto"/>
              <w:rPr>
                <w:color w:val="000000"/>
                <w:sz w:val="16"/>
                <w:szCs w:val="16"/>
              </w:rPr>
            </w:pPr>
            <w:r>
              <w:rPr>
                <w:color w:val="000000"/>
                <w:sz w:val="16"/>
                <w:szCs w:val="16"/>
              </w:rPr>
              <w:t>U pětiny nejvýše příjmových zaměstnanců představují mzdy a platy jen tři pětiny příjmů (u pětiny nejníže příjmových pak tři čtvrtiny), relativně silné jsou tzv. ostatní příjmy a překvapivě i sociální příjmy</w:t>
            </w:r>
          </w:p>
        </w:tc>
        <w:tc>
          <w:tcPr>
            <w:tcW w:w="139" w:type="pct"/>
          </w:tcPr>
          <w:p w:rsidR="00A25E57" w:rsidRDefault="00A25E57" w:rsidP="00072F46">
            <w:pPr>
              <w:pStyle w:val="Textpoznpodarou"/>
              <w:jc w:val="both"/>
            </w:pPr>
          </w:p>
        </w:tc>
        <w:tc>
          <w:tcPr>
            <w:tcW w:w="3819" w:type="pct"/>
            <w:gridSpan w:val="3"/>
          </w:tcPr>
          <w:p w:rsidR="00A25E57" w:rsidRPr="00B37A71" w:rsidRDefault="00A25E57" w:rsidP="00D24DA0">
            <w:pPr>
              <w:pStyle w:val="Textpoznpodarou"/>
              <w:jc w:val="both"/>
              <w:rPr>
                <w:color w:val="000000"/>
              </w:rPr>
            </w:pPr>
            <w:r w:rsidRPr="00B37A71">
              <w:rPr>
                <w:color w:val="000000"/>
              </w:rPr>
              <w:t xml:space="preserve">U pětiny nejníže příjmových zaměstnanců převažují v příjmové struktuře mzdy, a to </w:t>
            </w:r>
            <w:r>
              <w:rPr>
                <w:color w:val="000000"/>
              </w:rPr>
              <w:t>více než čtyřmi pěti</w:t>
            </w:r>
            <w:r w:rsidRPr="00B37A71">
              <w:rPr>
                <w:color w:val="000000"/>
              </w:rPr>
              <w:t>nami (graf 17)</w:t>
            </w:r>
            <w:r>
              <w:rPr>
                <w:rStyle w:val="Znakapoznpodarou"/>
                <w:color w:val="000000"/>
              </w:rPr>
              <w:footnoteReference w:id="5"/>
            </w:r>
            <w:r w:rsidRPr="00B37A71">
              <w:rPr>
                <w:color w:val="000000"/>
              </w:rPr>
              <w:t>. U pětiny nejvýše příjmových (graf</w:t>
            </w:r>
            <w:r>
              <w:rPr>
                <w:color w:val="000000"/>
              </w:rPr>
              <w:t xml:space="preserve"> </w:t>
            </w:r>
            <w:r w:rsidRPr="00B37A71">
              <w:rPr>
                <w:color w:val="000000"/>
              </w:rPr>
              <w:t xml:space="preserve">18) </w:t>
            </w:r>
            <w:r>
              <w:rPr>
                <w:color w:val="000000"/>
              </w:rPr>
              <w:t xml:space="preserve">je </w:t>
            </w:r>
            <w:r w:rsidRPr="00B37A71">
              <w:rPr>
                <w:color w:val="000000"/>
              </w:rPr>
              <w:t xml:space="preserve">však </w:t>
            </w:r>
            <w:r>
              <w:rPr>
                <w:color w:val="000000"/>
              </w:rPr>
              <w:t>podíl mezd ještě vyšší. To je poněkud překvapující zjištění, neboť by bylo možné předpokládat, že nejbohatší domácnosti mají ve větším rozsahu i jiné než mzdové typy příjmů (</w:t>
            </w:r>
            <w:r w:rsidRPr="00B37A71">
              <w:rPr>
                <w:color w:val="000000"/>
              </w:rPr>
              <w:t>například příjmy z</w:t>
            </w:r>
            <w:r>
              <w:rPr>
                <w:color w:val="000000"/>
              </w:rPr>
              <w:t> </w:t>
            </w:r>
            <w:r w:rsidRPr="00B37A71">
              <w:rPr>
                <w:color w:val="000000"/>
              </w:rPr>
              <w:t>majetku</w:t>
            </w:r>
            <w:r>
              <w:rPr>
                <w:color w:val="000000"/>
              </w:rPr>
              <w:t>, tj.</w:t>
            </w:r>
            <w:r w:rsidRPr="00B37A71">
              <w:rPr>
                <w:color w:val="000000"/>
              </w:rPr>
              <w:t xml:space="preserve"> z</w:t>
            </w:r>
            <w:r>
              <w:rPr>
                <w:color w:val="000000"/>
              </w:rPr>
              <w:t> </w:t>
            </w:r>
            <w:r w:rsidRPr="00B37A71">
              <w:rPr>
                <w:color w:val="000000"/>
              </w:rPr>
              <w:t xml:space="preserve">pronájmu, úrokové příjmy z vkladů, výnosy z cenných papírů, aj.). Ty jsou u těchto domácností výše příjmových zaměstnanců zastoupeny </w:t>
            </w:r>
            <w:r>
              <w:rPr>
                <w:color w:val="000000"/>
              </w:rPr>
              <w:t xml:space="preserve">jen </w:t>
            </w:r>
            <w:r w:rsidRPr="00B37A71">
              <w:rPr>
                <w:color w:val="000000"/>
              </w:rPr>
              <w:t>relativně s</w:t>
            </w:r>
            <w:r>
              <w:rPr>
                <w:color w:val="000000"/>
              </w:rPr>
              <w:t>labě</w:t>
            </w:r>
            <w:r w:rsidRPr="00B37A71">
              <w:rPr>
                <w:color w:val="000000"/>
              </w:rPr>
              <w:t xml:space="preserve"> (</w:t>
            </w:r>
            <w:r>
              <w:rPr>
                <w:color w:val="000000"/>
              </w:rPr>
              <w:t>3,3</w:t>
            </w:r>
            <w:r w:rsidRPr="00B37A71">
              <w:rPr>
                <w:color w:val="000000"/>
              </w:rPr>
              <w:t xml:space="preserve"> % celkových hrubých peněžních příjmů</w:t>
            </w:r>
            <w:r>
              <w:rPr>
                <w:color w:val="000000"/>
              </w:rPr>
              <w:t>), a to nejen ve srovnání s pětinou nejníže příjmových zaměstnanců (2,9 %), ale dokonce i s pětinou nejlépe příjmově disponovaných důchodců (7,1 %).</w:t>
            </w:r>
          </w:p>
        </w:tc>
      </w:tr>
      <w:tr w:rsidR="00A25E57" w:rsidRPr="00FA57FD" w:rsidTr="00072F46">
        <w:tc>
          <w:tcPr>
            <w:tcW w:w="1042" w:type="pct"/>
            <w:gridSpan w:val="3"/>
          </w:tcPr>
          <w:p w:rsidR="00A25E57" w:rsidRDefault="00A25E57" w:rsidP="00072F46">
            <w:pPr>
              <w:spacing w:line="240" w:lineRule="auto"/>
              <w:rPr>
                <w:color w:val="000000"/>
                <w:sz w:val="16"/>
                <w:szCs w:val="16"/>
              </w:rPr>
            </w:pPr>
            <w:r>
              <w:rPr>
                <w:color w:val="000000"/>
                <w:sz w:val="16"/>
                <w:szCs w:val="16"/>
              </w:rPr>
              <w:lastRenderedPageBreak/>
              <w:t>V příjmově „bohatších“ domácnostech důchodců jsou zastoupeny ostatní příjmy dokonce větším podílem, než u „bohatších“ domácností zaměstnanců</w:t>
            </w:r>
          </w:p>
        </w:tc>
        <w:tc>
          <w:tcPr>
            <w:tcW w:w="139" w:type="pct"/>
          </w:tcPr>
          <w:p w:rsidR="00A25E57" w:rsidRDefault="00A25E57" w:rsidP="00072F46">
            <w:pPr>
              <w:pStyle w:val="Textpoznpodarou"/>
              <w:jc w:val="both"/>
            </w:pPr>
          </w:p>
        </w:tc>
        <w:tc>
          <w:tcPr>
            <w:tcW w:w="3819" w:type="pct"/>
            <w:gridSpan w:val="3"/>
          </w:tcPr>
          <w:p w:rsidR="00A25E57" w:rsidRDefault="00A25E57" w:rsidP="00072F46">
            <w:pPr>
              <w:pStyle w:val="Textpoznpodarou"/>
              <w:jc w:val="both"/>
              <w:rPr>
                <w:color w:val="000000"/>
              </w:rPr>
            </w:pPr>
            <w:r w:rsidRPr="00B37A71">
              <w:rPr>
                <w:color w:val="000000"/>
              </w:rPr>
              <w:t>Také u domácností důchodců je patrný významný rozdíl ve struktuře příjmů podle toho, zda jde o seniorskou domácnost „chudou“ či „bohatší“. V pětině příjmově nejvyšších jsou relativně významně zastoupeny ostatní příjmy (</w:t>
            </w:r>
            <w:r>
              <w:rPr>
                <w:color w:val="000000"/>
              </w:rPr>
              <w:t>7,1</w:t>
            </w:r>
            <w:r w:rsidRPr="00B37A71">
              <w:rPr>
                <w:color w:val="000000"/>
              </w:rPr>
              <w:t xml:space="preserve"> % hrubých příjmů), což zřejmě souvisí se</w:t>
            </w:r>
            <w:r w:rsidR="00D24DA0">
              <w:rPr>
                <w:color w:val="000000"/>
              </w:rPr>
              <w:t xml:space="preserve"> skutečností, že tyto domácnosti</w:t>
            </w:r>
            <w:r w:rsidRPr="00B37A71">
              <w:rPr>
                <w:color w:val="000000"/>
              </w:rPr>
              <w:t xml:space="preserve"> důchodců si byly schopny před odchodem do důchodu našetřit, resp. investovat a nyní jim plynou výnosy z majetku. </w:t>
            </w:r>
            <w:r>
              <w:rPr>
                <w:color w:val="000000"/>
              </w:rPr>
              <w:t xml:space="preserve">Necelých 5 % členů </w:t>
            </w:r>
            <w:r w:rsidRPr="00B37A71">
              <w:rPr>
                <w:color w:val="000000"/>
              </w:rPr>
              <w:t>příjmově nejvyšší</w:t>
            </w:r>
            <w:r>
              <w:rPr>
                <w:color w:val="000000"/>
              </w:rPr>
              <w:t>ch</w:t>
            </w:r>
            <w:r w:rsidRPr="00B37A71">
              <w:rPr>
                <w:color w:val="000000"/>
              </w:rPr>
              <w:t xml:space="preserve"> domácností důchodců však také pracuje za mzdu, Příjmy z podnikání js</w:t>
            </w:r>
            <w:r>
              <w:rPr>
                <w:color w:val="000000"/>
              </w:rPr>
              <w:t>ou u nich jen okrajové (1,6 %).</w:t>
            </w:r>
          </w:p>
          <w:p w:rsidR="00A25E57" w:rsidRPr="00B37A71" w:rsidRDefault="00A25E57" w:rsidP="00072F46">
            <w:pPr>
              <w:pStyle w:val="Textpoznpodarou"/>
              <w:jc w:val="both"/>
              <w:rPr>
                <w:color w:val="000000"/>
              </w:rPr>
            </w:pPr>
          </w:p>
        </w:tc>
      </w:tr>
      <w:tr w:rsidR="00A25E57" w:rsidRPr="00817C98" w:rsidTr="00072F46">
        <w:trPr>
          <w:gridBefore w:val="1"/>
          <w:wBefore w:w="16" w:type="pct"/>
        </w:trPr>
        <w:tc>
          <w:tcPr>
            <w:tcW w:w="322" w:type="pct"/>
          </w:tcPr>
          <w:p w:rsidR="00A25E57" w:rsidRDefault="00A25E57" w:rsidP="00072F46">
            <w:pPr>
              <w:spacing w:line="240" w:lineRule="auto"/>
            </w:pPr>
            <w:r>
              <w:t>Graf č. 17</w:t>
            </w:r>
          </w:p>
        </w:tc>
        <w:tc>
          <w:tcPr>
            <w:tcW w:w="2138" w:type="pct"/>
            <w:gridSpan w:val="3"/>
          </w:tcPr>
          <w:p w:rsidR="00E95594" w:rsidRPr="00E95594" w:rsidRDefault="00A25E57" w:rsidP="00E95594">
            <w:pPr>
              <w:pStyle w:val="Textpoznpodarou"/>
              <w:rPr>
                <w:rFonts w:cs="Arial"/>
                <w:bCs/>
                <w:sz w:val="18"/>
                <w:szCs w:val="18"/>
              </w:rPr>
            </w:pPr>
            <w:r>
              <w:rPr>
                <w:rFonts w:cs="Arial"/>
                <w:b/>
                <w:bCs/>
              </w:rPr>
              <w:t xml:space="preserve">Skladba příjmů – pětina domácností s nejnižšími příjmy </w:t>
            </w:r>
            <w:r>
              <w:rPr>
                <w:rFonts w:cs="Arial"/>
                <w:bCs/>
                <w:sz w:val="18"/>
                <w:szCs w:val="18"/>
              </w:rPr>
              <w:t xml:space="preserve">(v % hr. </w:t>
            </w:r>
            <w:proofErr w:type="spellStart"/>
            <w:r>
              <w:rPr>
                <w:rFonts w:cs="Arial"/>
                <w:bCs/>
                <w:sz w:val="18"/>
                <w:szCs w:val="18"/>
              </w:rPr>
              <w:t>pen</w:t>
            </w:r>
            <w:proofErr w:type="spellEnd"/>
            <w:r>
              <w:rPr>
                <w:rFonts w:cs="Arial"/>
                <w:bCs/>
                <w:sz w:val="18"/>
                <w:szCs w:val="18"/>
              </w:rPr>
              <w:t>.</w:t>
            </w:r>
            <w:r w:rsidRPr="004902E2">
              <w:rPr>
                <w:rFonts w:cs="Arial"/>
                <w:bCs/>
                <w:sz w:val="18"/>
                <w:szCs w:val="18"/>
              </w:rPr>
              <w:t xml:space="preserve"> příjmů; zaměstnanci=vnější kruh</w:t>
            </w:r>
            <w:r>
              <w:rPr>
                <w:rFonts w:cs="Arial"/>
                <w:bCs/>
              </w:rPr>
              <w:t xml:space="preserve">, </w:t>
            </w:r>
            <w:r w:rsidRPr="004902E2">
              <w:rPr>
                <w:rFonts w:cs="Arial"/>
                <w:bCs/>
                <w:sz w:val="18"/>
                <w:szCs w:val="18"/>
              </w:rPr>
              <w:t>důchodci= vnitřní kruh)</w:t>
            </w:r>
          </w:p>
        </w:tc>
        <w:tc>
          <w:tcPr>
            <w:tcW w:w="361" w:type="pct"/>
          </w:tcPr>
          <w:p w:rsidR="00A25E57" w:rsidRDefault="00A25E57" w:rsidP="00072F46">
            <w:pPr>
              <w:spacing w:line="240" w:lineRule="auto"/>
            </w:pPr>
            <w:r>
              <w:t>Graf č. 18</w:t>
            </w:r>
          </w:p>
        </w:tc>
        <w:tc>
          <w:tcPr>
            <w:tcW w:w="2162" w:type="pct"/>
          </w:tcPr>
          <w:p w:rsidR="00A25E57" w:rsidRPr="00817C98" w:rsidRDefault="00A25E57" w:rsidP="00072F46">
            <w:pPr>
              <w:spacing w:line="240" w:lineRule="auto"/>
              <w:rPr>
                <w:rFonts w:cs="Arial"/>
                <w:b/>
                <w:bCs/>
              </w:rPr>
            </w:pPr>
            <w:r>
              <w:rPr>
                <w:rFonts w:cs="Arial"/>
                <w:b/>
                <w:bCs/>
              </w:rPr>
              <w:t xml:space="preserve">Skladba příjmů – pětina domácností s nejvyššími příjmy </w:t>
            </w:r>
            <w:r>
              <w:rPr>
                <w:rFonts w:cs="Arial"/>
                <w:bCs/>
                <w:sz w:val="18"/>
                <w:szCs w:val="18"/>
              </w:rPr>
              <w:t xml:space="preserve">(v % hr. </w:t>
            </w:r>
            <w:proofErr w:type="spellStart"/>
            <w:r>
              <w:rPr>
                <w:rFonts w:cs="Arial"/>
                <w:bCs/>
                <w:sz w:val="18"/>
                <w:szCs w:val="18"/>
              </w:rPr>
              <w:t>pen</w:t>
            </w:r>
            <w:proofErr w:type="spellEnd"/>
            <w:r>
              <w:rPr>
                <w:rFonts w:cs="Arial"/>
                <w:bCs/>
                <w:sz w:val="18"/>
                <w:szCs w:val="18"/>
              </w:rPr>
              <w:t>.</w:t>
            </w:r>
            <w:r w:rsidRPr="004902E2">
              <w:rPr>
                <w:rFonts w:cs="Arial"/>
                <w:bCs/>
                <w:sz w:val="18"/>
                <w:szCs w:val="18"/>
              </w:rPr>
              <w:t xml:space="preserve"> příjmů; zaměstnanci=vnější kruh</w:t>
            </w:r>
            <w:r>
              <w:rPr>
                <w:rFonts w:cs="Arial"/>
                <w:bCs/>
              </w:rPr>
              <w:t xml:space="preserve">, </w:t>
            </w:r>
            <w:r w:rsidRPr="004902E2">
              <w:rPr>
                <w:rFonts w:cs="Arial"/>
                <w:bCs/>
                <w:sz w:val="18"/>
                <w:szCs w:val="18"/>
              </w:rPr>
              <w:t>důchodci= vnitřní kruh)</w:t>
            </w:r>
          </w:p>
        </w:tc>
      </w:tr>
      <w:tr w:rsidR="00A25E57" w:rsidTr="00072F46">
        <w:trPr>
          <w:gridBefore w:val="1"/>
          <w:wBefore w:w="16" w:type="pct"/>
        </w:trPr>
        <w:tc>
          <w:tcPr>
            <w:tcW w:w="2460" w:type="pct"/>
            <w:gridSpan w:val="4"/>
          </w:tcPr>
          <w:p w:rsidR="00A25E57" w:rsidRPr="004902E2" w:rsidRDefault="002A5986" w:rsidP="00072F46">
            <w:pPr>
              <w:pStyle w:val="Textpoznpodarou"/>
              <w:jc w:val="both"/>
            </w:pPr>
            <w:r>
              <w:rPr>
                <w:noProof/>
              </w:rPr>
              <w:pict>
                <v:shape id="Graf 3" o:spid="_x0000_i1134" type="#_x0000_t75" style="width:236.25pt;height:207.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">
                  <v:imagedata r:id="rId24" o:title=""/>
                  <o:lock v:ext="edit" aspectratio="f"/>
                </v:shape>
              </w:pict>
            </w:r>
          </w:p>
        </w:tc>
        <w:tc>
          <w:tcPr>
            <w:tcW w:w="2523" w:type="pct"/>
            <w:gridSpan w:val="2"/>
          </w:tcPr>
          <w:p w:rsidR="00A25E57" w:rsidRDefault="002A5986" w:rsidP="00072F46">
            <w:pPr>
              <w:pStyle w:val="Textpoznpodarou"/>
              <w:jc w:val="both"/>
            </w:pPr>
            <w:r>
              <w:rPr>
                <w:noProof/>
              </w:rPr>
              <w:pict>
                <v:shape id="_x0000_i1135" type="#_x0000_t75" style="width:226.5pt;height:207.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">
                  <v:imagedata r:id="rId25" o:title=""/>
                  <o:lock v:ext="edit" aspectratio="f"/>
                </v:shape>
              </w:pict>
            </w:r>
          </w:p>
          <w:p w:rsidR="00A25E57" w:rsidRPr="00DB3CFB" w:rsidRDefault="00A25E57" w:rsidP="00072F46">
            <w:pPr>
              <w:pStyle w:val="Textpoznpodarou"/>
              <w:jc w:val="right"/>
              <w:rPr>
                <w:sz w:val="18"/>
                <w:szCs w:val="18"/>
              </w:rPr>
            </w:pPr>
            <w:r>
              <w:rPr>
                <w:sz w:val="18"/>
                <w:szCs w:val="18"/>
              </w:rPr>
              <w:t>Zdroj</w:t>
            </w:r>
            <w:r w:rsidR="0025186A">
              <w:rPr>
                <w:sz w:val="18"/>
                <w:szCs w:val="18"/>
              </w:rPr>
              <w:t>: ČSÚ</w:t>
            </w:r>
            <w:r w:rsidRPr="00DB3CFB">
              <w:rPr>
                <w:sz w:val="18"/>
                <w:szCs w:val="18"/>
              </w:rPr>
              <w:t xml:space="preserve"> </w:t>
            </w:r>
            <w:r w:rsidR="0025186A">
              <w:rPr>
                <w:sz w:val="18"/>
                <w:szCs w:val="18"/>
              </w:rPr>
              <w:t>(</w:t>
            </w:r>
            <w:r w:rsidRPr="00DB3CFB">
              <w:rPr>
                <w:sz w:val="18"/>
                <w:szCs w:val="18"/>
              </w:rPr>
              <w:t>SILC</w:t>
            </w:r>
            <w:r w:rsidR="0025186A">
              <w:rPr>
                <w:sz w:val="18"/>
                <w:szCs w:val="18"/>
              </w:rPr>
              <w:t>)</w:t>
            </w:r>
          </w:p>
        </w:tc>
      </w:tr>
    </w:tbl>
    <w:p w:rsidR="00A25E57" w:rsidRPr="00FD1FB0" w:rsidRDefault="00A25E57" w:rsidP="00A25E57">
      <w:pPr>
        <w:rPr>
          <w:sz w:val="16"/>
          <w:szCs w:val="16"/>
        </w:rPr>
      </w:pPr>
    </w:p>
    <w:tbl>
      <w:tblPr>
        <w:tblW w:w="5043" w:type="pct"/>
        <w:tblInd w:w="-42" w:type="dxa"/>
        <w:tblCellMar>
          <w:left w:w="28" w:type="dxa"/>
          <w:right w:w="28" w:type="dxa"/>
        </w:tblCellMar>
        <w:tblLook w:val="00A0"/>
      </w:tblPr>
      <w:tblGrid>
        <w:gridCol w:w="2037"/>
        <w:gridCol w:w="272"/>
        <w:gridCol w:w="7468"/>
      </w:tblGrid>
      <w:tr w:rsidR="00A25E57" w:rsidRPr="00B37A71" w:rsidTr="00072F46">
        <w:tc>
          <w:tcPr>
            <w:tcW w:w="1042" w:type="pct"/>
          </w:tcPr>
          <w:p w:rsidR="00A25E57" w:rsidRDefault="00A25E57" w:rsidP="00072F46">
            <w:pPr>
              <w:spacing w:line="240" w:lineRule="auto"/>
              <w:rPr>
                <w:color w:val="000000"/>
                <w:sz w:val="16"/>
                <w:szCs w:val="16"/>
              </w:rPr>
            </w:pPr>
            <w:r>
              <w:rPr>
                <w:color w:val="000000"/>
                <w:sz w:val="16"/>
                <w:szCs w:val="16"/>
              </w:rPr>
              <w:t>„Bohatších“ domácností důchodců je v jejich populaci relativně málo</w:t>
            </w:r>
          </w:p>
        </w:tc>
        <w:tc>
          <w:tcPr>
            <w:tcW w:w="139" w:type="pct"/>
          </w:tcPr>
          <w:p w:rsidR="00A25E57" w:rsidRDefault="00A25E57" w:rsidP="00072F46">
            <w:pPr>
              <w:pStyle w:val="Textpoznpodarou"/>
              <w:jc w:val="both"/>
            </w:pPr>
          </w:p>
        </w:tc>
        <w:tc>
          <w:tcPr>
            <w:tcW w:w="3819" w:type="pct"/>
          </w:tcPr>
          <w:p w:rsidR="00A25E57" w:rsidRPr="00B37A71" w:rsidRDefault="00A25E57" w:rsidP="00072F46">
            <w:pPr>
              <w:pStyle w:val="Textpoznpodarou"/>
              <w:jc w:val="both"/>
              <w:rPr>
                <w:color w:val="000000"/>
              </w:rPr>
            </w:pPr>
            <w:r w:rsidRPr="00B37A71">
              <w:rPr>
                <w:color w:val="000000"/>
              </w:rPr>
              <w:t>Hrubé peněžní příjmy na osobu v roce 2013 u všech skupin domácností důchodců v </w:t>
            </w:r>
            <w:proofErr w:type="spellStart"/>
            <w:r w:rsidRPr="00B37A71">
              <w:rPr>
                <w:color w:val="000000"/>
              </w:rPr>
              <w:t>kvintilovém</w:t>
            </w:r>
            <w:proofErr w:type="spellEnd"/>
            <w:r w:rsidRPr="00B37A71">
              <w:rPr>
                <w:color w:val="000000"/>
              </w:rPr>
              <w:t xml:space="preserve"> rozdělení ukazuje graf 19. Je z něj patrný pokles podílu sociálních příjmů na hrubých peněžních příjmech, ale až u pětiny nejvýše příjmových domácností důchodců, nikoli v předchozích skupinách. Lze tedy soudit, že takovýchto „bohatších“ domácností seniorů je v jejich populaci relativně málo.</w:t>
            </w:r>
          </w:p>
          <w:p w:rsidR="00A25E57" w:rsidRPr="00B37A71" w:rsidRDefault="00A25E57" w:rsidP="00072F46">
            <w:pPr>
              <w:pStyle w:val="Textpoznpodarou"/>
              <w:jc w:val="both"/>
              <w:rPr>
                <w:color w:val="000000"/>
              </w:rPr>
            </w:pPr>
            <w:r w:rsidRPr="00B37A71">
              <w:rPr>
                <w:color w:val="000000"/>
              </w:rPr>
              <w:t xml:space="preserve"> </w:t>
            </w:r>
          </w:p>
        </w:tc>
      </w:tr>
    </w:tbl>
    <w:p w:rsidR="00A25E57" w:rsidRDefault="00A25E57" w:rsidP="00A25E57">
      <w:r w:rsidRPr="00B37A71">
        <w:t>Graf č. 19:</w:t>
      </w:r>
      <w:r>
        <w:rPr>
          <w:b/>
        </w:rPr>
        <w:t xml:space="preserve"> D</w:t>
      </w:r>
      <w:r w:rsidRPr="00303FCA">
        <w:rPr>
          <w:b/>
        </w:rPr>
        <w:t>omácnosti důchodců – příjmy na osobu</w:t>
      </w:r>
      <w:r>
        <w:t xml:space="preserve"> (2013, v korunách za rok, </w:t>
      </w:r>
      <w:proofErr w:type="spellStart"/>
      <w:r>
        <w:t>kvintilové</w:t>
      </w:r>
      <w:proofErr w:type="spellEnd"/>
      <w:r>
        <w:t xml:space="preserve"> rozdělení) </w:t>
      </w:r>
    </w:p>
    <w:p w:rsidR="00A25E57" w:rsidRDefault="002A5986" w:rsidP="00A25E57">
      <w:pPr>
        <w:jc w:val="center"/>
      </w:pPr>
      <w:r>
        <w:rPr>
          <w:noProof/>
        </w:rPr>
        <w:pict>
          <v:shape id="Graf 2" o:spid="_x0000_i1136" type="#_x0000_t75" style="width:413.25pt;height:194.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">
            <v:imagedata r:id="rId26" o:title="" cropbottom="-17f"/>
            <o:lock v:ext="edit" aspectratio="f"/>
          </v:shape>
        </w:pict>
      </w:r>
    </w:p>
    <w:p w:rsidR="00A25E57" w:rsidRDefault="00A25E57" w:rsidP="00A25E57">
      <w:pPr>
        <w:jc w:val="right"/>
        <w:rPr>
          <w:sz w:val="18"/>
          <w:szCs w:val="18"/>
        </w:rPr>
      </w:pPr>
      <w:r>
        <w:rPr>
          <w:sz w:val="18"/>
          <w:szCs w:val="18"/>
        </w:rPr>
        <w:t>Zdroj</w:t>
      </w:r>
      <w:r w:rsidR="0025186A">
        <w:rPr>
          <w:sz w:val="18"/>
          <w:szCs w:val="18"/>
        </w:rPr>
        <w:t>: ČSÚ</w:t>
      </w:r>
      <w:r w:rsidRPr="00E6715B">
        <w:rPr>
          <w:sz w:val="18"/>
          <w:szCs w:val="18"/>
        </w:rPr>
        <w:t xml:space="preserve"> </w:t>
      </w:r>
      <w:r w:rsidR="0025186A">
        <w:rPr>
          <w:sz w:val="18"/>
          <w:szCs w:val="18"/>
        </w:rPr>
        <w:t>(</w:t>
      </w:r>
      <w:r w:rsidRPr="00E6715B">
        <w:rPr>
          <w:sz w:val="18"/>
          <w:szCs w:val="18"/>
        </w:rPr>
        <w:t>SILC</w:t>
      </w:r>
      <w:r w:rsidR="0025186A">
        <w:rPr>
          <w:sz w:val="18"/>
          <w:szCs w:val="18"/>
        </w:rPr>
        <w:t>)</w:t>
      </w:r>
    </w:p>
    <w:p w:rsidR="00A25E57" w:rsidRDefault="00A25E57" w:rsidP="00A25E57">
      <w:pPr>
        <w:jc w:val="both"/>
        <w:rPr>
          <w:sz w:val="12"/>
          <w:szCs w:val="12"/>
        </w:rPr>
      </w:pPr>
    </w:p>
    <w:p w:rsidR="00A25E57" w:rsidRDefault="00A25E57" w:rsidP="00A25E57">
      <w:pPr>
        <w:jc w:val="both"/>
        <w:rPr>
          <w:sz w:val="12"/>
          <w:szCs w:val="12"/>
        </w:rPr>
      </w:pPr>
    </w:p>
    <w:p w:rsidR="00E95594" w:rsidRDefault="00E95594" w:rsidP="00A25E57">
      <w:pPr>
        <w:jc w:val="both"/>
        <w:rPr>
          <w:sz w:val="12"/>
          <w:szCs w:val="12"/>
        </w:rPr>
      </w:pPr>
    </w:p>
    <w:p w:rsidR="00E95594" w:rsidRDefault="00E95594" w:rsidP="00A25E57">
      <w:pPr>
        <w:jc w:val="both"/>
        <w:rPr>
          <w:sz w:val="12"/>
          <w:szCs w:val="12"/>
        </w:rPr>
      </w:pPr>
    </w:p>
    <w:p w:rsidR="00E95594" w:rsidRDefault="00E95594" w:rsidP="00A25E57">
      <w:pPr>
        <w:jc w:val="both"/>
        <w:rPr>
          <w:sz w:val="12"/>
          <w:szCs w:val="12"/>
        </w:rPr>
      </w:pPr>
    </w:p>
    <w:p w:rsidR="00E95594" w:rsidRDefault="00E95594" w:rsidP="00A25E57">
      <w:pPr>
        <w:jc w:val="both"/>
        <w:rPr>
          <w:sz w:val="12"/>
          <w:szCs w:val="12"/>
        </w:rPr>
      </w:pPr>
    </w:p>
    <w:p w:rsidR="00072F46" w:rsidRDefault="00072F46" w:rsidP="00A25E57">
      <w:pPr>
        <w:jc w:val="both"/>
        <w:rPr>
          <w:sz w:val="12"/>
          <w:szCs w:val="12"/>
        </w:rPr>
      </w:pPr>
    </w:p>
    <w:tbl>
      <w:tblPr>
        <w:tblW w:w="5043" w:type="pct"/>
        <w:tblInd w:w="-42" w:type="dxa"/>
        <w:tblCellMar>
          <w:left w:w="28" w:type="dxa"/>
          <w:right w:w="28" w:type="dxa"/>
        </w:tblCellMar>
        <w:tblLook w:val="00A0"/>
      </w:tblPr>
      <w:tblGrid>
        <w:gridCol w:w="2037"/>
        <w:gridCol w:w="272"/>
        <w:gridCol w:w="7468"/>
      </w:tblGrid>
      <w:tr w:rsidR="00A25E57" w:rsidRPr="00B37A71" w:rsidTr="00072F46">
        <w:tc>
          <w:tcPr>
            <w:tcW w:w="1042" w:type="pct"/>
          </w:tcPr>
          <w:p w:rsidR="00A25E57" w:rsidRDefault="00A25E57" w:rsidP="00072F46">
            <w:pPr>
              <w:spacing w:line="240" w:lineRule="auto"/>
              <w:rPr>
                <w:color w:val="000000"/>
                <w:sz w:val="16"/>
                <w:szCs w:val="16"/>
              </w:rPr>
            </w:pPr>
            <w:r>
              <w:rPr>
                <w:color w:val="000000"/>
                <w:sz w:val="16"/>
                <w:szCs w:val="16"/>
              </w:rPr>
              <w:lastRenderedPageBreak/>
              <w:t xml:space="preserve">Relativní „rovnost“ domácností důchodců v roce 2013 spíše posílila a také převýšení příjmů u pětiny zaměstnanců s nejvyššími příjmy nad pětinou zaměstnanců s nejnižšími příjmy se proti roku 2012 nezvětšilo – znamená to, že druhý rok recese české ekonomiky nepřinesl u těchto dvou sociálních skupin zvětšení nerovností   </w:t>
            </w:r>
          </w:p>
        </w:tc>
        <w:tc>
          <w:tcPr>
            <w:tcW w:w="139" w:type="pct"/>
          </w:tcPr>
          <w:p w:rsidR="00A25E57" w:rsidRDefault="00A25E57" w:rsidP="00072F46">
            <w:pPr>
              <w:pStyle w:val="Textpoznpodarou"/>
              <w:jc w:val="both"/>
            </w:pPr>
          </w:p>
        </w:tc>
        <w:tc>
          <w:tcPr>
            <w:tcW w:w="3819" w:type="pct"/>
          </w:tcPr>
          <w:p w:rsidR="00A25E57" w:rsidRPr="006C5561" w:rsidRDefault="00A25E57" w:rsidP="00072F46">
            <w:pPr>
              <w:pStyle w:val="Textpoznpodarou"/>
              <w:jc w:val="both"/>
              <w:rPr>
                <w:color w:val="000000"/>
                <w:spacing w:val="-6"/>
              </w:rPr>
            </w:pPr>
            <w:r w:rsidRPr="006C5561">
              <w:rPr>
                <w:color w:val="000000"/>
                <w:spacing w:val="-6"/>
              </w:rPr>
              <w:t>Jestliže u domácností zaměstnanců byly v roce 2013 čisté peněžní příjmy pětiny nejvýše příjmových domácností větší než příjmy pětiny nejníže příjmových domácností zaměstnanců 3,</w:t>
            </w:r>
            <w:r>
              <w:rPr>
                <w:color w:val="000000"/>
                <w:spacing w:val="-6"/>
              </w:rPr>
              <w:t>8</w:t>
            </w:r>
            <w:r w:rsidRPr="006C5561">
              <w:rPr>
                <w:color w:val="000000"/>
                <w:spacing w:val="-6"/>
              </w:rPr>
              <w:t xml:space="preserve">krát, analogicky u domácností důchodců bylo toto převýšení jen </w:t>
            </w:r>
            <w:r>
              <w:rPr>
                <w:color w:val="000000"/>
                <w:spacing w:val="-6"/>
              </w:rPr>
              <w:t>2,1</w:t>
            </w:r>
            <w:r w:rsidRPr="006C5561">
              <w:rPr>
                <w:color w:val="000000"/>
                <w:spacing w:val="-6"/>
              </w:rPr>
              <w:t xml:space="preserve">krát. Znamená to, že příjmová </w:t>
            </w:r>
            <w:proofErr w:type="spellStart"/>
            <w:r w:rsidRPr="006C5561">
              <w:rPr>
                <w:color w:val="000000"/>
                <w:spacing w:val="-6"/>
              </w:rPr>
              <w:t>rozvrstvenost</w:t>
            </w:r>
            <w:proofErr w:type="spellEnd"/>
            <w:r w:rsidRPr="006C5561">
              <w:rPr>
                <w:color w:val="000000"/>
                <w:spacing w:val="-6"/>
              </w:rPr>
              <w:t xml:space="preserve"> podle </w:t>
            </w:r>
            <w:proofErr w:type="spellStart"/>
            <w:r w:rsidRPr="006C5561">
              <w:rPr>
                <w:color w:val="000000"/>
                <w:spacing w:val="-6"/>
              </w:rPr>
              <w:t>kvintilového</w:t>
            </w:r>
            <w:proofErr w:type="spellEnd"/>
            <w:r w:rsidRPr="006C5561">
              <w:rPr>
                <w:color w:val="000000"/>
                <w:spacing w:val="-6"/>
              </w:rPr>
              <w:t xml:space="preserve"> rozdělení je u domácností českých důchodců „plošší“ a ukazuje na relativní rovnost vyplácených důchodů tvořících v této sociální skupině v logice věci </w:t>
            </w:r>
            <w:r w:rsidR="00C93A94">
              <w:rPr>
                <w:color w:val="000000"/>
                <w:spacing w:val="-6"/>
              </w:rPr>
              <w:t>„</w:t>
            </w:r>
            <w:proofErr w:type="spellStart"/>
            <w:r w:rsidRPr="006C5561">
              <w:rPr>
                <w:color w:val="000000"/>
                <w:spacing w:val="-6"/>
              </w:rPr>
              <w:t>gró</w:t>
            </w:r>
            <w:proofErr w:type="spellEnd"/>
            <w:r w:rsidR="00C93A94">
              <w:rPr>
                <w:color w:val="000000"/>
                <w:spacing w:val="-6"/>
              </w:rPr>
              <w:t>“</w:t>
            </w:r>
            <w:r w:rsidRPr="006C5561">
              <w:rPr>
                <w:color w:val="000000"/>
                <w:spacing w:val="-6"/>
              </w:rPr>
              <w:t xml:space="preserve"> jejích celkových peněžních příjmů. </w:t>
            </w:r>
          </w:p>
          <w:p w:rsidR="00A25E57" w:rsidRPr="00901D1E" w:rsidRDefault="00A25E57" w:rsidP="00072F46">
            <w:pPr>
              <w:pStyle w:val="Textpoznpodarou"/>
              <w:jc w:val="both"/>
              <w:rPr>
                <w:color w:val="000000"/>
                <w:sz w:val="16"/>
                <w:szCs w:val="16"/>
              </w:rPr>
            </w:pPr>
          </w:p>
          <w:p w:rsidR="00A25E57" w:rsidRPr="00B37A71" w:rsidRDefault="00A25E57" w:rsidP="00544EBB">
            <w:pPr>
              <w:pStyle w:val="Textpoznpodarou"/>
              <w:jc w:val="both"/>
              <w:rPr>
                <w:color w:val="000000"/>
              </w:rPr>
            </w:pPr>
            <w:r w:rsidRPr="00B37A71">
              <w:rPr>
                <w:color w:val="000000"/>
              </w:rPr>
              <w:t>Proti roku 201</w:t>
            </w:r>
            <w:r w:rsidR="00544EBB">
              <w:rPr>
                <w:color w:val="000000"/>
              </w:rPr>
              <w:t>3</w:t>
            </w:r>
            <w:r w:rsidRPr="00B37A71">
              <w:rPr>
                <w:color w:val="000000"/>
              </w:rPr>
              <w:t xml:space="preserve"> se však převýšení horního příjmového </w:t>
            </w:r>
            <w:proofErr w:type="spellStart"/>
            <w:r w:rsidRPr="00B37A71">
              <w:rPr>
                <w:color w:val="000000"/>
              </w:rPr>
              <w:t>kvintilu</w:t>
            </w:r>
            <w:proofErr w:type="spellEnd"/>
            <w:r w:rsidRPr="00B37A71">
              <w:rPr>
                <w:color w:val="000000"/>
              </w:rPr>
              <w:t xml:space="preserve"> domácností zaměstnanců i domácností důchodců nad </w:t>
            </w:r>
            <w:proofErr w:type="spellStart"/>
            <w:r w:rsidRPr="00B37A71">
              <w:rPr>
                <w:color w:val="000000"/>
              </w:rPr>
              <w:t>kvintilem</w:t>
            </w:r>
            <w:proofErr w:type="spellEnd"/>
            <w:r w:rsidRPr="00B37A71">
              <w:rPr>
                <w:color w:val="000000"/>
              </w:rPr>
              <w:t xml:space="preserve"> dolním zmenšilo, což značí, že příjmová diskrepance se v obou těchto sociálních skupinách ve druhém roce ekonomické recese snížila a nerovnosti nerostly.  </w:t>
            </w:r>
          </w:p>
        </w:tc>
      </w:tr>
    </w:tbl>
    <w:p w:rsidR="00A25E57" w:rsidRPr="006C5561" w:rsidRDefault="00A25E57" w:rsidP="00A25E57">
      <w:pPr>
        <w:jc w:val="both"/>
        <w:rPr>
          <w:szCs w:val="20"/>
        </w:rPr>
      </w:pPr>
    </w:p>
    <w:p w:rsidR="00A25E57" w:rsidRPr="00901236" w:rsidRDefault="00A25E57" w:rsidP="002A5986">
      <w:pPr>
        <w:pStyle w:val="Nadpis3"/>
        <w:numPr>
          <w:ilvl w:val="2"/>
          <w:numId w:val="9"/>
        </w:numPr>
      </w:pPr>
      <w:bookmarkStart w:id="16" w:name="_Toc424903550"/>
      <w:bookmarkStart w:id="17" w:name="_Toc426017688"/>
      <w:r w:rsidRPr="00901236">
        <w:t>Čistá peněžní vydání domácností na osobu podle decilového rozdělení příjmů</w:t>
      </w:r>
      <w:bookmarkEnd w:id="16"/>
      <w:bookmarkEnd w:id="17"/>
      <w:r w:rsidRPr="00901236">
        <w:t xml:space="preserve">  </w:t>
      </w:r>
    </w:p>
    <w:tbl>
      <w:tblPr>
        <w:tblW w:w="5043" w:type="pct"/>
        <w:tblInd w:w="-42" w:type="dxa"/>
        <w:tblCellMar>
          <w:left w:w="28" w:type="dxa"/>
          <w:right w:w="28" w:type="dxa"/>
        </w:tblCellMar>
        <w:tblLook w:val="00A0"/>
      </w:tblPr>
      <w:tblGrid>
        <w:gridCol w:w="741"/>
        <w:gridCol w:w="1324"/>
        <w:gridCol w:w="276"/>
        <w:gridCol w:w="2532"/>
        <w:gridCol w:w="694"/>
        <w:gridCol w:w="4210"/>
      </w:tblGrid>
      <w:tr w:rsidR="00A25E57" w:rsidRPr="00FA57FD" w:rsidTr="00072F46">
        <w:tc>
          <w:tcPr>
            <w:tcW w:w="1056" w:type="pct"/>
            <w:gridSpan w:val="2"/>
          </w:tcPr>
          <w:p w:rsidR="00A25E57" w:rsidRDefault="00A25E57" w:rsidP="00072F46">
            <w:pPr>
              <w:spacing w:line="240" w:lineRule="auto"/>
              <w:rPr>
                <w:color w:val="000000"/>
                <w:sz w:val="16"/>
                <w:szCs w:val="16"/>
              </w:rPr>
            </w:pPr>
            <w:r>
              <w:rPr>
                <w:color w:val="000000"/>
                <w:sz w:val="16"/>
                <w:szCs w:val="16"/>
              </w:rPr>
              <w:t>Peněžní vydání domácností charakteru spotřebního a nespotřebního jsou různě silná podle výše příjmů domácností</w:t>
            </w:r>
          </w:p>
        </w:tc>
        <w:tc>
          <w:tcPr>
            <w:tcW w:w="141" w:type="pct"/>
          </w:tcPr>
          <w:p w:rsidR="00A25E57" w:rsidRPr="00505923" w:rsidRDefault="00A25E57" w:rsidP="00072F46">
            <w:pPr>
              <w:pStyle w:val="Textpoznpodarou"/>
              <w:jc w:val="both"/>
              <w:rPr>
                <w:spacing w:val="-2"/>
              </w:rPr>
            </w:pPr>
          </w:p>
        </w:tc>
        <w:tc>
          <w:tcPr>
            <w:tcW w:w="3804" w:type="pct"/>
            <w:gridSpan w:val="3"/>
          </w:tcPr>
          <w:p w:rsidR="00A25E57" w:rsidRPr="00505923" w:rsidRDefault="00A25E57" w:rsidP="00072F46">
            <w:pPr>
              <w:pStyle w:val="Textpoznpodarou"/>
              <w:jc w:val="both"/>
              <w:rPr>
                <w:color w:val="000000"/>
                <w:spacing w:val="-2"/>
              </w:rPr>
            </w:pPr>
            <w:r w:rsidRPr="00505923">
              <w:rPr>
                <w:color w:val="000000"/>
                <w:spacing w:val="-2"/>
              </w:rPr>
              <w:t xml:space="preserve">Peněžní vydání domácností jsou závislá na jejich příjmech. Mají podobu vydání spotřebních a vydání klasifikovaných jako nespotřební, což jsou u </w:t>
            </w:r>
            <w:proofErr w:type="spellStart"/>
            <w:r w:rsidRPr="00505923">
              <w:rPr>
                <w:color w:val="000000"/>
                <w:spacing w:val="-2"/>
              </w:rPr>
              <w:t>výšepříjmových</w:t>
            </w:r>
            <w:proofErr w:type="spellEnd"/>
            <w:r w:rsidRPr="00505923">
              <w:rPr>
                <w:color w:val="000000"/>
                <w:spacing w:val="-2"/>
              </w:rPr>
              <w:t xml:space="preserve"> domácností především investice a u níže příjmových domácností pak spíše „peněžní transfery osobám mimo domácnost“, což znamená finanční podporu rodin dětí rodinám starších rodičů anebo naopak. Údaje poskytují data z rodinných účtů.</w:t>
            </w:r>
          </w:p>
          <w:p w:rsidR="00A25E57" w:rsidRPr="00901D1E" w:rsidRDefault="00A25E57" w:rsidP="00072F46">
            <w:pPr>
              <w:pStyle w:val="Textpoznpodarou"/>
              <w:jc w:val="both"/>
              <w:rPr>
                <w:color w:val="000000"/>
                <w:spacing w:val="-2"/>
                <w:sz w:val="16"/>
                <w:szCs w:val="16"/>
              </w:rPr>
            </w:pPr>
          </w:p>
        </w:tc>
      </w:tr>
      <w:tr w:rsidR="00A25E57" w:rsidRPr="00FA57FD" w:rsidTr="00072F46">
        <w:tc>
          <w:tcPr>
            <w:tcW w:w="1056" w:type="pct"/>
            <w:gridSpan w:val="2"/>
          </w:tcPr>
          <w:p w:rsidR="00A25E57" w:rsidRDefault="00A25E57" w:rsidP="00072F46">
            <w:pPr>
              <w:spacing w:line="240" w:lineRule="auto"/>
              <w:rPr>
                <w:color w:val="000000"/>
                <w:sz w:val="16"/>
                <w:szCs w:val="16"/>
              </w:rPr>
            </w:pPr>
            <w:r>
              <w:rPr>
                <w:color w:val="000000"/>
                <w:sz w:val="16"/>
                <w:szCs w:val="16"/>
              </w:rPr>
              <w:t xml:space="preserve">U desetiny nejníže příjmových domácností se blíží podíl domácností pod úrovní životního minima jedné třetině, v roce 2013 dále narostl;  ve druhém a třetím decilu v úhrnu tvoří dohromady </w:t>
            </w:r>
            <w:r w:rsidR="00544EBB">
              <w:rPr>
                <w:color w:val="000000"/>
                <w:sz w:val="16"/>
                <w:szCs w:val="16"/>
              </w:rPr>
              <w:t>přes 7 %</w:t>
            </w:r>
          </w:p>
          <w:p w:rsidR="00A25E57" w:rsidRDefault="00A25E57" w:rsidP="00072F46">
            <w:pPr>
              <w:spacing w:line="240" w:lineRule="auto"/>
              <w:rPr>
                <w:color w:val="000000"/>
                <w:sz w:val="16"/>
                <w:szCs w:val="16"/>
              </w:rPr>
            </w:pPr>
          </w:p>
          <w:p w:rsidR="00A25E57" w:rsidRDefault="00A25E57" w:rsidP="00072F46">
            <w:pPr>
              <w:spacing w:line="240" w:lineRule="auto"/>
              <w:rPr>
                <w:color w:val="000000"/>
                <w:sz w:val="16"/>
                <w:szCs w:val="16"/>
              </w:rPr>
            </w:pPr>
            <w:r>
              <w:rPr>
                <w:color w:val="000000"/>
                <w:sz w:val="16"/>
                <w:szCs w:val="16"/>
              </w:rPr>
              <w:t xml:space="preserve">Podíl domácností pod úrovní životního minima narostl v roce 2013 i v pátém decilu, kde jsou soustředěny největší měrou domácnosti důchodců – mohlo jít o vliv nízké valorizace penzí </w:t>
            </w:r>
          </w:p>
        </w:tc>
        <w:tc>
          <w:tcPr>
            <w:tcW w:w="141" w:type="pct"/>
          </w:tcPr>
          <w:p w:rsidR="00A25E57" w:rsidRDefault="00A25E57" w:rsidP="00072F46">
            <w:pPr>
              <w:pStyle w:val="Textpoznpodarou"/>
              <w:jc w:val="both"/>
            </w:pPr>
          </w:p>
        </w:tc>
        <w:tc>
          <w:tcPr>
            <w:tcW w:w="3804" w:type="pct"/>
            <w:gridSpan w:val="3"/>
          </w:tcPr>
          <w:p w:rsidR="00A25E57" w:rsidRPr="00B37A71" w:rsidRDefault="00A25E57" w:rsidP="00072F46">
            <w:pPr>
              <w:pStyle w:val="Textpoznpodarou"/>
              <w:jc w:val="both"/>
              <w:rPr>
                <w:color w:val="000000"/>
              </w:rPr>
            </w:pPr>
            <w:r w:rsidRPr="00B37A71">
              <w:rPr>
                <w:color w:val="000000"/>
              </w:rPr>
              <w:t>Kolik lidé vydávají na spotřebu, na výdaje nespotřebního charakteru, resp. kolik peněz odkládají je limitováno výší příjmů, což platí zejména u domácností s příjmy pod úrovní životního minima</w:t>
            </w:r>
            <w:r w:rsidR="00544EBB">
              <w:rPr>
                <w:rStyle w:val="Znakapoznpodarou"/>
                <w:color w:val="000000"/>
              </w:rPr>
              <w:footnoteReference w:id="6"/>
            </w:r>
            <w:r w:rsidRPr="00B37A71">
              <w:rPr>
                <w:color w:val="000000"/>
              </w:rPr>
              <w:t xml:space="preserve"> (to jsou čisté příjmy po odečtení nákladů na bydlení). Není od věci, že takovéto domácnosti jsou zastoupeny zejména v první a druhé desetině domácností podle decilového rozdělení příjmů. Právě v prvním decilu se blíží počet domácností s příjmy pod úrovní životního minima jedné třetině. </w:t>
            </w:r>
          </w:p>
          <w:p w:rsidR="00A25E57" w:rsidRPr="00901D1E" w:rsidRDefault="00A25E57" w:rsidP="00072F46">
            <w:pPr>
              <w:pStyle w:val="Textpoznpodarou"/>
              <w:jc w:val="both"/>
              <w:rPr>
                <w:color w:val="000000"/>
                <w:sz w:val="16"/>
                <w:szCs w:val="16"/>
              </w:rPr>
            </w:pPr>
          </w:p>
          <w:p w:rsidR="00A25E57" w:rsidRPr="00B37A71" w:rsidRDefault="00A25E57" w:rsidP="00072F46">
            <w:pPr>
              <w:pStyle w:val="Textpoznpodarou"/>
              <w:jc w:val="both"/>
              <w:rPr>
                <w:color w:val="000000"/>
              </w:rPr>
            </w:pPr>
            <w:r w:rsidRPr="00B37A71">
              <w:rPr>
                <w:color w:val="000000"/>
              </w:rPr>
              <w:t xml:space="preserve">V roce </w:t>
            </w:r>
            <w:r w:rsidRPr="00C93A94">
              <w:rPr>
                <w:color w:val="000000"/>
              </w:rPr>
              <w:t>2013 stoupl podle dat SILC  podíl domácností s příjmy pod úrovní životního minima – jde o č</w:t>
            </w:r>
            <w:r w:rsidRPr="00C93A94">
              <w:t>isté příjmy po odečtení nákladů na bydlení</w:t>
            </w:r>
            <w:r w:rsidRPr="00C93A94">
              <w:rPr>
                <w:color w:val="000000"/>
              </w:rPr>
              <w:t xml:space="preserve"> - v desetině domácností s nejnižšími příjmy na 32,4 % z 30,3 % v roce 2012 a nepatrně se zvýšil</w:t>
            </w:r>
            <w:r w:rsidRPr="00B37A71">
              <w:rPr>
                <w:color w:val="000000"/>
              </w:rPr>
              <w:t xml:space="preserve"> i jejich podíl ve druhém decilu (na 4,7 % ze 4,6 %). V ostatní decilech – s výjimkou pátého - podíl těchto domácností klesl, ve dvou nejvyšších je</w:t>
            </w:r>
            <w:r>
              <w:rPr>
                <w:color w:val="000000"/>
              </w:rPr>
              <w:t> </w:t>
            </w:r>
            <w:r w:rsidRPr="00B37A71">
              <w:rPr>
                <w:color w:val="000000"/>
              </w:rPr>
              <w:t>v logice věci nulový. Nárůst podílu domácností s příjmy pod úrovní životního minima v pátém decilu souvisí zřejmě s domácnostmi důchodců</w:t>
            </w:r>
            <w:r w:rsidRPr="00B37A71">
              <w:rPr>
                <w:rStyle w:val="Znakapoznpodarou"/>
                <w:color w:val="000000"/>
              </w:rPr>
              <w:footnoteReference w:id="7"/>
            </w:r>
            <w:r w:rsidRPr="00B37A71">
              <w:rPr>
                <w:color w:val="000000"/>
              </w:rPr>
              <w:t>, kde se minimální valorizace důchodů v daném roce promítla i do těchto potíží (právě</w:t>
            </w:r>
            <w:r>
              <w:rPr>
                <w:color w:val="000000"/>
              </w:rPr>
              <w:t> </w:t>
            </w:r>
            <w:r w:rsidRPr="00B37A71">
              <w:rPr>
                <w:color w:val="000000"/>
              </w:rPr>
              <w:t>v pátém decilu je soustředěn největší příjem na osobu v domácnostech důchodců)</w:t>
            </w:r>
            <w:r>
              <w:rPr>
                <w:color w:val="000000"/>
              </w:rPr>
              <w:t>.</w:t>
            </w:r>
          </w:p>
          <w:p w:rsidR="00A25E57" w:rsidRPr="00901D1E" w:rsidRDefault="00A25E57" w:rsidP="00072F46">
            <w:pPr>
              <w:pStyle w:val="Textpoznpodarou"/>
              <w:jc w:val="both"/>
              <w:rPr>
                <w:color w:val="000000"/>
                <w:sz w:val="16"/>
                <w:szCs w:val="16"/>
              </w:rPr>
            </w:pPr>
          </w:p>
        </w:tc>
      </w:tr>
      <w:tr w:rsidR="00A25E57" w:rsidRPr="00817C98" w:rsidTr="00072F46">
        <w:tc>
          <w:tcPr>
            <w:tcW w:w="379" w:type="pct"/>
          </w:tcPr>
          <w:p w:rsidR="00A25E57" w:rsidRDefault="00A25E57" w:rsidP="00072F46">
            <w:pPr>
              <w:spacing w:line="240" w:lineRule="auto"/>
            </w:pPr>
            <w:r>
              <w:t>Graf č. 20</w:t>
            </w:r>
          </w:p>
        </w:tc>
        <w:tc>
          <w:tcPr>
            <w:tcW w:w="2113" w:type="pct"/>
            <w:gridSpan w:val="3"/>
          </w:tcPr>
          <w:p w:rsidR="00A25E57" w:rsidRDefault="00A25E57" w:rsidP="00072F46">
            <w:pPr>
              <w:pStyle w:val="Textpoznpodarou"/>
              <w:rPr>
                <w:rFonts w:cs="Arial"/>
                <w:b/>
                <w:bCs/>
              </w:rPr>
            </w:pPr>
            <w:r>
              <w:rPr>
                <w:rFonts w:cs="Arial"/>
                <w:b/>
                <w:bCs/>
              </w:rPr>
              <w:t xml:space="preserve">Čistá peněžní vydání domácností celkem a v horním a dolním příjmovém decilu </w:t>
            </w:r>
          </w:p>
          <w:p w:rsidR="00A25E57" w:rsidRDefault="00A25E57" w:rsidP="00072F46">
            <w:pPr>
              <w:pStyle w:val="Textpoznpodarou"/>
              <w:rPr>
                <w:rFonts w:cs="Arial"/>
                <w:szCs w:val="24"/>
              </w:rPr>
            </w:pPr>
            <w:r w:rsidRPr="00DB06E9">
              <w:rPr>
                <w:rFonts w:cs="Arial"/>
                <w:bCs/>
              </w:rPr>
              <w:t xml:space="preserve">(v </w:t>
            </w:r>
            <w:r>
              <w:rPr>
                <w:rFonts w:cs="Arial"/>
                <w:bCs/>
              </w:rPr>
              <w:t>korunách na osobu, 2014)</w:t>
            </w:r>
          </w:p>
        </w:tc>
        <w:tc>
          <w:tcPr>
            <w:tcW w:w="355" w:type="pct"/>
          </w:tcPr>
          <w:p w:rsidR="00A25E57" w:rsidRDefault="00A25E57" w:rsidP="00072F46">
            <w:pPr>
              <w:spacing w:line="240" w:lineRule="auto"/>
            </w:pPr>
            <w:r>
              <w:t>Graf č. 21</w:t>
            </w:r>
          </w:p>
        </w:tc>
        <w:tc>
          <w:tcPr>
            <w:tcW w:w="2154" w:type="pct"/>
          </w:tcPr>
          <w:p w:rsidR="00A25E57" w:rsidRPr="00817C98" w:rsidRDefault="00A25E57" w:rsidP="00072F46">
            <w:pPr>
              <w:spacing w:line="240" w:lineRule="auto"/>
              <w:rPr>
                <w:rFonts w:cs="Arial"/>
                <w:b/>
                <w:bCs/>
              </w:rPr>
            </w:pPr>
            <w:r>
              <w:rPr>
                <w:rFonts w:cs="Arial"/>
                <w:b/>
                <w:bCs/>
              </w:rPr>
              <w:t xml:space="preserve">Podíl domácností s příjmy pod úrovní životního minima* na celkovém počtu domácností daného decilu </w:t>
            </w:r>
            <w:r w:rsidRPr="00DB06E9">
              <w:rPr>
                <w:rFonts w:cs="Arial"/>
                <w:bCs/>
              </w:rPr>
              <w:t xml:space="preserve">(v </w:t>
            </w:r>
            <w:r>
              <w:rPr>
                <w:rFonts w:cs="Arial"/>
                <w:bCs/>
              </w:rPr>
              <w:t>%</w:t>
            </w:r>
            <w:r w:rsidRPr="00DB06E9">
              <w:rPr>
                <w:rFonts w:cs="Arial"/>
                <w:bCs/>
              </w:rPr>
              <w:t>)</w:t>
            </w:r>
          </w:p>
        </w:tc>
      </w:tr>
      <w:tr w:rsidR="00A25E57" w:rsidTr="00072F46">
        <w:tc>
          <w:tcPr>
            <w:tcW w:w="2492" w:type="pct"/>
            <w:gridSpan w:val="4"/>
          </w:tcPr>
          <w:p w:rsidR="00A25E57" w:rsidRPr="008064E9" w:rsidRDefault="002A5986" w:rsidP="00072F46">
            <w:pPr>
              <w:pStyle w:val="Textpoznpodarou"/>
              <w:jc w:val="both"/>
            </w:pPr>
            <w:r>
              <w:pict>
                <v:shape id="_x0000_i1137" type="#_x0000_t75" style="width:240.75pt;height:186pt">
                  <v:imagedata r:id="rId27" o:title=""/>
                </v:shape>
              </w:pict>
            </w:r>
          </w:p>
        </w:tc>
        <w:tc>
          <w:tcPr>
            <w:tcW w:w="2508" w:type="pct"/>
            <w:gridSpan w:val="2"/>
          </w:tcPr>
          <w:p w:rsidR="00A25E57" w:rsidRPr="008064E9" w:rsidRDefault="002A5986" w:rsidP="00072F46">
            <w:pPr>
              <w:pStyle w:val="Textpoznpodarou"/>
              <w:jc w:val="both"/>
            </w:pPr>
            <w:r>
              <w:pict>
                <v:shape id="_x0000_i1138" type="#_x0000_t75" style="width:241.5pt;height:186pt">
                  <v:imagedata r:id="rId28" o:title=""/>
                </v:shape>
              </w:pict>
            </w:r>
          </w:p>
        </w:tc>
      </w:tr>
    </w:tbl>
    <w:p w:rsidR="006148B8" w:rsidRDefault="00A25E57" w:rsidP="006148B8">
      <w:pPr>
        <w:ind w:left="1416" w:firstLine="708"/>
        <w:rPr>
          <w:sz w:val="18"/>
          <w:szCs w:val="18"/>
        </w:rPr>
      </w:pPr>
      <w:r>
        <w:rPr>
          <w:sz w:val="18"/>
          <w:szCs w:val="18"/>
        </w:rPr>
        <w:t xml:space="preserve">           Zdroj</w:t>
      </w:r>
      <w:r w:rsidR="003D030B">
        <w:rPr>
          <w:sz w:val="18"/>
          <w:szCs w:val="18"/>
        </w:rPr>
        <w:t>: ČSÚ</w:t>
      </w:r>
      <w:r w:rsidRPr="001A7C15">
        <w:rPr>
          <w:sz w:val="18"/>
          <w:szCs w:val="18"/>
        </w:rPr>
        <w:t xml:space="preserve"> </w:t>
      </w:r>
      <w:r w:rsidR="003D030B">
        <w:rPr>
          <w:sz w:val="18"/>
          <w:szCs w:val="18"/>
        </w:rPr>
        <w:t>(</w:t>
      </w:r>
      <w:r w:rsidRPr="001A7C15">
        <w:rPr>
          <w:sz w:val="18"/>
          <w:szCs w:val="18"/>
        </w:rPr>
        <w:t>rodinné účty</w:t>
      </w:r>
      <w:r w:rsidR="003D030B">
        <w:rPr>
          <w:sz w:val="18"/>
          <w:szCs w:val="18"/>
        </w:rPr>
        <w:t>)</w:t>
      </w:r>
      <w:r>
        <w:rPr>
          <w:sz w:val="18"/>
          <w:szCs w:val="18"/>
        </w:rPr>
        <w:tab/>
      </w:r>
      <w:r w:rsidR="006148B8">
        <w:rPr>
          <w:sz w:val="18"/>
          <w:szCs w:val="18"/>
        </w:rPr>
        <w:t>*</w:t>
      </w:r>
      <w:proofErr w:type="spellStart"/>
      <w:r w:rsidR="006148B8">
        <w:rPr>
          <w:sz w:val="18"/>
          <w:szCs w:val="18"/>
        </w:rPr>
        <w:t>Pozn</w:t>
      </w:r>
      <w:proofErr w:type="spellEnd"/>
      <w:r w:rsidR="006148B8">
        <w:rPr>
          <w:sz w:val="18"/>
          <w:szCs w:val="18"/>
        </w:rPr>
        <w:t xml:space="preserve">: </w:t>
      </w:r>
      <w:r w:rsidR="006148B8" w:rsidRPr="00CF1152">
        <w:rPr>
          <w:sz w:val="18"/>
          <w:szCs w:val="18"/>
        </w:rPr>
        <w:t>Čisté příjmy po odečtení nákladů na bydlení</w:t>
      </w:r>
    </w:p>
    <w:p w:rsidR="00A25E57" w:rsidRDefault="00A25E57" w:rsidP="00A25E57">
      <w:pPr>
        <w:ind w:left="1416" w:firstLine="708"/>
        <w:rPr>
          <w:sz w:val="18"/>
          <w:szCs w:val="18"/>
        </w:rPr>
      </w:pPr>
      <w:r>
        <w:rPr>
          <w:sz w:val="18"/>
          <w:szCs w:val="18"/>
        </w:rPr>
        <w:tab/>
      </w:r>
      <w:r>
        <w:rPr>
          <w:sz w:val="18"/>
          <w:szCs w:val="18"/>
        </w:rPr>
        <w:tab/>
      </w:r>
      <w:r>
        <w:rPr>
          <w:sz w:val="18"/>
          <w:szCs w:val="18"/>
        </w:rPr>
        <w:tab/>
        <w:t xml:space="preserve">  </w:t>
      </w:r>
      <w:r w:rsidR="003D030B">
        <w:rPr>
          <w:sz w:val="18"/>
          <w:szCs w:val="18"/>
        </w:rPr>
        <w:t xml:space="preserve">                   </w:t>
      </w:r>
      <w:r w:rsidR="006148B8">
        <w:rPr>
          <w:sz w:val="18"/>
          <w:szCs w:val="18"/>
        </w:rPr>
        <w:tab/>
      </w:r>
      <w:r w:rsidR="006148B8">
        <w:rPr>
          <w:sz w:val="18"/>
          <w:szCs w:val="18"/>
        </w:rPr>
        <w:tab/>
      </w:r>
      <w:r w:rsidR="006148B8">
        <w:rPr>
          <w:sz w:val="18"/>
          <w:szCs w:val="18"/>
        </w:rPr>
        <w:tab/>
      </w:r>
      <w:r w:rsidR="006148B8">
        <w:rPr>
          <w:sz w:val="18"/>
          <w:szCs w:val="18"/>
        </w:rPr>
        <w:tab/>
        <w:t xml:space="preserve">      </w:t>
      </w:r>
      <w:r w:rsidR="003D030B">
        <w:rPr>
          <w:sz w:val="18"/>
          <w:szCs w:val="18"/>
        </w:rPr>
        <w:t>Zdroj: ČSÚ</w:t>
      </w:r>
      <w:r>
        <w:rPr>
          <w:sz w:val="18"/>
          <w:szCs w:val="18"/>
        </w:rPr>
        <w:t xml:space="preserve"> </w:t>
      </w:r>
      <w:r w:rsidR="003D030B">
        <w:rPr>
          <w:sz w:val="18"/>
          <w:szCs w:val="18"/>
        </w:rPr>
        <w:t>(</w:t>
      </w:r>
      <w:r>
        <w:rPr>
          <w:sz w:val="18"/>
          <w:szCs w:val="18"/>
        </w:rPr>
        <w:t>SILC</w:t>
      </w:r>
      <w:r w:rsidR="003D030B">
        <w:rPr>
          <w:sz w:val="18"/>
          <w:szCs w:val="18"/>
        </w:rPr>
        <w:t>)</w:t>
      </w:r>
    </w:p>
    <w:tbl>
      <w:tblPr>
        <w:tblW w:w="5043" w:type="pct"/>
        <w:tblInd w:w="-42" w:type="dxa"/>
        <w:tblCellMar>
          <w:left w:w="28" w:type="dxa"/>
          <w:right w:w="28" w:type="dxa"/>
        </w:tblCellMar>
        <w:tblLook w:val="00A0"/>
      </w:tblPr>
      <w:tblGrid>
        <w:gridCol w:w="2037"/>
        <w:gridCol w:w="272"/>
        <w:gridCol w:w="7468"/>
      </w:tblGrid>
      <w:tr w:rsidR="00A25E57" w:rsidRPr="00FA57FD" w:rsidTr="00072F46">
        <w:tc>
          <w:tcPr>
            <w:tcW w:w="1042" w:type="pct"/>
          </w:tcPr>
          <w:p w:rsidR="00A25E57" w:rsidRDefault="00521CC7" w:rsidP="00072F46">
            <w:pPr>
              <w:spacing w:line="240" w:lineRule="auto"/>
              <w:rPr>
                <w:color w:val="000000"/>
                <w:sz w:val="16"/>
                <w:szCs w:val="16"/>
              </w:rPr>
            </w:pPr>
            <w:r>
              <w:rPr>
                <w:color w:val="000000"/>
                <w:sz w:val="16"/>
                <w:szCs w:val="16"/>
              </w:rPr>
              <w:lastRenderedPageBreak/>
              <w:t>V roce 2014</w:t>
            </w:r>
            <w:r w:rsidR="00A25E57">
              <w:rPr>
                <w:color w:val="000000"/>
                <w:sz w:val="16"/>
                <w:szCs w:val="16"/>
              </w:rPr>
              <w:t xml:space="preserve"> se diskrepance mezi výší čistých peněžních vydání nejníže- a nejvýše příjmových domácností nepatrně zmenšila…</w:t>
            </w:r>
          </w:p>
        </w:tc>
        <w:tc>
          <w:tcPr>
            <w:tcW w:w="139" w:type="pct"/>
          </w:tcPr>
          <w:p w:rsidR="00A25E57" w:rsidRDefault="00A25E57" w:rsidP="00072F46">
            <w:pPr>
              <w:pStyle w:val="Textpoznpodarou"/>
              <w:jc w:val="both"/>
            </w:pPr>
          </w:p>
        </w:tc>
        <w:tc>
          <w:tcPr>
            <w:tcW w:w="3819" w:type="pct"/>
          </w:tcPr>
          <w:p w:rsidR="00A25E57" w:rsidRPr="00925217" w:rsidRDefault="00A25E57" w:rsidP="00072F46">
            <w:pPr>
              <w:pStyle w:val="Textpoznpodarou"/>
              <w:jc w:val="both"/>
              <w:rPr>
                <w:color w:val="000000"/>
              </w:rPr>
            </w:pPr>
            <w:r w:rsidRPr="00925217">
              <w:rPr>
                <w:color w:val="000000"/>
              </w:rPr>
              <w:t>Nepoměr mezi čistými peněžními vydáními desetiny domácností s nejvyššími příjmy oproti desetině s nejnižšími příjmy (graf 20) se v roce 201</w:t>
            </w:r>
            <w:r>
              <w:rPr>
                <w:color w:val="000000"/>
              </w:rPr>
              <w:t>4</w:t>
            </w:r>
            <w:r>
              <w:rPr>
                <w:rStyle w:val="Znakapoznpodarou"/>
                <w:color w:val="000000"/>
              </w:rPr>
              <w:footnoteReference w:id="8"/>
            </w:r>
            <w:r w:rsidRPr="00925217">
              <w:rPr>
                <w:color w:val="000000"/>
              </w:rPr>
              <w:t xml:space="preserve"> podle údajů z rodinných účtů mírně zmenšil - převýšení (3,7</w:t>
            </w:r>
            <w:r w:rsidR="00521CC7">
              <w:rPr>
                <w:color w:val="000000"/>
              </w:rPr>
              <w:t>krát) bylo nižší než v roce 2013</w:t>
            </w:r>
            <w:r w:rsidRPr="00925217">
              <w:rPr>
                <w:color w:val="000000"/>
              </w:rPr>
              <w:t xml:space="preserve"> (3,8krát). Může to souviset s tím, že domácnosti odložily více v podobě úspor, a to především domácnosti na vzdálenější škále decilového rozdělení příjmů. </w:t>
            </w:r>
          </w:p>
          <w:p w:rsidR="00A25E57" w:rsidRPr="006C5561" w:rsidRDefault="00A25E57" w:rsidP="00072F46">
            <w:pPr>
              <w:pStyle w:val="Textpoznpodarou"/>
              <w:jc w:val="both"/>
              <w:rPr>
                <w:color w:val="000000"/>
                <w:sz w:val="16"/>
                <w:szCs w:val="16"/>
              </w:rPr>
            </w:pPr>
          </w:p>
        </w:tc>
      </w:tr>
      <w:tr w:rsidR="00A25E57" w:rsidRPr="00FA57FD" w:rsidTr="00072F46">
        <w:tc>
          <w:tcPr>
            <w:tcW w:w="1042" w:type="pct"/>
          </w:tcPr>
          <w:p w:rsidR="00A25E57" w:rsidRDefault="00A25E57" w:rsidP="00072F46">
            <w:pPr>
              <w:spacing w:line="240" w:lineRule="auto"/>
              <w:rPr>
                <w:color w:val="000000"/>
                <w:sz w:val="16"/>
                <w:szCs w:val="16"/>
              </w:rPr>
            </w:pPr>
            <w:r>
              <w:rPr>
                <w:color w:val="000000"/>
                <w:sz w:val="16"/>
                <w:szCs w:val="16"/>
              </w:rPr>
              <w:t xml:space="preserve">… a také u vydání spotřebních se zmenšilo převýšení domácností horního decilu nad domácnostmi dolního decilu </w:t>
            </w:r>
          </w:p>
        </w:tc>
        <w:tc>
          <w:tcPr>
            <w:tcW w:w="139" w:type="pct"/>
          </w:tcPr>
          <w:p w:rsidR="00A25E57" w:rsidRDefault="00A25E57" w:rsidP="00072F46">
            <w:pPr>
              <w:pStyle w:val="Textpoznpodarou"/>
              <w:jc w:val="both"/>
            </w:pPr>
          </w:p>
        </w:tc>
        <w:tc>
          <w:tcPr>
            <w:tcW w:w="3819" w:type="pct"/>
          </w:tcPr>
          <w:p w:rsidR="00A25E57" w:rsidRPr="00925217" w:rsidRDefault="00A25E57" w:rsidP="00072F46">
            <w:pPr>
              <w:pStyle w:val="Textpoznpodarou"/>
              <w:jc w:val="both"/>
              <w:rPr>
                <w:color w:val="000000"/>
              </w:rPr>
            </w:pPr>
            <w:r w:rsidRPr="00925217">
              <w:rPr>
                <w:color w:val="000000"/>
              </w:rPr>
              <w:t>Zmenšilo se i předchozí převýšení z roku 201</w:t>
            </w:r>
            <w:r>
              <w:rPr>
                <w:color w:val="000000"/>
              </w:rPr>
              <w:t>3</w:t>
            </w:r>
            <w:r w:rsidRPr="00925217">
              <w:rPr>
                <w:color w:val="000000"/>
              </w:rPr>
              <w:t xml:space="preserve"> u spotřebních vydání domácností v horním decilu oproti domácnostem v dolním decilu (na 2,9krát oproti 3,1krát).  Ovšem daleko výraznější to bylo u vydání nespotřebních (na 27,4krát oproti 40,9krát v roce 201</w:t>
            </w:r>
            <w:r>
              <w:rPr>
                <w:color w:val="000000"/>
              </w:rPr>
              <w:t>3</w:t>
            </w:r>
            <w:r w:rsidRPr="00925217">
              <w:rPr>
                <w:color w:val="000000"/>
              </w:rPr>
              <w:t>). Vydání nespotřebního typu (graf 23) se u desetiny domácností s nejnižšími příjmy v roce 201</w:t>
            </w:r>
            <w:r>
              <w:rPr>
                <w:color w:val="000000"/>
              </w:rPr>
              <w:t>4</w:t>
            </w:r>
            <w:r w:rsidRPr="00925217">
              <w:rPr>
                <w:color w:val="000000"/>
              </w:rPr>
              <w:t xml:space="preserve"> meziročně zdvojnásobila, i když jsou</w:t>
            </w:r>
            <w:r w:rsidR="00521CC7">
              <w:rPr>
                <w:color w:val="000000"/>
              </w:rPr>
              <w:t> </w:t>
            </w:r>
            <w:r w:rsidRPr="00925217">
              <w:rPr>
                <w:color w:val="000000"/>
              </w:rPr>
              <w:t>velmi malá oproti desetině domácností s nejvyššími příjmy (jen necelé tři tisíce</w:t>
            </w:r>
            <w:r w:rsidR="00521CC7">
              <w:rPr>
                <w:color w:val="000000"/>
              </w:rPr>
              <w:t> </w:t>
            </w:r>
            <w:r w:rsidRPr="00925217">
              <w:rPr>
                <w:color w:val="000000"/>
              </w:rPr>
              <w:t>korun na osobu za rok proti téměř 72 tisícům v případě domácností horního decilu).</w:t>
            </w:r>
          </w:p>
          <w:p w:rsidR="00A25E57" w:rsidRPr="006C5561" w:rsidRDefault="00A25E57" w:rsidP="00072F46">
            <w:pPr>
              <w:pStyle w:val="Textpoznpodarou"/>
              <w:jc w:val="both"/>
              <w:rPr>
                <w:color w:val="000000"/>
                <w:sz w:val="16"/>
                <w:szCs w:val="16"/>
              </w:rPr>
            </w:pPr>
          </w:p>
        </w:tc>
      </w:tr>
      <w:tr w:rsidR="00A25E57" w:rsidRPr="00FA57FD" w:rsidTr="00072F46">
        <w:tc>
          <w:tcPr>
            <w:tcW w:w="1042" w:type="pct"/>
          </w:tcPr>
          <w:p w:rsidR="00A25E57" w:rsidRDefault="00A25E57" w:rsidP="00072F46">
            <w:pPr>
              <w:spacing w:line="240" w:lineRule="auto"/>
              <w:rPr>
                <w:color w:val="000000"/>
                <w:sz w:val="16"/>
                <w:szCs w:val="16"/>
              </w:rPr>
            </w:pPr>
            <w:r>
              <w:rPr>
                <w:color w:val="000000"/>
                <w:sz w:val="16"/>
                <w:szCs w:val="16"/>
              </w:rPr>
              <w:t>Největší disparity existují mezi desetinou nejvýše- a nejníže příjmových domácností v oblasti nespotřebních vydání</w:t>
            </w:r>
          </w:p>
        </w:tc>
        <w:tc>
          <w:tcPr>
            <w:tcW w:w="139" w:type="pct"/>
          </w:tcPr>
          <w:p w:rsidR="00A25E57" w:rsidRDefault="00A25E57" w:rsidP="00072F46">
            <w:pPr>
              <w:pStyle w:val="Textpoznpodarou"/>
              <w:jc w:val="both"/>
            </w:pPr>
          </w:p>
        </w:tc>
        <w:tc>
          <w:tcPr>
            <w:tcW w:w="3819" w:type="pct"/>
          </w:tcPr>
          <w:p w:rsidR="00A25E57" w:rsidRPr="00925217" w:rsidRDefault="00A25E57" w:rsidP="00072F46">
            <w:pPr>
              <w:pStyle w:val="Textpoznpodarou"/>
              <w:jc w:val="both"/>
              <w:rPr>
                <w:color w:val="000000"/>
              </w:rPr>
            </w:pPr>
            <w:r w:rsidRPr="00925217">
              <w:rPr>
                <w:color w:val="000000"/>
              </w:rPr>
              <w:t xml:space="preserve">Právě velmi vysoká diference mezi výdajovými možnostmi výdajů nespotřebního charakteru mezi nejníže- a nejvýše příjmovými domácnostmi dokládá rozsah disparity mezi úrovní života obou těchto skupin domácností v České republice. Tato disparita je navíc umocněna tím, že v dolním příjmovém decilu žije téměř dvakrát více lidí než v decilu horním.  </w:t>
            </w:r>
          </w:p>
        </w:tc>
      </w:tr>
    </w:tbl>
    <w:p w:rsidR="00A25E57" w:rsidRDefault="00A25E57" w:rsidP="00A25E57">
      <w:pPr>
        <w:rPr>
          <w:b/>
          <w:sz w:val="22"/>
          <w:szCs w:val="22"/>
        </w:rPr>
      </w:pPr>
    </w:p>
    <w:tbl>
      <w:tblPr>
        <w:tblW w:w="5021" w:type="pct"/>
        <w:tblLayout w:type="fixed"/>
        <w:tblCellMar>
          <w:left w:w="28" w:type="dxa"/>
          <w:right w:w="28" w:type="dxa"/>
        </w:tblCellMar>
        <w:tblLook w:val="00A0"/>
      </w:tblPr>
      <w:tblGrid>
        <w:gridCol w:w="732"/>
        <w:gridCol w:w="4079"/>
        <w:gridCol w:w="705"/>
        <w:gridCol w:w="4219"/>
      </w:tblGrid>
      <w:tr w:rsidR="00A25E57" w:rsidRPr="00817C98" w:rsidTr="00072F46">
        <w:tc>
          <w:tcPr>
            <w:tcW w:w="376" w:type="pct"/>
          </w:tcPr>
          <w:p w:rsidR="00A25E57" w:rsidRDefault="00A25E57" w:rsidP="00072F46">
            <w:pPr>
              <w:spacing w:line="240" w:lineRule="auto"/>
            </w:pPr>
            <w:r>
              <w:t>Graf č. 22</w:t>
            </w:r>
          </w:p>
        </w:tc>
        <w:tc>
          <w:tcPr>
            <w:tcW w:w="2095" w:type="pct"/>
          </w:tcPr>
          <w:p w:rsidR="00A25E57" w:rsidRDefault="00A25E57" w:rsidP="00072F46">
            <w:pPr>
              <w:pStyle w:val="Textpoznpodarou"/>
              <w:rPr>
                <w:rFonts w:cs="Arial"/>
                <w:szCs w:val="24"/>
              </w:rPr>
            </w:pPr>
            <w:r>
              <w:rPr>
                <w:rFonts w:cs="Arial"/>
                <w:b/>
                <w:bCs/>
              </w:rPr>
              <w:t xml:space="preserve">Spotřební vydání domácností v horním a dolním příjmovém decilu a za domácnosti celkem </w:t>
            </w:r>
            <w:r w:rsidRPr="006E5F51">
              <w:rPr>
                <w:rFonts w:cs="Arial"/>
                <w:bCs/>
              </w:rPr>
              <w:t>(v</w:t>
            </w:r>
            <w:r>
              <w:rPr>
                <w:rFonts w:cs="Arial"/>
                <w:bCs/>
              </w:rPr>
              <w:t xml:space="preserve"> korunách na osobu, 2014) </w:t>
            </w:r>
          </w:p>
        </w:tc>
        <w:tc>
          <w:tcPr>
            <w:tcW w:w="362" w:type="pct"/>
          </w:tcPr>
          <w:p w:rsidR="00A25E57" w:rsidRDefault="00A25E57" w:rsidP="00072F46">
            <w:pPr>
              <w:spacing w:line="240" w:lineRule="auto"/>
            </w:pPr>
            <w:r>
              <w:t>Graf č. 23</w:t>
            </w:r>
          </w:p>
        </w:tc>
        <w:tc>
          <w:tcPr>
            <w:tcW w:w="2167" w:type="pct"/>
          </w:tcPr>
          <w:p w:rsidR="00A25E57" w:rsidRPr="006E5F51" w:rsidRDefault="00A25E57" w:rsidP="00072F46">
            <w:pPr>
              <w:pStyle w:val="Textpoznpodarou"/>
              <w:rPr>
                <w:rFonts w:cs="Arial"/>
                <w:b/>
                <w:bCs/>
              </w:rPr>
            </w:pPr>
            <w:r w:rsidRPr="006E5F51">
              <w:rPr>
                <w:b/>
              </w:rPr>
              <w:t>Nespotřební vydání domácností v horním a dolním příjmovém decilu a za domácnosti celkem</w:t>
            </w:r>
            <w:r>
              <w:t xml:space="preserve"> </w:t>
            </w:r>
            <w:r w:rsidRPr="00DB06E9">
              <w:t xml:space="preserve">(v </w:t>
            </w:r>
            <w:r>
              <w:t xml:space="preserve">korunách na osobu, 2014) </w:t>
            </w:r>
          </w:p>
        </w:tc>
      </w:tr>
      <w:tr w:rsidR="00A25E57" w:rsidTr="00072F46">
        <w:tc>
          <w:tcPr>
            <w:tcW w:w="2471" w:type="pct"/>
            <w:gridSpan w:val="2"/>
          </w:tcPr>
          <w:p w:rsidR="00A25E57" w:rsidRPr="001A7C15" w:rsidRDefault="002A5986" w:rsidP="00072F46">
            <w:pPr>
              <w:pStyle w:val="Textpoznpodarou"/>
              <w:jc w:val="both"/>
            </w:pPr>
            <w:r>
              <w:pict>
                <v:shape id="_x0000_i1139" type="#_x0000_t75" style="width:231pt;height:200.25pt">
                  <v:imagedata r:id="rId29" o:title=""/>
                </v:shape>
              </w:pict>
            </w:r>
          </w:p>
        </w:tc>
        <w:tc>
          <w:tcPr>
            <w:tcW w:w="2529" w:type="pct"/>
            <w:gridSpan w:val="2"/>
          </w:tcPr>
          <w:p w:rsidR="00A25E57" w:rsidRPr="001A7C15" w:rsidRDefault="002A5986" w:rsidP="00072F46">
            <w:pPr>
              <w:pStyle w:val="Textpoznpodarou"/>
              <w:jc w:val="both"/>
            </w:pPr>
            <w:r>
              <w:pict>
                <v:shape id="_x0000_i1140" type="#_x0000_t75" style="width:235.5pt;height:200.25pt">
                  <v:imagedata r:id="rId30" o:title=""/>
                </v:shape>
              </w:pict>
            </w:r>
          </w:p>
        </w:tc>
      </w:tr>
    </w:tbl>
    <w:p w:rsidR="00A25E57" w:rsidRDefault="00A25E57" w:rsidP="00A25E57">
      <w:pPr>
        <w:jc w:val="right"/>
        <w:rPr>
          <w:sz w:val="18"/>
          <w:szCs w:val="18"/>
        </w:rPr>
      </w:pPr>
      <w:r>
        <w:rPr>
          <w:sz w:val="18"/>
          <w:szCs w:val="18"/>
        </w:rPr>
        <w:t>Zdroj</w:t>
      </w:r>
      <w:r w:rsidR="00B85E2C">
        <w:rPr>
          <w:sz w:val="18"/>
          <w:szCs w:val="18"/>
        </w:rPr>
        <w:t>: ČSÚ</w:t>
      </w:r>
      <w:r w:rsidRPr="001A7C15">
        <w:rPr>
          <w:sz w:val="18"/>
          <w:szCs w:val="18"/>
        </w:rPr>
        <w:t xml:space="preserve"> </w:t>
      </w:r>
      <w:r w:rsidR="00B85E2C">
        <w:rPr>
          <w:sz w:val="18"/>
          <w:szCs w:val="18"/>
        </w:rPr>
        <w:t>(</w:t>
      </w:r>
      <w:r w:rsidRPr="001A7C15">
        <w:rPr>
          <w:sz w:val="18"/>
          <w:szCs w:val="18"/>
        </w:rPr>
        <w:t>rodinné účty</w:t>
      </w:r>
      <w:r w:rsidR="00B85E2C">
        <w:rPr>
          <w:sz w:val="18"/>
          <w:szCs w:val="18"/>
        </w:rPr>
        <w:t>)</w:t>
      </w:r>
    </w:p>
    <w:p w:rsidR="00A25E57" w:rsidRPr="003B50F0" w:rsidRDefault="00A25E57" w:rsidP="00A25E57">
      <w:pPr>
        <w:jc w:val="both"/>
        <w:rPr>
          <w:sz w:val="12"/>
          <w:szCs w:val="12"/>
        </w:rPr>
      </w:pPr>
    </w:p>
    <w:tbl>
      <w:tblPr>
        <w:tblW w:w="5043" w:type="pct"/>
        <w:tblInd w:w="-42" w:type="dxa"/>
        <w:tblCellMar>
          <w:left w:w="28" w:type="dxa"/>
          <w:right w:w="28" w:type="dxa"/>
        </w:tblCellMar>
        <w:tblLook w:val="00A0"/>
      </w:tblPr>
      <w:tblGrid>
        <w:gridCol w:w="40"/>
        <w:gridCol w:w="732"/>
        <w:gridCol w:w="1266"/>
        <w:gridCol w:w="272"/>
        <w:gridCol w:w="2543"/>
        <w:gridCol w:w="705"/>
        <w:gridCol w:w="4219"/>
      </w:tblGrid>
      <w:tr w:rsidR="00A25E57" w:rsidRPr="00FA57FD" w:rsidTr="00072F46">
        <w:tc>
          <w:tcPr>
            <w:tcW w:w="1042" w:type="pct"/>
            <w:gridSpan w:val="3"/>
          </w:tcPr>
          <w:p w:rsidR="00A25E57" w:rsidRDefault="00A25E57" w:rsidP="00072F46">
            <w:pPr>
              <w:spacing w:line="240" w:lineRule="auto"/>
              <w:rPr>
                <w:color w:val="000000"/>
                <w:sz w:val="16"/>
                <w:szCs w:val="16"/>
              </w:rPr>
            </w:pPr>
            <w:r>
              <w:rPr>
                <w:color w:val="000000"/>
                <w:sz w:val="16"/>
                <w:szCs w:val="16"/>
              </w:rPr>
              <w:t>Spotřeba podle jednotlivých položek</w:t>
            </w:r>
          </w:p>
        </w:tc>
        <w:tc>
          <w:tcPr>
            <w:tcW w:w="139" w:type="pct"/>
          </w:tcPr>
          <w:p w:rsidR="00A25E57" w:rsidRDefault="00A25E57" w:rsidP="00072F46">
            <w:pPr>
              <w:pStyle w:val="Textpoznpodarou"/>
              <w:jc w:val="both"/>
            </w:pPr>
          </w:p>
        </w:tc>
        <w:tc>
          <w:tcPr>
            <w:tcW w:w="3819" w:type="pct"/>
            <w:gridSpan w:val="3"/>
          </w:tcPr>
          <w:p w:rsidR="00A25E57" w:rsidRPr="00925217" w:rsidRDefault="00A25E57" w:rsidP="00072F46">
            <w:pPr>
              <w:pStyle w:val="Textpoznpodarou"/>
              <w:jc w:val="both"/>
              <w:rPr>
                <w:color w:val="000000"/>
              </w:rPr>
            </w:pPr>
            <w:r w:rsidRPr="00925217">
              <w:rPr>
                <w:color w:val="000000"/>
              </w:rPr>
              <w:t>Přejděme však ke konkrétnějšímu pohledu na spotřební vydání nejníže a nejvýše příjmových domácností v ČR podle decilového rozdělení příjmů, a to ve struktuře výdajů podle mezinárodní klas</w:t>
            </w:r>
            <w:r w:rsidR="001D5088">
              <w:rPr>
                <w:color w:val="000000"/>
              </w:rPr>
              <w:t>ifikace individuální spotřeby C</w:t>
            </w:r>
            <w:r w:rsidRPr="00925217">
              <w:rPr>
                <w:color w:val="000000"/>
              </w:rPr>
              <w:t>O</w:t>
            </w:r>
            <w:r w:rsidR="001D5088">
              <w:rPr>
                <w:color w:val="000000"/>
              </w:rPr>
              <w:t>I</w:t>
            </w:r>
            <w:r w:rsidRPr="00925217">
              <w:rPr>
                <w:color w:val="000000"/>
              </w:rPr>
              <w:t>COP (</w:t>
            </w:r>
            <w:proofErr w:type="spellStart"/>
            <w:r w:rsidRPr="00925217">
              <w:rPr>
                <w:color w:val="000000"/>
              </w:rPr>
              <w:t>Classification</w:t>
            </w:r>
            <w:proofErr w:type="spellEnd"/>
            <w:r w:rsidRPr="00925217">
              <w:rPr>
                <w:color w:val="000000"/>
              </w:rPr>
              <w:t xml:space="preserve"> </w:t>
            </w:r>
            <w:proofErr w:type="spellStart"/>
            <w:r w:rsidRPr="00925217">
              <w:rPr>
                <w:color w:val="000000"/>
              </w:rPr>
              <w:t>of</w:t>
            </w:r>
            <w:proofErr w:type="spellEnd"/>
            <w:r w:rsidRPr="00925217">
              <w:rPr>
                <w:color w:val="000000"/>
              </w:rPr>
              <w:t xml:space="preserve"> </w:t>
            </w:r>
            <w:proofErr w:type="spellStart"/>
            <w:r w:rsidRPr="00925217">
              <w:rPr>
                <w:color w:val="000000"/>
              </w:rPr>
              <w:t>Individual</w:t>
            </w:r>
            <w:proofErr w:type="spellEnd"/>
            <w:r w:rsidRPr="00925217">
              <w:rPr>
                <w:color w:val="000000"/>
              </w:rPr>
              <w:t xml:space="preserve"> </w:t>
            </w:r>
            <w:proofErr w:type="spellStart"/>
            <w:r w:rsidRPr="00925217">
              <w:rPr>
                <w:color w:val="000000"/>
              </w:rPr>
              <w:t>Consumption</w:t>
            </w:r>
            <w:proofErr w:type="spellEnd"/>
            <w:r w:rsidRPr="00925217">
              <w:rPr>
                <w:color w:val="000000"/>
              </w:rPr>
              <w:t xml:space="preserve"> </w:t>
            </w:r>
            <w:proofErr w:type="spellStart"/>
            <w:r w:rsidRPr="00925217">
              <w:rPr>
                <w:color w:val="000000"/>
              </w:rPr>
              <w:t>According</w:t>
            </w:r>
            <w:proofErr w:type="spellEnd"/>
            <w:r w:rsidRPr="00925217">
              <w:rPr>
                <w:color w:val="000000"/>
              </w:rPr>
              <w:t xml:space="preserve"> to </w:t>
            </w:r>
            <w:proofErr w:type="spellStart"/>
            <w:r w:rsidRPr="00925217">
              <w:rPr>
                <w:color w:val="000000"/>
              </w:rPr>
              <w:t>Purpose</w:t>
            </w:r>
            <w:proofErr w:type="spellEnd"/>
            <w:r w:rsidRPr="00925217">
              <w:rPr>
                <w:color w:val="000000"/>
              </w:rPr>
              <w:t xml:space="preserve">).  </w:t>
            </w:r>
          </w:p>
          <w:p w:rsidR="00A25E57" w:rsidRPr="00925217" w:rsidRDefault="00A25E57" w:rsidP="00072F46">
            <w:pPr>
              <w:pStyle w:val="Textpoznpodarou"/>
              <w:jc w:val="both"/>
              <w:rPr>
                <w:color w:val="000000"/>
              </w:rPr>
            </w:pPr>
            <w:r w:rsidRPr="00925217">
              <w:rPr>
                <w:color w:val="000000"/>
              </w:rPr>
              <w:t xml:space="preserve"> </w:t>
            </w:r>
          </w:p>
        </w:tc>
      </w:tr>
      <w:tr w:rsidR="00A25E57" w:rsidRPr="00FA57FD" w:rsidTr="00072F46">
        <w:tc>
          <w:tcPr>
            <w:tcW w:w="1042" w:type="pct"/>
            <w:gridSpan w:val="3"/>
          </w:tcPr>
          <w:p w:rsidR="00A25E57" w:rsidRDefault="00A25E57" w:rsidP="00072F46">
            <w:pPr>
              <w:spacing w:line="240" w:lineRule="auto"/>
              <w:rPr>
                <w:color w:val="000000"/>
                <w:sz w:val="16"/>
                <w:szCs w:val="16"/>
              </w:rPr>
            </w:pPr>
            <w:r>
              <w:rPr>
                <w:color w:val="000000"/>
                <w:sz w:val="16"/>
                <w:szCs w:val="16"/>
              </w:rPr>
              <w:t xml:space="preserve">„Nezbytné“ výdaje, tj. za potraviny vč. nealko </w:t>
            </w:r>
            <w:r w:rsidR="000D6946">
              <w:rPr>
                <w:color w:val="000000"/>
                <w:sz w:val="16"/>
                <w:szCs w:val="16"/>
              </w:rPr>
              <w:t>nápoje</w:t>
            </w:r>
            <w:r>
              <w:rPr>
                <w:color w:val="000000"/>
                <w:sz w:val="16"/>
                <w:szCs w:val="16"/>
              </w:rPr>
              <w:t xml:space="preserve"> a za služby spojené s bydlením vč. plateb za vodu a e</w:t>
            </w:r>
            <w:r w:rsidR="000D6946">
              <w:rPr>
                <w:color w:val="000000"/>
                <w:sz w:val="16"/>
                <w:szCs w:val="16"/>
              </w:rPr>
              <w:t>nergie představovaly v roce 2014</w:t>
            </w:r>
            <w:r>
              <w:rPr>
                <w:color w:val="000000"/>
                <w:sz w:val="16"/>
                <w:szCs w:val="16"/>
              </w:rPr>
              <w:t xml:space="preserve"> u příjmově nejslabší desetiny domácností skoro polovinu jejich celkových spotřebních vydání, u příjmově nejsilnější desetiny domácností jen zhruba třetinu</w:t>
            </w:r>
          </w:p>
        </w:tc>
        <w:tc>
          <w:tcPr>
            <w:tcW w:w="139" w:type="pct"/>
          </w:tcPr>
          <w:p w:rsidR="00A25E57" w:rsidRDefault="00A25E57" w:rsidP="00072F46">
            <w:pPr>
              <w:pStyle w:val="Textpoznpodarou"/>
              <w:jc w:val="both"/>
            </w:pPr>
          </w:p>
        </w:tc>
        <w:tc>
          <w:tcPr>
            <w:tcW w:w="3819" w:type="pct"/>
            <w:gridSpan w:val="3"/>
          </w:tcPr>
          <w:p w:rsidR="00A25E57" w:rsidRPr="00925217" w:rsidRDefault="00A25E57" w:rsidP="00072F46">
            <w:pPr>
              <w:pStyle w:val="Textpoznpodarou"/>
              <w:jc w:val="both"/>
              <w:rPr>
                <w:color w:val="000000"/>
              </w:rPr>
            </w:pPr>
            <w:r w:rsidRPr="00925217">
              <w:rPr>
                <w:color w:val="000000"/>
              </w:rPr>
              <w:t>„Nezbytné“ výdaje domácností, kterými jsou v zásadě výdaje za potraviny spolu s</w:t>
            </w:r>
            <w:r w:rsidR="00C93A94">
              <w:rPr>
                <w:color w:val="000000"/>
              </w:rPr>
              <w:t> </w:t>
            </w:r>
            <w:r w:rsidRPr="00925217">
              <w:rPr>
                <w:color w:val="000000"/>
              </w:rPr>
              <w:t>nealko</w:t>
            </w:r>
            <w:r w:rsidR="00C93A94">
              <w:rPr>
                <w:color w:val="000000"/>
              </w:rPr>
              <w:t xml:space="preserve">holickými </w:t>
            </w:r>
            <w:r w:rsidRPr="00925217">
              <w:rPr>
                <w:color w:val="000000"/>
              </w:rPr>
              <w:t>nápoji a výdaje spojené s bydlením včetně plateb za vodu a energie, dominují v úhrnu jak v desetině domácností s nejnižšími příjmy, tak i desetině domácností s příjmy nejvyššími. Tato dominance je však u domácností z příjmového pohledu „chudých“ výrazně vyšší – takto definované nezbytné výdaje tvořily v roce 201</w:t>
            </w:r>
            <w:r>
              <w:rPr>
                <w:color w:val="000000"/>
              </w:rPr>
              <w:t>4</w:t>
            </w:r>
            <w:r w:rsidRPr="00925217">
              <w:rPr>
                <w:color w:val="000000"/>
              </w:rPr>
              <w:t xml:space="preserve"> téměř polovinu (47,1 %) jejich spotřebních vydání, zatímco u</w:t>
            </w:r>
            <w:r>
              <w:rPr>
                <w:color w:val="000000"/>
              </w:rPr>
              <w:t> </w:t>
            </w:r>
            <w:r w:rsidRPr="00925217">
              <w:rPr>
                <w:color w:val="000000"/>
              </w:rPr>
              <w:t xml:space="preserve">příjmově „bohatých“ domácností jen asi třetinu (35 %). </w:t>
            </w:r>
          </w:p>
          <w:p w:rsidR="00A25E57" w:rsidRPr="00925217" w:rsidRDefault="00A25E57" w:rsidP="00072F46">
            <w:pPr>
              <w:pStyle w:val="Textpoznpodarou"/>
              <w:jc w:val="both"/>
              <w:rPr>
                <w:color w:val="000000"/>
                <w:sz w:val="12"/>
                <w:szCs w:val="12"/>
              </w:rPr>
            </w:pPr>
          </w:p>
          <w:p w:rsidR="00A25E57" w:rsidRDefault="00A25E57" w:rsidP="00072F46">
            <w:pPr>
              <w:pStyle w:val="Textpoznpodarou"/>
              <w:jc w:val="both"/>
              <w:rPr>
                <w:color w:val="000000"/>
              </w:rPr>
            </w:pPr>
            <w:r w:rsidRPr="00925217">
              <w:rPr>
                <w:color w:val="000000"/>
                <w:spacing w:val="-2"/>
              </w:rPr>
              <w:t xml:space="preserve">Rozdíl v této proporci byl dán především výdaji za potraviny a nealko nápoje (23,6 % </w:t>
            </w:r>
            <w:r w:rsidRPr="00925217">
              <w:rPr>
                <w:color w:val="000000"/>
              </w:rPr>
              <w:t xml:space="preserve">u domácností dolního decilu a 15,8 % u domácností horního decilu). U výdajů za bydlení, vodu a energie činila proporce 23,5 %, resp. 19,2 %. Rozdíly v přepočtu </w:t>
            </w:r>
            <w:r w:rsidRPr="00925217">
              <w:rPr>
                <w:color w:val="000000"/>
              </w:rPr>
              <w:lastRenderedPageBreak/>
              <w:t>na osobu v obou decilech ve vydáních za tyto položky v roce 201</w:t>
            </w:r>
            <w:r>
              <w:rPr>
                <w:color w:val="000000"/>
              </w:rPr>
              <w:t>4</w:t>
            </w:r>
            <w:r w:rsidRPr="00925217">
              <w:rPr>
                <w:color w:val="000000"/>
              </w:rPr>
              <w:t xml:space="preserve"> jsou patrné v grafech 23 a 24.  </w:t>
            </w:r>
          </w:p>
          <w:p w:rsidR="00A25E57" w:rsidRPr="00925217" w:rsidRDefault="00A25E57" w:rsidP="00072F46">
            <w:pPr>
              <w:pStyle w:val="Textpoznpodarou"/>
              <w:jc w:val="both"/>
              <w:rPr>
                <w:color w:val="000000"/>
              </w:rPr>
            </w:pPr>
            <w:r w:rsidRPr="00925217">
              <w:rPr>
                <w:color w:val="000000"/>
              </w:rPr>
              <w:t xml:space="preserve"> </w:t>
            </w:r>
          </w:p>
        </w:tc>
      </w:tr>
      <w:tr w:rsidR="00A25E57" w:rsidRPr="00817C98" w:rsidTr="00072F46">
        <w:trPr>
          <w:gridBefore w:val="1"/>
          <w:wBefore w:w="21" w:type="pct"/>
        </w:trPr>
        <w:tc>
          <w:tcPr>
            <w:tcW w:w="374" w:type="pct"/>
          </w:tcPr>
          <w:p w:rsidR="00A25E57" w:rsidRDefault="00A25E57" w:rsidP="00072F46">
            <w:pPr>
              <w:spacing w:line="240" w:lineRule="auto"/>
            </w:pPr>
            <w:r>
              <w:lastRenderedPageBreak/>
              <w:t>Graf č. 23</w:t>
            </w:r>
          </w:p>
        </w:tc>
        <w:tc>
          <w:tcPr>
            <w:tcW w:w="2086" w:type="pct"/>
            <w:gridSpan w:val="3"/>
          </w:tcPr>
          <w:p w:rsidR="00A25E57" w:rsidRDefault="00A25E57" w:rsidP="00072F46">
            <w:pPr>
              <w:pStyle w:val="Textpoznpodarou"/>
              <w:rPr>
                <w:rFonts w:cs="Arial"/>
                <w:szCs w:val="24"/>
              </w:rPr>
            </w:pPr>
            <w:r>
              <w:rPr>
                <w:rFonts w:cs="Arial"/>
                <w:b/>
                <w:bCs/>
              </w:rPr>
              <w:t xml:space="preserve">Výdaje domácností za potraviny a nealko nápoje </w:t>
            </w:r>
            <w:r w:rsidRPr="00BF6DE7">
              <w:rPr>
                <w:rFonts w:cs="Arial"/>
                <w:bCs/>
              </w:rPr>
              <w:t>(</w:t>
            </w:r>
            <w:r w:rsidR="004D5A97">
              <w:rPr>
                <w:rFonts w:cs="Arial"/>
                <w:bCs/>
              </w:rPr>
              <w:t xml:space="preserve">z dat </w:t>
            </w:r>
            <w:r w:rsidRPr="00BF6DE7">
              <w:rPr>
                <w:rFonts w:cs="Arial"/>
                <w:bCs/>
              </w:rPr>
              <w:t>v korunách na osobu, 201</w:t>
            </w:r>
            <w:r>
              <w:rPr>
                <w:rFonts w:cs="Arial"/>
                <w:bCs/>
              </w:rPr>
              <w:t>4</w:t>
            </w:r>
            <w:r w:rsidRPr="00BF6DE7">
              <w:rPr>
                <w:rFonts w:cs="Arial"/>
                <w:bCs/>
              </w:rPr>
              <w:t>)</w:t>
            </w:r>
          </w:p>
        </w:tc>
        <w:tc>
          <w:tcPr>
            <w:tcW w:w="361" w:type="pct"/>
          </w:tcPr>
          <w:p w:rsidR="00A25E57" w:rsidRDefault="00A25E57" w:rsidP="00072F46">
            <w:pPr>
              <w:spacing w:line="240" w:lineRule="auto"/>
            </w:pPr>
            <w:r>
              <w:t>Graf č. 24</w:t>
            </w:r>
          </w:p>
        </w:tc>
        <w:tc>
          <w:tcPr>
            <w:tcW w:w="2158" w:type="pct"/>
          </w:tcPr>
          <w:p w:rsidR="00A25E57" w:rsidRPr="004D5A97" w:rsidRDefault="00A25E57" w:rsidP="004D5A97">
            <w:pPr>
              <w:spacing w:line="240" w:lineRule="auto"/>
              <w:rPr>
                <w:rFonts w:cs="Arial"/>
                <w:b/>
                <w:bCs/>
                <w:spacing w:val="-6"/>
              </w:rPr>
            </w:pPr>
            <w:r w:rsidRPr="004D5A97">
              <w:rPr>
                <w:rFonts w:cs="Arial"/>
                <w:b/>
                <w:bCs/>
                <w:spacing w:val="-6"/>
              </w:rPr>
              <w:t>Výdaje domácností za bydlení, vodu, energie a</w:t>
            </w:r>
            <w:r w:rsidR="004D5A97">
              <w:rPr>
                <w:rFonts w:cs="Arial"/>
                <w:b/>
                <w:bCs/>
                <w:spacing w:val="-6"/>
              </w:rPr>
              <w:t> </w:t>
            </w:r>
            <w:r w:rsidRPr="004D5A97">
              <w:rPr>
                <w:rFonts w:cs="Arial"/>
                <w:b/>
                <w:bCs/>
                <w:spacing w:val="-6"/>
              </w:rPr>
              <w:t xml:space="preserve">paliva </w:t>
            </w:r>
            <w:r w:rsidR="004D5A97" w:rsidRPr="004D5A97">
              <w:rPr>
                <w:spacing w:val="-6"/>
                <w:szCs w:val="20"/>
              </w:rPr>
              <w:t>(z dat v korunách na osobu, 2014)</w:t>
            </w:r>
          </w:p>
        </w:tc>
      </w:tr>
      <w:tr w:rsidR="00A25E57" w:rsidTr="00072F46">
        <w:trPr>
          <w:gridBefore w:val="1"/>
          <w:wBefore w:w="21" w:type="pct"/>
        </w:trPr>
        <w:tc>
          <w:tcPr>
            <w:tcW w:w="2460" w:type="pct"/>
            <w:gridSpan w:val="4"/>
          </w:tcPr>
          <w:p w:rsidR="00A25E57" w:rsidRPr="00FC0AF4" w:rsidRDefault="002A5986" w:rsidP="00072F46">
            <w:pPr>
              <w:pStyle w:val="Textpoznpodarou"/>
              <w:jc w:val="both"/>
            </w:pPr>
            <w:r>
              <w:rPr>
                <w:noProof/>
              </w:rPr>
              <w:pict>
                <v:shape id="_x0000_i1141" type="#_x0000_t75" style="width:237.75pt;height:19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">
                  <v:imagedata r:id="rId31" o:title=""/>
                  <o:lock v:ext="edit" aspectratio="f"/>
                </v:shape>
              </w:pict>
            </w:r>
          </w:p>
        </w:tc>
        <w:tc>
          <w:tcPr>
            <w:tcW w:w="2518" w:type="pct"/>
            <w:gridSpan w:val="2"/>
          </w:tcPr>
          <w:p w:rsidR="00A25E57" w:rsidRPr="00FC0AF4" w:rsidRDefault="002A5986" w:rsidP="00072F46">
            <w:pPr>
              <w:pStyle w:val="Textpoznpodarou"/>
              <w:jc w:val="both"/>
            </w:pPr>
            <w:r>
              <w:rPr>
                <w:noProof/>
              </w:rPr>
              <w:pict>
                <v:shape id="_x0000_i1142" type="#_x0000_t75" style="width:239.25pt;height:195.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">
                  <v:imagedata r:id="rId32" o:title="" cropbottom="-16f"/>
                  <o:lock v:ext="edit" aspectratio="f"/>
                </v:shape>
              </w:pict>
            </w:r>
          </w:p>
        </w:tc>
      </w:tr>
    </w:tbl>
    <w:p w:rsidR="00A25E57" w:rsidRDefault="00A25E57" w:rsidP="00A25E57">
      <w:pPr>
        <w:jc w:val="right"/>
        <w:rPr>
          <w:sz w:val="18"/>
          <w:szCs w:val="18"/>
        </w:rPr>
      </w:pPr>
      <w:r>
        <w:rPr>
          <w:sz w:val="18"/>
          <w:szCs w:val="18"/>
        </w:rPr>
        <w:t>Zdroj</w:t>
      </w:r>
      <w:r w:rsidR="00B85E2C">
        <w:rPr>
          <w:sz w:val="18"/>
          <w:szCs w:val="18"/>
        </w:rPr>
        <w:t>: ČSÚ</w:t>
      </w:r>
      <w:r w:rsidRPr="001A7C15">
        <w:rPr>
          <w:sz w:val="18"/>
          <w:szCs w:val="18"/>
        </w:rPr>
        <w:t xml:space="preserve"> </w:t>
      </w:r>
      <w:r w:rsidR="00B85E2C">
        <w:rPr>
          <w:sz w:val="18"/>
          <w:szCs w:val="18"/>
        </w:rPr>
        <w:t>(</w:t>
      </w:r>
      <w:r w:rsidRPr="001A7C15">
        <w:rPr>
          <w:sz w:val="18"/>
          <w:szCs w:val="18"/>
        </w:rPr>
        <w:t>rodinné účty</w:t>
      </w:r>
      <w:r w:rsidR="00B85E2C">
        <w:rPr>
          <w:sz w:val="18"/>
          <w:szCs w:val="18"/>
        </w:rPr>
        <w:t>)</w:t>
      </w:r>
    </w:p>
    <w:p w:rsidR="00A25E57" w:rsidRDefault="00A25E57" w:rsidP="00A25E57">
      <w:pPr>
        <w:jc w:val="right"/>
        <w:rPr>
          <w:sz w:val="18"/>
          <w:szCs w:val="18"/>
        </w:rPr>
      </w:pPr>
    </w:p>
    <w:tbl>
      <w:tblPr>
        <w:tblW w:w="5043" w:type="pct"/>
        <w:tblInd w:w="-42" w:type="dxa"/>
        <w:tblCellMar>
          <w:left w:w="28" w:type="dxa"/>
          <w:right w:w="28" w:type="dxa"/>
        </w:tblCellMar>
        <w:tblLook w:val="00A0"/>
      </w:tblPr>
      <w:tblGrid>
        <w:gridCol w:w="2037"/>
        <w:gridCol w:w="272"/>
        <w:gridCol w:w="7468"/>
      </w:tblGrid>
      <w:tr w:rsidR="00A25E57" w:rsidRPr="00FA57FD" w:rsidTr="00072F46">
        <w:tc>
          <w:tcPr>
            <w:tcW w:w="1042" w:type="pct"/>
          </w:tcPr>
          <w:p w:rsidR="00A25E57" w:rsidRDefault="00A25E57" w:rsidP="00072F46">
            <w:pPr>
              <w:spacing w:line="240" w:lineRule="auto"/>
              <w:rPr>
                <w:color w:val="000000"/>
                <w:sz w:val="16"/>
                <w:szCs w:val="16"/>
              </w:rPr>
            </w:pPr>
            <w:r>
              <w:rPr>
                <w:color w:val="000000"/>
                <w:sz w:val="16"/>
                <w:szCs w:val="16"/>
              </w:rPr>
              <w:t>Analýza jednotlivých položek spotřeby a srovnání vydání u desetiny domácností s nejnižšími příjmy a desetiny domácností s nejvyššími příjmy ukázala, že největší disparita je ve vydáních za bytové vybavení, zařízení domácnosti a opravy, dále za dopravu a také za rekreaci a kulturu</w:t>
            </w:r>
          </w:p>
        </w:tc>
        <w:tc>
          <w:tcPr>
            <w:tcW w:w="139" w:type="pct"/>
          </w:tcPr>
          <w:p w:rsidR="00A25E57" w:rsidRDefault="00A25E57" w:rsidP="00072F46">
            <w:pPr>
              <w:pStyle w:val="Textpoznpodarou"/>
              <w:jc w:val="both"/>
            </w:pPr>
          </w:p>
        </w:tc>
        <w:tc>
          <w:tcPr>
            <w:tcW w:w="3819" w:type="pct"/>
          </w:tcPr>
          <w:p w:rsidR="00A25E57" w:rsidRPr="006C5561" w:rsidRDefault="00A25E57" w:rsidP="00072F46">
            <w:pPr>
              <w:pStyle w:val="Textpoznpodarou"/>
              <w:jc w:val="both"/>
              <w:rPr>
                <w:color w:val="000000"/>
              </w:rPr>
            </w:pPr>
            <w:r w:rsidRPr="006C5561">
              <w:rPr>
                <w:color w:val="000000"/>
              </w:rPr>
              <w:t>Také v dalších položkách spotřeby je patrný rozdíl v částkách, které vydávají lidé v desetině nejníže příjmových domácností oproti desetině nejvýše příjmových. Některé rozdíly jsou na první pohled logické, u jiných je třeba hledat hlubší důvody.</w:t>
            </w:r>
          </w:p>
          <w:p w:rsidR="00A25E57" w:rsidRPr="006C5561" w:rsidRDefault="00A25E57" w:rsidP="00072F46">
            <w:pPr>
              <w:pStyle w:val="Textpoznpodarou"/>
              <w:jc w:val="both"/>
              <w:rPr>
                <w:color w:val="000000"/>
                <w:sz w:val="22"/>
                <w:szCs w:val="22"/>
              </w:rPr>
            </w:pPr>
          </w:p>
          <w:p w:rsidR="00A25E57" w:rsidRPr="006C5561" w:rsidRDefault="00A25E57" w:rsidP="00072F46">
            <w:pPr>
              <w:pStyle w:val="Textpoznpodarou"/>
              <w:jc w:val="both"/>
              <w:rPr>
                <w:color w:val="000000"/>
              </w:rPr>
            </w:pPr>
            <w:r w:rsidRPr="006C5561">
              <w:rPr>
                <w:color w:val="000000"/>
              </w:rPr>
              <w:t xml:space="preserve">Např. u vydání v položce Stravování a ubytování (poslední obrázek v grafu 25) jsou podíly na celkových spotřebních vydáních v dolním i horním decilu domácností stejné (5,6 %), což může být na první pohled překvapující (očekávání by se spíše klonila k nižšímu podílu u „chudších“ domácností). Ovšem v této položce jsou zahrnuty např. i platby za stravu ve školních jídelnách či jídelnách zaměstnavatelů, což vzhledem k většímu počtu dětí v těchto rodinách může vysvětlovat stejně vysoký procentní podíl těchto vydání na celkové spotřebě jako u domácností </w:t>
            </w:r>
            <w:proofErr w:type="spellStart"/>
            <w:r w:rsidRPr="006C5561">
              <w:rPr>
                <w:color w:val="000000"/>
              </w:rPr>
              <w:t>vysokopříjmových</w:t>
            </w:r>
            <w:proofErr w:type="spellEnd"/>
            <w:r w:rsidRPr="006C5561">
              <w:rPr>
                <w:color w:val="000000"/>
              </w:rPr>
              <w:t>. V nich však činil v roce 201</w:t>
            </w:r>
            <w:r>
              <w:rPr>
                <w:color w:val="000000"/>
              </w:rPr>
              <w:t>4</w:t>
            </w:r>
            <w:r w:rsidRPr="006C5561">
              <w:rPr>
                <w:color w:val="000000"/>
              </w:rPr>
              <w:t xml:space="preserve"> roční výdaj za stravování a ubytování v nominální hodnotě téměř 12 tis. korun, zatímco u nejníže příjmových jen zhruba čtyři tisíce korun. Bylo to dáno především útratami v restauracích, kavárnách a podobných zařízeních poskytujících tyto služby, kde byl rozdíl u těchto dvou typů domácností 8400 korun na osobu ročně proti 1500 korunám u nejníže příjmových domácností.   </w:t>
            </w:r>
          </w:p>
          <w:p w:rsidR="00A25E57" w:rsidRPr="006C5561" w:rsidRDefault="00A25E57" w:rsidP="00072F46">
            <w:pPr>
              <w:pStyle w:val="Textpoznpodarou"/>
              <w:jc w:val="both"/>
              <w:rPr>
                <w:color w:val="000000"/>
                <w:sz w:val="22"/>
                <w:szCs w:val="22"/>
              </w:rPr>
            </w:pPr>
          </w:p>
        </w:tc>
      </w:tr>
      <w:tr w:rsidR="00A25E57" w:rsidRPr="00925217" w:rsidTr="00072F46">
        <w:tc>
          <w:tcPr>
            <w:tcW w:w="1042" w:type="pct"/>
          </w:tcPr>
          <w:p w:rsidR="00A25E57" w:rsidRDefault="00A25E57" w:rsidP="00072F46">
            <w:pPr>
              <w:spacing w:line="240" w:lineRule="auto"/>
              <w:rPr>
                <w:color w:val="000000"/>
                <w:sz w:val="16"/>
                <w:szCs w:val="16"/>
              </w:rPr>
            </w:pPr>
            <w:r>
              <w:rPr>
                <w:color w:val="000000"/>
                <w:sz w:val="16"/>
                <w:szCs w:val="16"/>
              </w:rPr>
              <w:t>Lidé v nejvýše příjmový</w:t>
            </w:r>
            <w:r w:rsidR="005F4CFA">
              <w:rPr>
                <w:color w:val="000000"/>
                <w:sz w:val="16"/>
                <w:szCs w:val="16"/>
              </w:rPr>
              <w:t>ch domácnostech dali v roce 2014</w:t>
            </w:r>
            <w:r>
              <w:rPr>
                <w:color w:val="000000"/>
                <w:sz w:val="16"/>
                <w:szCs w:val="16"/>
              </w:rPr>
              <w:t xml:space="preserve"> za vybavení a zařízení bytu v přepočtu na jednoho člena domácnosti téměř pětkrát víc než lidé v domácnostech s nejnižšími příjmy…</w:t>
            </w:r>
          </w:p>
        </w:tc>
        <w:tc>
          <w:tcPr>
            <w:tcW w:w="139" w:type="pct"/>
          </w:tcPr>
          <w:p w:rsidR="00A25E57" w:rsidRDefault="00A25E57" w:rsidP="00072F46">
            <w:pPr>
              <w:pStyle w:val="Textpoznpodarou"/>
              <w:jc w:val="both"/>
            </w:pPr>
          </w:p>
        </w:tc>
        <w:tc>
          <w:tcPr>
            <w:tcW w:w="3819" w:type="pct"/>
          </w:tcPr>
          <w:p w:rsidR="00A25E57" w:rsidRPr="006C5561" w:rsidRDefault="00A25E57" w:rsidP="00072F46">
            <w:pPr>
              <w:pStyle w:val="Textpoznpodarou"/>
              <w:jc w:val="both"/>
              <w:rPr>
                <w:color w:val="000000"/>
              </w:rPr>
            </w:pPr>
            <w:r w:rsidRPr="006C5561">
              <w:rPr>
                <w:color w:val="000000"/>
              </w:rPr>
              <w:t>U vydání za bytové vybavení, zařízení domácnosti a opravy (prostřední obrá</w:t>
            </w:r>
            <w:r w:rsidR="005F4CFA">
              <w:rPr>
                <w:color w:val="000000"/>
              </w:rPr>
              <w:t>zek v grafu 25) bylo v roce 2014</w:t>
            </w:r>
            <w:r w:rsidRPr="006C5561">
              <w:rPr>
                <w:color w:val="000000"/>
              </w:rPr>
              <w:t xml:space="preserve"> převýšení útrat domácností horního decilu nad útratami domácností dolního decilu vůbec nejvyšší ze všech položek spotřeby – jejich vydání se lišila 4,7krát. Je zřejmé, že „bohatší“ domácnosti mohou věnovat vylepšování svého nejbližšího životního prostoru více peněz než domácnosti příjmově nejchudší. Vzhledem k váze této položky na celkové spotřebě však diference v procentním zastoupení výdajů není extrémní (4,4 % proti 7,2 %). V absolutních částkách však jde o zhruba tři tisíce korun útrat ročně na osobu v příjmově „chudých“ domácnostech proti téměř 15 tisícům na osobu u domácností „bohatých“. Největší rozdíl je u pořizovaného nábytku, kde byly výdaje nejvýše příjmových větší šestkrát.  </w:t>
            </w:r>
          </w:p>
          <w:p w:rsidR="00A25E57" w:rsidRPr="006C5561" w:rsidRDefault="00A25E57" w:rsidP="00072F46">
            <w:pPr>
              <w:pStyle w:val="Textpoznpodarou"/>
              <w:jc w:val="both"/>
              <w:rPr>
                <w:color w:val="000000"/>
                <w:sz w:val="22"/>
                <w:szCs w:val="22"/>
              </w:rPr>
            </w:pPr>
          </w:p>
        </w:tc>
      </w:tr>
      <w:tr w:rsidR="00A25E57" w:rsidRPr="00925217" w:rsidTr="00072F46">
        <w:tc>
          <w:tcPr>
            <w:tcW w:w="1042" w:type="pct"/>
          </w:tcPr>
          <w:p w:rsidR="00A25E57" w:rsidRDefault="00A25E57" w:rsidP="00072F46">
            <w:pPr>
              <w:spacing w:line="240" w:lineRule="auto"/>
              <w:rPr>
                <w:color w:val="000000"/>
                <w:sz w:val="16"/>
                <w:szCs w:val="16"/>
              </w:rPr>
            </w:pPr>
            <w:r>
              <w:rPr>
                <w:color w:val="000000"/>
                <w:sz w:val="16"/>
                <w:szCs w:val="16"/>
              </w:rPr>
              <w:t>… a za odívání a obuv třikrát více</w:t>
            </w:r>
          </w:p>
        </w:tc>
        <w:tc>
          <w:tcPr>
            <w:tcW w:w="139" w:type="pct"/>
          </w:tcPr>
          <w:p w:rsidR="00A25E57" w:rsidRDefault="00A25E57" w:rsidP="00072F46">
            <w:pPr>
              <w:pStyle w:val="Textpoznpodarou"/>
              <w:jc w:val="both"/>
            </w:pPr>
          </w:p>
        </w:tc>
        <w:tc>
          <w:tcPr>
            <w:tcW w:w="3819" w:type="pct"/>
          </w:tcPr>
          <w:p w:rsidR="00A25E57" w:rsidRPr="006C5561" w:rsidRDefault="00A25E57" w:rsidP="00C93A94">
            <w:pPr>
              <w:pStyle w:val="Textpoznpodarou"/>
              <w:jc w:val="both"/>
              <w:rPr>
                <w:color w:val="000000"/>
              </w:rPr>
            </w:pPr>
            <w:r w:rsidRPr="006C5561">
              <w:rPr>
                <w:color w:val="000000"/>
              </w:rPr>
              <w:t xml:space="preserve">Za odívání a obuv (první obrázek grafu 25) si mohou nejvýše příjmové domácnosti </w:t>
            </w:r>
            <w:r w:rsidR="00C93A94">
              <w:rPr>
                <w:color w:val="000000"/>
              </w:rPr>
              <w:t xml:space="preserve">dovolit </w:t>
            </w:r>
            <w:r w:rsidRPr="006C5561">
              <w:rPr>
                <w:color w:val="000000"/>
              </w:rPr>
              <w:t xml:space="preserve">utratit sice </w:t>
            </w:r>
            <w:r w:rsidR="00C93A94">
              <w:rPr>
                <w:color w:val="000000"/>
              </w:rPr>
              <w:t xml:space="preserve">v </w:t>
            </w:r>
            <w:r w:rsidRPr="006C5561">
              <w:rPr>
                <w:color w:val="000000"/>
              </w:rPr>
              <w:t xml:space="preserve">procentu celkové spotřeby jen o málo </w:t>
            </w:r>
            <w:r w:rsidR="00C93A94">
              <w:rPr>
                <w:color w:val="000000"/>
              </w:rPr>
              <w:t>více</w:t>
            </w:r>
            <w:r w:rsidRPr="006C5561">
              <w:rPr>
                <w:color w:val="000000"/>
              </w:rPr>
              <w:t xml:space="preserve"> než domác</w:t>
            </w:r>
            <w:r w:rsidR="00C93A94">
              <w:rPr>
                <w:color w:val="000000"/>
              </w:rPr>
              <w:t>nosti</w:t>
            </w:r>
            <w:r w:rsidRPr="006C5561">
              <w:rPr>
                <w:color w:val="000000"/>
              </w:rPr>
              <w:t xml:space="preserve"> nejníže příjmové (5,4 % proti 4,9 %</w:t>
            </w:r>
            <w:r w:rsidR="00C93A94">
              <w:rPr>
                <w:color w:val="000000"/>
              </w:rPr>
              <w:t>)</w:t>
            </w:r>
            <w:r w:rsidRPr="006C5561">
              <w:rPr>
                <w:color w:val="000000"/>
              </w:rPr>
              <w:t>, ovšem i tak je jejich spotřeba vyšší 3,2krát. Zde navíc hraje roli i skutečnost, že nejníže příjmové domácnosti nakupují zřejmě toto zboží</w:t>
            </w:r>
            <w:r>
              <w:rPr>
                <w:color w:val="000000"/>
              </w:rPr>
              <w:t> </w:t>
            </w:r>
            <w:r w:rsidRPr="006C5561">
              <w:rPr>
                <w:color w:val="000000"/>
              </w:rPr>
              <w:t>v odlišných částech maloobchodní sítě oproti desetině domácností s nejvyššími příjmy.</w:t>
            </w:r>
          </w:p>
        </w:tc>
      </w:tr>
    </w:tbl>
    <w:p w:rsidR="00A25E57" w:rsidRDefault="00A25E57" w:rsidP="00A25E57">
      <w:pPr>
        <w:spacing w:line="240" w:lineRule="auto"/>
        <w:rPr>
          <w:b/>
        </w:rPr>
      </w:pPr>
    </w:p>
    <w:p w:rsidR="00A25E57" w:rsidRPr="00CB3ECF" w:rsidRDefault="00A25E57" w:rsidP="00A25E57">
      <w:pPr>
        <w:spacing w:line="269" w:lineRule="auto"/>
        <w:jc w:val="both"/>
        <w:rPr>
          <w:spacing w:val="-4"/>
        </w:rPr>
      </w:pPr>
      <w:r w:rsidRPr="00CB3ECF">
        <w:rPr>
          <w:spacing w:val="-4"/>
        </w:rPr>
        <w:lastRenderedPageBreak/>
        <w:t>Graf č. 25:</w:t>
      </w:r>
      <w:r w:rsidRPr="00CB3ECF">
        <w:rPr>
          <w:b/>
          <w:spacing w:val="-4"/>
        </w:rPr>
        <w:t xml:space="preserve"> Výdaje domácností za položky Odívání a obuv, Vybavení bytu, zařízení domácností a opravy a Stravování a ubytování </w:t>
      </w:r>
      <w:r w:rsidRPr="00CB3ECF">
        <w:rPr>
          <w:spacing w:val="-4"/>
        </w:rPr>
        <w:t>(dolní a horní decil příjmového rozdělení domác</w:t>
      </w:r>
      <w:r w:rsidR="00CB3ECF" w:rsidRPr="00CB3ECF">
        <w:rPr>
          <w:spacing w:val="-4"/>
        </w:rPr>
        <w:t>ností, z dat v korunách na osobu, 2014</w:t>
      </w:r>
      <w:r w:rsidRPr="00CB3ECF">
        <w:rPr>
          <w:spacing w:val="-4"/>
        </w:rPr>
        <w:t>)</w:t>
      </w:r>
    </w:p>
    <w:p w:rsidR="00A25E57" w:rsidRPr="0089668D" w:rsidRDefault="00A25E57" w:rsidP="00A25E57">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6"/>
        <w:gridCol w:w="3149"/>
        <w:gridCol w:w="3529"/>
      </w:tblGrid>
      <w:tr w:rsidR="00A25E57" w:rsidTr="00072F46">
        <w:trPr>
          <w:trHeight w:val="735"/>
        </w:trPr>
        <w:tc>
          <w:tcPr>
            <w:tcW w:w="3259" w:type="dxa"/>
          </w:tcPr>
          <w:p w:rsidR="00A25E57" w:rsidRDefault="00A25E57" w:rsidP="00072F46">
            <w:pPr>
              <w:rPr>
                <w:b/>
              </w:rPr>
            </w:pPr>
            <w:r w:rsidRPr="00FB3D7D">
              <w:rPr>
                <w:b/>
              </w:rPr>
              <w:t>Výdaje za odívání a obuv</w:t>
            </w:r>
          </w:p>
          <w:p w:rsidR="00A25E57" w:rsidRPr="00FB3D7D" w:rsidRDefault="00A25E57" w:rsidP="00072F46">
            <w:pPr>
              <w:rPr>
                <w:b/>
              </w:rPr>
            </w:pPr>
            <w:r w:rsidRPr="00FB3D7D">
              <w:rPr>
                <w:szCs w:val="20"/>
              </w:rPr>
              <w:t>(</w:t>
            </w:r>
            <w:r w:rsidR="004D5A97">
              <w:rPr>
                <w:sz w:val="18"/>
                <w:szCs w:val="18"/>
              </w:rPr>
              <w:t xml:space="preserve">z dat </w:t>
            </w:r>
            <w:r w:rsidR="004D5A97" w:rsidRPr="004D5A97">
              <w:rPr>
                <w:sz w:val="18"/>
                <w:szCs w:val="18"/>
              </w:rPr>
              <w:t>v korunách na osobu, 2014)</w:t>
            </w:r>
          </w:p>
        </w:tc>
        <w:tc>
          <w:tcPr>
            <w:tcW w:w="3259" w:type="dxa"/>
          </w:tcPr>
          <w:p w:rsidR="004D5A97" w:rsidRDefault="00A25E57" w:rsidP="00072F46">
            <w:pPr>
              <w:rPr>
                <w:b/>
                <w:spacing w:val="-6"/>
                <w:szCs w:val="20"/>
              </w:rPr>
            </w:pPr>
            <w:r w:rsidRPr="00493907">
              <w:rPr>
                <w:b/>
                <w:spacing w:val="-6"/>
                <w:szCs w:val="20"/>
              </w:rPr>
              <w:t xml:space="preserve">Výdaje za vybavení bytu, zař. </w:t>
            </w:r>
            <w:proofErr w:type="gramStart"/>
            <w:r w:rsidRPr="00493907">
              <w:rPr>
                <w:b/>
                <w:spacing w:val="-6"/>
                <w:szCs w:val="20"/>
              </w:rPr>
              <w:t>dom</w:t>
            </w:r>
            <w:proofErr w:type="gramEnd"/>
            <w:r w:rsidRPr="00493907">
              <w:rPr>
                <w:b/>
                <w:spacing w:val="-6"/>
                <w:szCs w:val="20"/>
              </w:rPr>
              <w:t xml:space="preserve">.; opravy </w:t>
            </w:r>
          </w:p>
          <w:p w:rsidR="00A25E57" w:rsidRPr="00493907" w:rsidRDefault="004D5A97" w:rsidP="00072F46">
            <w:pPr>
              <w:rPr>
                <w:b/>
                <w:spacing w:val="-6"/>
                <w:szCs w:val="20"/>
              </w:rPr>
            </w:pPr>
            <w:r>
              <w:rPr>
                <w:sz w:val="18"/>
                <w:szCs w:val="18"/>
              </w:rPr>
              <w:t xml:space="preserve">(z dat </w:t>
            </w:r>
            <w:r w:rsidRPr="004D5A97">
              <w:rPr>
                <w:sz w:val="18"/>
                <w:szCs w:val="18"/>
              </w:rPr>
              <w:t>v korunách na osobu, 2014)</w:t>
            </w:r>
          </w:p>
        </w:tc>
        <w:tc>
          <w:tcPr>
            <w:tcW w:w="3260" w:type="dxa"/>
          </w:tcPr>
          <w:p w:rsidR="00A25E57" w:rsidRPr="00FB3D7D" w:rsidRDefault="00A25E57" w:rsidP="00072F46">
            <w:pPr>
              <w:rPr>
                <w:b/>
              </w:rPr>
            </w:pPr>
            <w:r w:rsidRPr="00FB3D7D">
              <w:rPr>
                <w:b/>
              </w:rPr>
              <w:t xml:space="preserve">Výdaje za stravování a ubytování </w:t>
            </w:r>
            <w:r w:rsidR="004D5A97">
              <w:rPr>
                <w:sz w:val="18"/>
                <w:szCs w:val="18"/>
              </w:rPr>
              <w:t xml:space="preserve">(z dat </w:t>
            </w:r>
            <w:r w:rsidR="004D5A97" w:rsidRPr="004D5A97">
              <w:rPr>
                <w:sz w:val="18"/>
                <w:szCs w:val="18"/>
              </w:rPr>
              <w:t>v korunách na osobu, 2014)</w:t>
            </w:r>
          </w:p>
        </w:tc>
      </w:tr>
      <w:tr w:rsidR="00A25E57" w:rsidTr="00072F46">
        <w:trPr>
          <w:trHeight w:val="4293"/>
        </w:trPr>
        <w:tc>
          <w:tcPr>
            <w:tcW w:w="3259" w:type="dxa"/>
          </w:tcPr>
          <w:p w:rsidR="00A25E57" w:rsidRPr="00FC0AF4" w:rsidRDefault="002A5986" w:rsidP="00072F46">
            <w:r>
              <w:rPr>
                <w:noProof/>
              </w:rPr>
              <w:pict>
                <v:shape id="_x0000_i1143" type="#_x0000_t75" style="width:147.75pt;height:215.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">
                  <v:imagedata r:id="rId33" o:title="" cropbottom="-16f"/>
                  <o:lock v:ext="edit" aspectratio="f"/>
                </v:shape>
              </w:pict>
            </w:r>
          </w:p>
        </w:tc>
        <w:tc>
          <w:tcPr>
            <w:tcW w:w="3259" w:type="dxa"/>
          </w:tcPr>
          <w:p w:rsidR="00A25E57" w:rsidRPr="00FC0AF4" w:rsidRDefault="002A5986" w:rsidP="00072F46">
            <w:r>
              <w:rPr>
                <w:noProof/>
              </w:rPr>
              <w:pict>
                <v:shape id="_x0000_i1144" type="#_x0000_t75" style="width:146.25pt;height:3in;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">
                  <v:imagedata r:id="rId34" o:title=""/>
                  <o:lock v:ext="edit" aspectratio="f"/>
                </v:shape>
              </w:pict>
            </w:r>
          </w:p>
        </w:tc>
        <w:tc>
          <w:tcPr>
            <w:tcW w:w="3260" w:type="dxa"/>
          </w:tcPr>
          <w:p w:rsidR="00A25E57" w:rsidRPr="00FC0AF4" w:rsidRDefault="002A5986" w:rsidP="00072F46">
            <w:r>
              <w:rPr>
                <w:noProof/>
              </w:rPr>
              <w:pict>
                <v:shape id="_x0000_i1145" type="#_x0000_t75" style="width:165.75pt;height:3in;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">
                  <v:imagedata r:id="rId35" o:title="" cropbottom="-31f"/>
                  <o:lock v:ext="edit" aspectratio="f"/>
                </v:shape>
              </w:pict>
            </w:r>
          </w:p>
        </w:tc>
      </w:tr>
    </w:tbl>
    <w:p w:rsidR="00A25E57" w:rsidRPr="00532C18" w:rsidRDefault="00A25E57" w:rsidP="00A25E57">
      <w:pPr>
        <w:jc w:val="right"/>
        <w:rPr>
          <w:sz w:val="18"/>
          <w:szCs w:val="18"/>
        </w:rPr>
      </w:pPr>
      <w:r>
        <w:rPr>
          <w:sz w:val="18"/>
          <w:szCs w:val="18"/>
        </w:rPr>
        <w:t>Zdroj</w:t>
      </w:r>
      <w:r w:rsidR="008712FB">
        <w:rPr>
          <w:sz w:val="18"/>
          <w:szCs w:val="18"/>
        </w:rPr>
        <w:t>: ČSÚ</w:t>
      </w:r>
      <w:r w:rsidRPr="00532C18">
        <w:rPr>
          <w:sz w:val="18"/>
          <w:szCs w:val="18"/>
        </w:rPr>
        <w:t xml:space="preserve"> </w:t>
      </w:r>
      <w:r w:rsidR="008712FB">
        <w:rPr>
          <w:sz w:val="18"/>
          <w:szCs w:val="18"/>
        </w:rPr>
        <w:t>(</w:t>
      </w:r>
      <w:r w:rsidRPr="00532C18">
        <w:rPr>
          <w:sz w:val="18"/>
          <w:szCs w:val="18"/>
        </w:rPr>
        <w:t>rodinné účty</w:t>
      </w:r>
      <w:r w:rsidR="008712FB">
        <w:rPr>
          <w:sz w:val="18"/>
          <w:szCs w:val="18"/>
        </w:rPr>
        <w:t>)</w:t>
      </w:r>
    </w:p>
    <w:p w:rsidR="00A25E57" w:rsidRDefault="00A25E57" w:rsidP="00A25E57">
      <w:pPr>
        <w:spacing w:line="269" w:lineRule="auto"/>
        <w:jc w:val="both"/>
        <w:rPr>
          <w:spacing w:val="-2"/>
        </w:rPr>
      </w:pPr>
    </w:p>
    <w:tbl>
      <w:tblPr>
        <w:tblW w:w="5043" w:type="pct"/>
        <w:tblInd w:w="-42" w:type="dxa"/>
        <w:tblCellMar>
          <w:left w:w="28" w:type="dxa"/>
          <w:right w:w="28" w:type="dxa"/>
        </w:tblCellMar>
        <w:tblLook w:val="00A0"/>
      </w:tblPr>
      <w:tblGrid>
        <w:gridCol w:w="2037"/>
        <w:gridCol w:w="272"/>
        <w:gridCol w:w="7468"/>
      </w:tblGrid>
      <w:tr w:rsidR="00A25E57" w:rsidRPr="00FA57FD" w:rsidTr="00072F46">
        <w:tc>
          <w:tcPr>
            <w:tcW w:w="1042" w:type="pct"/>
          </w:tcPr>
          <w:p w:rsidR="00A25E57" w:rsidRDefault="00A25E57" w:rsidP="00072F46">
            <w:pPr>
              <w:spacing w:line="240" w:lineRule="auto"/>
              <w:rPr>
                <w:color w:val="000000"/>
                <w:sz w:val="16"/>
                <w:szCs w:val="16"/>
              </w:rPr>
            </w:pPr>
            <w:r>
              <w:rPr>
                <w:color w:val="000000"/>
                <w:sz w:val="16"/>
                <w:szCs w:val="16"/>
              </w:rPr>
              <w:t>Ve vydáních za dopravu jsou útraty nejvýše příjmových domácností (převyšující vydání domácností nejníže příjmových téměř čtyřikrát) vysvětlitelné intenzívnějším používáním automobilové dopravy, resp. pořizováním aut odlišných cenových relací</w:t>
            </w:r>
          </w:p>
        </w:tc>
        <w:tc>
          <w:tcPr>
            <w:tcW w:w="139" w:type="pct"/>
          </w:tcPr>
          <w:p w:rsidR="00A25E57" w:rsidRDefault="00A25E57" w:rsidP="00072F46">
            <w:pPr>
              <w:pStyle w:val="Textpoznpodarou"/>
              <w:jc w:val="both"/>
            </w:pPr>
          </w:p>
        </w:tc>
        <w:tc>
          <w:tcPr>
            <w:tcW w:w="3819" w:type="pct"/>
          </w:tcPr>
          <w:p w:rsidR="00A25E57" w:rsidRPr="00925217" w:rsidRDefault="00A25E57" w:rsidP="00072F46">
            <w:pPr>
              <w:pStyle w:val="Textpoznpodarou"/>
              <w:jc w:val="both"/>
              <w:rPr>
                <w:color w:val="000000"/>
              </w:rPr>
            </w:pPr>
            <w:r w:rsidRPr="00925217">
              <w:rPr>
                <w:color w:val="000000"/>
              </w:rPr>
              <w:t>Výrazné a logické převýšení u výdajů domácností na dopravu na prvním obrázku v grafu 26 – po výdajích na bytové vybavení a zařízení domácnosti a po útratách za rekreaci a kulturu v roce 20</w:t>
            </w:r>
            <w:r w:rsidR="00C72261">
              <w:rPr>
                <w:color w:val="000000"/>
              </w:rPr>
              <w:t>14</w:t>
            </w:r>
            <w:r w:rsidRPr="00925217">
              <w:rPr>
                <w:color w:val="000000"/>
              </w:rPr>
              <w:t xml:space="preserve"> třetí nejvyšší – má původ ve větším využívání nejen dražší osobní dopravy (automobilů), ale i ostatních druhů dopravy </w:t>
            </w:r>
            <w:proofErr w:type="spellStart"/>
            <w:r w:rsidRPr="00925217">
              <w:rPr>
                <w:color w:val="000000"/>
              </w:rPr>
              <w:t>vysokopříjmovými</w:t>
            </w:r>
            <w:proofErr w:type="spellEnd"/>
            <w:r w:rsidRPr="00925217">
              <w:rPr>
                <w:color w:val="000000"/>
              </w:rPr>
              <w:t xml:space="preserve"> domácnostmi, u nichž také je výdaj na osobu vyšší než u</w:t>
            </w:r>
            <w:r>
              <w:rPr>
                <w:color w:val="000000"/>
              </w:rPr>
              <w:t> </w:t>
            </w:r>
            <w:r w:rsidRPr="00925217">
              <w:rPr>
                <w:color w:val="000000"/>
              </w:rPr>
              <w:t>domácností nejníže příjmových. Součástí této položky je i nákup vozidel, takže vykázané výdaje na dopravu horního proti dolnímu decilu domácností, které jsou</w:t>
            </w:r>
            <w:r>
              <w:rPr>
                <w:color w:val="000000"/>
              </w:rPr>
              <w:t> </w:t>
            </w:r>
            <w:r w:rsidRPr="00925217">
              <w:rPr>
                <w:color w:val="000000"/>
              </w:rPr>
              <w:t>3,7krát vyšší, mají také svoji logiku. Jestliže nejníže příjmové domácnosti</w:t>
            </w:r>
            <w:r>
              <w:rPr>
                <w:color w:val="000000"/>
              </w:rPr>
              <w:t> </w:t>
            </w:r>
            <w:r w:rsidR="00C72261">
              <w:rPr>
                <w:color w:val="000000"/>
              </w:rPr>
              <w:t>použily v roce 2014</w:t>
            </w:r>
            <w:r w:rsidRPr="00925217">
              <w:rPr>
                <w:color w:val="000000"/>
              </w:rPr>
              <w:t xml:space="preserve"> na dopravu 9,2 % svých spotřebních vydání, nejvýše příjmové 11,8 %.     </w:t>
            </w:r>
          </w:p>
          <w:p w:rsidR="00A25E57" w:rsidRPr="006C5561" w:rsidRDefault="00A25E57" w:rsidP="00072F46">
            <w:pPr>
              <w:pStyle w:val="Textpoznpodarou"/>
              <w:jc w:val="both"/>
              <w:rPr>
                <w:color w:val="000000"/>
                <w:sz w:val="22"/>
                <w:szCs w:val="22"/>
              </w:rPr>
            </w:pPr>
          </w:p>
        </w:tc>
      </w:tr>
      <w:tr w:rsidR="00A25E57" w:rsidRPr="00FA57FD" w:rsidTr="00072F46">
        <w:tc>
          <w:tcPr>
            <w:tcW w:w="1042" w:type="pct"/>
          </w:tcPr>
          <w:p w:rsidR="00A25E57" w:rsidRDefault="00A25E57" w:rsidP="00072F46">
            <w:pPr>
              <w:spacing w:line="240" w:lineRule="auto"/>
              <w:rPr>
                <w:color w:val="000000"/>
                <w:sz w:val="16"/>
                <w:szCs w:val="16"/>
              </w:rPr>
            </w:pPr>
            <w:r>
              <w:rPr>
                <w:color w:val="000000"/>
                <w:sz w:val="16"/>
                <w:szCs w:val="16"/>
              </w:rPr>
              <w:t>V položce Re</w:t>
            </w:r>
            <w:r w:rsidR="00C72261">
              <w:rPr>
                <w:color w:val="000000"/>
                <w:sz w:val="16"/>
                <w:szCs w:val="16"/>
              </w:rPr>
              <w:t>kreace a kultura byl v roce 2014</w:t>
            </w:r>
            <w:r>
              <w:rPr>
                <w:color w:val="000000"/>
                <w:sz w:val="16"/>
                <w:szCs w:val="16"/>
              </w:rPr>
              <w:t xml:space="preserve"> největší rozdíl u domácností dolního a horního decilu u dovolených od cestovních kanceláří a útrat v loteriích a hernách; naopak relativně malé bylo výdajové převýšení u peněz věnovaných na kulturu</w:t>
            </w:r>
          </w:p>
        </w:tc>
        <w:tc>
          <w:tcPr>
            <w:tcW w:w="139" w:type="pct"/>
          </w:tcPr>
          <w:p w:rsidR="00A25E57" w:rsidRDefault="00A25E57" w:rsidP="00072F46">
            <w:pPr>
              <w:pStyle w:val="Textpoznpodarou"/>
              <w:jc w:val="both"/>
            </w:pPr>
          </w:p>
        </w:tc>
        <w:tc>
          <w:tcPr>
            <w:tcW w:w="3819" w:type="pct"/>
          </w:tcPr>
          <w:p w:rsidR="00A25E57" w:rsidRPr="00925217" w:rsidRDefault="00A25E57" w:rsidP="00072F46">
            <w:pPr>
              <w:pStyle w:val="Textpoznpodarou"/>
              <w:jc w:val="both"/>
              <w:rPr>
                <w:color w:val="000000"/>
              </w:rPr>
            </w:pPr>
            <w:r w:rsidRPr="00925217">
              <w:rPr>
                <w:color w:val="000000"/>
              </w:rPr>
              <w:t>Podobně nezbytný charakteru spotřeby, jako je intenz</w:t>
            </w:r>
            <w:r w:rsidR="00C93A94">
              <w:rPr>
                <w:color w:val="000000"/>
              </w:rPr>
              <w:t>i</w:t>
            </w:r>
            <w:r w:rsidRPr="00925217">
              <w:rPr>
                <w:color w:val="000000"/>
              </w:rPr>
              <w:t>vnější využívání automobilové dopravy v „bohatších“ domácnostech, mají většinou i výdaje na</w:t>
            </w:r>
            <w:r>
              <w:rPr>
                <w:color w:val="000000"/>
              </w:rPr>
              <w:t> </w:t>
            </w:r>
            <w:r w:rsidRPr="00925217">
              <w:rPr>
                <w:color w:val="000000"/>
              </w:rPr>
              <w:t>rekreaci a kulturu (druhý obráze</w:t>
            </w:r>
            <w:r w:rsidR="00C72261">
              <w:rPr>
                <w:color w:val="000000"/>
              </w:rPr>
              <w:t>k grafu 26). Ty byly v roce 2014</w:t>
            </w:r>
            <w:r w:rsidRPr="00925217">
              <w:rPr>
                <w:color w:val="000000"/>
              </w:rPr>
              <w:t xml:space="preserve"> vyšší 3,9 krát., když na jednoho člena domácnosti dolního decilu připadlo necelých šest tisíc korun takovýchto útrat, zatímco na člena horního decilu skoro 24 tisíc. Peníze věnované na kulturu byly přitom u „nejbohatších“ větší jen 2,8krát, u výdajů za dovolené od</w:t>
            </w:r>
            <w:r>
              <w:rPr>
                <w:color w:val="000000"/>
              </w:rPr>
              <w:t> </w:t>
            </w:r>
            <w:r w:rsidRPr="00925217">
              <w:rPr>
                <w:color w:val="000000"/>
              </w:rPr>
              <w:t>cestovních kanceláří však více než šestkrát, útraty v hernách a loteriích 9,5kr</w:t>
            </w:r>
            <w:r w:rsidR="00C72261">
              <w:rPr>
                <w:color w:val="000000"/>
              </w:rPr>
              <w:t>át. V úhrnu věnovaly v roce 2014</w:t>
            </w:r>
            <w:r w:rsidRPr="00925217">
              <w:rPr>
                <w:color w:val="000000"/>
              </w:rPr>
              <w:t xml:space="preserve"> „chudé“ domácnosti na rekreaci a kulturu 8,3 % své celkové spotřeby, „bohaté“ 11,3 %. </w:t>
            </w:r>
          </w:p>
          <w:p w:rsidR="00A25E57" w:rsidRPr="006C5561" w:rsidRDefault="00A25E57" w:rsidP="00072F46">
            <w:pPr>
              <w:pStyle w:val="Textpoznpodarou"/>
              <w:jc w:val="both"/>
              <w:rPr>
                <w:color w:val="000000"/>
                <w:sz w:val="22"/>
                <w:szCs w:val="22"/>
              </w:rPr>
            </w:pPr>
          </w:p>
        </w:tc>
      </w:tr>
      <w:tr w:rsidR="00A25E57" w:rsidRPr="00FA57FD" w:rsidTr="00072F46">
        <w:tc>
          <w:tcPr>
            <w:tcW w:w="1042" w:type="pct"/>
          </w:tcPr>
          <w:p w:rsidR="00A25E57" w:rsidRDefault="00A25E57" w:rsidP="00333234">
            <w:pPr>
              <w:spacing w:line="240" w:lineRule="auto"/>
              <w:rPr>
                <w:color w:val="000000"/>
                <w:sz w:val="16"/>
                <w:szCs w:val="16"/>
              </w:rPr>
            </w:pPr>
            <w:r>
              <w:rPr>
                <w:color w:val="000000"/>
                <w:sz w:val="16"/>
                <w:szCs w:val="16"/>
              </w:rPr>
              <w:t xml:space="preserve">Na osobní péči vydaly „bohaté“ domácnosti </w:t>
            </w:r>
            <w:r w:rsidR="00333234">
              <w:rPr>
                <w:color w:val="000000"/>
                <w:sz w:val="16"/>
                <w:szCs w:val="16"/>
              </w:rPr>
              <w:t>zhruba třikrát</w:t>
            </w:r>
            <w:r>
              <w:rPr>
                <w:color w:val="000000"/>
                <w:sz w:val="16"/>
                <w:szCs w:val="16"/>
              </w:rPr>
              <w:t xml:space="preserve"> než domácností „chudé“</w:t>
            </w:r>
          </w:p>
        </w:tc>
        <w:tc>
          <w:tcPr>
            <w:tcW w:w="139" w:type="pct"/>
          </w:tcPr>
          <w:p w:rsidR="00A25E57" w:rsidRDefault="00A25E57" w:rsidP="00072F46">
            <w:pPr>
              <w:pStyle w:val="Textpoznpodarou"/>
              <w:jc w:val="both"/>
            </w:pPr>
          </w:p>
        </w:tc>
        <w:tc>
          <w:tcPr>
            <w:tcW w:w="3819" w:type="pct"/>
          </w:tcPr>
          <w:p w:rsidR="00A25E57" w:rsidRPr="00925217" w:rsidRDefault="00A25E57" w:rsidP="00072F46">
            <w:pPr>
              <w:pStyle w:val="Textpoznpodarou"/>
              <w:jc w:val="both"/>
              <w:rPr>
                <w:color w:val="000000"/>
              </w:rPr>
            </w:pPr>
            <w:r w:rsidRPr="00925217">
              <w:rPr>
                <w:color w:val="000000"/>
              </w:rPr>
              <w:t>V položce Ostatní zboží a služby (třetí obrázek grafu 26), která je co do utracených peněz také relativně silná  - domácnosti v ČR jako celek za ně v r</w:t>
            </w:r>
            <w:r w:rsidR="00C72261">
              <w:rPr>
                <w:color w:val="000000"/>
              </w:rPr>
              <w:t>oce 2014</w:t>
            </w:r>
            <w:r w:rsidRPr="00925217">
              <w:rPr>
                <w:color w:val="000000"/>
              </w:rPr>
              <w:t xml:space="preserve"> vydaly 12 % své celkové spotřeby, „nejchudší“ 10,1 % a „nejbohatší“ 14,2 % - převyšovaly výdaje domácností horního </w:t>
            </w:r>
            <w:r w:rsidR="00C93A94">
              <w:rPr>
                <w:color w:val="000000"/>
              </w:rPr>
              <w:t xml:space="preserve">decilu </w:t>
            </w:r>
            <w:r w:rsidRPr="00925217">
              <w:rPr>
                <w:color w:val="000000"/>
              </w:rPr>
              <w:t>čtyřikrát výdaje domácností dolního decilu. U zboží a služeb týkající</w:t>
            </w:r>
            <w:r w:rsidR="00C93A94">
              <w:rPr>
                <w:color w:val="000000"/>
              </w:rPr>
              <w:t>ch</w:t>
            </w:r>
            <w:r w:rsidRPr="00925217">
              <w:rPr>
                <w:color w:val="000000"/>
              </w:rPr>
              <w:t xml:space="preserve"> se osobní péče byly výdaje</w:t>
            </w:r>
            <w:r>
              <w:rPr>
                <w:color w:val="000000"/>
              </w:rPr>
              <w:t> </w:t>
            </w:r>
            <w:r w:rsidRPr="00925217">
              <w:rPr>
                <w:color w:val="000000"/>
              </w:rPr>
              <w:t>vyšší 3,1krát, ale např. za kadeřníka a další podobné služby související s osobní péčí dali nejbohatší více 6,</w:t>
            </w:r>
            <w:r w:rsidR="00333234">
              <w:rPr>
                <w:color w:val="000000"/>
              </w:rPr>
              <w:t>3</w:t>
            </w:r>
            <w:r w:rsidRPr="00925217">
              <w:rPr>
                <w:color w:val="000000"/>
              </w:rPr>
              <w:t xml:space="preserve">krát.  </w:t>
            </w:r>
          </w:p>
          <w:p w:rsidR="00A25E57" w:rsidRDefault="00A25E57" w:rsidP="00072F46">
            <w:pPr>
              <w:pStyle w:val="Textpoznpodarou"/>
              <w:jc w:val="both"/>
              <w:rPr>
                <w:color w:val="000000"/>
              </w:rPr>
            </w:pPr>
          </w:p>
          <w:p w:rsidR="00A25E57" w:rsidRDefault="00A25E57" w:rsidP="00072F46">
            <w:pPr>
              <w:pStyle w:val="Textpoznpodarou"/>
              <w:jc w:val="both"/>
              <w:rPr>
                <w:color w:val="000000"/>
              </w:rPr>
            </w:pPr>
          </w:p>
          <w:p w:rsidR="00597C5E" w:rsidRDefault="00597C5E" w:rsidP="00072F46">
            <w:pPr>
              <w:pStyle w:val="Textpoznpodarou"/>
              <w:jc w:val="both"/>
              <w:rPr>
                <w:color w:val="000000"/>
              </w:rPr>
            </w:pPr>
          </w:p>
          <w:p w:rsidR="00597C5E" w:rsidRDefault="00597C5E" w:rsidP="00072F46">
            <w:pPr>
              <w:pStyle w:val="Textpoznpodarou"/>
              <w:jc w:val="both"/>
              <w:rPr>
                <w:color w:val="000000"/>
              </w:rPr>
            </w:pPr>
          </w:p>
          <w:p w:rsidR="00A25E57" w:rsidRPr="00925217" w:rsidRDefault="00A25E57" w:rsidP="00072F46">
            <w:pPr>
              <w:pStyle w:val="Textpoznpodarou"/>
              <w:jc w:val="both"/>
              <w:rPr>
                <w:color w:val="000000"/>
              </w:rPr>
            </w:pPr>
          </w:p>
        </w:tc>
      </w:tr>
    </w:tbl>
    <w:p w:rsidR="00A25E57" w:rsidRPr="00332E05" w:rsidRDefault="00A25E57" w:rsidP="00A25E57">
      <w:pPr>
        <w:spacing w:line="269" w:lineRule="auto"/>
        <w:jc w:val="both"/>
        <w:rPr>
          <w:spacing w:val="-2"/>
        </w:rPr>
      </w:pPr>
      <w:r w:rsidRPr="00332E05">
        <w:rPr>
          <w:spacing w:val="-2"/>
        </w:rPr>
        <w:lastRenderedPageBreak/>
        <w:t xml:space="preserve">Graf č. 26: </w:t>
      </w:r>
      <w:r w:rsidRPr="00332E05">
        <w:rPr>
          <w:b/>
          <w:spacing w:val="-2"/>
        </w:rPr>
        <w:t xml:space="preserve">Výdaje domácností za položky Doprava, Rekreace a kultura a Ostatní zboží a služby </w:t>
      </w:r>
      <w:r w:rsidRPr="00332E05">
        <w:rPr>
          <w:spacing w:val="-2"/>
        </w:rPr>
        <w:t>(dolní a</w:t>
      </w:r>
      <w:r>
        <w:rPr>
          <w:spacing w:val="-2"/>
        </w:rPr>
        <w:t> </w:t>
      </w:r>
      <w:r w:rsidRPr="00332E05">
        <w:rPr>
          <w:spacing w:val="-2"/>
        </w:rPr>
        <w:t>horní decil př</w:t>
      </w:r>
      <w:r w:rsidR="00C72261">
        <w:rPr>
          <w:spacing w:val="-2"/>
        </w:rPr>
        <w:t>íjmového rozdělení domácností, z dat v</w:t>
      </w:r>
      <w:r w:rsidRPr="00332E05">
        <w:rPr>
          <w:spacing w:val="-2"/>
        </w:rPr>
        <w:t> korunác</w:t>
      </w:r>
      <w:r w:rsidR="00C72261">
        <w:rPr>
          <w:spacing w:val="-2"/>
        </w:rPr>
        <w:t>h na osobu, 2014</w:t>
      </w:r>
      <w:r w:rsidRPr="00332E05">
        <w:rPr>
          <w:spacing w:val="-2"/>
        </w:rPr>
        <w:t>)</w:t>
      </w:r>
    </w:p>
    <w:p w:rsidR="00A25E57" w:rsidRPr="00532C18" w:rsidRDefault="00A25E57" w:rsidP="00A25E57">
      <w:pPr>
        <w:spacing w:line="269" w:lineRule="auto"/>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353"/>
        <w:gridCol w:w="3312"/>
      </w:tblGrid>
      <w:tr w:rsidR="00A25E57" w:rsidTr="00072F46">
        <w:trPr>
          <w:trHeight w:val="735"/>
        </w:trPr>
        <w:tc>
          <w:tcPr>
            <w:tcW w:w="3207" w:type="dxa"/>
          </w:tcPr>
          <w:p w:rsidR="00A25E57" w:rsidRDefault="00A25E57" w:rsidP="00072F46">
            <w:pPr>
              <w:spacing w:line="240" w:lineRule="auto"/>
            </w:pPr>
            <w:r w:rsidRPr="00FB3D7D">
              <w:rPr>
                <w:b/>
              </w:rPr>
              <w:t>Výdaje za dopravu</w:t>
            </w:r>
            <w:r>
              <w:t xml:space="preserve"> </w:t>
            </w:r>
          </w:p>
          <w:p w:rsidR="00A25E57" w:rsidRPr="004D5A97" w:rsidRDefault="00A25E57" w:rsidP="00211036">
            <w:pPr>
              <w:spacing w:line="240" w:lineRule="auto"/>
              <w:rPr>
                <w:sz w:val="18"/>
                <w:szCs w:val="18"/>
              </w:rPr>
            </w:pPr>
            <w:r w:rsidRPr="004D5A97">
              <w:rPr>
                <w:sz w:val="18"/>
                <w:szCs w:val="18"/>
              </w:rPr>
              <w:t>(</w:t>
            </w:r>
            <w:r w:rsidR="004D5A97" w:rsidRPr="004D5A97">
              <w:rPr>
                <w:sz w:val="18"/>
                <w:szCs w:val="18"/>
              </w:rPr>
              <w:t xml:space="preserve">z dat </w:t>
            </w:r>
            <w:r w:rsidRPr="004D5A97">
              <w:rPr>
                <w:sz w:val="18"/>
                <w:szCs w:val="18"/>
              </w:rPr>
              <w:t>v korunách na osobu, 201</w:t>
            </w:r>
            <w:r w:rsidR="00211036" w:rsidRPr="004D5A97">
              <w:rPr>
                <w:sz w:val="18"/>
                <w:szCs w:val="18"/>
              </w:rPr>
              <w:t>4</w:t>
            </w:r>
            <w:r w:rsidRPr="004D5A97">
              <w:rPr>
                <w:sz w:val="18"/>
                <w:szCs w:val="18"/>
              </w:rPr>
              <w:t>)</w:t>
            </w:r>
          </w:p>
        </w:tc>
        <w:tc>
          <w:tcPr>
            <w:tcW w:w="3281" w:type="dxa"/>
          </w:tcPr>
          <w:p w:rsidR="00A25E57" w:rsidRPr="00FB3D7D" w:rsidRDefault="00A25E57" w:rsidP="00072F46">
            <w:pPr>
              <w:spacing w:line="240" w:lineRule="auto"/>
              <w:rPr>
                <w:b/>
              </w:rPr>
            </w:pPr>
            <w:r w:rsidRPr="00FB3D7D">
              <w:rPr>
                <w:b/>
              </w:rPr>
              <w:t xml:space="preserve">Výdaje za rekreaci a kulturu </w:t>
            </w:r>
          </w:p>
          <w:p w:rsidR="00A25E57" w:rsidRPr="00FB3D7D" w:rsidRDefault="004D5A97" w:rsidP="004D5A97">
            <w:pPr>
              <w:spacing w:line="240" w:lineRule="auto"/>
              <w:rPr>
                <w:b/>
              </w:rPr>
            </w:pPr>
            <w:r>
              <w:rPr>
                <w:sz w:val="18"/>
                <w:szCs w:val="18"/>
              </w:rPr>
              <w:t xml:space="preserve">(z dat </w:t>
            </w:r>
            <w:r w:rsidRPr="004D5A97">
              <w:rPr>
                <w:sz w:val="18"/>
                <w:szCs w:val="18"/>
              </w:rPr>
              <w:t>v korunách na osobu, 2014)</w:t>
            </w:r>
            <w:r w:rsidRPr="00FB3D7D">
              <w:rPr>
                <w:szCs w:val="20"/>
              </w:rPr>
              <w:t xml:space="preserve"> </w:t>
            </w:r>
          </w:p>
        </w:tc>
        <w:tc>
          <w:tcPr>
            <w:tcW w:w="3366" w:type="dxa"/>
          </w:tcPr>
          <w:p w:rsidR="00A25E57" w:rsidRPr="00FB3D7D" w:rsidRDefault="00A25E57" w:rsidP="004D5A97">
            <w:pPr>
              <w:spacing w:line="240" w:lineRule="auto"/>
              <w:rPr>
                <w:b/>
              </w:rPr>
            </w:pPr>
            <w:r w:rsidRPr="00FB3D7D">
              <w:rPr>
                <w:b/>
              </w:rPr>
              <w:t xml:space="preserve">Výdaje za ostatní zboží a služby </w:t>
            </w:r>
            <w:r w:rsidR="004D5A97">
              <w:rPr>
                <w:sz w:val="18"/>
                <w:szCs w:val="18"/>
              </w:rPr>
              <w:t xml:space="preserve">(z dat </w:t>
            </w:r>
            <w:r w:rsidR="004D5A97" w:rsidRPr="004D5A97">
              <w:rPr>
                <w:sz w:val="18"/>
                <w:szCs w:val="18"/>
              </w:rPr>
              <w:t>v korunách na osobu, 2014)</w:t>
            </w:r>
          </w:p>
        </w:tc>
      </w:tr>
      <w:tr w:rsidR="00A25E57" w:rsidRPr="00FC0AF4" w:rsidTr="00072F46">
        <w:trPr>
          <w:trHeight w:val="4293"/>
        </w:trPr>
        <w:tc>
          <w:tcPr>
            <w:tcW w:w="3207" w:type="dxa"/>
          </w:tcPr>
          <w:p w:rsidR="00A25E57" w:rsidRPr="001962A3" w:rsidRDefault="002A5986" w:rsidP="00072F46">
            <w:r>
              <w:rPr>
                <w:noProof/>
              </w:rPr>
              <w:pict>
                <v:shape id="Graf 24" o:spid="_x0000_i1146" type="#_x0000_t75" style="width:147.7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">
                  <v:imagedata r:id="rId36" o:title=""/>
                  <o:lock v:ext="edit" aspectratio="f"/>
                </v:shape>
              </w:pict>
            </w:r>
          </w:p>
        </w:tc>
        <w:tc>
          <w:tcPr>
            <w:tcW w:w="3281" w:type="dxa"/>
          </w:tcPr>
          <w:p w:rsidR="00A25E57" w:rsidRPr="001962A3" w:rsidRDefault="002A5986" w:rsidP="00072F46">
            <w:r>
              <w:rPr>
                <w:noProof/>
              </w:rPr>
              <w:pict>
                <v:shape id="Graf 23" o:spid="_x0000_i1147" type="#_x0000_t75" style="width:156.7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">
                  <v:imagedata r:id="rId37" o:title="" cropbottom="-63f"/>
                  <o:lock v:ext="edit" aspectratio="f"/>
                </v:shape>
              </w:pict>
            </w:r>
          </w:p>
        </w:tc>
        <w:tc>
          <w:tcPr>
            <w:tcW w:w="3366" w:type="dxa"/>
          </w:tcPr>
          <w:p w:rsidR="00A25E57" w:rsidRPr="001962A3" w:rsidRDefault="002A5986" w:rsidP="00072F46">
            <w:r>
              <w:rPr>
                <w:noProof/>
              </w:rPr>
              <w:pict>
                <v:shape id="Graf 22" o:spid="_x0000_i1148" type="#_x0000_t75" style="width:152.2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">
                  <v:imagedata r:id="rId38" o:title="" cropbottom="-31f"/>
                  <o:lock v:ext="edit" aspectratio="f"/>
                </v:shape>
              </w:pict>
            </w:r>
          </w:p>
        </w:tc>
      </w:tr>
    </w:tbl>
    <w:p w:rsidR="00A25E57" w:rsidRPr="00532C18" w:rsidRDefault="00A25E57" w:rsidP="00A25E57">
      <w:pPr>
        <w:spacing w:line="240" w:lineRule="auto"/>
        <w:jc w:val="right"/>
        <w:rPr>
          <w:sz w:val="18"/>
          <w:szCs w:val="18"/>
        </w:rPr>
      </w:pPr>
      <w:r>
        <w:rPr>
          <w:sz w:val="18"/>
          <w:szCs w:val="18"/>
        </w:rPr>
        <w:t>Zdroj</w:t>
      </w:r>
      <w:r w:rsidR="008712FB">
        <w:rPr>
          <w:sz w:val="18"/>
          <w:szCs w:val="18"/>
        </w:rPr>
        <w:t>: ČSÚ</w:t>
      </w:r>
      <w:r w:rsidRPr="00532C18">
        <w:rPr>
          <w:sz w:val="18"/>
          <w:szCs w:val="18"/>
        </w:rPr>
        <w:t xml:space="preserve"> </w:t>
      </w:r>
      <w:r w:rsidR="008712FB">
        <w:rPr>
          <w:sz w:val="18"/>
          <w:szCs w:val="18"/>
        </w:rPr>
        <w:t>(</w:t>
      </w:r>
      <w:r w:rsidRPr="00532C18">
        <w:rPr>
          <w:sz w:val="18"/>
          <w:szCs w:val="18"/>
        </w:rPr>
        <w:t>rodinné účty</w:t>
      </w:r>
      <w:r w:rsidR="008712FB">
        <w:rPr>
          <w:sz w:val="18"/>
          <w:szCs w:val="18"/>
        </w:rPr>
        <w:t>)</w:t>
      </w:r>
    </w:p>
    <w:p w:rsidR="00A25E57" w:rsidRDefault="00A25E57" w:rsidP="00A25E57">
      <w:pPr>
        <w:spacing w:line="269" w:lineRule="auto"/>
        <w:jc w:val="both"/>
        <w:rPr>
          <w:spacing w:val="-2"/>
        </w:rPr>
      </w:pPr>
    </w:p>
    <w:tbl>
      <w:tblPr>
        <w:tblW w:w="5043" w:type="pct"/>
        <w:tblInd w:w="-42" w:type="dxa"/>
        <w:tblCellMar>
          <w:left w:w="28" w:type="dxa"/>
          <w:right w:w="28" w:type="dxa"/>
        </w:tblCellMar>
        <w:tblLook w:val="00A0"/>
      </w:tblPr>
      <w:tblGrid>
        <w:gridCol w:w="2037"/>
        <w:gridCol w:w="272"/>
        <w:gridCol w:w="7468"/>
      </w:tblGrid>
      <w:tr w:rsidR="00A25E57" w:rsidRPr="00FA57FD" w:rsidTr="00072F46">
        <w:tc>
          <w:tcPr>
            <w:tcW w:w="1042" w:type="pct"/>
          </w:tcPr>
          <w:p w:rsidR="00A25E57" w:rsidRDefault="00A25E57" w:rsidP="00072F46">
            <w:pPr>
              <w:spacing w:line="240" w:lineRule="auto"/>
              <w:rPr>
                <w:color w:val="000000"/>
                <w:sz w:val="16"/>
                <w:szCs w:val="16"/>
              </w:rPr>
            </w:pPr>
            <w:r>
              <w:rPr>
                <w:color w:val="000000"/>
                <w:sz w:val="16"/>
                <w:szCs w:val="16"/>
              </w:rPr>
              <w:t>Nižší spolehlivost u vykazovaných výdajů za alkoholické nápoje a tabákové výrobky</w:t>
            </w:r>
          </w:p>
        </w:tc>
        <w:tc>
          <w:tcPr>
            <w:tcW w:w="139" w:type="pct"/>
          </w:tcPr>
          <w:p w:rsidR="00A25E57" w:rsidRDefault="00A25E57" w:rsidP="00072F46">
            <w:pPr>
              <w:pStyle w:val="Textpoznpodarou"/>
              <w:jc w:val="both"/>
            </w:pPr>
          </w:p>
        </w:tc>
        <w:tc>
          <w:tcPr>
            <w:tcW w:w="3819" w:type="pct"/>
          </w:tcPr>
          <w:p w:rsidR="00A25E57" w:rsidRPr="00925217" w:rsidRDefault="00A25E57" w:rsidP="00072F46">
            <w:pPr>
              <w:pStyle w:val="Textpoznpodarou"/>
              <w:jc w:val="both"/>
              <w:rPr>
                <w:color w:val="000000"/>
              </w:rPr>
            </w:pPr>
            <w:r w:rsidRPr="00925217">
              <w:rPr>
                <w:color w:val="000000"/>
              </w:rPr>
              <w:t>Některé položky ve struktuře spotřeby mají specifický charakter v tom, že v nich vykazované výdaje jsou zřejmě ze strany domácností trvale spíše podhodnocovány. Je to typické pro položku Alkoholické nápoje a tabákové výrobky (první obrázek v grafu 27). I s touto výhradou lze uvést, že v roce 201</w:t>
            </w:r>
            <w:r>
              <w:rPr>
                <w:color w:val="000000"/>
              </w:rPr>
              <w:t>4</w:t>
            </w:r>
            <w:r w:rsidRPr="00925217">
              <w:rPr>
                <w:color w:val="000000"/>
              </w:rPr>
              <w:t xml:space="preserve"> činily výdaje nejníže příjmových za alkohol a tabák 2,6 % jejich celkové spotřeby, zatímco u</w:t>
            </w:r>
            <w:r>
              <w:rPr>
                <w:color w:val="000000"/>
              </w:rPr>
              <w:t> </w:t>
            </w:r>
            <w:r w:rsidRPr="00925217">
              <w:rPr>
                <w:color w:val="000000"/>
              </w:rPr>
              <w:t>nejvýše příjmo</w:t>
            </w:r>
            <w:r>
              <w:rPr>
                <w:color w:val="000000"/>
              </w:rPr>
              <w:t>vých 2,8 %. Přitom za domácnosti</w:t>
            </w:r>
            <w:r w:rsidRPr="00925217">
              <w:rPr>
                <w:color w:val="000000"/>
              </w:rPr>
              <w:t xml:space="preserve"> ČR celkem byl vykázán podíl 2,9 %. Je tomu tak proto, že nadprůměrnou spotřebu alkoholu a cigaret měly domácnosti v příjmových decilech 7 až 9, tedy nikoli ti v nejvyšším decilu. Ti zřejmě více dbají na zdravý životní styl a nepijí ve větší míře alkoholické nápoje ani nekouří tolik cigaret</w:t>
            </w:r>
            <w:r w:rsidR="00333234">
              <w:rPr>
                <w:color w:val="000000"/>
              </w:rPr>
              <w:t xml:space="preserve"> (nebereme zde však v úvahu, že </w:t>
            </w:r>
            <w:proofErr w:type="spellStart"/>
            <w:proofErr w:type="gramStart"/>
            <w:r w:rsidR="00333234">
              <w:rPr>
                <w:color w:val="000000"/>
              </w:rPr>
              <w:t>vysokopříjmové</w:t>
            </w:r>
            <w:proofErr w:type="spellEnd"/>
            <w:r w:rsidR="00333234">
              <w:rPr>
                <w:color w:val="000000"/>
              </w:rPr>
              <w:t xml:space="preserve">  domácnosti</w:t>
            </w:r>
            <w:proofErr w:type="gramEnd"/>
            <w:r w:rsidR="00333234">
              <w:rPr>
                <w:color w:val="000000"/>
              </w:rPr>
              <w:t xml:space="preserve"> mohou za toto zboží utrácet např. i v restauracích a podobných zařízeních).</w:t>
            </w:r>
            <w:r w:rsidRPr="00925217">
              <w:rPr>
                <w:color w:val="000000"/>
              </w:rPr>
              <w:t xml:space="preserve"> I tak </w:t>
            </w:r>
            <w:r w:rsidR="00333234">
              <w:rPr>
                <w:color w:val="000000"/>
              </w:rPr>
              <w:t>ale</w:t>
            </w:r>
            <w:r w:rsidRPr="00925217">
              <w:rPr>
                <w:color w:val="000000"/>
              </w:rPr>
              <w:t xml:space="preserve"> u nich převyšují výdaje za alkohol a tabák </w:t>
            </w:r>
            <w:r w:rsidR="00333234" w:rsidRPr="00925217">
              <w:rPr>
                <w:color w:val="000000"/>
              </w:rPr>
              <w:t xml:space="preserve">třikrát </w:t>
            </w:r>
            <w:r w:rsidRPr="00925217">
              <w:rPr>
                <w:color w:val="000000"/>
              </w:rPr>
              <w:t xml:space="preserve">výdaje domácností nejníže příjmových.  </w:t>
            </w:r>
          </w:p>
          <w:p w:rsidR="00A25E57" w:rsidRPr="0085317A" w:rsidRDefault="00A25E57" w:rsidP="00072F46">
            <w:pPr>
              <w:pStyle w:val="Textpoznpodarou"/>
              <w:jc w:val="both"/>
              <w:rPr>
                <w:color w:val="000000"/>
                <w:sz w:val="16"/>
                <w:szCs w:val="16"/>
              </w:rPr>
            </w:pPr>
          </w:p>
        </w:tc>
      </w:tr>
      <w:tr w:rsidR="00A25E57" w:rsidRPr="00FA57FD" w:rsidTr="00072F46">
        <w:tc>
          <w:tcPr>
            <w:tcW w:w="1042" w:type="pct"/>
          </w:tcPr>
          <w:p w:rsidR="00A25E57" w:rsidRDefault="00A25E57" w:rsidP="00072F46">
            <w:pPr>
              <w:spacing w:line="240" w:lineRule="auto"/>
              <w:rPr>
                <w:color w:val="000000"/>
                <w:sz w:val="16"/>
                <w:szCs w:val="16"/>
              </w:rPr>
            </w:pPr>
            <w:r>
              <w:rPr>
                <w:color w:val="000000"/>
                <w:sz w:val="16"/>
                <w:szCs w:val="16"/>
              </w:rPr>
              <w:t>U telekomunikačních služeb vybočuje zjištění z většinového hodnocení disparit, neboť jejich podíl na spotřebních vydáních je u desetiny nejníže příjmových domácností větší než u desetiny domácností nejvýše příjmových</w:t>
            </w:r>
          </w:p>
        </w:tc>
        <w:tc>
          <w:tcPr>
            <w:tcW w:w="139" w:type="pct"/>
          </w:tcPr>
          <w:p w:rsidR="00A25E57" w:rsidRDefault="00A25E57" w:rsidP="00072F46">
            <w:pPr>
              <w:pStyle w:val="Textpoznpodarou"/>
              <w:jc w:val="both"/>
            </w:pPr>
          </w:p>
        </w:tc>
        <w:tc>
          <w:tcPr>
            <w:tcW w:w="3819" w:type="pct"/>
          </w:tcPr>
          <w:p w:rsidR="00A25E57" w:rsidRPr="00925217" w:rsidRDefault="00A25E57" w:rsidP="00072F46">
            <w:pPr>
              <w:pStyle w:val="Textpoznpodarou"/>
              <w:jc w:val="both"/>
              <w:rPr>
                <w:color w:val="000000"/>
              </w:rPr>
            </w:pPr>
            <w:r w:rsidRPr="00925217">
              <w:rPr>
                <w:color w:val="000000"/>
              </w:rPr>
              <w:t>Poněkud překvapivý je procentní podíl výdajů v položce Pošty a telekomunikace (druhý obrázek v grafu 27), kdy v domácnos</w:t>
            </w:r>
            <w:r>
              <w:rPr>
                <w:color w:val="000000"/>
              </w:rPr>
              <w:t>tech dolního decilu připadá</w:t>
            </w:r>
            <w:r w:rsidRPr="00925217">
              <w:rPr>
                <w:color w:val="000000"/>
              </w:rPr>
              <w:t xml:space="preserve"> na tyto služby z celkové spotřeby více (4,8 % je dokonce nad průměrem českých domácností jako celku) než u domácností v horním decilu (3,6 %). I tak však zde v absolutním vyjádření převyšují výdaje „nejbohatších“ 2,2krát výdaje „nejchudších“ (v nákupu telefonů 3,7krát, ale v jejich používání jen 1,8krát, což zřejmě souvisí s pořizováním dražších mobilních přístrojů členy nejvýše příjmových domácností). Za internet utratili 2,5krát více. </w:t>
            </w:r>
          </w:p>
          <w:p w:rsidR="00A25E57" w:rsidRPr="00925217" w:rsidRDefault="00A25E57" w:rsidP="00072F46">
            <w:pPr>
              <w:pStyle w:val="Textpoznpodarou"/>
              <w:jc w:val="both"/>
              <w:rPr>
                <w:color w:val="000000"/>
              </w:rPr>
            </w:pPr>
          </w:p>
        </w:tc>
      </w:tr>
      <w:tr w:rsidR="00A25E57" w:rsidRPr="00FA57FD" w:rsidTr="00072F46">
        <w:tc>
          <w:tcPr>
            <w:tcW w:w="1042" w:type="pct"/>
          </w:tcPr>
          <w:p w:rsidR="00A25E57" w:rsidRDefault="00A25E57" w:rsidP="00072F46">
            <w:pPr>
              <w:spacing w:line="240" w:lineRule="auto"/>
              <w:rPr>
                <w:color w:val="000000"/>
                <w:sz w:val="16"/>
                <w:szCs w:val="16"/>
              </w:rPr>
            </w:pPr>
            <w:r>
              <w:rPr>
                <w:color w:val="000000"/>
                <w:sz w:val="16"/>
                <w:szCs w:val="16"/>
              </w:rPr>
              <w:t>Výdaje domácností v ČR za zdraví v př</w:t>
            </w:r>
            <w:r w:rsidR="00C72261">
              <w:rPr>
                <w:color w:val="000000"/>
                <w:sz w:val="16"/>
                <w:szCs w:val="16"/>
              </w:rPr>
              <w:t>epočtu na osobu byly v roce 2014</w:t>
            </w:r>
            <w:r>
              <w:rPr>
                <w:color w:val="000000"/>
                <w:sz w:val="16"/>
                <w:szCs w:val="16"/>
              </w:rPr>
              <w:t xml:space="preserve"> téměř stejné jako útraty za alkohol a tabákové výrobky </w:t>
            </w:r>
          </w:p>
        </w:tc>
        <w:tc>
          <w:tcPr>
            <w:tcW w:w="139" w:type="pct"/>
          </w:tcPr>
          <w:p w:rsidR="00A25E57" w:rsidRDefault="00A25E57" w:rsidP="00072F46">
            <w:pPr>
              <w:pStyle w:val="Textpoznpodarou"/>
              <w:jc w:val="both"/>
            </w:pPr>
          </w:p>
        </w:tc>
        <w:tc>
          <w:tcPr>
            <w:tcW w:w="3819" w:type="pct"/>
          </w:tcPr>
          <w:p w:rsidR="00A25E57" w:rsidRPr="00925217" w:rsidRDefault="00A25E57" w:rsidP="00072F46">
            <w:pPr>
              <w:pStyle w:val="Textpoznpodarou"/>
              <w:jc w:val="both"/>
              <w:rPr>
                <w:color w:val="000000"/>
              </w:rPr>
            </w:pPr>
            <w:r w:rsidRPr="00925217">
              <w:rPr>
                <w:color w:val="000000"/>
              </w:rPr>
              <w:t>V povědomí je stále názor, že zdravotnictví v ČR je „víceméně zdarma“ a nepředstavuje po platby lidí problém. Tento názor zcela opomíjí skutečnost, že již několik let v řadě vydávají lidé za zdraví ze svých vlastních peněz - tedy nikoli ve</w:t>
            </w:r>
            <w:r>
              <w:rPr>
                <w:color w:val="000000"/>
              </w:rPr>
              <w:t> </w:t>
            </w:r>
            <w:r w:rsidRPr="00925217">
              <w:rPr>
                <w:color w:val="000000"/>
              </w:rPr>
              <w:t>formě odvodů zdravotním pojišťovnám – přes 40 mld. korun ročně. Podle dat z</w:t>
            </w:r>
            <w:r>
              <w:rPr>
                <w:color w:val="000000"/>
              </w:rPr>
              <w:t> </w:t>
            </w:r>
            <w:r w:rsidRPr="00925217">
              <w:rPr>
                <w:color w:val="000000"/>
              </w:rPr>
              <w:t>rodinných účtů b</w:t>
            </w:r>
            <w:r w:rsidR="00C72261">
              <w:rPr>
                <w:color w:val="000000"/>
              </w:rPr>
              <w:t>yly výdaje za zdraví v roce 2014</w:t>
            </w:r>
            <w:r w:rsidRPr="00925217">
              <w:rPr>
                <w:color w:val="000000"/>
              </w:rPr>
              <w:t xml:space="preserve"> v průměru na osobu v domácnosti téměř stejné (3 228 korun) jako výdaje za alkoholické nápoje a tabák (3 550 korun). V horním decilu (5 726 korun ročně na osobu) byly  4,2krát vyšší než v dolním decilu (1 357 korun), jak je patrné ze třetího obrázku v grafu 27. Přitom převýšení bylo výraznější u výdajů za ambulantní péči (6,5krát). Za ni však i</w:t>
            </w:r>
            <w:r>
              <w:rPr>
                <w:color w:val="000000"/>
              </w:rPr>
              <w:t> </w:t>
            </w:r>
            <w:r w:rsidRPr="00925217">
              <w:rPr>
                <w:color w:val="000000"/>
              </w:rPr>
              <w:t>v datech za domácnosti v ČR celkem zaplatili lidé v přepočtu na jednoho člena jen necelou polovinu toho, co za léky a zdravotnické prostředky (tedy především ve</w:t>
            </w:r>
            <w:r>
              <w:rPr>
                <w:color w:val="000000"/>
              </w:rPr>
              <w:t> </w:t>
            </w:r>
            <w:r w:rsidRPr="00925217">
              <w:rPr>
                <w:color w:val="000000"/>
              </w:rPr>
              <w:t>formě doplatků za léky) – lidé v domácnostech dolního decilu jen zhruba třetinu.</w:t>
            </w:r>
          </w:p>
        </w:tc>
      </w:tr>
    </w:tbl>
    <w:p w:rsidR="00A25E57" w:rsidRPr="00332E05" w:rsidRDefault="00A25E57" w:rsidP="00A25E57">
      <w:pPr>
        <w:spacing w:line="269" w:lineRule="auto"/>
        <w:jc w:val="both"/>
        <w:rPr>
          <w:spacing w:val="-2"/>
        </w:rPr>
      </w:pPr>
      <w:r w:rsidRPr="00332E05">
        <w:rPr>
          <w:spacing w:val="-2"/>
        </w:rPr>
        <w:lastRenderedPageBreak/>
        <w:t xml:space="preserve">Graf č. 27:  </w:t>
      </w:r>
      <w:r w:rsidRPr="00332E05">
        <w:rPr>
          <w:b/>
          <w:spacing w:val="-2"/>
        </w:rPr>
        <w:t xml:space="preserve">Výdaje domácností za položky Alkohol a tabák, Poštovní a telekomunikační služby a Zdraví </w:t>
      </w:r>
      <w:r w:rsidRPr="00332E05">
        <w:rPr>
          <w:spacing w:val="-2"/>
        </w:rPr>
        <w:t>(dolní a horní decil př</w:t>
      </w:r>
      <w:r w:rsidR="001B7C99">
        <w:rPr>
          <w:spacing w:val="-2"/>
        </w:rPr>
        <w:t>íjmového rozdělení domácností, z dat v korunách na osobu, 2014</w:t>
      </w:r>
      <w:r w:rsidRPr="00332E05">
        <w:rPr>
          <w:spacing w:val="-2"/>
        </w:rPr>
        <w:t>)</w:t>
      </w:r>
    </w:p>
    <w:p w:rsidR="00A25E57" w:rsidRPr="00925217" w:rsidRDefault="00A25E57" w:rsidP="00A25E57">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9"/>
        <w:gridCol w:w="3304"/>
        <w:gridCol w:w="3262"/>
      </w:tblGrid>
      <w:tr w:rsidR="00A25E57" w:rsidTr="00072F46">
        <w:trPr>
          <w:trHeight w:val="735"/>
        </w:trPr>
        <w:tc>
          <w:tcPr>
            <w:tcW w:w="3259" w:type="dxa"/>
          </w:tcPr>
          <w:p w:rsidR="00A25E57" w:rsidRDefault="00A25E57" w:rsidP="00072F46">
            <w:pPr>
              <w:spacing w:line="240" w:lineRule="auto"/>
            </w:pPr>
            <w:r w:rsidRPr="00FB3D7D">
              <w:rPr>
                <w:b/>
              </w:rPr>
              <w:t>Výdaje za alkohol a tabák</w:t>
            </w:r>
            <w:r>
              <w:t xml:space="preserve"> </w:t>
            </w:r>
          </w:p>
          <w:p w:rsidR="00A25E57" w:rsidRPr="00BF6DE7" w:rsidRDefault="00A25E57" w:rsidP="00211036">
            <w:pPr>
              <w:spacing w:line="240" w:lineRule="auto"/>
            </w:pPr>
            <w:r w:rsidRPr="00FB3D7D">
              <w:rPr>
                <w:szCs w:val="20"/>
              </w:rPr>
              <w:t>(</w:t>
            </w:r>
            <w:r w:rsidR="001B7C99">
              <w:rPr>
                <w:szCs w:val="20"/>
              </w:rPr>
              <w:t xml:space="preserve">z dat </w:t>
            </w:r>
            <w:r w:rsidRPr="00FB3D7D">
              <w:rPr>
                <w:szCs w:val="20"/>
              </w:rPr>
              <w:t>v korunách na osobu, 201</w:t>
            </w:r>
            <w:r w:rsidR="00211036">
              <w:rPr>
                <w:szCs w:val="20"/>
              </w:rPr>
              <w:t>4</w:t>
            </w:r>
            <w:r w:rsidRPr="00FB3D7D">
              <w:rPr>
                <w:szCs w:val="20"/>
              </w:rPr>
              <w:t>)</w:t>
            </w:r>
          </w:p>
        </w:tc>
        <w:tc>
          <w:tcPr>
            <w:tcW w:w="3259" w:type="dxa"/>
          </w:tcPr>
          <w:p w:rsidR="00A25E57" w:rsidRPr="00FB3D7D" w:rsidRDefault="00A25E57" w:rsidP="00211036">
            <w:pPr>
              <w:spacing w:line="240" w:lineRule="auto"/>
              <w:rPr>
                <w:b/>
              </w:rPr>
            </w:pPr>
            <w:r w:rsidRPr="00FB3D7D">
              <w:rPr>
                <w:b/>
              </w:rPr>
              <w:t xml:space="preserve">Výdaje za poštovní a </w:t>
            </w:r>
            <w:proofErr w:type="spellStart"/>
            <w:r w:rsidRPr="00FB3D7D">
              <w:rPr>
                <w:b/>
              </w:rPr>
              <w:t>telekom</w:t>
            </w:r>
            <w:proofErr w:type="spellEnd"/>
            <w:r w:rsidRPr="00FB3D7D">
              <w:rPr>
                <w:b/>
              </w:rPr>
              <w:t xml:space="preserve">. </w:t>
            </w:r>
            <w:proofErr w:type="gramStart"/>
            <w:r w:rsidRPr="00FB3D7D">
              <w:rPr>
                <w:b/>
              </w:rPr>
              <w:t>služby</w:t>
            </w:r>
            <w:proofErr w:type="gramEnd"/>
            <w:r w:rsidRPr="00FB3D7D">
              <w:rPr>
                <w:b/>
              </w:rPr>
              <w:t xml:space="preserve"> </w:t>
            </w:r>
            <w:r w:rsidRPr="00FB3D7D">
              <w:rPr>
                <w:sz w:val="18"/>
                <w:szCs w:val="18"/>
              </w:rPr>
              <w:t>(</w:t>
            </w:r>
            <w:r w:rsidR="001B7C99">
              <w:rPr>
                <w:sz w:val="18"/>
                <w:szCs w:val="18"/>
              </w:rPr>
              <w:t xml:space="preserve">z dat </w:t>
            </w:r>
            <w:r w:rsidRPr="00FB3D7D">
              <w:rPr>
                <w:sz w:val="18"/>
                <w:szCs w:val="18"/>
              </w:rPr>
              <w:t>v korunách na osobu, 201</w:t>
            </w:r>
            <w:r w:rsidR="00211036">
              <w:rPr>
                <w:sz w:val="18"/>
                <w:szCs w:val="18"/>
              </w:rPr>
              <w:t>4</w:t>
            </w:r>
            <w:r w:rsidRPr="00FB3D7D">
              <w:rPr>
                <w:sz w:val="18"/>
                <w:szCs w:val="18"/>
              </w:rPr>
              <w:t>)</w:t>
            </w:r>
          </w:p>
        </w:tc>
        <w:tc>
          <w:tcPr>
            <w:tcW w:w="3260" w:type="dxa"/>
          </w:tcPr>
          <w:p w:rsidR="00A25E57" w:rsidRPr="00FB3D7D" w:rsidRDefault="00A25E57" w:rsidP="00072F46">
            <w:pPr>
              <w:spacing w:line="240" w:lineRule="auto"/>
              <w:rPr>
                <w:b/>
              </w:rPr>
            </w:pPr>
            <w:r w:rsidRPr="00FB3D7D">
              <w:rPr>
                <w:b/>
              </w:rPr>
              <w:t xml:space="preserve">Výdaje za zdraví </w:t>
            </w:r>
          </w:p>
          <w:p w:rsidR="00A25E57" w:rsidRPr="00FB3D7D" w:rsidRDefault="00A25E57" w:rsidP="00211036">
            <w:pPr>
              <w:spacing w:line="240" w:lineRule="auto"/>
              <w:rPr>
                <w:b/>
              </w:rPr>
            </w:pPr>
            <w:r w:rsidRPr="00FB3D7D">
              <w:rPr>
                <w:szCs w:val="20"/>
              </w:rPr>
              <w:t>(</w:t>
            </w:r>
            <w:r w:rsidR="001B7C99">
              <w:rPr>
                <w:szCs w:val="20"/>
              </w:rPr>
              <w:t xml:space="preserve">z dat </w:t>
            </w:r>
            <w:r w:rsidRPr="00FB3D7D">
              <w:rPr>
                <w:szCs w:val="20"/>
              </w:rPr>
              <w:t>v korunách na osobu, 201</w:t>
            </w:r>
            <w:r w:rsidR="00211036">
              <w:rPr>
                <w:szCs w:val="20"/>
              </w:rPr>
              <w:t>4</w:t>
            </w:r>
            <w:r w:rsidRPr="00FB3D7D">
              <w:rPr>
                <w:szCs w:val="20"/>
              </w:rPr>
              <w:t>)</w:t>
            </w:r>
          </w:p>
        </w:tc>
      </w:tr>
      <w:tr w:rsidR="00A25E57" w:rsidRPr="00FC0AF4" w:rsidTr="00072F46">
        <w:trPr>
          <w:trHeight w:val="4293"/>
        </w:trPr>
        <w:tc>
          <w:tcPr>
            <w:tcW w:w="3259" w:type="dxa"/>
          </w:tcPr>
          <w:p w:rsidR="00A25E57" w:rsidRPr="001962A3" w:rsidRDefault="002A5986" w:rsidP="00072F46">
            <w:r>
              <w:rPr>
                <w:noProof/>
              </w:rPr>
              <w:pict>
                <v:shape id="Graf 21" o:spid="_x0000_i1149" type="#_x0000_t75" style="width:148.5pt;height:218.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">
                  <v:imagedata r:id="rId39" o:title="" cropbottom="-64f"/>
                  <o:lock v:ext="edit" aspectratio="f"/>
                </v:shape>
              </w:pict>
            </w:r>
          </w:p>
        </w:tc>
        <w:tc>
          <w:tcPr>
            <w:tcW w:w="3259" w:type="dxa"/>
          </w:tcPr>
          <w:p w:rsidR="00A25E57" w:rsidRPr="001962A3" w:rsidRDefault="002A5986" w:rsidP="00072F46">
            <w:r>
              <w:rPr>
                <w:noProof/>
              </w:rPr>
              <w:pict>
                <v:shape id="Graf 20" o:spid="_x0000_i1150" type="#_x0000_t75" style="width:154.5pt;height:215.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">
                  <v:imagedata r:id="rId40" o:title=""/>
                  <o:lock v:ext="edit" aspectratio="f"/>
                </v:shape>
              </w:pict>
            </w:r>
          </w:p>
        </w:tc>
        <w:tc>
          <w:tcPr>
            <w:tcW w:w="3260" w:type="dxa"/>
          </w:tcPr>
          <w:p w:rsidR="00A25E57" w:rsidRPr="001962A3" w:rsidRDefault="002A5986" w:rsidP="00072F46">
            <w:r>
              <w:rPr>
                <w:noProof/>
              </w:rPr>
              <w:pict>
                <v:shape id="_x0000_i1151" type="#_x0000_t75" style="width:152.2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">
                  <v:imagedata r:id="rId41" o:title="" cropbottom="-31f"/>
                  <o:lock v:ext="edit" aspectratio="f"/>
                </v:shape>
              </w:pict>
            </w:r>
          </w:p>
        </w:tc>
      </w:tr>
    </w:tbl>
    <w:p w:rsidR="00A25E57" w:rsidRDefault="00A25E57" w:rsidP="00A25E57">
      <w:pPr>
        <w:jc w:val="right"/>
        <w:rPr>
          <w:sz w:val="18"/>
          <w:szCs w:val="18"/>
        </w:rPr>
      </w:pPr>
      <w:r>
        <w:rPr>
          <w:sz w:val="18"/>
          <w:szCs w:val="18"/>
        </w:rPr>
        <w:t>Zdroj</w:t>
      </w:r>
      <w:r w:rsidR="00965F36">
        <w:rPr>
          <w:sz w:val="18"/>
          <w:szCs w:val="18"/>
        </w:rPr>
        <w:t>: ČSÚ</w:t>
      </w:r>
      <w:r w:rsidRPr="00532C18">
        <w:rPr>
          <w:sz w:val="18"/>
          <w:szCs w:val="18"/>
        </w:rPr>
        <w:t xml:space="preserve"> </w:t>
      </w:r>
      <w:r w:rsidR="00965F36">
        <w:rPr>
          <w:sz w:val="18"/>
          <w:szCs w:val="18"/>
        </w:rPr>
        <w:t>(</w:t>
      </w:r>
      <w:r w:rsidRPr="00532C18">
        <w:rPr>
          <w:sz w:val="18"/>
          <w:szCs w:val="18"/>
        </w:rPr>
        <w:t>rodinné účty</w:t>
      </w:r>
      <w:r w:rsidR="00965F36">
        <w:rPr>
          <w:sz w:val="18"/>
          <w:szCs w:val="18"/>
        </w:rPr>
        <w:t>)</w:t>
      </w:r>
    </w:p>
    <w:p w:rsidR="00A25E57" w:rsidRDefault="00A25E57" w:rsidP="00A25E57">
      <w:pPr>
        <w:jc w:val="right"/>
        <w:rPr>
          <w:sz w:val="18"/>
          <w:szCs w:val="18"/>
        </w:rPr>
      </w:pPr>
    </w:p>
    <w:tbl>
      <w:tblPr>
        <w:tblW w:w="12747" w:type="pct"/>
        <w:tblInd w:w="-42" w:type="dxa"/>
        <w:tblCellMar>
          <w:left w:w="28" w:type="dxa"/>
          <w:right w:w="28" w:type="dxa"/>
        </w:tblCellMar>
        <w:tblLook w:val="00A0"/>
      </w:tblPr>
      <w:tblGrid>
        <w:gridCol w:w="2035"/>
        <w:gridCol w:w="272"/>
        <w:gridCol w:w="7469"/>
        <w:gridCol w:w="7469"/>
        <w:gridCol w:w="7469"/>
      </w:tblGrid>
      <w:tr w:rsidR="00A25E57" w:rsidRPr="00925217" w:rsidTr="00072F46">
        <w:tc>
          <w:tcPr>
            <w:tcW w:w="412" w:type="pct"/>
          </w:tcPr>
          <w:p w:rsidR="00A25E57" w:rsidRDefault="00A25E57" w:rsidP="00072F46">
            <w:pPr>
              <w:spacing w:line="240" w:lineRule="auto"/>
              <w:rPr>
                <w:color w:val="000000"/>
                <w:sz w:val="16"/>
                <w:szCs w:val="16"/>
              </w:rPr>
            </w:pPr>
            <w:r>
              <w:rPr>
                <w:color w:val="000000"/>
                <w:sz w:val="16"/>
                <w:szCs w:val="16"/>
              </w:rPr>
              <w:t>Jedinou položkou spotřeby, v níž vydává desetina nejníže příjmových domácností na osobu nominálně dokonce více než desetina domácností nejvýše příjmových, jsou výdaje na vzdělání</w:t>
            </w:r>
          </w:p>
          <w:p w:rsidR="00A25E57" w:rsidRDefault="00A25E57" w:rsidP="00072F46">
            <w:pPr>
              <w:spacing w:line="240" w:lineRule="auto"/>
              <w:jc w:val="both"/>
              <w:rPr>
                <w:color w:val="000000"/>
                <w:sz w:val="16"/>
                <w:szCs w:val="16"/>
              </w:rPr>
            </w:pPr>
          </w:p>
        </w:tc>
        <w:tc>
          <w:tcPr>
            <w:tcW w:w="55" w:type="pct"/>
          </w:tcPr>
          <w:p w:rsidR="00A25E57" w:rsidRDefault="00A25E57" w:rsidP="00072F46">
            <w:pPr>
              <w:pStyle w:val="Textpoznpodarou"/>
              <w:jc w:val="both"/>
            </w:pPr>
          </w:p>
        </w:tc>
        <w:tc>
          <w:tcPr>
            <w:tcW w:w="1511" w:type="pct"/>
          </w:tcPr>
          <w:p w:rsidR="00A25E57" w:rsidRPr="004E2868" w:rsidRDefault="00A25E57" w:rsidP="00333234">
            <w:pPr>
              <w:spacing w:line="240" w:lineRule="auto"/>
              <w:jc w:val="both"/>
              <w:rPr>
                <w:color w:val="000000"/>
                <w:szCs w:val="20"/>
              </w:rPr>
            </w:pPr>
            <w:r w:rsidRPr="004E2868">
              <w:rPr>
                <w:color w:val="000000"/>
                <w:szCs w:val="20"/>
              </w:rPr>
              <w:t>Výdaje na vzdělání jsou ve struktuře vydání českých domácností podle statistiky r</w:t>
            </w:r>
            <w:r>
              <w:rPr>
                <w:color w:val="000000"/>
                <w:szCs w:val="20"/>
              </w:rPr>
              <w:t>odinných účtů položkou nejnižší. Na celkových spotřebních vydáních v přepočtu na osobu se v roce 2014 podílel objem peněz použitých na vzdělání jen z 0,</w:t>
            </w:r>
            <w:r w:rsidR="00333234">
              <w:rPr>
                <w:color w:val="000000"/>
                <w:szCs w:val="20"/>
              </w:rPr>
              <w:t>6</w:t>
            </w:r>
            <w:r>
              <w:rPr>
                <w:color w:val="000000"/>
                <w:szCs w:val="20"/>
              </w:rPr>
              <w:t xml:space="preserve"> %. Ukazuje to mimo jiné na nízký podíl soukromého školství - i přes expanzi zejména vysokých škol anebo vyšších odborných škol - oproti tomu, jaké je pensum vzdělávacích kapacit školství financovaného v ČR z veřejných zdrojů. I přes tyto relace však pohled decilového rozdělení naznačuje zajímavou skutečnost</w:t>
            </w:r>
            <w:r w:rsidR="00C93A94">
              <w:rPr>
                <w:color w:val="000000"/>
                <w:szCs w:val="20"/>
              </w:rPr>
              <w:t>:</w:t>
            </w:r>
            <w:r>
              <w:rPr>
                <w:color w:val="000000"/>
                <w:szCs w:val="20"/>
              </w:rPr>
              <w:t xml:space="preserve"> desetina nejníže příjmových domácností vydávala v roce 2014 v přepočtu na osobu na vzdělávání nominálně mírně více (795 korun za rok), než desetina domácností nejvýše příjmových (712 korun za rok). Celková spotřební vydání dolního a horního decilu přitom činila zhruba 73 tis., resp. 209 tis. korun na osobu ročně. Příčinou tohoto překvapivého poměru, kdy“příjmově nejchudší domácnosti vydávají na vzdělání v přepočtu na osobu nominálně více než domácnosti příjmově nejbohatší, je zřejmě právě skladba těchto domácností, tj. rozdílný počet dětí. V dolním decilu připadalo v roce 2014 na jednu domácnost podle dat z rodinných účtů 1,45 vyživovaných dětí, zatímco desetina nejvýše příjmových domácností děti prakticky nemá (0,10 vyživovaného dítěte připadajícího na jednu domácnost horního decilu příjmového rozdělení). Podstatnou roli ve zmíněném nepoměru vydání zřejmě hrají i platby rodičů v předškolních zařízeních (při nedostatku míst v mateřských školách financovaných z veřejných zdrojů a drahých alternativách jako jsou např. podobná zařízení soukromá). </w:t>
            </w:r>
          </w:p>
        </w:tc>
        <w:tc>
          <w:tcPr>
            <w:tcW w:w="1511" w:type="pct"/>
          </w:tcPr>
          <w:p w:rsidR="00A25E57" w:rsidRDefault="00A25E57" w:rsidP="00072F46">
            <w:pPr>
              <w:pStyle w:val="Textpoznpodarou"/>
              <w:jc w:val="both"/>
            </w:pPr>
          </w:p>
        </w:tc>
        <w:tc>
          <w:tcPr>
            <w:tcW w:w="1511" w:type="pct"/>
          </w:tcPr>
          <w:p w:rsidR="00A25E57" w:rsidRPr="00925217" w:rsidRDefault="00A25E57" w:rsidP="00072F46">
            <w:pPr>
              <w:pStyle w:val="Textpoznpodarou"/>
              <w:jc w:val="both"/>
              <w:rPr>
                <w:color w:val="000000"/>
              </w:rPr>
            </w:pPr>
            <w:r w:rsidRPr="00925217">
              <w:rPr>
                <w:color w:val="000000"/>
              </w:rPr>
              <w:t>Poněkud překvapivý je procentní podíl výdajů v položce Pošty a telekomunikace (druhý obrázek v grafu 27), kdy v domácnos</w:t>
            </w:r>
            <w:r>
              <w:rPr>
                <w:color w:val="000000"/>
              </w:rPr>
              <w:t>tech dolního decilu připadá</w:t>
            </w:r>
            <w:r w:rsidRPr="00925217">
              <w:rPr>
                <w:color w:val="000000"/>
              </w:rPr>
              <w:t xml:space="preserve"> na tyto služby z celkové spotřeby více (4,8 % je dokonce nad průměrem českých domácností jako celku) než u domácností v horním decilu (3,6 %). I tak však zde v absolutním vyjádření převyšují výdaje „nejbohatších“ 2,2krát výdaje „nejchudších“ (v nákupu telefonů 3,7krát, ale v jejich používání jen 1,8krát, což zřejmě souvisí s pořizováním dražších mobilních přístrojů členy nejvýše příjmových domácností). Za internet utratili 2,5krát více. </w:t>
            </w:r>
          </w:p>
          <w:p w:rsidR="00A25E57" w:rsidRPr="00925217" w:rsidRDefault="00A25E57" w:rsidP="00072F46">
            <w:pPr>
              <w:pStyle w:val="Textpoznpodarou"/>
              <w:jc w:val="both"/>
              <w:rPr>
                <w:color w:val="000000"/>
              </w:rPr>
            </w:pPr>
          </w:p>
        </w:tc>
      </w:tr>
    </w:tbl>
    <w:p w:rsidR="00A25E57" w:rsidRPr="00532C18" w:rsidRDefault="00A25E57" w:rsidP="00A25E57">
      <w:pPr>
        <w:jc w:val="both"/>
        <w:rPr>
          <w:sz w:val="18"/>
          <w:szCs w:val="18"/>
        </w:rPr>
      </w:pPr>
      <w:r>
        <w:rPr>
          <w:sz w:val="18"/>
          <w:szCs w:val="18"/>
        </w:rPr>
        <w:t xml:space="preserve"> </w:t>
      </w:r>
    </w:p>
    <w:p w:rsidR="00354366" w:rsidRPr="00A25E57" w:rsidRDefault="00354366" w:rsidP="00A25E57">
      <w:pPr>
        <w:rPr>
          <w:szCs w:val="20"/>
        </w:rPr>
      </w:pPr>
    </w:p>
    <w:sectPr w:rsidR="00354366" w:rsidRPr="00A25E57" w:rsidSect="002A5986">
      <w:headerReference w:type="even" r:id="rId42"/>
      <w:headerReference w:type="default" r:id="rId43"/>
      <w:footerReference w:type="even" r:id="rId44"/>
      <w:footerReference w:type="default" r:id="rId45"/>
      <w:type w:val="continuous"/>
      <w:pgSz w:w="11906" w:h="16838" w:code="9"/>
      <w:pgMar w:top="1134" w:right="1134" w:bottom="1418" w:left="1134" w:header="680" w:footer="680" w:gutter="0"/>
      <w:pgNumType w:start="5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234" w:rsidRDefault="00333234" w:rsidP="00E71A58">
      <w:r>
        <w:separator/>
      </w:r>
    </w:p>
  </w:endnote>
  <w:endnote w:type="continuationSeparator" w:id="0">
    <w:p w:rsidR="00333234" w:rsidRDefault="00333234"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234" w:rsidRDefault="007B1973" w:rsidP="00357449">
    <w:pPr>
      <w:pStyle w:val="Zpat"/>
      <w:tabs>
        <w:tab w:val="clear" w:pos="4536"/>
        <w:tab w:val="clear" w:pos="9072"/>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alt="Description: 3" style="position:absolute;margin-left:445.7pt;margin-top:-4.1pt;width:36.75pt;height:17.25pt;z-index:251657728;visibility:visible">
          <v:imagedata r:id="rId1" o:title=""/>
        </v:shape>
      </w:pict>
    </w:r>
    <w:r w:rsidRPr="005A21E0">
      <w:rPr>
        <w:rFonts w:ascii="Arial" w:hAnsi="Arial" w:cs="Arial"/>
        <w:sz w:val="16"/>
        <w:szCs w:val="16"/>
      </w:rPr>
      <w:fldChar w:fldCharType="begin"/>
    </w:r>
    <w:r w:rsidR="00333234" w:rsidRPr="005A21E0">
      <w:rPr>
        <w:rFonts w:ascii="Arial" w:hAnsi="Arial" w:cs="Arial"/>
        <w:sz w:val="16"/>
        <w:szCs w:val="16"/>
      </w:rPr>
      <w:instrText>PAGE   \* MERGEFORMAT</w:instrText>
    </w:r>
    <w:r w:rsidRPr="005A21E0">
      <w:rPr>
        <w:rFonts w:ascii="Arial" w:hAnsi="Arial" w:cs="Arial"/>
        <w:sz w:val="16"/>
        <w:szCs w:val="16"/>
      </w:rPr>
      <w:fldChar w:fldCharType="separate"/>
    </w:r>
    <w:r w:rsidR="002A5986">
      <w:rPr>
        <w:rFonts w:ascii="Arial" w:hAnsi="Arial" w:cs="Arial"/>
        <w:noProof/>
        <w:sz w:val="16"/>
        <w:szCs w:val="16"/>
      </w:rPr>
      <w:t>54</w:t>
    </w:r>
    <w:r w:rsidRPr="005A21E0">
      <w:rPr>
        <w:rFonts w:ascii="Arial" w:hAnsi="Arial" w:cs="Arial"/>
        <w:sz w:val="16"/>
        <w:szCs w:val="16"/>
      </w:rPr>
      <w:fldChar w:fldCharType="end"/>
    </w:r>
    <w:r w:rsidR="00333234">
      <w:rPr>
        <w:rFonts w:ascii="Arial" w:hAnsi="Arial" w:cs="Arial"/>
        <w:sz w:val="16"/>
        <w:szCs w:val="16"/>
      </w:rPr>
      <w:tab/>
      <w:t>2014</w:t>
    </w:r>
    <w:r w:rsidR="00333234">
      <w:tab/>
    </w:r>
    <w:r w:rsidR="00333234">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234" w:rsidRDefault="007B1973" w:rsidP="00357449">
    <w:pPr>
      <w:pStyle w:val="Zpat"/>
      <w:tabs>
        <w:tab w:val="clear" w:pos="4536"/>
        <w:tab w:val="clear" w:pos="9072"/>
        <w:tab w:val="left" w:pos="1134"/>
        <w:tab w:val="left" w:pos="1920"/>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Description: 3" style="position:absolute;margin-left:.3pt;margin-top:7.1pt;width:39pt;height:21pt;z-index:251658752;visibility:visible">
          <v:imagedata r:id="rId1" o:title=""/>
        </v:shape>
      </w:pict>
    </w:r>
    <w:r w:rsidR="00333234">
      <w:tab/>
    </w:r>
    <w:r w:rsidR="00333234">
      <w:tab/>
    </w:r>
    <w:r w:rsidR="00333234" w:rsidRPr="00DC5B3B">
      <w:t xml:space="preserve">                              </w:t>
    </w:r>
  </w:p>
  <w:p w:rsidR="00333234" w:rsidRPr="00223E00" w:rsidRDefault="00333234"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2014</w:t>
    </w:r>
    <w:r>
      <w:rPr>
        <w:rFonts w:ascii="Arial" w:hAnsi="Arial" w:cs="Arial"/>
        <w:sz w:val="16"/>
        <w:szCs w:val="16"/>
      </w:rPr>
      <w:tab/>
    </w:r>
    <w:r w:rsidR="007B1973"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7B1973" w:rsidRPr="00223E00">
      <w:rPr>
        <w:rFonts w:ascii="Arial" w:hAnsi="Arial" w:cs="Arial"/>
        <w:sz w:val="16"/>
        <w:szCs w:val="16"/>
      </w:rPr>
      <w:fldChar w:fldCharType="separate"/>
    </w:r>
    <w:r w:rsidR="002A5986">
      <w:rPr>
        <w:rFonts w:ascii="Arial" w:hAnsi="Arial" w:cs="Arial"/>
        <w:noProof/>
        <w:sz w:val="16"/>
        <w:szCs w:val="16"/>
      </w:rPr>
      <w:t>53</w:t>
    </w:r>
    <w:r w:rsidR="007B1973"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234" w:rsidRDefault="00333234" w:rsidP="00E71A58">
      <w:r>
        <w:separator/>
      </w:r>
    </w:p>
  </w:footnote>
  <w:footnote w:type="continuationSeparator" w:id="0">
    <w:p w:rsidR="00333234" w:rsidRDefault="00333234" w:rsidP="00E71A58">
      <w:r>
        <w:continuationSeparator/>
      </w:r>
    </w:p>
  </w:footnote>
  <w:footnote w:id="1">
    <w:p w:rsidR="00333234" w:rsidRDefault="00333234" w:rsidP="00A25E57">
      <w:pPr>
        <w:pStyle w:val="Textpoznpodarou"/>
        <w:jc w:val="both"/>
      </w:pPr>
      <w:r>
        <w:rPr>
          <w:rStyle w:val="Znakapoznpodarou"/>
        </w:rPr>
        <w:footnoteRef/>
      </w:r>
      <w:r>
        <w:t xml:space="preserve"> </w:t>
      </w:r>
      <w:r w:rsidRPr="009D7385">
        <w:rPr>
          <w:sz w:val="16"/>
          <w:szCs w:val="16"/>
        </w:rPr>
        <w:t>Časové řady národních účtů zachycují vývoj v celé struktuře hrubého disponibilního důchodu domácností počínaje rokem 1999.</w:t>
      </w:r>
    </w:p>
  </w:footnote>
  <w:footnote w:id="2">
    <w:p w:rsidR="00333234" w:rsidRPr="000441DE" w:rsidRDefault="00333234" w:rsidP="00A25E57">
      <w:pPr>
        <w:pStyle w:val="Textpoznpodarou"/>
        <w:rPr>
          <w:sz w:val="16"/>
          <w:szCs w:val="16"/>
        </w:rPr>
      </w:pPr>
      <w:r w:rsidRPr="000441DE">
        <w:rPr>
          <w:rStyle w:val="Znakapoznpodarou"/>
        </w:rPr>
        <w:footnoteRef/>
      </w:r>
      <w:r w:rsidRPr="000441DE">
        <w:t xml:space="preserve"> </w:t>
      </w:r>
      <w:r w:rsidRPr="000441DE">
        <w:rPr>
          <w:sz w:val="16"/>
          <w:szCs w:val="16"/>
        </w:rPr>
        <w:t>Údaje zahrnují i sociální příspěvky placené zaměstnavateli.</w:t>
      </w:r>
    </w:p>
  </w:footnote>
  <w:footnote w:id="3">
    <w:p w:rsidR="00333234" w:rsidRPr="00F07939" w:rsidRDefault="00333234" w:rsidP="00A25E57">
      <w:pPr>
        <w:pStyle w:val="Textpoznpodarou"/>
        <w:jc w:val="both"/>
        <w:rPr>
          <w:sz w:val="16"/>
          <w:szCs w:val="16"/>
        </w:rPr>
      </w:pPr>
      <w:r w:rsidRPr="000441DE">
        <w:rPr>
          <w:rStyle w:val="Znakapoznpodarou"/>
        </w:rPr>
        <w:footnoteRef/>
      </w:r>
      <w:r w:rsidRPr="00F07939">
        <w:rPr>
          <w:sz w:val="16"/>
          <w:szCs w:val="16"/>
        </w:rPr>
        <w:t xml:space="preserve"> Jde o celoevropské šetření podle metodiky </w:t>
      </w:r>
      <w:proofErr w:type="spellStart"/>
      <w:r w:rsidRPr="00F07939">
        <w:rPr>
          <w:sz w:val="16"/>
          <w:szCs w:val="16"/>
        </w:rPr>
        <w:t>Eurostatu</w:t>
      </w:r>
      <w:proofErr w:type="spellEnd"/>
      <w:r w:rsidRPr="00F07939">
        <w:rPr>
          <w:sz w:val="16"/>
          <w:szCs w:val="16"/>
        </w:rPr>
        <w:t xml:space="preserve"> </w:t>
      </w:r>
      <w:proofErr w:type="spellStart"/>
      <w:r w:rsidRPr="00F07939">
        <w:rPr>
          <w:sz w:val="16"/>
          <w:szCs w:val="16"/>
        </w:rPr>
        <w:t>Survey</w:t>
      </w:r>
      <w:proofErr w:type="spellEnd"/>
      <w:r w:rsidRPr="00F07939">
        <w:rPr>
          <w:sz w:val="16"/>
          <w:szCs w:val="16"/>
        </w:rPr>
        <w:t xml:space="preserve"> on </w:t>
      </w:r>
      <w:proofErr w:type="spellStart"/>
      <w:r w:rsidRPr="00F07939">
        <w:rPr>
          <w:sz w:val="16"/>
          <w:szCs w:val="16"/>
        </w:rPr>
        <w:t>Income</w:t>
      </w:r>
      <w:proofErr w:type="spellEnd"/>
      <w:r w:rsidRPr="00F07939">
        <w:rPr>
          <w:sz w:val="16"/>
          <w:szCs w:val="16"/>
        </w:rPr>
        <w:t xml:space="preserve"> </w:t>
      </w:r>
      <w:proofErr w:type="spellStart"/>
      <w:r w:rsidRPr="00F07939">
        <w:rPr>
          <w:sz w:val="16"/>
          <w:szCs w:val="16"/>
        </w:rPr>
        <w:t>and</w:t>
      </w:r>
      <w:proofErr w:type="spellEnd"/>
      <w:r w:rsidRPr="00F07939">
        <w:rPr>
          <w:sz w:val="16"/>
          <w:szCs w:val="16"/>
        </w:rPr>
        <w:t xml:space="preserve"> </w:t>
      </w:r>
      <w:proofErr w:type="spellStart"/>
      <w:r w:rsidRPr="00F07939">
        <w:rPr>
          <w:sz w:val="16"/>
          <w:szCs w:val="16"/>
        </w:rPr>
        <w:t>Living</w:t>
      </w:r>
      <w:proofErr w:type="spellEnd"/>
      <w:r w:rsidRPr="00F07939">
        <w:rPr>
          <w:sz w:val="16"/>
          <w:szCs w:val="16"/>
        </w:rPr>
        <w:t xml:space="preserve"> </w:t>
      </w:r>
      <w:proofErr w:type="spellStart"/>
      <w:r w:rsidRPr="00F07939">
        <w:rPr>
          <w:sz w:val="16"/>
          <w:szCs w:val="16"/>
        </w:rPr>
        <w:t>Conditions</w:t>
      </w:r>
      <w:proofErr w:type="spellEnd"/>
      <w:r w:rsidRPr="00F07939">
        <w:rPr>
          <w:sz w:val="16"/>
          <w:szCs w:val="16"/>
        </w:rPr>
        <w:t xml:space="preserve"> (SILC) zjišťující na základě odpovědí respondentů situaci v riziku ohroženosti příjmovou chudobou a v materiální deprivaci</w:t>
      </w:r>
    </w:p>
  </w:footnote>
  <w:footnote w:id="4">
    <w:p w:rsidR="00333234" w:rsidRDefault="00333234" w:rsidP="00A25E57">
      <w:pPr>
        <w:pStyle w:val="Textpoznpodarou"/>
        <w:jc w:val="both"/>
      </w:pPr>
      <w:r w:rsidRPr="000441DE">
        <w:rPr>
          <w:rStyle w:val="Znakapoznpodarou"/>
        </w:rPr>
        <w:footnoteRef/>
      </w:r>
      <w:r w:rsidRPr="00F07939">
        <w:rPr>
          <w:sz w:val="16"/>
          <w:szCs w:val="16"/>
        </w:rPr>
        <w:t xml:space="preserve"> V dalším textu bude pojem „domácnosti s nejnižšími příjmy“ používán pro dolní decil rozdělení, tj. desetinu domácností s nejnižšími příjmy, pojem „domácnosti s nejvyššími příjmy“ pak pro horní decil, tj. desetinu domácností s nejvyššími příjmy. Alternativně jsou použity i pojmy „</w:t>
      </w:r>
      <w:proofErr w:type="spellStart"/>
      <w:r w:rsidRPr="00F07939">
        <w:rPr>
          <w:sz w:val="16"/>
          <w:szCs w:val="16"/>
        </w:rPr>
        <w:t>nízkopříjmoví</w:t>
      </w:r>
      <w:proofErr w:type="spellEnd"/>
      <w:r w:rsidRPr="00F07939">
        <w:rPr>
          <w:sz w:val="16"/>
          <w:szCs w:val="16"/>
        </w:rPr>
        <w:t xml:space="preserve">“ či </w:t>
      </w:r>
      <w:proofErr w:type="spellStart"/>
      <w:r w:rsidRPr="00F07939">
        <w:rPr>
          <w:sz w:val="16"/>
          <w:szCs w:val="16"/>
        </w:rPr>
        <w:t>vysokopříjmoví</w:t>
      </w:r>
      <w:proofErr w:type="spellEnd"/>
      <w:r w:rsidRPr="00F07939">
        <w:rPr>
          <w:sz w:val="16"/>
          <w:szCs w:val="16"/>
        </w:rPr>
        <w:t>“.</w:t>
      </w:r>
    </w:p>
  </w:footnote>
  <w:footnote w:id="5">
    <w:p w:rsidR="00333234" w:rsidRPr="00FD1FB0" w:rsidRDefault="00333234" w:rsidP="00A25E57">
      <w:pPr>
        <w:pStyle w:val="Textpoznpodarou"/>
      </w:pPr>
      <w:r>
        <w:rPr>
          <w:rStyle w:val="Znakapoznpodarou"/>
        </w:rPr>
        <w:footnoteRef/>
      </w:r>
      <w:r>
        <w:t xml:space="preserve"> </w:t>
      </w:r>
      <w:r w:rsidRPr="00FD1FB0">
        <w:rPr>
          <w:sz w:val="16"/>
          <w:szCs w:val="16"/>
        </w:rPr>
        <w:t xml:space="preserve">Proporce jsou uvedeny podle dat SILC, tj. vzorku náhodného výběru. Odpovědi respondentů z rodinných účtů </w:t>
      </w:r>
      <w:r>
        <w:rPr>
          <w:sz w:val="16"/>
          <w:szCs w:val="16"/>
        </w:rPr>
        <w:t xml:space="preserve">(kvótní výběr) </w:t>
      </w:r>
      <w:r w:rsidRPr="00FD1FB0">
        <w:rPr>
          <w:sz w:val="16"/>
          <w:szCs w:val="16"/>
        </w:rPr>
        <w:t>uvádějí však např. vyšší podíl ostatních příjmů ve struktuře jejich hrubých peněžních příjmů.</w:t>
      </w:r>
      <w:r>
        <w:t xml:space="preserve"> </w:t>
      </w:r>
    </w:p>
  </w:footnote>
  <w:footnote w:id="6">
    <w:p w:rsidR="00333234" w:rsidRPr="00544EBB" w:rsidRDefault="00333234">
      <w:pPr>
        <w:pStyle w:val="Textpoznpodarou"/>
        <w:rPr>
          <w:sz w:val="16"/>
          <w:szCs w:val="16"/>
        </w:rPr>
      </w:pPr>
      <w:r>
        <w:rPr>
          <w:rStyle w:val="Znakapoznpodarou"/>
        </w:rPr>
        <w:footnoteRef/>
      </w:r>
      <w:r>
        <w:t xml:space="preserve"> </w:t>
      </w:r>
      <w:r w:rsidRPr="00544EBB">
        <w:rPr>
          <w:sz w:val="16"/>
          <w:szCs w:val="16"/>
        </w:rPr>
        <w:t xml:space="preserve">Jde o životní minimum v pojetí </w:t>
      </w:r>
      <w:r>
        <w:rPr>
          <w:sz w:val="16"/>
          <w:szCs w:val="16"/>
        </w:rPr>
        <w:t>SILC, nikoli</w:t>
      </w:r>
      <w:r w:rsidRPr="00544EBB">
        <w:rPr>
          <w:sz w:val="16"/>
          <w:szCs w:val="16"/>
        </w:rPr>
        <w:t xml:space="preserve"> o „klasickou“ kategorii životního minima, ukazatele produkovaného MPSV.</w:t>
      </w:r>
    </w:p>
  </w:footnote>
  <w:footnote w:id="7">
    <w:p w:rsidR="00333234" w:rsidRPr="00BC4CE0" w:rsidRDefault="00333234" w:rsidP="00A25E57">
      <w:pPr>
        <w:pStyle w:val="Textpoznpodarou"/>
        <w:jc w:val="both"/>
        <w:rPr>
          <w:sz w:val="16"/>
          <w:szCs w:val="16"/>
        </w:rPr>
      </w:pPr>
      <w:r w:rsidRPr="00AD460D">
        <w:rPr>
          <w:rStyle w:val="Znakapoznpodarou"/>
        </w:rPr>
        <w:footnoteRef/>
      </w:r>
      <w:r w:rsidRPr="00AD460D">
        <w:t xml:space="preserve"> </w:t>
      </w:r>
      <w:r w:rsidRPr="00BC4CE0">
        <w:rPr>
          <w:sz w:val="16"/>
          <w:szCs w:val="16"/>
        </w:rPr>
        <w:t xml:space="preserve">Decilové rozdělení ukazuje nejvyšší sociální příjmy, především důchody, v decilu 4 až 7 (nikoli tedy v decilech s nejnižšími příjmy). Příčinou je propočet průměrů na osobu. </w:t>
      </w:r>
    </w:p>
  </w:footnote>
  <w:footnote w:id="8">
    <w:p w:rsidR="00333234" w:rsidRPr="007F61B3" w:rsidRDefault="00333234" w:rsidP="00A25E57">
      <w:pPr>
        <w:pStyle w:val="Textpoznpodarou"/>
        <w:rPr>
          <w:sz w:val="16"/>
          <w:szCs w:val="16"/>
        </w:rPr>
      </w:pPr>
      <w:r>
        <w:rPr>
          <w:rStyle w:val="Znakapoznpodarou"/>
        </w:rPr>
        <w:footnoteRef/>
      </w:r>
      <w:r>
        <w:t xml:space="preserve"> </w:t>
      </w:r>
      <w:r w:rsidRPr="007F61B3">
        <w:rPr>
          <w:sz w:val="16"/>
          <w:szCs w:val="16"/>
        </w:rPr>
        <w:t xml:space="preserve">Na rozdíl od údajů SILC, kde šetření daného roku pracuje ve výsledcích obecně s příjmy a vydáními předchozího roku, jsou údaje o peněžních vydáních z rodinných účtů k dispozici již v daném roce, </w:t>
      </w:r>
      <w:r>
        <w:rPr>
          <w:sz w:val="16"/>
          <w:szCs w:val="16"/>
        </w:rPr>
        <w:t xml:space="preserve">v </w:t>
      </w:r>
      <w:r w:rsidRPr="007F61B3">
        <w:rPr>
          <w:sz w:val="16"/>
          <w:szCs w:val="16"/>
        </w:rPr>
        <w:t xml:space="preserve">této analýze tedy za rok 2014.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234" w:rsidRPr="00F5435A" w:rsidRDefault="00333234" w:rsidP="00F5435A">
    <w:pPr>
      <w:pStyle w:val="Zhlav"/>
      <w:tabs>
        <w:tab w:val="clear" w:pos="4536"/>
        <w:tab w:val="clear" w:pos="9072"/>
        <w:tab w:val="left" w:pos="-6379"/>
        <w:tab w:val="center" w:pos="4820"/>
        <w:tab w:val="right" w:pos="9639"/>
      </w:tabs>
      <w:rPr>
        <w:szCs w:val="16"/>
      </w:rPr>
    </w:pPr>
    <w:r>
      <w:rPr>
        <w:rFonts w:ascii="Arial" w:hAnsi="Arial" w:cs="Arial"/>
        <w:sz w:val="16"/>
        <w:szCs w:val="16"/>
      </w:rPr>
      <w:t>Tendence makroekonomického vývoje a kvality života v České republice v roce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234" w:rsidRPr="00F5435A" w:rsidRDefault="00333234" w:rsidP="00F5435A">
    <w:pPr>
      <w:pStyle w:val="Zhlav"/>
      <w:tabs>
        <w:tab w:val="clear" w:pos="4536"/>
        <w:tab w:val="clear" w:pos="9072"/>
        <w:tab w:val="left" w:pos="-6379"/>
        <w:tab w:val="center" w:pos="4820"/>
        <w:tab w:val="right" w:pos="9639"/>
      </w:tabs>
      <w:rPr>
        <w:szCs w:val="16"/>
      </w:rPr>
    </w:pPr>
    <w:r>
      <w:rPr>
        <w:rFonts w:ascii="Arial" w:hAnsi="Arial" w:cs="Arial"/>
        <w:sz w:val="16"/>
        <w:szCs w:val="16"/>
      </w:rPr>
      <w:t>Tendence makroekonomického vývoje a kvality života v České republice v roce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6BEF"/>
    <w:multiLevelType w:val="hybridMultilevel"/>
    <w:tmpl w:val="3B360A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19A62B8"/>
    <w:multiLevelType w:val="multilevel"/>
    <w:tmpl w:val="DBE68682"/>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1EA7172B"/>
    <w:multiLevelType w:val="multilevel"/>
    <w:tmpl w:val="DE863A6A"/>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20BB57F8"/>
    <w:multiLevelType w:val="multilevel"/>
    <w:tmpl w:val="2074470E"/>
    <w:lvl w:ilvl="0">
      <w:start w:val="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E537EF2"/>
    <w:multiLevelType w:val="multilevel"/>
    <w:tmpl w:val="BEDEE0F0"/>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96F0669"/>
    <w:multiLevelType w:val="hybridMultilevel"/>
    <w:tmpl w:val="6B980916"/>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742A32BF"/>
    <w:multiLevelType w:val="multilevel"/>
    <w:tmpl w:val="2C7C09CE"/>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7B733708"/>
    <w:multiLevelType w:val="multilevel"/>
    <w:tmpl w:val="B9CE9CB0"/>
    <w:lvl w:ilvl="0">
      <w:start w:val="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5"/>
  </w:num>
  <w:num w:numId="2">
    <w:abstractNumId w:val="8"/>
  </w:num>
  <w:num w:numId="3">
    <w:abstractNumId w:val="1"/>
  </w:num>
  <w:num w:numId="4">
    <w:abstractNumId w:val="2"/>
  </w:num>
  <w:num w:numId="5">
    <w:abstractNumId w:val="6"/>
  </w:num>
  <w:num w:numId="6">
    <w:abstractNumId w:val="3"/>
  </w:num>
  <w:num w:numId="7">
    <w:abstractNumId w:val="0"/>
  </w:num>
  <w:num w:numId="8">
    <w:abstractNumId w:val="4"/>
  </w:num>
  <w:num w:numId="9">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4"/>
  <w:doNotTrackMoves/>
  <w:defaultTabStop w:val="708"/>
  <w:hyphenationZone w:val="425"/>
  <w:evenAndOddHeaders/>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0BD"/>
    <w:rsid w:val="00000E94"/>
    <w:rsid w:val="00003687"/>
    <w:rsid w:val="00003A9E"/>
    <w:rsid w:val="00003C43"/>
    <w:rsid w:val="000047B7"/>
    <w:rsid w:val="00004BDD"/>
    <w:rsid w:val="00006CF8"/>
    <w:rsid w:val="00007498"/>
    <w:rsid w:val="0000767A"/>
    <w:rsid w:val="000104B9"/>
    <w:rsid w:val="00010702"/>
    <w:rsid w:val="0001159B"/>
    <w:rsid w:val="000118F0"/>
    <w:rsid w:val="00011ABE"/>
    <w:rsid w:val="00014DB4"/>
    <w:rsid w:val="0001573E"/>
    <w:rsid w:val="00017315"/>
    <w:rsid w:val="000173CC"/>
    <w:rsid w:val="000178A6"/>
    <w:rsid w:val="00017F05"/>
    <w:rsid w:val="0002016D"/>
    <w:rsid w:val="000202B9"/>
    <w:rsid w:val="000202C6"/>
    <w:rsid w:val="00020946"/>
    <w:rsid w:val="000217F1"/>
    <w:rsid w:val="0002366A"/>
    <w:rsid w:val="00023777"/>
    <w:rsid w:val="00024887"/>
    <w:rsid w:val="00024CBA"/>
    <w:rsid w:val="000264DE"/>
    <w:rsid w:val="00026998"/>
    <w:rsid w:val="0003066A"/>
    <w:rsid w:val="00032838"/>
    <w:rsid w:val="00032879"/>
    <w:rsid w:val="00032C12"/>
    <w:rsid w:val="00034B90"/>
    <w:rsid w:val="000353D4"/>
    <w:rsid w:val="00035FC6"/>
    <w:rsid w:val="00036889"/>
    <w:rsid w:val="00037667"/>
    <w:rsid w:val="000411E1"/>
    <w:rsid w:val="000441DE"/>
    <w:rsid w:val="00045541"/>
    <w:rsid w:val="000458C6"/>
    <w:rsid w:val="0004694F"/>
    <w:rsid w:val="0004735A"/>
    <w:rsid w:val="0005077D"/>
    <w:rsid w:val="00050C11"/>
    <w:rsid w:val="00052172"/>
    <w:rsid w:val="000548AB"/>
    <w:rsid w:val="00054B1C"/>
    <w:rsid w:val="00055059"/>
    <w:rsid w:val="000553E4"/>
    <w:rsid w:val="00060A26"/>
    <w:rsid w:val="00061443"/>
    <w:rsid w:val="00062EC5"/>
    <w:rsid w:val="00063BCF"/>
    <w:rsid w:val="00064256"/>
    <w:rsid w:val="00064D80"/>
    <w:rsid w:val="000666E0"/>
    <w:rsid w:val="000706A4"/>
    <w:rsid w:val="000708EE"/>
    <w:rsid w:val="00072118"/>
    <w:rsid w:val="000727C7"/>
    <w:rsid w:val="00072F46"/>
    <w:rsid w:val="00073039"/>
    <w:rsid w:val="00073173"/>
    <w:rsid w:val="0007406D"/>
    <w:rsid w:val="0007602A"/>
    <w:rsid w:val="00076196"/>
    <w:rsid w:val="00076B48"/>
    <w:rsid w:val="000774C1"/>
    <w:rsid w:val="000779AC"/>
    <w:rsid w:val="0008193E"/>
    <w:rsid w:val="000821A7"/>
    <w:rsid w:val="00083803"/>
    <w:rsid w:val="000848F4"/>
    <w:rsid w:val="0008716A"/>
    <w:rsid w:val="00087634"/>
    <w:rsid w:val="00090F47"/>
    <w:rsid w:val="00091237"/>
    <w:rsid w:val="000920EC"/>
    <w:rsid w:val="00092505"/>
    <w:rsid w:val="00095ACB"/>
    <w:rsid w:val="00096B97"/>
    <w:rsid w:val="000A0F46"/>
    <w:rsid w:val="000A1183"/>
    <w:rsid w:val="000A13D1"/>
    <w:rsid w:val="000A2121"/>
    <w:rsid w:val="000A3D94"/>
    <w:rsid w:val="000A4B3E"/>
    <w:rsid w:val="000B1398"/>
    <w:rsid w:val="000B1CFE"/>
    <w:rsid w:val="000B210A"/>
    <w:rsid w:val="000B249B"/>
    <w:rsid w:val="000B3DB9"/>
    <w:rsid w:val="000B3F02"/>
    <w:rsid w:val="000B48E7"/>
    <w:rsid w:val="000B7663"/>
    <w:rsid w:val="000C0E2B"/>
    <w:rsid w:val="000C11D3"/>
    <w:rsid w:val="000C12F5"/>
    <w:rsid w:val="000C152B"/>
    <w:rsid w:val="000C3408"/>
    <w:rsid w:val="000C776C"/>
    <w:rsid w:val="000D2E41"/>
    <w:rsid w:val="000D5E7A"/>
    <w:rsid w:val="000D5FAA"/>
    <w:rsid w:val="000D65A4"/>
    <w:rsid w:val="000D6946"/>
    <w:rsid w:val="000D6AEF"/>
    <w:rsid w:val="000E0F3D"/>
    <w:rsid w:val="000E19A8"/>
    <w:rsid w:val="000E2776"/>
    <w:rsid w:val="000E2A8A"/>
    <w:rsid w:val="000E51B0"/>
    <w:rsid w:val="000E78D2"/>
    <w:rsid w:val="000F0029"/>
    <w:rsid w:val="000F2D72"/>
    <w:rsid w:val="000F3332"/>
    <w:rsid w:val="000F33EE"/>
    <w:rsid w:val="000F401E"/>
    <w:rsid w:val="000F5445"/>
    <w:rsid w:val="000F5E7A"/>
    <w:rsid w:val="000F67B2"/>
    <w:rsid w:val="00100014"/>
    <w:rsid w:val="00102756"/>
    <w:rsid w:val="00102D79"/>
    <w:rsid w:val="00102F02"/>
    <w:rsid w:val="00103834"/>
    <w:rsid w:val="001041B6"/>
    <w:rsid w:val="001070EA"/>
    <w:rsid w:val="0011002A"/>
    <w:rsid w:val="0011110A"/>
    <w:rsid w:val="001118AF"/>
    <w:rsid w:val="0011256E"/>
    <w:rsid w:val="001157D5"/>
    <w:rsid w:val="00116DB9"/>
    <w:rsid w:val="00121167"/>
    <w:rsid w:val="001214CE"/>
    <w:rsid w:val="00121C39"/>
    <w:rsid w:val="00123255"/>
    <w:rsid w:val="001242CF"/>
    <w:rsid w:val="001247F5"/>
    <w:rsid w:val="00124D2D"/>
    <w:rsid w:val="00126F9E"/>
    <w:rsid w:val="001306B1"/>
    <w:rsid w:val="001307BE"/>
    <w:rsid w:val="00130C8F"/>
    <w:rsid w:val="001314F2"/>
    <w:rsid w:val="001317DA"/>
    <w:rsid w:val="00131B66"/>
    <w:rsid w:val="0013254D"/>
    <w:rsid w:val="00132665"/>
    <w:rsid w:val="00132CF6"/>
    <w:rsid w:val="00133A3B"/>
    <w:rsid w:val="00133AAC"/>
    <w:rsid w:val="00136561"/>
    <w:rsid w:val="00136CE4"/>
    <w:rsid w:val="001400E1"/>
    <w:rsid w:val="001405FA"/>
    <w:rsid w:val="001425C3"/>
    <w:rsid w:val="00142F16"/>
    <w:rsid w:val="00143B81"/>
    <w:rsid w:val="00143E03"/>
    <w:rsid w:val="00143E93"/>
    <w:rsid w:val="00150943"/>
    <w:rsid w:val="00151AC0"/>
    <w:rsid w:val="00152046"/>
    <w:rsid w:val="0015232F"/>
    <w:rsid w:val="00154059"/>
    <w:rsid w:val="00156318"/>
    <w:rsid w:val="0015639A"/>
    <w:rsid w:val="00157931"/>
    <w:rsid w:val="00157990"/>
    <w:rsid w:val="0016081D"/>
    <w:rsid w:val="00161312"/>
    <w:rsid w:val="00161EDA"/>
    <w:rsid w:val="001620D2"/>
    <w:rsid w:val="001620FA"/>
    <w:rsid w:val="00162853"/>
    <w:rsid w:val="00162EB2"/>
    <w:rsid w:val="00163793"/>
    <w:rsid w:val="0016545C"/>
    <w:rsid w:val="0016560B"/>
    <w:rsid w:val="00165A85"/>
    <w:rsid w:val="001707DE"/>
    <w:rsid w:val="00170B04"/>
    <w:rsid w:val="00170F47"/>
    <w:rsid w:val="001714F2"/>
    <w:rsid w:val="00171672"/>
    <w:rsid w:val="00171D29"/>
    <w:rsid w:val="00171D2A"/>
    <w:rsid w:val="00173485"/>
    <w:rsid w:val="00173642"/>
    <w:rsid w:val="00174CE8"/>
    <w:rsid w:val="00174FFB"/>
    <w:rsid w:val="001764D8"/>
    <w:rsid w:val="00176A8F"/>
    <w:rsid w:val="0017789F"/>
    <w:rsid w:val="001779F0"/>
    <w:rsid w:val="001804ED"/>
    <w:rsid w:val="00181338"/>
    <w:rsid w:val="00181893"/>
    <w:rsid w:val="0018225A"/>
    <w:rsid w:val="00182981"/>
    <w:rsid w:val="00184CF9"/>
    <w:rsid w:val="00185010"/>
    <w:rsid w:val="00186164"/>
    <w:rsid w:val="00186915"/>
    <w:rsid w:val="0018724F"/>
    <w:rsid w:val="001874CF"/>
    <w:rsid w:val="00187C76"/>
    <w:rsid w:val="00190D9B"/>
    <w:rsid w:val="00194331"/>
    <w:rsid w:val="0019492D"/>
    <w:rsid w:val="0019505A"/>
    <w:rsid w:val="00195444"/>
    <w:rsid w:val="001962A3"/>
    <w:rsid w:val="001971D0"/>
    <w:rsid w:val="0019731C"/>
    <w:rsid w:val="001A0075"/>
    <w:rsid w:val="001A250D"/>
    <w:rsid w:val="001A2BDB"/>
    <w:rsid w:val="001A2D19"/>
    <w:rsid w:val="001A443A"/>
    <w:rsid w:val="001A511C"/>
    <w:rsid w:val="001A552F"/>
    <w:rsid w:val="001A5DA4"/>
    <w:rsid w:val="001A7C15"/>
    <w:rsid w:val="001A7CD1"/>
    <w:rsid w:val="001B0AF0"/>
    <w:rsid w:val="001B1D89"/>
    <w:rsid w:val="001B2964"/>
    <w:rsid w:val="001B3110"/>
    <w:rsid w:val="001B44BC"/>
    <w:rsid w:val="001B4721"/>
    <w:rsid w:val="001B51F8"/>
    <w:rsid w:val="001B6545"/>
    <w:rsid w:val="001B666A"/>
    <w:rsid w:val="001B681B"/>
    <w:rsid w:val="001B74FB"/>
    <w:rsid w:val="001B77A1"/>
    <w:rsid w:val="001B7C99"/>
    <w:rsid w:val="001C0422"/>
    <w:rsid w:val="001C0E0E"/>
    <w:rsid w:val="001C1219"/>
    <w:rsid w:val="001C3178"/>
    <w:rsid w:val="001C357A"/>
    <w:rsid w:val="001C38BC"/>
    <w:rsid w:val="001C3A37"/>
    <w:rsid w:val="001C4384"/>
    <w:rsid w:val="001C573E"/>
    <w:rsid w:val="001C65FF"/>
    <w:rsid w:val="001C6B05"/>
    <w:rsid w:val="001C6E5E"/>
    <w:rsid w:val="001C70BF"/>
    <w:rsid w:val="001D234F"/>
    <w:rsid w:val="001D3651"/>
    <w:rsid w:val="001D47E5"/>
    <w:rsid w:val="001D5088"/>
    <w:rsid w:val="001D54E7"/>
    <w:rsid w:val="001D584C"/>
    <w:rsid w:val="001D66C1"/>
    <w:rsid w:val="001D77D5"/>
    <w:rsid w:val="001E03A3"/>
    <w:rsid w:val="001E0533"/>
    <w:rsid w:val="001E0BE1"/>
    <w:rsid w:val="001E0C65"/>
    <w:rsid w:val="001E23E3"/>
    <w:rsid w:val="001E33B9"/>
    <w:rsid w:val="001E387A"/>
    <w:rsid w:val="001E3DA4"/>
    <w:rsid w:val="001E48E5"/>
    <w:rsid w:val="001E4A25"/>
    <w:rsid w:val="001E561F"/>
    <w:rsid w:val="001E684C"/>
    <w:rsid w:val="001E701C"/>
    <w:rsid w:val="001E7C03"/>
    <w:rsid w:val="001F02AF"/>
    <w:rsid w:val="001F037F"/>
    <w:rsid w:val="001F0406"/>
    <w:rsid w:val="001F0EC9"/>
    <w:rsid w:val="001F274B"/>
    <w:rsid w:val="001F28F4"/>
    <w:rsid w:val="001F3C55"/>
    <w:rsid w:val="001F3C79"/>
    <w:rsid w:val="001F3E68"/>
    <w:rsid w:val="001F3E96"/>
    <w:rsid w:val="001F4597"/>
    <w:rsid w:val="001F55D7"/>
    <w:rsid w:val="001F7A31"/>
    <w:rsid w:val="00200D15"/>
    <w:rsid w:val="002029EF"/>
    <w:rsid w:val="00203074"/>
    <w:rsid w:val="00205103"/>
    <w:rsid w:val="00207730"/>
    <w:rsid w:val="00210400"/>
    <w:rsid w:val="00210CC2"/>
    <w:rsid w:val="00210F5B"/>
    <w:rsid w:val="00211036"/>
    <w:rsid w:val="00211262"/>
    <w:rsid w:val="002113A7"/>
    <w:rsid w:val="00211636"/>
    <w:rsid w:val="00211AC9"/>
    <w:rsid w:val="00212A98"/>
    <w:rsid w:val="0021355B"/>
    <w:rsid w:val="00214ED2"/>
    <w:rsid w:val="002155A9"/>
    <w:rsid w:val="002156B9"/>
    <w:rsid w:val="002200D8"/>
    <w:rsid w:val="002205F2"/>
    <w:rsid w:val="0022080E"/>
    <w:rsid w:val="0022139E"/>
    <w:rsid w:val="0022160A"/>
    <w:rsid w:val="0022272B"/>
    <w:rsid w:val="00222A99"/>
    <w:rsid w:val="00223667"/>
    <w:rsid w:val="00223678"/>
    <w:rsid w:val="00223E00"/>
    <w:rsid w:val="00223F33"/>
    <w:rsid w:val="00224911"/>
    <w:rsid w:val="002252E0"/>
    <w:rsid w:val="002255F6"/>
    <w:rsid w:val="00226466"/>
    <w:rsid w:val="00227993"/>
    <w:rsid w:val="0023229C"/>
    <w:rsid w:val="00232351"/>
    <w:rsid w:val="002329C3"/>
    <w:rsid w:val="00233472"/>
    <w:rsid w:val="00234111"/>
    <w:rsid w:val="00234280"/>
    <w:rsid w:val="002350E3"/>
    <w:rsid w:val="00235AFB"/>
    <w:rsid w:val="00236443"/>
    <w:rsid w:val="00237819"/>
    <w:rsid w:val="00240A5B"/>
    <w:rsid w:val="00241C02"/>
    <w:rsid w:val="00242569"/>
    <w:rsid w:val="0024261F"/>
    <w:rsid w:val="002436BA"/>
    <w:rsid w:val="00243E3B"/>
    <w:rsid w:val="002441B6"/>
    <w:rsid w:val="002444ED"/>
    <w:rsid w:val="00244A15"/>
    <w:rsid w:val="00244D40"/>
    <w:rsid w:val="0024620F"/>
    <w:rsid w:val="00246AE9"/>
    <w:rsid w:val="0024799E"/>
    <w:rsid w:val="0025186A"/>
    <w:rsid w:val="00251879"/>
    <w:rsid w:val="00251D59"/>
    <w:rsid w:val="00252FDC"/>
    <w:rsid w:val="00253719"/>
    <w:rsid w:val="002544F5"/>
    <w:rsid w:val="002547A6"/>
    <w:rsid w:val="0025540B"/>
    <w:rsid w:val="002555ED"/>
    <w:rsid w:val="002601FC"/>
    <w:rsid w:val="00260FA6"/>
    <w:rsid w:val="00261E29"/>
    <w:rsid w:val="00261E5B"/>
    <w:rsid w:val="00263470"/>
    <w:rsid w:val="00263733"/>
    <w:rsid w:val="002641A7"/>
    <w:rsid w:val="002650C1"/>
    <w:rsid w:val="00265536"/>
    <w:rsid w:val="00266591"/>
    <w:rsid w:val="00266F3E"/>
    <w:rsid w:val="0027227B"/>
    <w:rsid w:val="00272464"/>
    <w:rsid w:val="002727EA"/>
    <w:rsid w:val="00273DCD"/>
    <w:rsid w:val="00274291"/>
    <w:rsid w:val="00276CFE"/>
    <w:rsid w:val="00277071"/>
    <w:rsid w:val="0027786C"/>
    <w:rsid w:val="00281416"/>
    <w:rsid w:val="00283D2E"/>
    <w:rsid w:val="00284F79"/>
    <w:rsid w:val="002852C6"/>
    <w:rsid w:val="00285CD3"/>
    <w:rsid w:val="0028686A"/>
    <w:rsid w:val="00286E66"/>
    <w:rsid w:val="00290910"/>
    <w:rsid w:val="002911C8"/>
    <w:rsid w:val="002919B5"/>
    <w:rsid w:val="00293441"/>
    <w:rsid w:val="00293FEA"/>
    <w:rsid w:val="0029493E"/>
    <w:rsid w:val="00296C2E"/>
    <w:rsid w:val="002A1B05"/>
    <w:rsid w:val="002A2083"/>
    <w:rsid w:val="002A3BD5"/>
    <w:rsid w:val="002A4277"/>
    <w:rsid w:val="002A43A2"/>
    <w:rsid w:val="002A4612"/>
    <w:rsid w:val="002A4FBE"/>
    <w:rsid w:val="002A5263"/>
    <w:rsid w:val="002A5986"/>
    <w:rsid w:val="002A659A"/>
    <w:rsid w:val="002A6821"/>
    <w:rsid w:val="002A6841"/>
    <w:rsid w:val="002A74D2"/>
    <w:rsid w:val="002B28A4"/>
    <w:rsid w:val="002B342C"/>
    <w:rsid w:val="002B36C8"/>
    <w:rsid w:val="002B3DAF"/>
    <w:rsid w:val="002B7240"/>
    <w:rsid w:val="002B798E"/>
    <w:rsid w:val="002B79A0"/>
    <w:rsid w:val="002B7EC1"/>
    <w:rsid w:val="002C055E"/>
    <w:rsid w:val="002C43BD"/>
    <w:rsid w:val="002C5261"/>
    <w:rsid w:val="002C6091"/>
    <w:rsid w:val="002C69FA"/>
    <w:rsid w:val="002D0562"/>
    <w:rsid w:val="002D1B5A"/>
    <w:rsid w:val="002D22B5"/>
    <w:rsid w:val="002D3EE3"/>
    <w:rsid w:val="002D5E94"/>
    <w:rsid w:val="002D632D"/>
    <w:rsid w:val="002D7CA9"/>
    <w:rsid w:val="002E02A1"/>
    <w:rsid w:val="002E1C6A"/>
    <w:rsid w:val="002E1DE4"/>
    <w:rsid w:val="002E2CE4"/>
    <w:rsid w:val="002E7C20"/>
    <w:rsid w:val="002F1DB9"/>
    <w:rsid w:val="002F33F7"/>
    <w:rsid w:val="002F33FB"/>
    <w:rsid w:val="002F3C26"/>
    <w:rsid w:val="002F46A9"/>
    <w:rsid w:val="002F47F3"/>
    <w:rsid w:val="002F7C73"/>
    <w:rsid w:val="00300B28"/>
    <w:rsid w:val="00300E9F"/>
    <w:rsid w:val="00301357"/>
    <w:rsid w:val="003016B0"/>
    <w:rsid w:val="00301D04"/>
    <w:rsid w:val="00303FCA"/>
    <w:rsid w:val="003046B3"/>
    <w:rsid w:val="00304771"/>
    <w:rsid w:val="003048B8"/>
    <w:rsid w:val="00305736"/>
    <w:rsid w:val="00306C5B"/>
    <w:rsid w:val="0030780B"/>
    <w:rsid w:val="003078E0"/>
    <w:rsid w:val="003103DA"/>
    <w:rsid w:val="0031223A"/>
    <w:rsid w:val="00312C3D"/>
    <w:rsid w:val="00314331"/>
    <w:rsid w:val="00316C55"/>
    <w:rsid w:val="00317C76"/>
    <w:rsid w:val="00320214"/>
    <w:rsid w:val="003209D6"/>
    <w:rsid w:val="0032109A"/>
    <w:rsid w:val="0032214F"/>
    <w:rsid w:val="00322164"/>
    <w:rsid w:val="003229E0"/>
    <w:rsid w:val="003247BB"/>
    <w:rsid w:val="00324F61"/>
    <w:rsid w:val="0032513D"/>
    <w:rsid w:val="00326251"/>
    <w:rsid w:val="0032697E"/>
    <w:rsid w:val="00327290"/>
    <w:rsid w:val="00327DEE"/>
    <w:rsid w:val="00331BAC"/>
    <w:rsid w:val="003329CF"/>
    <w:rsid w:val="003329F3"/>
    <w:rsid w:val="00332E05"/>
    <w:rsid w:val="00333234"/>
    <w:rsid w:val="0033352E"/>
    <w:rsid w:val="00333690"/>
    <w:rsid w:val="00333D20"/>
    <w:rsid w:val="003340EF"/>
    <w:rsid w:val="00334A49"/>
    <w:rsid w:val="00334C45"/>
    <w:rsid w:val="00335BB0"/>
    <w:rsid w:val="0033627B"/>
    <w:rsid w:val="00336EAA"/>
    <w:rsid w:val="003406BD"/>
    <w:rsid w:val="00343D5B"/>
    <w:rsid w:val="00343F84"/>
    <w:rsid w:val="00344135"/>
    <w:rsid w:val="00347DF6"/>
    <w:rsid w:val="00350B0A"/>
    <w:rsid w:val="00350DED"/>
    <w:rsid w:val="00351A67"/>
    <w:rsid w:val="00351B63"/>
    <w:rsid w:val="00352B72"/>
    <w:rsid w:val="00352D04"/>
    <w:rsid w:val="00352E57"/>
    <w:rsid w:val="00353A57"/>
    <w:rsid w:val="00353E12"/>
    <w:rsid w:val="003541B0"/>
    <w:rsid w:val="00354366"/>
    <w:rsid w:val="00355885"/>
    <w:rsid w:val="0035605E"/>
    <w:rsid w:val="00357449"/>
    <w:rsid w:val="00360712"/>
    <w:rsid w:val="00361918"/>
    <w:rsid w:val="0036238B"/>
    <w:rsid w:val="0036282B"/>
    <w:rsid w:val="00365680"/>
    <w:rsid w:val="003657F3"/>
    <w:rsid w:val="00365A32"/>
    <w:rsid w:val="00370362"/>
    <w:rsid w:val="00370C57"/>
    <w:rsid w:val="003723F7"/>
    <w:rsid w:val="00374B10"/>
    <w:rsid w:val="00374F1E"/>
    <w:rsid w:val="00375F77"/>
    <w:rsid w:val="00376DEC"/>
    <w:rsid w:val="00377A5A"/>
    <w:rsid w:val="00380E04"/>
    <w:rsid w:val="00382658"/>
    <w:rsid w:val="00384D8F"/>
    <w:rsid w:val="00385D98"/>
    <w:rsid w:val="00385EC5"/>
    <w:rsid w:val="0038634F"/>
    <w:rsid w:val="00386BD0"/>
    <w:rsid w:val="0039066E"/>
    <w:rsid w:val="0039073D"/>
    <w:rsid w:val="00391689"/>
    <w:rsid w:val="00391C95"/>
    <w:rsid w:val="0039268B"/>
    <w:rsid w:val="00393241"/>
    <w:rsid w:val="00394659"/>
    <w:rsid w:val="00395378"/>
    <w:rsid w:val="00396593"/>
    <w:rsid w:val="00396DAC"/>
    <w:rsid w:val="003A0214"/>
    <w:rsid w:val="003A098C"/>
    <w:rsid w:val="003A0D5B"/>
    <w:rsid w:val="003A180C"/>
    <w:rsid w:val="003A1D17"/>
    <w:rsid w:val="003A1D74"/>
    <w:rsid w:val="003A2708"/>
    <w:rsid w:val="003A2B4D"/>
    <w:rsid w:val="003A2D2B"/>
    <w:rsid w:val="003A30EF"/>
    <w:rsid w:val="003A3B1C"/>
    <w:rsid w:val="003A478C"/>
    <w:rsid w:val="003A49F1"/>
    <w:rsid w:val="003A4F82"/>
    <w:rsid w:val="003A5525"/>
    <w:rsid w:val="003A6B38"/>
    <w:rsid w:val="003B0002"/>
    <w:rsid w:val="003B1109"/>
    <w:rsid w:val="003B1454"/>
    <w:rsid w:val="003B2E63"/>
    <w:rsid w:val="003B3189"/>
    <w:rsid w:val="003B3932"/>
    <w:rsid w:val="003B39C4"/>
    <w:rsid w:val="003B3A9D"/>
    <w:rsid w:val="003B4102"/>
    <w:rsid w:val="003B4442"/>
    <w:rsid w:val="003B5031"/>
    <w:rsid w:val="003B50F0"/>
    <w:rsid w:val="003B5A32"/>
    <w:rsid w:val="003B6105"/>
    <w:rsid w:val="003B6C43"/>
    <w:rsid w:val="003B7F51"/>
    <w:rsid w:val="003C03C7"/>
    <w:rsid w:val="003C04C4"/>
    <w:rsid w:val="003C0CB8"/>
    <w:rsid w:val="003C20E8"/>
    <w:rsid w:val="003C26F4"/>
    <w:rsid w:val="003C383F"/>
    <w:rsid w:val="003C4852"/>
    <w:rsid w:val="003C6715"/>
    <w:rsid w:val="003C6F0F"/>
    <w:rsid w:val="003C7D80"/>
    <w:rsid w:val="003D030B"/>
    <w:rsid w:val="003D34B4"/>
    <w:rsid w:val="003D3600"/>
    <w:rsid w:val="003D3825"/>
    <w:rsid w:val="003D4760"/>
    <w:rsid w:val="003D4E62"/>
    <w:rsid w:val="003E0663"/>
    <w:rsid w:val="003E133F"/>
    <w:rsid w:val="003E193E"/>
    <w:rsid w:val="003E31B2"/>
    <w:rsid w:val="003E41E3"/>
    <w:rsid w:val="003E59FD"/>
    <w:rsid w:val="003E68BC"/>
    <w:rsid w:val="003E699C"/>
    <w:rsid w:val="003E69F3"/>
    <w:rsid w:val="003E7136"/>
    <w:rsid w:val="003E782E"/>
    <w:rsid w:val="003E7A0B"/>
    <w:rsid w:val="003E7B05"/>
    <w:rsid w:val="003F2B0A"/>
    <w:rsid w:val="003F313C"/>
    <w:rsid w:val="003F37FC"/>
    <w:rsid w:val="003F3FC2"/>
    <w:rsid w:val="003F49A6"/>
    <w:rsid w:val="003F4E1F"/>
    <w:rsid w:val="003F5098"/>
    <w:rsid w:val="003F5568"/>
    <w:rsid w:val="003F5A95"/>
    <w:rsid w:val="003F6D19"/>
    <w:rsid w:val="004000D5"/>
    <w:rsid w:val="00401716"/>
    <w:rsid w:val="00401B7F"/>
    <w:rsid w:val="00401CA8"/>
    <w:rsid w:val="00402C25"/>
    <w:rsid w:val="00403598"/>
    <w:rsid w:val="00403697"/>
    <w:rsid w:val="004050D7"/>
    <w:rsid w:val="00405E1A"/>
    <w:rsid w:val="00407373"/>
    <w:rsid w:val="004078BD"/>
    <w:rsid w:val="00410132"/>
    <w:rsid w:val="004109BF"/>
    <w:rsid w:val="0041187E"/>
    <w:rsid w:val="004123BE"/>
    <w:rsid w:val="00414CE5"/>
    <w:rsid w:val="00416673"/>
    <w:rsid w:val="004168FC"/>
    <w:rsid w:val="004170FE"/>
    <w:rsid w:val="00417C5B"/>
    <w:rsid w:val="00420A35"/>
    <w:rsid w:val="0042160D"/>
    <w:rsid w:val="004223D7"/>
    <w:rsid w:val="00422776"/>
    <w:rsid w:val="0042681B"/>
    <w:rsid w:val="00426CEE"/>
    <w:rsid w:val="004274DD"/>
    <w:rsid w:val="0043068A"/>
    <w:rsid w:val="004306E0"/>
    <w:rsid w:val="00431862"/>
    <w:rsid w:val="004329BE"/>
    <w:rsid w:val="00434FA3"/>
    <w:rsid w:val="00435D30"/>
    <w:rsid w:val="004360E1"/>
    <w:rsid w:val="00436125"/>
    <w:rsid w:val="0043752B"/>
    <w:rsid w:val="00437C76"/>
    <w:rsid w:val="00442AAC"/>
    <w:rsid w:val="004441A0"/>
    <w:rsid w:val="004443BF"/>
    <w:rsid w:val="00446892"/>
    <w:rsid w:val="00450C30"/>
    <w:rsid w:val="00451A03"/>
    <w:rsid w:val="00455ECA"/>
    <w:rsid w:val="00460164"/>
    <w:rsid w:val="004601C1"/>
    <w:rsid w:val="0046039A"/>
    <w:rsid w:val="00461977"/>
    <w:rsid w:val="00461A44"/>
    <w:rsid w:val="004629FD"/>
    <w:rsid w:val="00463F4D"/>
    <w:rsid w:val="004643C6"/>
    <w:rsid w:val="00465019"/>
    <w:rsid w:val="0046613F"/>
    <w:rsid w:val="0046655D"/>
    <w:rsid w:val="00466B34"/>
    <w:rsid w:val="00467606"/>
    <w:rsid w:val="0046765E"/>
    <w:rsid w:val="004676E2"/>
    <w:rsid w:val="004701B6"/>
    <w:rsid w:val="00470CC7"/>
    <w:rsid w:val="00470CCA"/>
    <w:rsid w:val="00470F69"/>
    <w:rsid w:val="00471EDD"/>
    <w:rsid w:val="0047400C"/>
    <w:rsid w:val="004749D9"/>
    <w:rsid w:val="00476D29"/>
    <w:rsid w:val="00477A06"/>
    <w:rsid w:val="00477EAF"/>
    <w:rsid w:val="00477EE0"/>
    <w:rsid w:val="004801DD"/>
    <w:rsid w:val="00480FAB"/>
    <w:rsid w:val="0048139F"/>
    <w:rsid w:val="004827FE"/>
    <w:rsid w:val="00483ABA"/>
    <w:rsid w:val="00486283"/>
    <w:rsid w:val="004879E9"/>
    <w:rsid w:val="004902E2"/>
    <w:rsid w:val="00490988"/>
    <w:rsid w:val="00491218"/>
    <w:rsid w:val="00493362"/>
    <w:rsid w:val="00493907"/>
    <w:rsid w:val="00494D91"/>
    <w:rsid w:val="00494FA0"/>
    <w:rsid w:val="00495C38"/>
    <w:rsid w:val="00495D8B"/>
    <w:rsid w:val="00496C2F"/>
    <w:rsid w:val="0049740D"/>
    <w:rsid w:val="004A269A"/>
    <w:rsid w:val="004A29F2"/>
    <w:rsid w:val="004A30FB"/>
    <w:rsid w:val="004A35DD"/>
    <w:rsid w:val="004A37D3"/>
    <w:rsid w:val="004A48EE"/>
    <w:rsid w:val="004A5864"/>
    <w:rsid w:val="004A5865"/>
    <w:rsid w:val="004A5972"/>
    <w:rsid w:val="004A6C74"/>
    <w:rsid w:val="004A77DF"/>
    <w:rsid w:val="004B0295"/>
    <w:rsid w:val="004B040D"/>
    <w:rsid w:val="004B3CB7"/>
    <w:rsid w:val="004B3D55"/>
    <w:rsid w:val="004B55B7"/>
    <w:rsid w:val="004B6337"/>
    <w:rsid w:val="004B7046"/>
    <w:rsid w:val="004C00A6"/>
    <w:rsid w:val="004C0BBB"/>
    <w:rsid w:val="004C3867"/>
    <w:rsid w:val="004C3A73"/>
    <w:rsid w:val="004C4CD0"/>
    <w:rsid w:val="004C57B5"/>
    <w:rsid w:val="004C5C25"/>
    <w:rsid w:val="004C5EFF"/>
    <w:rsid w:val="004C6CFF"/>
    <w:rsid w:val="004C6ED6"/>
    <w:rsid w:val="004C70DC"/>
    <w:rsid w:val="004C7268"/>
    <w:rsid w:val="004D0211"/>
    <w:rsid w:val="004D1AEF"/>
    <w:rsid w:val="004D1C9C"/>
    <w:rsid w:val="004D504B"/>
    <w:rsid w:val="004D536E"/>
    <w:rsid w:val="004D5A97"/>
    <w:rsid w:val="004D726E"/>
    <w:rsid w:val="004E0040"/>
    <w:rsid w:val="004E1494"/>
    <w:rsid w:val="004E18BB"/>
    <w:rsid w:val="004E4116"/>
    <w:rsid w:val="004E4A75"/>
    <w:rsid w:val="004E4AC0"/>
    <w:rsid w:val="004E541A"/>
    <w:rsid w:val="004E5A5C"/>
    <w:rsid w:val="004E5B4E"/>
    <w:rsid w:val="004E5FE8"/>
    <w:rsid w:val="004E762E"/>
    <w:rsid w:val="004E76D6"/>
    <w:rsid w:val="004E7AF6"/>
    <w:rsid w:val="004F03A7"/>
    <w:rsid w:val="004F06F5"/>
    <w:rsid w:val="004F146A"/>
    <w:rsid w:val="004F191F"/>
    <w:rsid w:val="004F2A73"/>
    <w:rsid w:val="004F2D3A"/>
    <w:rsid w:val="004F33A0"/>
    <w:rsid w:val="004F447D"/>
    <w:rsid w:val="004F4C28"/>
    <w:rsid w:val="004F5CC5"/>
    <w:rsid w:val="004F7D36"/>
    <w:rsid w:val="005016AC"/>
    <w:rsid w:val="00501ABE"/>
    <w:rsid w:val="0050286E"/>
    <w:rsid w:val="00504FF6"/>
    <w:rsid w:val="005058A8"/>
    <w:rsid w:val="00505923"/>
    <w:rsid w:val="00510189"/>
    <w:rsid w:val="005108C0"/>
    <w:rsid w:val="00511873"/>
    <w:rsid w:val="0051266C"/>
    <w:rsid w:val="00512F27"/>
    <w:rsid w:val="00513818"/>
    <w:rsid w:val="00513B7E"/>
    <w:rsid w:val="00513C6F"/>
    <w:rsid w:val="00514474"/>
    <w:rsid w:val="005172F4"/>
    <w:rsid w:val="005202E0"/>
    <w:rsid w:val="005215EF"/>
    <w:rsid w:val="00521CC7"/>
    <w:rsid w:val="00522CB5"/>
    <w:rsid w:val="005231C6"/>
    <w:rsid w:val="00525137"/>
    <w:rsid w:val="005251DD"/>
    <w:rsid w:val="0053017A"/>
    <w:rsid w:val="00530492"/>
    <w:rsid w:val="00530FEF"/>
    <w:rsid w:val="00532AB1"/>
    <w:rsid w:val="00532C18"/>
    <w:rsid w:val="005339BC"/>
    <w:rsid w:val="00534675"/>
    <w:rsid w:val="00535359"/>
    <w:rsid w:val="005357A2"/>
    <w:rsid w:val="00535A51"/>
    <w:rsid w:val="00535BCB"/>
    <w:rsid w:val="00535EF0"/>
    <w:rsid w:val="00537171"/>
    <w:rsid w:val="0053734B"/>
    <w:rsid w:val="005378BB"/>
    <w:rsid w:val="00537AFD"/>
    <w:rsid w:val="00537CB4"/>
    <w:rsid w:val="00540A0C"/>
    <w:rsid w:val="00540BBC"/>
    <w:rsid w:val="005426C1"/>
    <w:rsid w:val="005431DC"/>
    <w:rsid w:val="00544EA1"/>
    <w:rsid w:val="00544EBB"/>
    <w:rsid w:val="005513D5"/>
    <w:rsid w:val="005523B9"/>
    <w:rsid w:val="00552887"/>
    <w:rsid w:val="00553225"/>
    <w:rsid w:val="00553D09"/>
    <w:rsid w:val="005545E0"/>
    <w:rsid w:val="00554865"/>
    <w:rsid w:val="00554E57"/>
    <w:rsid w:val="005550E9"/>
    <w:rsid w:val="00555182"/>
    <w:rsid w:val="00561CBF"/>
    <w:rsid w:val="00562749"/>
    <w:rsid w:val="00562DE9"/>
    <w:rsid w:val="005638A5"/>
    <w:rsid w:val="00566381"/>
    <w:rsid w:val="0056667C"/>
    <w:rsid w:val="00566A03"/>
    <w:rsid w:val="00566C62"/>
    <w:rsid w:val="005718E3"/>
    <w:rsid w:val="00572DA2"/>
    <w:rsid w:val="00572EA7"/>
    <w:rsid w:val="00574240"/>
    <w:rsid w:val="0057459E"/>
    <w:rsid w:val="00574F14"/>
    <w:rsid w:val="00575CDC"/>
    <w:rsid w:val="0058053D"/>
    <w:rsid w:val="00580E2E"/>
    <w:rsid w:val="00582178"/>
    <w:rsid w:val="00582677"/>
    <w:rsid w:val="00583078"/>
    <w:rsid w:val="00583D5B"/>
    <w:rsid w:val="00583FFD"/>
    <w:rsid w:val="00587CCD"/>
    <w:rsid w:val="00590528"/>
    <w:rsid w:val="005908AE"/>
    <w:rsid w:val="0059176E"/>
    <w:rsid w:val="00591A22"/>
    <w:rsid w:val="005925A8"/>
    <w:rsid w:val="00593152"/>
    <w:rsid w:val="00593CA3"/>
    <w:rsid w:val="00594161"/>
    <w:rsid w:val="005947A6"/>
    <w:rsid w:val="00594969"/>
    <w:rsid w:val="00594EAA"/>
    <w:rsid w:val="00596A83"/>
    <w:rsid w:val="00596C5E"/>
    <w:rsid w:val="005977BA"/>
    <w:rsid w:val="00597827"/>
    <w:rsid w:val="0059787F"/>
    <w:rsid w:val="00597C5E"/>
    <w:rsid w:val="005A08BD"/>
    <w:rsid w:val="005A1CEC"/>
    <w:rsid w:val="005A21E0"/>
    <w:rsid w:val="005A33A1"/>
    <w:rsid w:val="005A54EE"/>
    <w:rsid w:val="005A5884"/>
    <w:rsid w:val="005A6E4A"/>
    <w:rsid w:val="005A7500"/>
    <w:rsid w:val="005B1BDB"/>
    <w:rsid w:val="005B310D"/>
    <w:rsid w:val="005B3247"/>
    <w:rsid w:val="005B3409"/>
    <w:rsid w:val="005B34D1"/>
    <w:rsid w:val="005B4A14"/>
    <w:rsid w:val="005B55C6"/>
    <w:rsid w:val="005B6AFE"/>
    <w:rsid w:val="005B7B12"/>
    <w:rsid w:val="005C1D5E"/>
    <w:rsid w:val="005C2412"/>
    <w:rsid w:val="005C3F9F"/>
    <w:rsid w:val="005C4A94"/>
    <w:rsid w:val="005C53CB"/>
    <w:rsid w:val="005C59F6"/>
    <w:rsid w:val="005C760A"/>
    <w:rsid w:val="005C7F1E"/>
    <w:rsid w:val="005D1508"/>
    <w:rsid w:val="005D1AF2"/>
    <w:rsid w:val="005D4067"/>
    <w:rsid w:val="005D5802"/>
    <w:rsid w:val="005D5A35"/>
    <w:rsid w:val="005D5B8F"/>
    <w:rsid w:val="005D5D32"/>
    <w:rsid w:val="005D6CFC"/>
    <w:rsid w:val="005D73E2"/>
    <w:rsid w:val="005E0D10"/>
    <w:rsid w:val="005E1E4B"/>
    <w:rsid w:val="005E24EF"/>
    <w:rsid w:val="005E362D"/>
    <w:rsid w:val="005E492C"/>
    <w:rsid w:val="005E4BAA"/>
    <w:rsid w:val="005E5B56"/>
    <w:rsid w:val="005E6B78"/>
    <w:rsid w:val="005F2F28"/>
    <w:rsid w:val="005F4057"/>
    <w:rsid w:val="005F4088"/>
    <w:rsid w:val="005F4CFA"/>
    <w:rsid w:val="005F6119"/>
    <w:rsid w:val="00600A3D"/>
    <w:rsid w:val="0060107A"/>
    <w:rsid w:val="0060154D"/>
    <w:rsid w:val="00601AFF"/>
    <w:rsid w:val="00602D1D"/>
    <w:rsid w:val="006038F7"/>
    <w:rsid w:val="00604307"/>
    <w:rsid w:val="0060487F"/>
    <w:rsid w:val="006059EB"/>
    <w:rsid w:val="00606B93"/>
    <w:rsid w:val="006118AA"/>
    <w:rsid w:val="00612CCA"/>
    <w:rsid w:val="00614460"/>
    <w:rsid w:val="006148B8"/>
    <w:rsid w:val="006153E3"/>
    <w:rsid w:val="006158DF"/>
    <w:rsid w:val="00616CD8"/>
    <w:rsid w:val="00617D2D"/>
    <w:rsid w:val="00617D83"/>
    <w:rsid w:val="00617F45"/>
    <w:rsid w:val="0062002F"/>
    <w:rsid w:val="00620AC5"/>
    <w:rsid w:val="00621575"/>
    <w:rsid w:val="006215FC"/>
    <w:rsid w:val="0062290D"/>
    <w:rsid w:val="00624093"/>
    <w:rsid w:val="00626CE6"/>
    <w:rsid w:val="00627CE0"/>
    <w:rsid w:val="00630F66"/>
    <w:rsid w:val="0063332A"/>
    <w:rsid w:val="006347F9"/>
    <w:rsid w:val="00634C90"/>
    <w:rsid w:val="00635E79"/>
    <w:rsid w:val="0063756F"/>
    <w:rsid w:val="006404A7"/>
    <w:rsid w:val="006407F3"/>
    <w:rsid w:val="00640C2B"/>
    <w:rsid w:val="00642977"/>
    <w:rsid w:val="00643175"/>
    <w:rsid w:val="00644C5B"/>
    <w:rsid w:val="006451E4"/>
    <w:rsid w:val="006460B8"/>
    <w:rsid w:val="00651D5D"/>
    <w:rsid w:val="006520C7"/>
    <w:rsid w:val="006530B8"/>
    <w:rsid w:val="006535D6"/>
    <w:rsid w:val="00655F7D"/>
    <w:rsid w:val="00657E87"/>
    <w:rsid w:val="00660206"/>
    <w:rsid w:val="00660265"/>
    <w:rsid w:val="00660457"/>
    <w:rsid w:val="00660E1E"/>
    <w:rsid w:val="00663662"/>
    <w:rsid w:val="006637B1"/>
    <w:rsid w:val="00664C40"/>
    <w:rsid w:val="00665D67"/>
    <w:rsid w:val="00665D77"/>
    <w:rsid w:val="006660CD"/>
    <w:rsid w:val="00667556"/>
    <w:rsid w:val="006676D0"/>
    <w:rsid w:val="00667C83"/>
    <w:rsid w:val="00670300"/>
    <w:rsid w:val="006710C9"/>
    <w:rsid w:val="00671437"/>
    <w:rsid w:val="00675120"/>
    <w:rsid w:val="00675E37"/>
    <w:rsid w:val="00676E82"/>
    <w:rsid w:val="00680292"/>
    <w:rsid w:val="0068260E"/>
    <w:rsid w:val="0068373D"/>
    <w:rsid w:val="00683BFE"/>
    <w:rsid w:val="0068416C"/>
    <w:rsid w:val="00685E66"/>
    <w:rsid w:val="0068672C"/>
    <w:rsid w:val="00686B72"/>
    <w:rsid w:val="00686D87"/>
    <w:rsid w:val="00690A09"/>
    <w:rsid w:val="00693FEA"/>
    <w:rsid w:val="006945DF"/>
    <w:rsid w:val="00694B93"/>
    <w:rsid w:val="00695170"/>
    <w:rsid w:val="00695BEF"/>
    <w:rsid w:val="006960D6"/>
    <w:rsid w:val="00696AA5"/>
    <w:rsid w:val="006977F6"/>
    <w:rsid w:val="00697A13"/>
    <w:rsid w:val="006A0436"/>
    <w:rsid w:val="006A109C"/>
    <w:rsid w:val="006A23BA"/>
    <w:rsid w:val="006A2B36"/>
    <w:rsid w:val="006A3B4D"/>
    <w:rsid w:val="006A456E"/>
    <w:rsid w:val="006A672B"/>
    <w:rsid w:val="006B05C6"/>
    <w:rsid w:val="006B0BC1"/>
    <w:rsid w:val="006B2EE3"/>
    <w:rsid w:val="006B3F8A"/>
    <w:rsid w:val="006B5CA3"/>
    <w:rsid w:val="006B6A7E"/>
    <w:rsid w:val="006B78D8"/>
    <w:rsid w:val="006C090F"/>
    <w:rsid w:val="006C113F"/>
    <w:rsid w:val="006C2A26"/>
    <w:rsid w:val="006C38DD"/>
    <w:rsid w:val="006C4BB5"/>
    <w:rsid w:val="006C5561"/>
    <w:rsid w:val="006C5577"/>
    <w:rsid w:val="006C559A"/>
    <w:rsid w:val="006C58FA"/>
    <w:rsid w:val="006D042D"/>
    <w:rsid w:val="006D06EF"/>
    <w:rsid w:val="006D090F"/>
    <w:rsid w:val="006D15EB"/>
    <w:rsid w:val="006D1D8E"/>
    <w:rsid w:val="006D41A6"/>
    <w:rsid w:val="006D61F6"/>
    <w:rsid w:val="006D6AF7"/>
    <w:rsid w:val="006E157B"/>
    <w:rsid w:val="006E15CB"/>
    <w:rsid w:val="006E1F4C"/>
    <w:rsid w:val="006E279A"/>
    <w:rsid w:val="006E2964"/>
    <w:rsid w:val="006E2F3F"/>
    <w:rsid w:val="006E313B"/>
    <w:rsid w:val="006E32B9"/>
    <w:rsid w:val="006E442A"/>
    <w:rsid w:val="006E5875"/>
    <w:rsid w:val="006E5CFD"/>
    <w:rsid w:val="006E5F51"/>
    <w:rsid w:val="006E6701"/>
    <w:rsid w:val="006E73B9"/>
    <w:rsid w:val="006F1E27"/>
    <w:rsid w:val="006F2BEE"/>
    <w:rsid w:val="006F3708"/>
    <w:rsid w:val="006F38BB"/>
    <w:rsid w:val="006F3E6B"/>
    <w:rsid w:val="006F4A59"/>
    <w:rsid w:val="006F4D1E"/>
    <w:rsid w:val="006F756C"/>
    <w:rsid w:val="006F75D2"/>
    <w:rsid w:val="007004E0"/>
    <w:rsid w:val="00700C69"/>
    <w:rsid w:val="007014C7"/>
    <w:rsid w:val="00701F7D"/>
    <w:rsid w:val="00702D6F"/>
    <w:rsid w:val="007054B9"/>
    <w:rsid w:val="007058F0"/>
    <w:rsid w:val="00705D98"/>
    <w:rsid w:val="00706E5E"/>
    <w:rsid w:val="00707891"/>
    <w:rsid w:val="007115E4"/>
    <w:rsid w:val="00711EF1"/>
    <w:rsid w:val="0071229A"/>
    <w:rsid w:val="007146CC"/>
    <w:rsid w:val="00720FA2"/>
    <w:rsid w:val="007211F5"/>
    <w:rsid w:val="0072459F"/>
    <w:rsid w:val="00724666"/>
    <w:rsid w:val="007253C1"/>
    <w:rsid w:val="00725534"/>
    <w:rsid w:val="00726043"/>
    <w:rsid w:val="0072704A"/>
    <w:rsid w:val="00730AE8"/>
    <w:rsid w:val="00734321"/>
    <w:rsid w:val="007351BA"/>
    <w:rsid w:val="007363A9"/>
    <w:rsid w:val="00736EB6"/>
    <w:rsid w:val="00740652"/>
    <w:rsid w:val="00740F02"/>
    <w:rsid w:val="00740FEC"/>
    <w:rsid w:val="00741493"/>
    <w:rsid w:val="007426B3"/>
    <w:rsid w:val="007426FD"/>
    <w:rsid w:val="00744376"/>
    <w:rsid w:val="007449EA"/>
    <w:rsid w:val="007457CF"/>
    <w:rsid w:val="00746DD9"/>
    <w:rsid w:val="00750310"/>
    <w:rsid w:val="0075057A"/>
    <w:rsid w:val="00751771"/>
    <w:rsid w:val="00751EA2"/>
    <w:rsid w:val="00752180"/>
    <w:rsid w:val="007521A1"/>
    <w:rsid w:val="0075245C"/>
    <w:rsid w:val="0075315D"/>
    <w:rsid w:val="00754253"/>
    <w:rsid w:val="007558D3"/>
    <w:rsid w:val="00755D3A"/>
    <w:rsid w:val="00755E71"/>
    <w:rsid w:val="007563E7"/>
    <w:rsid w:val="00756B64"/>
    <w:rsid w:val="00760141"/>
    <w:rsid w:val="007609C6"/>
    <w:rsid w:val="007610A0"/>
    <w:rsid w:val="007620F2"/>
    <w:rsid w:val="00764561"/>
    <w:rsid w:val="00764664"/>
    <w:rsid w:val="007655B1"/>
    <w:rsid w:val="007657B9"/>
    <w:rsid w:val="00765CCE"/>
    <w:rsid w:val="007674C6"/>
    <w:rsid w:val="00771236"/>
    <w:rsid w:val="00772F26"/>
    <w:rsid w:val="00774665"/>
    <w:rsid w:val="00774782"/>
    <w:rsid w:val="00776527"/>
    <w:rsid w:val="00780B8F"/>
    <w:rsid w:val="00781834"/>
    <w:rsid w:val="00781FA0"/>
    <w:rsid w:val="007821DB"/>
    <w:rsid w:val="00782818"/>
    <w:rsid w:val="007835F2"/>
    <w:rsid w:val="00784C4A"/>
    <w:rsid w:val="0078561F"/>
    <w:rsid w:val="00786303"/>
    <w:rsid w:val="00786DA5"/>
    <w:rsid w:val="00787432"/>
    <w:rsid w:val="007879F2"/>
    <w:rsid w:val="007910AE"/>
    <w:rsid w:val="00791CF8"/>
    <w:rsid w:val="00793BAE"/>
    <w:rsid w:val="00794E0A"/>
    <w:rsid w:val="00796187"/>
    <w:rsid w:val="00796642"/>
    <w:rsid w:val="007977D7"/>
    <w:rsid w:val="00797AD0"/>
    <w:rsid w:val="007A0F38"/>
    <w:rsid w:val="007A155D"/>
    <w:rsid w:val="007A2C57"/>
    <w:rsid w:val="007A327B"/>
    <w:rsid w:val="007A4606"/>
    <w:rsid w:val="007A69E3"/>
    <w:rsid w:val="007A7353"/>
    <w:rsid w:val="007B1973"/>
    <w:rsid w:val="007B3DCC"/>
    <w:rsid w:val="007B4518"/>
    <w:rsid w:val="007B5031"/>
    <w:rsid w:val="007B5182"/>
    <w:rsid w:val="007B573F"/>
    <w:rsid w:val="007B6FDA"/>
    <w:rsid w:val="007B7A79"/>
    <w:rsid w:val="007C4691"/>
    <w:rsid w:val="007C471B"/>
    <w:rsid w:val="007C55AE"/>
    <w:rsid w:val="007C6BAA"/>
    <w:rsid w:val="007C7BEA"/>
    <w:rsid w:val="007D2051"/>
    <w:rsid w:val="007D2AD8"/>
    <w:rsid w:val="007D2C47"/>
    <w:rsid w:val="007D44C3"/>
    <w:rsid w:val="007D4885"/>
    <w:rsid w:val="007D7588"/>
    <w:rsid w:val="007E0F4B"/>
    <w:rsid w:val="007E1E50"/>
    <w:rsid w:val="007E386C"/>
    <w:rsid w:val="007E6455"/>
    <w:rsid w:val="007E770F"/>
    <w:rsid w:val="007E7E61"/>
    <w:rsid w:val="007F0845"/>
    <w:rsid w:val="007F141A"/>
    <w:rsid w:val="007F16F9"/>
    <w:rsid w:val="007F5F14"/>
    <w:rsid w:val="007F7B54"/>
    <w:rsid w:val="008005D7"/>
    <w:rsid w:val="00801FDD"/>
    <w:rsid w:val="0080255C"/>
    <w:rsid w:val="00803424"/>
    <w:rsid w:val="00804DDA"/>
    <w:rsid w:val="008056F7"/>
    <w:rsid w:val="008059A4"/>
    <w:rsid w:val="008064E9"/>
    <w:rsid w:val="0080798B"/>
    <w:rsid w:val="00807A2C"/>
    <w:rsid w:val="00810A52"/>
    <w:rsid w:val="00811257"/>
    <w:rsid w:val="0081187C"/>
    <w:rsid w:val="00811E24"/>
    <w:rsid w:val="00812E2B"/>
    <w:rsid w:val="00813A70"/>
    <w:rsid w:val="008155EA"/>
    <w:rsid w:val="00816259"/>
    <w:rsid w:val="0081645F"/>
    <w:rsid w:val="008178C2"/>
    <w:rsid w:val="008178CF"/>
    <w:rsid w:val="00817AE0"/>
    <w:rsid w:val="00817C98"/>
    <w:rsid w:val="00820C9F"/>
    <w:rsid w:val="00821FF6"/>
    <w:rsid w:val="00822495"/>
    <w:rsid w:val="0082409A"/>
    <w:rsid w:val="008241C2"/>
    <w:rsid w:val="008263CD"/>
    <w:rsid w:val="00827181"/>
    <w:rsid w:val="00827746"/>
    <w:rsid w:val="0083143E"/>
    <w:rsid w:val="0083159D"/>
    <w:rsid w:val="008334C5"/>
    <w:rsid w:val="008336D8"/>
    <w:rsid w:val="008339C4"/>
    <w:rsid w:val="008341A6"/>
    <w:rsid w:val="00834996"/>
    <w:rsid w:val="00834F0A"/>
    <w:rsid w:val="00834FAA"/>
    <w:rsid w:val="00835E23"/>
    <w:rsid w:val="00836086"/>
    <w:rsid w:val="008362FF"/>
    <w:rsid w:val="00841D9F"/>
    <w:rsid w:val="00842604"/>
    <w:rsid w:val="00843B81"/>
    <w:rsid w:val="00843D95"/>
    <w:rsid w:val="00843ECF"/>
    <w:rsid w:val="00846673"/>
    <w:rsid w:val="00846BD7"/>
    <w:rsid w:val="008518B7"/>
    <w:rsid w:val="0085281A"/>
    <w:rsid w:val="00853794"/>
    <w:rsid w:val="00853DA2"/>
    <w:rsid w:val="00853EAB"/>
    <w:rsid w:val="00853F4C"/>
    <w:rsid w:val="008545A1"/>
    <w:rsid w:val="00854865"/>
    <w:rsid w:val="008559FE"/>
    <w:rsid w:val="00855A99"/>
    <w:rsid w:val="00857339"/>
    <w:rsid w:val="00860288"/>
    <w:rsid w:val="008615C3"/>
    <w:rsid w:val="00862A7A"/>
    <w:rsid w:val="00863374"/>
    <w:rsid w:val="00863D9E"/>
    <w:rsid w:val="008665C1"/>
    <w:rsid w:val="008666C3"/>
    <w:rsid w:val="00867C4F"/>
    <w:rsid w:val="00867E29"/>
    <w:rsid w:val="008705E3"/>
    <w:rsid w:val="00870F2B"/>
    <w:rsid w:val="00871002"/>
    <w:rsid w:val="0087129A"/>
    <w:rsid w:val="008712FB"/>
    <w:rsid w:val="008715FE"/>
    <w:rsid w:val="00871782"/>
    <w:rsid w:val="008746E6"/>
    <w:rsid w:val="008752D2"/>
    <w:rsid w:val="00876086"/>
    <w:rsid w:val="008768D6"/>
    <w:rsid w:val="00876C5B"/>
    <w:rsid w:val="00877329"/>
    <w:rsid w:val="008775D1"/>
    <w:rsid w:val="008777BB"/>
    <w:rsid w:val="008852B1"/>
    <w:rsid w:val="0088555A"/>
    <w:rsid w:val="008866C2"/>
    <w:rsid w:val="0088733A"/>
    <w:rsid w:val="00887AEB"/>
    <w:rsid w:val="00891BE0"/>
    <w:rsid w:val="008945A1"/>
    <w:rsid w:val="00894A63"/>
    <w:rsid w:val="00895F20"/>
    <w:rsid w:val="0089668D"/>
    <w:rsid w:val="00896BDE"/>
    <w:rsid w:val="00897C0E"/>
    <w:rsid w:val="008A03E6"/>
    <w:rsid w:val="008A0861"/>
    <w:rsid w:val="008A0BB2"/>
    <w:rsid w:val="008A133B"/>
    <w:rsid w:val="008A1A90"/>
    <w:rsid w:val="008A1AB3"/>
    <w:rsid w:val="008A1D5C"/>
    <w:rsid w:val="008A3292"/>
    <w:rsid w:val="008A3A85"/>
    <w:rsid w:val="008A43E9"/>
    <w:rsid w:val="008A4CB1"/>
    <w:rsid w:val="008A5942"/>
    <w:rsid w:val="008A615E"/>
    <w:rsid w:val="008A632B"/>
    <w:rsid w:val="008A6BFE"/>
    <w:rsid w:val="008A7CE6"/>
    <w:rsid w:val="008B0683"/>
    <w:rsid w:val="008B06EF"/>
    <w:rsid w:val="008B0C8B"/>
    <w:rsid w:val="008B190E"/>
    <w:rsid w:val="008B1A8A"/>
    <w:rsid w:val="008B2CB6"/>
    <w:rsid w:val="008B7306"/>
    <w:rsid w:val="008B775F"/>
    <w:rsid w:val="008B7C02"/>
    <w:rsid w:val="008B7EF5"/>
    <w:rsid w:val="008B7F9E"/>
    <w:rsid w:val="008C0E88"/>
    <w:rsid w:val="008C1AA8"/>
    <w:rsid w:val="008C2717"/>
    <w:rsid w:val="008C2E5B"/>
    <w:rsid w:val="008C41F7"/>
    <w:rsid w:val="008C5FBF"/>
    <w:rsid w:val="008C6CB8"/>
    <w:rsid w:val="008C7815"/>
    <w:rsid w:val="008D0171"/>
    <w:rsid w:val="008D0FEC"/>
    <w:rsid w:val="008D0FF8"/>
    <w:rsid w:val="008D2811"/>
    <w:rsid w:val="008D2A16"/>
    <w:rsid w:val="008D2ECF"/>
    <w:rsid w:val="008D39A6"/>
    <w:rsid w:val="008D3F3D"/>
    <w:rsid w:val="008D49DC"/>
    <w:rsid w:val="008D53E3"/>
    <w:rsid w:val="008E30AD"/>
    <w:rsid w:val="008E31FF"/>
    <w:rsid w:val="008E33DD"/>
    <w:rsid w:val="008E517B"/>
    <w:rsid w:val="008E6113"/>
    <w:rsid w:val="008E6AB3"/>
    <w:rsid w:val="008E6AD3"/>
    <w:rsid w:val="008E71A6"/>
    <w:rsid w:val="008E77B6"/>
    <w:rsid w:val="008F032E"/>
    <w:rsid w:val="008F0F14"/>
    <w:rsid w:val="008F2B5D"/>
    <w:rsid w:val="008F371B"/>
    <w:rsid w:val="008F3A22"/>
    <w:rsid w:val="008F3CAE"/>
    <w:rsid w:val="008F41F7"/>
    <w:rsid w:val="008F471F"/>
    <w:rsid w:val="008F4FCE"/>
    <w:rsid w:val="008F79E1"/>
    <w:rsid w:val="008F7D28"/>
    <w:rsid w:val="009003A8"/>
    <w:rsid w:val="00900873"/>
    <w:rsid w:val="00901236"/>
    <w:rsid w:val="00902CBE"/>
    <w:rsid w:val="00902EFF"/>
    <w:rsid w:val="00903E06"/>
    <w:rsid w:val="00905425"/>
    <w:rsid w:val="009065B1"/>
    <w:rsid w:val="00910824"/>
    <w:rsid w:val="00910F93"/>
    <w:rsid w:val="00911F2B"/>
    <w:rsid w:val="00914426"/>
    <w:rsid w:val="00914EE3"/>
    <w:rsid w:val="00915DFE"/>
    <w:rsid w:val="00915F5B"/>
    <w:rsid w:val="0091675F"/>
    <w:rsid w:val="00917709"/>
    <w:rsid w:val="00917918"/>
    <w:rsid w:val="00917FD4"/>
    <w:rsid w:val="00920AC4"/>
    <w:rsid w:val="00921F14"/>
    <w:rsid w:val="009233EB"/>
    <w:rsid w:val="00923BAB"/>
    <w:rsid w:val="00923F10"/>
    <w:rsid w:val="009243A5"/>
    <w:rsid w:val="00925217"/>
    <w:rsid w:val="00925FDB"/>
    <w:rsid w:val="00926283"/>
    <w:rsid w:val="0093181C"/>
    <w:rsid w:val="009329C5"/>
    <w:rsid w:val="00932A93"/>
    <w:rsid w:val="009348E3"/>
    <w:rsid w:val="00934AE3"/>
    <w:rsid w:val="00935835"/>
    <w:rsid w:val="00935B60"/>
    <w:rsid w:val="009362AF"/>
    <w:rsid w:val="00937B11"/>
    <w:rsid w:val="00940F1F"/>
    <w:rsid w:val="00941250"/>
    <w:rsid w:val="00942629"/>
    <w:rsid w:val="0094427A"/>
    <w:rsid w:val="00945578"/>
    <w:rsid w:val="009459C5"/>
    <w:rsid w:val="00946D52"/>
    <w:rsid w:val="0094750F"/>
    <w:rsid w:val="0094760E"/>
    <w:rsid w:val="0095013A"/>
    <w:rsid w:val="00953AEF"/>
    <w:rsid w:val="009551E2"/>
    <w:rsid w:val="00955783"/>
    <w:rsid w:val="00955F37"/>
    <w:rsid w:val="009560B0"/>
    <w:rsid w:val="00957164"/>
    <w:rsid w:val="00957871"/>
    <w:rsid w:val="00960239"/>
    <w:rsid w:val="00964498"/>
    <w:rsid w:val="00965F36"/>
    <w:rsid w:val="0096650F"/>
    <w:rsid w:val="00967184"/>
    <w:rsid w:val="009700DB"/>
    <w:rsid w:val="009704BD"/>
    <w:rsid w:val="009712F3"/>
    <w:rsid w:val="00971C65"/>
    <w:rsid w:val="00972263"/>
    <w:rsid w:val="00972D8D"/>
    <w:rsid w:val="00973AAE"/>
    <w:rsid w:val="00974923"/>
    <w:rsid w:val="00974D48"/>
    <w:rsid w:val="00975655"/>
    <w:rsid w:val="009759B5"/>
    <w:rsid w:val="009773AE"/>
    <w:rsid w:val="00980621"/>
    <w:rsid w:val="00981EC7"/>
    <w:rsid w:val="00982072"/>
    <w:rsid w:val="0098358E"/>
    <w:rsid w:val="00983CBF"/>
    <w:rsid w:val="00983ECF"/>
    <w:rsid w:val="00984A20"/>
    <w:rsid w:val="00986485"/>
    <w:rsid w:val="00986745"/>
    <w:rsid w:val="00987109"/>
    <w:rsid w:val="0099012D"/>
    <w:rsid w:val="00996355"/>
    <w:rsid w:val="00996B72"/>
    <w:rsid w:val="00996E07"/>
    <w:rsid w:val="00997EEB"/>
    <w:rsid w:val="009A3909"/>
    <w:rsid w:val="009A4E12"/>
    <w:rsid w:val="009A4E89"/>
    <w:rsid w:val="009B052C"/>
    <w:rsid w:val="009B06E8"/>
    <w:rsid w:val="009B0EF2"/>
    <w:rsid w:val="009B1FDF"/>
    <w:rsid w:val="009B23A3"/>
    <w:rsid w:val="009B61D0"/>
    <w:rsid w:val="009B6FD3"/>
    <w:rsid w:val="009B70BD"/>
    <w:rsid w:val="009C2524"/>
    <w:rsid w:val="009C42CD"/>
    <w:rsid w:val="009C4DA1"/>
    <w:rsid w:val="009C7388"/>
    <w:rsid w:val="009C764D"/>
    <w:rsid w:val="009C7AE1"/>
    <w:rsid w:val="009D0355"/>
    <w:rsid w:val="009D0F98"/>
    <w:rsid w:val="009D1551"/>
    <w:rsid w:val="009D2859"/>
    <w:rsid w:val="009D3B5E"/>
    <w:rsid w:val="009D4173"/>
    <w:rsid w:val="009D5354"/>
    <w:rsid w:val="009D6095"/>
    <w:rsid w:val="009D6306"/>
    <w:rsid w:val="009D7385"/>
    <w:rsid w:val="009E0015"/>
    <w:rsid w:val="009E048A"/>
    <w:rsid w:val="009E16D0"/>
    <w:rsid w:val="009E1FBA"/>
    <w:rsid w:val="009E2C54"/>
    <w:rsid w:val="009E3710"/>
    <w:rsid w:val="009E3EB9"/>
    <w:rsid w:val="009E577B"/>
    <w:rsid w:val="009E7B1F"/>
    <w:rsid w:val="009F0A68"/>
    <w:rsid w:val="009F1131"/>
    <w:rsid w:val="009F18F2"/>
    <w:rsid w:val="009F19BA"/>
    <w:rsid w:val="009F3FD0"/>
    <w:rsid w:val="009F408C"/>
    <w:rsid w:val="009F41C4"/>
    <w:rsid w:val="009F4792"/>
    <w:rsid w:val="009F5846"/>
    <w:rsid w:val="009F7D77"/>
    <w:rsid w:val="00A0259C"/>
    <w:rsid w:val="00A030BD"/>
    <w:rsid w:val="00A0348B"/>
    <w:rsid w:val="00A10D66"/>
    <w:rsid w:val="00A117C1"/>
    <w:rsid w:val="00A11838"/>
    <w:rsid w:val="00A11C9D"/>
    <w:rsid w:val="00A127F7"/>
    <w:rsid w:val="00A13714"/>
    <w:rsid w:val="00A1420C"/>
    <w:rsid w:val="00A15AB6"/>
    <w:rsid w:val="00A2055B"/>
    <w:rsid w:val="00A2253C"/>
    <w:rsid w:val="00A23545"/>
    <w:rsid w:val="00A23A55"/>
    <w:rsid w:val="00A23E43"/>
    <w:rsid w:val="00A24F8C"/>
    <w:rsid w:val="00A25E57"/>
    <w:rsid w:val="00A262BF"/>
    <w:rsid w:val="00A271AD"/>
    <w:rsid w:val="00A276D5"/>
    <w:rsid w:val="00A30336"/>
    <w:rsid w:val="00A30529"/>
    <w:rsid w:val="00A30BB5"/>
    <w:rsid w:val="00A30E88"/>
    <w:rsid w:val="00A3128F"/>
    <w:rsid w:val="00A326D0"/>
    <w:rsid w:val="00A35287"/>
    <w:rsid w:val="00A35CB9"/>
    <w:rsid w:val="00A37441"/>
    <w:rsid w:val="00A378F8"/>
    <w:rsid w:val="00A40530"/>
    <w:rsid w:val="00A40B19"/>
    <w:rsid w:val="00A41F2C"/>
    <w:rsid w:val="00A424F8"/>
    <w:rsid w:val="00A44B0D"/>
    <w:rsid w:val="00A46826"/>
    <w:rsid w:val="00A46DE0"/>
    <w:rsid w:val="00A4778A"/>
    <w:rsid w:val="00A5067F"/>
    <w:rsid w:val="00A5104A"/>
    <w:rsid w:val="00A53936"/>
    <w:rsid w:val="00A55301"/>
    <w:rsid w:val="00A57B3C"/>
    <w:rsid w:val="00A602D9"/>
    <w:rsid w:val="00A6128E"/>
    <w:rsid w:val="00A62CE1"/>
    <w:rsid w:val="00A631FA"/>
    <w:rsid w:val="00A64143"/>
    <w:rsid w:val="00A64203"/>
    <w:rsid w:val="00A64348"/>
    <w:rsid w:val="00A651DB"/>
    <w:rsid w:val="00A66976"/>
    <w:rsid w:val="00A674E1"/>
    <w:rsid w:val="00A70FBC"/>
    <w:rsid w:val="00A721FB"/>
    <w:rsid w:val="00A72671"/>
    <w:rsid w:val="00A727BA"/>
    <w:rsid w:val="00A72D4B"/>
    <w:rsid w:val="00A732AE"/>
    <w:rsid w:val="00A74C7F"/>
    <w:rsid w:val="00A75744"/>
    <w:rsid w:val="00A75E40"/>
    <w:rsid w:val="00A77EB2"/>
    <w:rsid w:val="00A823B7"/>
    <w:rsid w:val="00A82A03"/>
    <w:rsid w:val="00A82B66"/>
    <w:rsid w:val="00A83B58"/>
    <w:rsid w:val="00A841AC"/>
    <w:rsid w:val="00A851B6"/>
    <w:rsid w:val="00A85332"/>
    <w:rsid w:val="00A85729"/>
    <w:rsid w:val="00A8574B"/>
    <w:rsid w:val="00A857C0"/>
    <w:rsid w:val="00A86068"/>
    <w:rsid w:val="00A872CE"/>
    <w:rsid w:val="00A90368"/>
    <w:rsid w:val="00A906AC"/>
    <w:rsid w:val="00A91893"/>
    <w:rsid w:val="00A96463"/>
    <w:rsid w:val="00A97E3F"/>
    <w:rsid w:val="00A97F75"/>
    <w:rsid w:val="00AA0A14"/>
    <w:rsid w:val="00AA23FB"/>
    <w:rsid w:val="00AA3855"/>
    <w:rsid w:val="00AA42AB"/>
    <w:rsid w:val="00AA559A"/>
    <w:rsid w:val="00AA7B05"/>
    <w:rsid w:val="00AB11AB"/>
    <w:rsid w:val="00AB2AF1"/>
    <w:rsid w:val="00AB440B"/>
    <w:rsid w:val="00AB5082"/>
    <w:rsid w:val="00AB50D4"/>
    <w:rsid w:val="00AB7037"/>
    <w:rsid w:val="00AB74C5"/>
    <w:rsid w:val="00AB76C0"/>
    <w:rsid w:val="00AB7DF2"/>
    <w:rsid w:val="00AC1E3F"/>
    <w:rsid w:val="00AC44CA"/>
    <w:rsid w:val="00AC4F18"/>
    <w:rsid w:val="00AC5926"/>
    <w:rsid w:val="00AD0B46"/>
    <w:rsid w:val="00AD186B"/>
    <w:rsid w:val="00AD2565"/>
    <w:rsid w:val="00AD27F2"/>
    <w:rsid w:val="00AD306C"/>
    <w:rsid w:val="00AD3424"/>
    <w:rsid w:val="00AD460D"/>
    <w:rsid w:val="00AD4F85"/>
    <w:rsid w:val="00AD59BB"/>
    <w:rsid w:val="00AD5D3A"/>
    <w:rsid w:val="00AD5D68"/>
    <w:rsid w:val="00AD6C73"/>
    <w:rsid w:val="00AD6D14"/>
    <w:rsid w:val="00AD7314"/>
    <w:rsid w:val="00AD799D"/>
    <w:rsid w:val="00AE06D0"/>
    <w:rsid w:val="00AE39DC"/>
    <w:rsid w:val="00AE6D73"/>
    <w:rsid w:val="00AE721E"/>
    <w:rsid w:val="00AE7968"/>
    <w:rsid w:val="00AF128B"/>
    <w:rsid w:val="00AF14DC"/>
    <w:rsid w:val="00AF2852"/>
    <w:rsid w:val="00AF2E94"/>
    <w:rsid w:val="00AF3225"/>
    <w:rsid w:val="00AF518B"/>
    <w:rsid w:val="00AF5275"/>
    <w:rsid w:val="00AF5F15"/>
    <w:rsid w:val="00AF6367"/>
    <w:rsid w:val="00AF648D"/>
    <w:rsid w:val="00AF659A"/>
    <w:rsid w:val="00AF6A79"/>
    <w:rsid w:val="00AF6F70"/>
    <w:rsid w:val="00AF724E"/>
    <w:rsid w:val="00AF73A9"/>
    <w:rsid w:val="00AF74FD"/>
    <w:rsid w:val="00AF7C2D"/>
    <w:rsid w:val="00B01C2C"/>
    <w:rsid w:val="00B0231C"/>
    <w:rsid w:val="00B04828"/>
    <w:rsid w:val="00B06DC2"/>
    <w:rsid w:val="00B06EE6"/>
    <w:rsid w:val="00B07952"/>
    <w:rsid w:val="00B07F24"/>
    <w:rsid w:val="00B106D8"/>
    <w:rsid w:val="00B12609"/>
    <w:rsid w:val="00B13134"/>
    <w:rsid w:val="00B133F1"/>
    <w:rsid w:val="00B13619"/>
    <w:rsid w:val="00B155A3"/>
    <w:rsid w:val="00B15DCD"/>
    <w:rsid w:val="00B160A4"/>
    <w:rsid w:val="00B16102"/>
    <w:rsid w:val="00B174DD"/>
    <w:rsid w:val="00B17567"/>
    <w:rsid w:val="00B17E71"/>
    <w:rsid w:val="00B17FCE"/>
    <w:rsid w:val="00B17FDE"/>
    <w:rsid w:val="00B208FC"/>
    <w:rsid w:val="00B20C65"/>
    <w:rsid w:val="00B23632"/>
    <w:rsid w:val="00B2424E"/>
    <w:rsid w:val="00B24707"/>
    <w:rsid w:val="00B24E42"/>
    <w:rsid w:val="00B27293"/>
    <w:rsid w:val="00B274E0"/>
    <w:rsid w:val="00B27737"/>
    <w:rsid w:val="00B31336"/>
    <w:rsid w:val="00B3229E"/>
    <w:rsid w:val="00B326B3"/>
    <w:rsid w:val="00B32DDB"/>
    <w:rsid w:val="00B35BEA"/>
    <w:rsid w:val="00B37A71"/>
    <w:rsid w:val="00B41BE6"/>
    <w:rsid w:val="00B41D75"/>
    <w:rsid w:val="00B435EF"/>
    <w:rsid w:val="00B43871"/>
    <w:rsid w:val="00B457E7"/>
    <w:rsid w:val="00B47430"/>
    <w:rsid w:val="00B47436"/>
    <w:rsid w:val="00B47FCC"/>
    <w:rsid w:val="00B51604"/>
    <w:rsid w:val="00B52D2D"/>
    <w:rsid w:val="00B53BC1"/>
    <w:rsid w:val="00B56082"/>
    <w:rsid w:val="00B561A6"/>
    <w:rsid w:val="00B60C8D"/>
    <w:rsid w:val="00B61046"/>
    <w:rsid w:val="00B61F2D"/>
    <w:rsid w:val="00B62960"/>
    <w:rsid w:val="00B63A11"/>
    <w:rsid w:val="00B63FD0"/>
    <w:rsid w:val="00B64D5A"/>
    <w:rsid w:val="00B65845"/>
    <w:rsid w:val="00B65C84"/>
    <w:rsid w:val="00B6608F"/>
    <w:rsid w:val="00B662E3"/>
    <w:rsid w:val="00B66C89"/>
    <w:rsid w:val="00B71C2D"/>
    <w:rsid w:val="00B737C7"/>
    <w:rsid w:val="00B74317"/>
    <w:rsid w:val="00B7638C"/>
    <w:rsid w:val="00B765F3"/>
    <w:rsid w:val="00B76D1E"/>
    <w:rsid w:val="00B812F0"/>
    <w:rsid w:val="00B822D2"/>
    <w:rsid w:val="00B832DF"/>
    <w:rsid w:val="00B83DDF"/>
    <w:rsid w:val="00B848B8"/>
    <w:rsid w:val="00B84A41"/>
    <w:rsid w:val="00B84D57"/>
    <w:rsid w:val="00B856A2"/>
    <w:rsid w:val="00B85E2C"/>
    <w:rsid w:val="00B86748"/>
    <w:rsid w:val="00B87EDC"/>
    <w:rsid w:val="00B91EC9"/>
    <w:rsid w:val="00B924CA"/>
    <w:rsid w:val="00B93384"/>
    <w:rsid w:val="00B93A86"/>
    <w:rsid w:val="00B94417"/>
    <w:rsid w:val="00B95940"/>
    <w:rsid w:val="00B95EF8"/>
    <w:rsid w:val="00B95F50"/>
    <w:rsid w:val="00B96BD9"/>
    <w:rsid w:val="00B978CD"/>
    <w:rsid w:val="00BA00BE"/>
    <w:rsid w:val="00BA4B2A"/>
    <w:rsid w:val="00BB19EC"/>
    <w:rsid w:val="00BB2116"/>
    <w:rsid w:val="00BB2C53"/>
    <w:rsid w:val="00BB32DA"/>
    <w:rsid w:val="00BB3972"/>
    <w:rsid w:val="00BB3A54"/>
    <w:rsid w:val="00BB4E21"/>
    <w:rsid w:val="00BB5CEB"/>
    <w:rsid w:val="00BC1728"/>
    <w:rsid w:val="00BC2AB7"/>
    <w:rsid w:val="00BC4CE0"/>
    <w:rsid w:val="00BC5111"/>
    <w:rsid w:val="00BC54E1"/>
    <w:rsid w:val="00BC682B"/>
    <w:rsid w:val="00BC6A12"/>
    <w:rsid w:val="00BC6B04"/>
    <w:rsid w:val="00BD053B"/>
    <w:rsid w:val="00BD0B9B"/>
    <w:rsid w:val="00BD1F94"/>
    <w:rsid w:val="00BD3428"/>
    <w:rsid w:val="00BD366B"/>
    <w:rsid w:val="00BD3915"/>
    <w:rsid w:val="00BD56BC"/>
    <w:rsid w:val="00BD59D1"/>
    <w:rsid w:val="00BD5D91"/>
    <w:rsid w:val="00BD64E1"/>
    <w:rsid w:val="00BD6615"/>
    <w:rsid w:val="00BD6D50"/>
    <w:rsid w:val="00BE0261"/>
    <w:rsid w:val="00BE09E4"/>
    <w:rsid w:val="00BE0DB0"/>
    <w:rsid w:val="00BE1C59"/>
    <w:rsid w:val="00BE3F09"/>
    <w:rsid w:val="00BE572B"/>
    <w:rsid w:val="00BE670A"/>
    <w:rsid w:val="00BE6906"/>
    <w:rsid w:val="00BE6AAB"/>
    <w:rsid w:val="00BE795E"/>
    <w:rsid w:val="00BF18F4"/>
    <w:rsid w:val="00BF1A69"/>
    <w:rsid w:val="00BF1B37"/>
    <w:rsid w:val="00BF1D58"/>
    <w:rsid w:val="00BF36F6"/>
    <w:rsid w:val="00BF3BC8"/>
    <w:rsid w:val="00BF3DF1"/>
    <w:rsid w:val="00BF4C31"/>
    <w:rsid w:val="00BF59A0"/>
    <w:rsid w:val="00BF6C56"/>
    <w:rsid w:val="00BF6DE7"/>
    <w:rsid w:val="00C00F20"/>
    <w:rsid w:val="00C0165A"/>
    <w:rsid w:val="00C020FE"/>
    <w:rsid w:val="00C03388"/>
    <w:rsid w:val="00C034E6"/>
    <w:rsid w:val="00C0353A"/>
    <w:rsid w:val="00C0784A"/>
    <w:rsid w:val="00C104F3"/>
    <w:rsid w:val="00C10982"/>
    <w:rsid w:val="00C10FAE"/>
    <w:rsid w:val="00C12A69"/>
    <w:rsid w:val="00C12B35"/>
    <w:rsid w:val="00C150BE"/>
    <w:rsid w:val="00C15A0C"/>
    <w:rsid w:val="00C15DCB"/>
    <w:rsid w:val="00C16198"/>
    <w:rsid w:val="00C20744"/>
    <w:rsid w:val="00C20C4D"/>
    <w:rsid w:val="00C21937"/>
    <w:rsid w:val="00C21D46"/>
    <w:rsid w:val="00C21F94"/>
    <w:rsid w:val="00C222A1"/>
    <w:rsid w:val="00C2250A"/>
    <w:rsid w:val="00C23D22"/>
    <w:rsid w:val="00C243B5"/>
    <w:rsid w:val="00C24E77"/>
    <w:rsid w:val="00C25608"/>
    <w:rsid w:val="00C2732D"/>
    <w:rsid w:val="00C273C6"/>
    <w:rsid w:val="00C27913"/>
    <w:rsid w:val="00C300C6"/>
    <w:rsid w:val="00C30530"/>
    <w:rsid w:val="00C3252C"/>
    <w:rsid w:val="00C336F4"/>
    <w:rsid w:val="00C34FDE"/>
    <w:rsid w:val="00C35C16"/>
    <w:rsid w:val="00C408C3"/>
    <w:rsid w:val="00C41233"/>
    <w:rsid w:val="00C41463"/>
    <w:rsid w:val="00C417ED"/>
    <w:rsid w:val="00C41A72"/>
    <w:rsid w:val="00C42294"/>
    <w:rsid w:val="00C4365E"/>
    <w:rsid w:val="00C4549D"/>
    <w:rsid w:val="00C45C2B"/>
    <w:rsid w:val="00C476C5"/>
    <w:rsid w:val="00C503B0"/>
    <w:rsid w:val="00C511C2"/>
    <w:rsid w:val="00C53D82"/>
    <w:rsid w:val="00C53F31"/>
    <w:rsid w:val="00C540C9"/>
    <w:rsid w:val="00C553F5"/>
    <w:rsid w:val="00C559DD"/>
    <w:rsid w:val="00C57FA7"/>
    <w:rsid w:val="00C60696"/>
    <w:rsid w:val="00C615F1"/>
    <w:rsid w:val="00C61627"/>
    <w:rsid w:val="00C640C6"/>
    <w:rsid w:val="00C64E60"/>
    <w:rsid w:val="00C657A4"/>
    <w:rsid w:val="00C662C1"/>
    <w:rsid w:val="00C6736C"/>
    <w:rsid w:val="00C67B02"/>
    <w:rsid w:val="00C708C0"/>
    <w:rsid w:val="00C71247"/>
    <w:rsid w:val="00C72261"/>
    <w:rsid w:val="00C72CFC"/>
    <w:rsid w:val="00C7315B"/>
    <w:rsid w:val="00C732D0"/>
    <w:rsid w:val="00C74002"/>
    <w:rsid w:val="00C7548A"/>
    <w:rsid w:val="00C75C7E"/>
    <w:rsid w:val="00C76D8E"/>
    <w:rsid w:val="00C77833"/>
    <w:rsid w:val="00C80C9B"/>
    <w:rsid w:val="00C8335E"/>
    <w:rsid w:val="00C84605"/>
    <w:rsid w:val="00C84CE3"/>
    <w:rsid w:val="00C84FE8"/>
    <w:rsid w:val="00C85705"/>
    <w:rsid w:val="00C860F2"/>
    <w:rsid w:val="00C86F05"/>
    <w:rsid w:val="00C87626"/>
    <w:rsid w:val="00C90CF4"/>
    <w:rsid w:val="00C91C19"/>
    <w:rsid w:val="00C929A0"/>
    <w:rsid w:val="00C93389"/>
    <w:rsid w:val="00C93679"/>
    <w:rsid w:val="00C937DB"/>
    <w:rsid w:val="00C93A94"/>
    <w:rsid w:val="00C94519"/>
    <w:rsid w:val="00C94E83"/>
    <w:rsid w:val="00C9531C"/>
    <w:rsid w:val="00C97768"/>
    <w:rsid w:val="00CA0CDD"/>
    <w:rsid w:val="00CA140F"/>
    <w:rsid w:val="00CA37CA"/>
    <w:rsid w:val="00CA3CB2"/>
    <w:rsid w:val="00CA3D39"/>
    <w:rsid w:val="00CA4232"/>
    <w:rsid w:val="00CA6BA1"/>
    <w:rsid w:val="00CA6CD5"/>
    <w:rsid w:val="00CB0414"/>
    <w:rsid w:val="00CB0C6E"/>
    <w:rsid w:val="00CB2150"/>
    <w:rsid w:val="00CB28EE"/>
    <w:rsid w:val="00CB3ACB"/>
    <w:rsid w:val="00CB3ECF"/>
    <w:rsid w:val="00CB43A7"/>
    <w:rsid w:val="00CB43BC"/>
    <w:rsid w:val="00CB5996"/>
    <w:rsid w:val="00CB5B25"/>
    <w:rsid w:val="00CB7452"/>
    <w:rsid w:val="00CB7A5E"/>
    <w:rsid w:val="00CB7D09"/>
    <w:rsid w:val="00CC2642"/>
    <w:rsid w:val="00CC2E15"/>
    <w:rsid w:val="00CC30FE"/>
    <w:rsid w:val="00CC3908"/>
    <w:rsid w:val="00CC3C77"/>
    <w:rsid w:val="00CC4DDF"/>
    <w:rsid w:val="00CC52A7"/>
    <w:rsid w:val="00CC62AD"/>
    <w:rsid w:val="00CD2B3C"/>
    <w:rsid w:val="00CD30F6"/>
    <w:rsid w:val="00CD4823"/>
    <w:rsid w:val="00CD4AD9"/>
    <w:rsid w:val="00CD4B29"/>
    <w:rsid w:val="00CD5242"/>
    <w:rsid w:val="00CD6EF1"/>
    <w:rsid w:val="00CD6FC4"/>
    <w:rsid w:val="00CE090E"/>
    <w:rsid w:val="00CE21C7"/>
    <w:rsid w:val="00CE57D8"/>
    <w:rsid w:val="00CE617A"/>
    <w:rsid w:val="00CE7E17"/>
    <w:rsid w:val="00CF1152"/>
    <w:rsid w:val="00CF27AC"/>
    <w:rsid w:val="00CF28C2"/>
    <w:rsid w:val="00CF316F"/>
    <w:rsid w:val="00CF3E37"/>
    <w:rsid w:val="00CF42BD"/>
    <w:rsid w:val="00CF50FC"/>
    <w:rsid w:val="00CF51EC"/>
    <w:rsid w:val="00CF6CD7"/>
    <w:rsid w:val="00D0037A"/>
    <w:rsid w:val="00D00DAF"/>
    <w:rsid w:val="00D00F76"/>
    <w:rsid w:val="00D017EC"/>
    <w:rsid w:val="00D01CDA"/>
    <w:rsid w:val="00D02200"/>
    <w:rsid w:val="00D02924"/>
    <w:rsid w:val="00D036AB"/>
    <w:rsid w:val="00D040DD"/>
    <w:rsid w:val="00D04A11"/>
    <w:rsid w:val="00D04E1B"/>
    <w:rsid w:val="00D05207"/>
    <w:rsid w:val="00D06438"/>
    <w:rsid w:val="00D06FB4"/>
    <w:rsid w:val="00D1067C"/>
    <w:rsid w:val="00D136D4"/>
    <w:rsid w:val="00D1391B"/>
    <w:rsid w:val="00D13ECF"/>
    <w:rsid w:val="00D14148"/>
    <w:rsid w:val="00D142E5"/>
    <w:rsid w:val="00D1611E"/>
    <w:rsid w:val="00D16E69"/>
    <w:rsid w:val="00D17F4F"/>
    <w:rsid w:val="00D205A9"/>
    <w:rsid w:val="00D217EE"/>
    <w:rsid w:val="00D22468"/>
    <w:rsid w:val="00D2282B"/>
    <w:rsid w:val="00D24DA0"/>
    <w:rsid w:val="00D25220"/>
    <w:rsid w:val="00D2620E"/>
    <w:rsid w:val="00D26579"/>
    <w:rsid w:val="00D26923"/>
    <w:rsid w:val="00D26B20"/>
    <w:rsid w:val="00D27856"/>
    <w:rsid w:val="00D279D3"/>
    <w:rsid w:val="00D30740"/>
    <w:rsid w:val="00D30788"/>
    <w:rsid w:val="00D309A7"/>
    <w:rsid w:val="00D309E7"/>
    <w:rsid w:val="00D31075"/>
    <w:rsid w:val="00D31311"/>
    <w:rsid w:val="00D31445"/>
    <w:rsid w:val="00D31932"/>
    <w:rsid w:val="00D32D31"/>
    <w:rsid w:val="00D34225"/>
    <w:rsid w:val="00D35A48"/>
    <w:rsid w:val="00D378CC"/>
    <w:rsid w:val="00D4042C"/>
    <w:rsid w:val="00D42312"/>
    <w:rsid w:val="00D43998"/>
    <w:rsid w:val="00D45046"/>
    <w:rsid w:val="00D45EEE"/>
    <w:rsid w:val="00D4615E"/>
    <w:rsid w:val="00D478E2"/>
    <w:rsid w:val="00D47948"/>
    <w:rsid w:val="00D52401"/>
    <w:rsid w:val="00D5264C"/>
    <w:rsid w:val="00D52EC9"/>
    <w:rsid w:val="00D547BA"/>
    <w:rsid w:val="00D54BC4"/>
    <w:rsid w:val="00D5561E"/>
    <w:rsid w:val="00D55626"/>
    <w:rsid w:val="00D556BC"/>
    <w:rsid w:val="00D5626D"/>
    <w:rsid w:val="00D56C22"/>
    <w:rsid w:val="00D5718D"/>
    <w:rsid w:val="00D57C38"/>
    <w:rsid w:val="00D60277"/>
    <w:rsid w:val="00D62536"/>
    <w:rsid w:val="00D62901"/>
    <w:rsid w:val="00D6470C"/>
    <w:rsid w:val="00D64853"/>
    <w:rsid w:val="00D64B04"/>
    <w:rsid w:val="00D64CB5"/>
    <w:rsid w:val="00D64E9A"/>
    <w:rsid w:val="00D6524A"/>
    <w:rsid w:val="00D65B29"/>
    <w:rsid w:val="00D65C09"/>
    <w:rsid w:val="00D66CBA"/>
    <w:rsid w:val="00D66D48"/>
    <w:rsid w:val="00D70E41"/>
    <w:rsid w:val="00D712E0"/>
    <w:rsid w:val="00D72379"/>
    <w:rsid w:val="00D73256"/>
    <w:rsid w:val="00D73A30"/>
    <w:rsid w:val="00D74A6A"/>
    <w:rsid w:val="00D74C65"/>
    <w:rsid w:val="00D74E76"/>
    <w:rsid w:val="00D75DC2"/>
    <w:rsid w:val="00D76F27"/>
    <w:rsid w:val="00D81703"/>
    <w:rsid w:val="00D82462"/>
    <w:rsid w:val="00D85A88"/>
    <w:rsid w:val="00D868CE"/>
    <w:rsid w:val="00D87D8D"/>
    <w:rsid w:val="00D90C1E"/>
    <w:rsid w:val="00D922B8"/>
    <w:rsid w:val="00D93A51"/>
    <w:rsid w:val="00D93F09"/>
    <w:rsid w:val="00D97BB8"/>
    <w:rsid w:val="00DA0C01"/>
    <w:rsid w:val="00DA24BD"/>
    <w:rsid w:val="00DA3FF9"/>
    <w:rsid w:val="00DA4AF6"/>
    <w:rsid w:val="00DA5CAB"/>
    <w:rsid w:val="00DA7613"/>
    <w:rsid w:val="00DB016E"/>
    <w:rsid w:val="00DB01A2"/>
    <w:rsid w:val="00DB06E9"/>
    <w:rsid w:val="00DB0BA5"/>
    <w:rsid w:val="00DB31DE"/>
    <w:rsid w:val="00DB378E"/>
    <w:rsid w:val="00DB3CFB"/>
    <w:rsid w:val="00DB3E9D"/>
    <w:rsid w:val="00DB47B9"/>
    <w:rsid w:val="00DB4FB8"/>
    <w:rsid w:val="00DB4FEB"/>
    <w:rsid w:val="00DB5104"/>
    <w:rsid w:val="00DB53CE"/>
    <w:rsid w:val="00DB549D"/>
    <w:rsid w:val="00DB7969"/>
    <w:rsid w:val="00DC00D7"/>
    <w:rsid w:val="00DC0BB4"/>
    <w:rsid w:val="00DC257F"/>
    <w:rsid w:val="00DC344C"/>
    <w:rsid w:val="00DC408A"/>
    <w:rsid w:val="00DC5B3B"/>
    <w:rsid w:val="00DC5B54"/>
    <w:rsid w:val="00DC6796"/>
    <w:rsid w:val="00DC78DF"/>
    <w:rsid w:val="00DD0821"/>
    <w:rsid w:val="00DD0E32"/>
    <w:rsid w:val="00DD1A36"/>
    <w:rsid w:val="00DD2130"/>
    <w:rsid w:val="00DD28A1"/>
    <w:rsid w:val="00DD3532"/>
    <w:rsid w:val="00DD373E"/>
    <w:rsid w:val="00DD57AD"/>
    <w:rsid w:val="00DE009B"/>
    <w:rsid w:val="00DE200E"/>
    <w:rsid w:val="00DE2084"/>
    <w:rsid w:val="00DE2ED9"/>
    <w:rsid w:val="00DE319A"/>
    <w:rsid w:val="00DE4D6E"/>
    <w:rsid w:val="00DE5CC4"/>
    <w:rsid w:val="00DF053A"/>
    <w:rsid w:val="00DF0DC3"/>
    <w:rsid w:val="00DF4A7C"/>
    <w:rsid w:val="00DF4F01"/>
    <w:rsid w:val="00DF5343"/>
    <w:rsid w:val="00DF5578"/>
    <w:rsid w:val="00DF6134"/>
    <w:rsid w:val="00DF6619"/>
    <w:rsid w:val="00DF7FEC"/>
    <w:rsid w:val="00E01149"/>
    <w:rsid w:val="00E01C0E"/>
    <w:rsid w:val="00E026C3"/>
    <w:rsid w:val="00E03B27"/>
    <w:rsid w:val="00E03BFF"/>
    <w:rsid w:val="00E03E80"/>
    <w:rsid w:val="00E04694"/>
    <w:rsid w:val="00E04A40"/>
    <w:rsid w:val="00E05B2B"/>
    <w:rsid w:val="00E05DDE"/>
    <w:rsid w:val="00E07F05"/>
    <w:rsid w:val="00E10497"/>
    <w:rsid w:val="00E127E1"/>
    <w:rsid w:val="00E13411"/>
    <w:rsid w:val="00E13688"/>
    <w:rsid w:val="00E144D2"/>
    <w:rsid w:val="00E15346"/>
    <w:rsid w:val="00E1629D"/>
    <w:rsid w:val="00E20525"/>
    <w:rsid w:val="00E215EA"/>
    <w:rsid w:val="00E22B14"/>
    <w:rsid w:val="00E22DF1"/>
    <w:rsid w:val="00E244A4"/>
    <w:rsid w:val="00E24619"/>
    <w:rsid w:val="00E25223"/>
    <w:rsid w:val="00E2575A"/>
    <w:rsid w:val="00E2612E"/>
    <w:rsid w:val="00E268AC"/>
    <w:rsid w:val="00E30BEA"/>
    <w:rsid w:val="00E31764"/>
    <w:rsid w:val="00E337D9"/>
    <w:rsid w:val="00E34E4A"/>
    <w:rsid w:val="00E365B3"/>
    <w:rsid w:val="00E37188"/>
    <w:rsid w:val="00E37C45"/>
    <w:rsid w:val="00E40AAA"/>
    <w:rsid w:val="00E40D33"/>
    <w:rsid w:val="00E40FF2"/>
    <w:rsid w:val="00E416D9"/>
    <w:rsid w:val="00E41D90"/>
    <w:rsid w:val="00E41F2B"/>
    <w:rsid w:val="00E438CF"/>
    <w:rsid w:val="00E43C41"/>
    <w:rsid w:val="00E450CE"/>
    <w:rsid w:val="00E459D3"/>
    <w:rsid w:val="00E45A00"/>
    <w:rsid w:val="00E45CE7"/>
    <w:rsid w:val="00E4631F"/>
    <w:rsid w:val="00E47D22"/>
    <w:rsid w:val="00E513F8"/>
    <w:rsid w:val="00E522BB"/>
    <w:rsid w:val="00E571F2"/>
    <w:rsid w:val="00E57429"/>
    <w:rsid w:val="00E577FC"/>
    <w:rsid w:val="00E57D11"/>
    <w:rsid w:val="00E603A8"/>
    <w:rsid w:val="00E607E4"/>
    <w:rsid w:val="00E60B29"/>
    <w:rsid w:val="00E62F7C"/>
    <w:rsid w:val="00E635DD"/>
    <w:rsid w:val="00E648B9"/>
    <w:rsid w:val="00E6711F"/>
    <w:rsid w:val="00E6715B"/>
    <w:rsid w:val="00E70960"/>
    <w:rsid w:val="00E71983"/>
    <w:rsid w:val="00E71A58"/>
    <w:rsid w:val="00E73C92"/>
    <w:rsid w:val="00E744C3"/>
    <w:rsid w:val="00E760AD"/>
    <w:rsid w:val="00E767BA"/>
    <w:rsid w:val="00E7724B"/>
    <w:rsid w:val="00E77B8A"/>
    <w:rsid w:val="00E8216E"/>
    <w:rsid w:val="00E82428"/>
    <w:rsid w:val="00E836A0"/>
    <w:rsid w:val="00E84B50"/>
    <w:rsid w:val="00E84F21"/>
    <w:rsid w:val="00E874D3"/>
    <w:rsid w:val="00E87A29"/>
    <w:rsid w:val="00E900D3"/>
    <w:rsid w:val="00E9077B"/>
    <w:rsid w:val="00E90AD8"/>
    <w:rsid w:val="00E910FB"/>
    <w:rsid w:val="00E921C7"/>
    <w:rsid w:val="00E92995"/>
    <w:rsid w:val="00E94612"/>
    <w:rsid w:val="00E94BE9"/>
    <w:rsid w:val="00E94C1F"/>
    <w:rsid w:val="00E94C99"/>
    <w:rsid w:val="00E94D06"/>
    <w:rsid w:val="00E95594"/>
    <w:rsid w:val="00E95797"/>
    <w:rsid w:val="00E9682F"/>
    <w:rsid w:val="00E96A8D"/>
    <w:rsid w:val="00E972BA"/>
    <w:rsid w:val="00E97535"/>
    <w:rsid w:val="00EA06CB"/>
    <w:rsid w:val="00EA0C68"/>
    <w:rsid w:val="00EA3EBE"/>
    <w:rsid w:val="00EA3FAC"/>
    <w:rsid w:val="00EA4153"/>
    <w:rsid w:val="00EA4370"/>
    <w:rsid w:val="00EA5CD6"/>
    <w:rsid w:val="00EA7135"/>
    <w:rsid w:val="00EA77C6"/>
    <w:rsid w:val="00EB0BFB"/>
    <w:rsid w:val="00EB1B8D"/>
    <w:rsid w:val="00EB20A0"/>
    <w:rsid w:val="00EB30B6"/>
    <w:rsid w:val="00EB4FA4"/>
    <w:rsid w:val="00EB5146"/>
    <w:rsid w:val="00EB5466"/>
    <w:rsid w:val="00EB55E9"/>
    <w:rsid w:val="00EB5641"/>
    <w:rsid w:val="00EB5846"/>
    <w:rsid w:val="00EB5CA9"/>
    <w:rsid w:val="00EB5ED4"/>
    <w:rsid w:val="00EB6537"/>
    <w:rsid w:val="00EB6A63"/>
    <w:rsid w:val="00EB6EF5"/>
    <w:rsid w:val="00EB70E1"/>
    <w:rsid w:val="00EB7EB5"/>
    <w:rsid w:val="00EC1F4E"/>
    <w:rsid w:val="00EC454B"/>
    <w:rsid w:val="00EC6153"/>
    <w:rsid w:val="00EC6972"/>
    <w:rsid w:val="00EC7F92"/>
    <w:rsid w:val="00ED0504"/>
    <w:rsid w:val="00ED0A79"/>
    <w:rsid w:val="00ED2CA5"/>
    <w:rsid w:val="00ED336F"/>
    <w:rsid w:val="00ED4F91"/>
    <w:rsid w:val="00ED54D6"/>
    <w:rsid w:val="00ED5726"/>
    <w:rsid w:val="00ED723D"/>
    <w:rsid w:val="00EE0384"/>
    <w:rsid w:val="00EE10AA"/>
    <w:rsid w:val="00EE1637"/>
    <w:rsid w:val="00EE3358"/>
    <w:rsid w:val="00EE3E78"/>
    <w:rsid w:val="00EE4318"/>
    <w:rsid w:val="00EE5E02"/>
    <w:rsid w:val="00EE617D"/>
    <w:rsid w:val="00EE61BF"/>
    <w:rsid w:val="00EE6748"/>
    <w:rsid w:val="00EE747C"/>
    <w:rsid w:val="00EF0E75"/>
    <w:rsid w:val="00EF10E5"/>
    <w:rsid w:val="00EF17BF"/>
    <w:rsid w:val="00EF1F5A"/>
    <w:rsid w:val="00EF385C"/>
    <w:rsid w:val="00EF466D"/>
    <w:rsid w:val="00EF4685"/>
    <w:rsid w:val="00EF4AB0"/>
    <w:rsid w:val="00EF5397"/>
    <w:rsid w:val="00EF623C"/>
    <w:rsid w:val="00F0129D"/>
    <w:rsid w:val="00F02E63"/>
    <w:rsid w:val="00F04811"/>
    <w:rsid w:val="00F0488C"/>
    <w:rsid w:val="00F0496E"/>
    <w:rsid w:val="00F04D10"/>
    <w:rsid w:val="00F058AB"/>
    <w:rsid w:val="00F05CBA"/>
    <w:rsid w:val="00F0625B"/>
    <w:rsid w:val="00F06769"/>
    <w:rsid w:val="00F07939"/>
    <w:rsid w:val="00F101FF"/>
    <w:rsid w:val="00F106E2"/>
    <w:rsid w:val="00F10A33"/>
    <w:rsid w:val="00F130A1"/>
    <w:rsid w:val="00F13374"/>
    <w:rsid w:val="00F15BEF"/>
    <w:rsid w:val="00F15F3F"/>
    <w:rsid w:val="00F16C0C"/>
    <w:rsid w:val="00F172BE"/>
    <w:rsid w:val="00F1776C"/>
    <w:rsid w:val="00F2037E"/>
    <w:rsid w:val="00F20EF6"/>
    <w:rsid w:val="00F2103E"/>
    <w:rsid w:val="00F214FC"/>
    <w:rsid w:val="00F23FFF"/>
    <w:rsid w:val="00F2441D"/>
    <w:rsid w:val="00F24F20"/>
    <w:rsid w:val="00F24FAA"/>
    <w:rsid w:val="00F25456"/>
    <w:rsid w:val="00F25568"/>
    <w:rsid w:val="00F26197"/>
    <w:rsid w:val="00F26426"/>
    <w:rsid w:val="00F26CF5"/>
    <w:rsid w:val="00F31F76"/>
    <w:rsid w:val="00F3364D"/>
    <w:rsid w:val="00F34509"/>
    <w:rsid w:val="00F35395"/>
    <w:rsid w:val="00F35ACD"/>
    <w:rsid w:val="00F36BF8"/>
    <w:rsid w:val="00F37760"/>
    <w:rsid w:val="00F378D9"/>
    <w:rsid w:val="00F37CC8"/>
    <w:rsid w:val="00F40185"/>
    <w:rsid w:val="00F403D1"/>
    <w:rsid w:val="00F4046E"/>
    <w:rsid w:val="00F41C50"/>
    <w:rsid w:val="00F42AF8"/>
    <w:rsid w:val="00F43921"/>
    <w:rsid w:val="00F4591F"/>
    <w:rsid w:val="00F45CB3"/>
    <w:rsid w:val="00F46FD1"/>
    <w:rsid w:val="00F4736B"/>
    <w:rsid w:val="00F47D05"/>
    <w:rsid w:val="00F50030"/>
    <w:rsid w:val="00F506B2"/>
    <w:rsid w:val="00F50854"/>
    <w:rsid w:val="00F51FC9"/>
    <w:rsid w:val="00F52B67"/>
    <w:rsid w:val="00F5435A"/>
    <w:rsid w:val="00F54B31"/>
    <w:rsid w:val="00F54FD3"/>
    <w:rsid w:val="00F55CC2"/>
    <w:rsid w:val="00F56CF5"/>
    <w:rsid w:val="00F56D14"/>
    <w:rsid w:val="00F61083"/>
    <w:rsid w:val="00F62807"/>
    <w:rsid w:val="00F631EA"/>
    <w:rsid w:val="00F636E3"/>
    <w:rsid w:val="00F63DDE"/>
    <w:rsid w:val="00F63FB7"/>
    <w:rsid w:val="00F6441A"/>
    <w:rsid w:val="00F64726"/>
    <w:rsid w:val="00F6561A"/>
    <w:rsid w:val="00F700C5"/>
    <w:rsid w:val="00F71BF5"/>
    <w:rsid w:val="00F727D5"/>
    <w:rsid w:val="00F72F44"/>
    <w:rsid w:val="00F739B6"/>
    <w:rsid w:val="00F73A0C"/>
    <w:rsid w:val="00F73C9E"/>
    <w:rsid w:val="00F771A5"/>
    <w:rsid w:val="00F80280"/>
    <w:rsid w:val="00F80EB9"/>
    <w:rsid w:val="00F81C3A"/>
    <w:rsid w:val="00F822CE"/>
    <w:rsid w:val="00F835FC"/>
    <w:rsid w:val="00F83E21"/>
    <w:rsid w:val="00F844AF"/>
    <w:rsid w:val="00F84E18"/>
    <w:rsid w:val="00F852E5"/>
    <w:rsid w:val="00F90487"/>
    <w:rsid w:val="00F90D12"/>
    <w:rsid w:val="00F90FA0"/>
    <w:rsid w:val="00F9250A"/>
    <w:rsid w:val="00F92B4F"/>
    <w:rsid w:val="00F942F1"/>
    <w:rsid w:val="00F95117"/>
    <w:rsid w:val="00F9668E"/>
    <w:rsid w:val="00FA05D7"/>
    <w:rsid w:val="00FA1C6C"/>
    <w:rsid w:val="00FA1C73"/>
    <w:rsid w:val="00FA309A"/>
    <w:rsid w:val="00FA51AB"/>
    <w:rsid w:val="00FA5557"/>
    <w:rsid w:val="00FA57FD"/>
    <w:rsid w:val="00FA5D63"/>
    <w:rsid w:val="00FA7644"/>
    <w:rsid w:val="00FB1324"/>
    <w:rsid w:val="00FB262B"/>
    <w:rsid w:val="00FB3C00"/>
    <w:rsid w:val="00FB3D7D"/>
    <w:rsid w:val="00FB56F1"/>
    <w:rsid w:val="00FB5FD4"/>
    <w:rsid w:val="00FB67DD"/>
    <w:rsid w:val="00FB67F3"/>
    <w:rsid w:val="00FB6D5D"/>
    <w:rsid w:val="00FC0AF4"/>
    <w:rsid w:val="00FC0D8A"/>
    <w:rsid w:val="00FC0E5F"/>
    <w:rsid w:val="00FC26DB"/>
    <w:rsid w:val="00FC4660"/>
    <w:rsid w:val="00FC5454"/>
    <w:rsid w:val="00FC56DE"/>
    <w:rsid w:val="00FD1627"/>
    <w:rsid w:val="00FD38B4"/>
    <w:rsid w:val="00FD473D"/>
    <w:rsid w:val="00FD4B88"/>
    <w:rsid w:val="00FD57DE"/>
    <w:rsid w:val="00FD61C8"/>
    <w:rsid w:val="00FD63CE"/>
    <w:rsid w:val="00FD647C"/>
    <w:rsid w:val="00FD7D49"/>
    <w:rsid w:val="00FE0BA6"/>
    <w:rsid w:val="00FE11B6"/>
    <w:rsid w:val="00FE1251"/>
    <w:rsid w:val="00FE2A4F"/>
    <w:rsid w:val="00FE2F78"/>
    <w:rsid w:val="00FE375F"/>
    <w:rsid w:val="00FE44B3"/>
    <w:rsid w:val="00FE4FCB"/>
    <w:rsid w:val="00FE694F"/>
    <w:rsid w:val="00FF0B85"/>
    <w:rsid w:val="00FF1044"/>
    <w:rsid w:val="00FF21B9"/>
    <w:rsid w:val="00FF28E0"/>
    <w:rsid w:val="00FF2FB4"/>
    <w:rsid w:val="00FF30B3"/>
    <w:rsid w:val="00FF3DF3"/>
    <w:rsid w:val="00FF4027"/>
    <w:rsid w:val="00FF65DF"/>
    <w:rsid w:val="00FF7D9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71"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
    <w:qFormat/>
    <w:rsid w:val="005E492C"/>
    <w:pPr>
      <w:keepNext/>
      <w:keepLines/>
      <w:outlineLvl w:val="3"/>
    </w:pPr>
    <w:rPr>
      <w:rFonts w:eastAsia="MS Gothic"/>
      <w:b/>
      <w:bCs/>
      <w:iCs/>
    </w:rPr>
  </w:style>
  <w:style w:type="paragraph" w:styleId="Nadpis5">
    <w:name w:val="heading 5"/>
    <w:basedOn w:val="Normln"/>
    <w:next w:val="Normln"/>
    <w:link w:val="Nadpis5Char"/>
    <w:uiPriority w:val="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10"/>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10"/>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11"/>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11"/>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1"/>
    <w:qFormat/>
    <w:rsid w:val="005E492C"/>
    <w:pPr>
      <w:spacing w:line="288" w:lineRule="auto"/>
    </w:pPr>
    <w:rPr>
      <w:rFonts w:ascii="Arial" w:hAnsi="Arial"/>
      <w:sz w:val="22"/>
      <w:szCs w:val="22"/>
    </w:rPr>
  </w:style>
  <w:style w:type="paragraph" w:customStyle="1" w:styleId="Box1">
    <w:name w:val="Box 1"/>
    <w:basedOn w:val="Zkladnodstavec"/>
    <w:next w:val="Normln"/>
    <w:qFormat/>
    <w:rsid w:val="005E492C"/>
    <w:pPr>
      <w:ind w:left="1134"/>
    </w:pPr>
    <w:rPr>
      <w:rFonts w:ascii="Arial" w:hAnsi="Arial" w:cs="Arial"/>
      <w:color w:val="71818C"/>
      <w:sz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qFormat/>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locked/>
    <w:rsid w:val="006710C9"/>
    <w:rPr>
      <w:rFonts w:ascii="Arial" w:hAnsi="Arial"/>
      <w:b/>
      <w:color w:val="000000"/>
      <w:sz w:val="24"/>
      <w:shd w:val="clear" w:color="auto" w:fill="CCC0D9"/>
    </w:rPr>
  </w:style>
  <w:style w:type="character" w:customStyle="1" w:styleId="BoxChar">
    <w:name w:val="Box Char"/>
    <w:link w:val="Box"/>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qFormat/>
    <w:rsid w:val="005E492C"/>
    <w:pPr>
      <w:spacing w:after="200" w:line="288" w:lineRule="auto"/>
    </w:pPr>
    <w:rPr>
      <w:rFonts w:ascii="Arial" w:hAnsi="Arial"/>
      <w:sz w:val="22"/>
      <w:szCs w:val="22"/>
    </w:rPr>
  </w:style>
  <w:style w:type="character" w:customStyle="1" w:styleId="TL-KontaktyChar">
    <w:name w:val="TL - Kontakty Char"/>
    <w:link w:val="TL-Kontakty"/>
    <w:locked/>
    <w:rsid w:val="005E492C"/>
    <w:rPr>
      <w:rFonts w:ascii="Arial" w:hAnsi="Arial"/>
      <w:b/>
      <w:caps/>
      <w:color w:val="BD1B21"/>
      <w:sz w:val="22"/>
      <w:szCs w:val="22"/>
      <w:lang w:bidi="ar-SA"/>
    </w:rPr>
  </w:style>
  <w:style w:type="character" w:customStyle="1" w:styleId="TL-IdentifikaceChar">
    <w:name w:val="TL - Identifikace Char"/>
    <w:link w:val="TL-Identifikace"/>
    <w:locked/>
    <w:rsid w:val="005E492C"/>
    <w:rPr>
      <w:rFonts w:ascii="Arial" w:hAnsi="Arial"/>
      <w:sz w:val="22"/>
      <w:szCs w:val="22"/>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1"/>
    <w:locked/>
    <w:rsid w:val="005E492C"/>
    <w:rPr>
      <w:rFonts w:ascii="Arial" w:hAnsi="Arial"/>
      <w:sz w:val="22"/>
      <w:szCs w:val="22"/>
      <w:lang w:bidi="ar-SA"/>
    </w:rPr>
  </w:style>
  <w:style w:type="paragraph" w:customStyle="1" w:styleId="TL-identifikace-sted">
    <w:name w:val="TL - identifikace - střed"/>
    <w:basedOn w:val="Normln"/>
    <w:link w:val="TL-identifikace-stedChar"/>
    <w:qFormat/>
    <w:rsid w:val="005E492C"/>
    <w:pPr>
      <w:spacing w:after="200"/>
    </w:pPr>
    <w:rPr>
      <w:sz w:val="24"/>
      <w:szCs w:val="20"/>
    </w:rPr>
  </w:style>
  <w:style w:type="paragraph" w:customStyle="1" w:styleId="TL-Identifikace-dole">
    <w:name w:val="TL - Identifikace - dole"/>
    <w:basedOn w:val="Normln"/>
    <w:link w:val="TL-Identifikace-doleChar"/>
    <w:qFormat/>
    <w:rsid w:val="005E492C"/>
    <w:pPr>
      <w:spacing w:after="200"/>
    </w:pPr>
    <w:rPr>
      <w:szCs w:val="20"/>
      <w:lang w:eastAsia="ar-SA"/>
    </w:rPr>
  </w:style>
  <w:style w:type="character" w:customStyle="1" w:styleId="TL-identifikace-stedChar">
    <w:name w:val="TL - identifikace - střed Char"/>
    <w:link w:val="TL-identifikace-sted"/>
    <w:locked/>
    <w:rsid w:val="005E492C"/>
    <w:rPr>
      <w:rFonts w:ascii="Arial" w:hAnsi="Arial"/>
      <w:sz w:val="24"/>
    </w:rPr>
  </w:style>
  <w:style w:type="character" w:customStyle="1" w:styleId="TL-Identifikace-doleChar">
    <w:name w:val="TL - Identifikace - dole Char"/>
    <w:link w:val="TL-Identifikace-dole"/>
    <w:locked/>
    <w:rsid w:val="005E492C"/>
    <w:rPr>
      <w:rFonts w:ascii="Arial" w:hAnsi="Arial"/>
      <w:lang w:eastAsia="ar-SA" w:bidi="ar-SA"/>
    </w:rPr>
  </w:style>
  <w:style w:type="paragraph" w:styleId="Nadpisobsahu">
    <w:name w:val="TOC Heading"/>
    <w:basedOn w:val="Nadpis1"/>
    <w:next w:val="Normln"/>
    <w:uiPriority w:val="71"/>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qFormat/>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39"/>
    <w:rsid w:val="00D142E5"/>
    <w:pPr>
      <w:ind w:left="200"/>
    </w:pPr>
  </w:style>
  <w:style w:type="paragraph" w:styleId="Obsah3">
    <w:name w:val="toc 3"/>
    <w:basedOn w:val="Normln"/>
    <w:next w:val="Normln"/>
    <w:autoRedefine/>
    <w:uiPriority w:val="3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22"/>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semiHidden/>
    <w:unhideWhenUsed/>
    <w:locked/>
    <w:rsid w:val="00B3133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44465403">
      <w:marLeft w:val="0"/>
      <w:marRight w:val="0"/>
      <w:marTop w:val="0"/>
      <w:marBottom w:val="0"/>
      <w:divBdr>
        <w:top w:val="none" w:sz="0" w:space="0" w:color="auto"/>
        <w:left w:val="none" w:sz="0" w:space="0" w:color="auto"/>
        <w:bottom w:val="none" w:sz="0" w:space="0" w:color="auto"/>
        <w:right w:val="none" w:sz="0" w:space="0" w:color="auto"/>
      </w:divBdr>
    </w:div>
    <w:div w:id="1844465404">
      <w:marLeft w:val="0"/>
      <w:marRight w:val="0"/>
      <w:marTop w:val="0"/>
      <w:marBottom w:val="0"/>
      <w:divBdr>
        <w:top w:val="none" w:sz="0" w:space="0" w:color="auto"/>
        <w:left w:val="none" w:sz="0" w:space="0" w:color="auto"/>
        <w:bottom w:val="none" w:sz="0" w:space="0" w:color="auto"/>
        <w:right w:val="none" w:sz="0" w:space="0" w:color="auto"/>
      </w:divBdr>
    </w:div>
    <w:div w:id="1844465405">
      <w:marLeft w:val="0"/>
      <w:marRight w:val="0"/>
      <w:marTop w:val="0"/>
      <w:marBottom w:val="0"/>
      <w:divBdr>
        <w:top w:val="none" w:sz="0" w:space="0" w:color="auto"/>
        <w:left w:val="none" w:sz="0" w:space="0" w:color="auto"/>
        <w:bottom w:val="none" w:sz="0" w:space="0" w:color="auto"/>
        <w:right w:val="none" w:sz="0" w:space="0" w:color="auto"/>
      </w:divBdr>
    </w:div>
    <w:div w:id="1844465406">
      <w:marLeft w:val="0"/>
      <w:marRight w:val="0"/>
      <w:marTop w:val="0"/>
      <w:marBottom w:val="0"/>
      <w:divBdr>
        <w:top w:val="none" w:sz="0" w:space="0" w:color="auto"/>
        <w:left w:val="none" w:sz="0" w:space="0" w:color="auto"/>
        <w:bottom w:val="none" w:sz="0" w:space="0" w:color="auto"/>
        <w:right w:val="none" w:sz="0" w:space="0" w:color="auto"/>
      </w:divBdr>
    </w:div>
    <w:div w:id="1844465407">
      <w:marLeft w:val="0"/>
      <w:marRight w:val="0"/>
      <w:marTop w:val="0"/>
      <w:marBottom w:val="0"/>
      <w:divBdr>
        <w:top w:val="none" w:sz="0" w:space="0" w:color="auto"/>
        <w:left w:val="none" w:sz="0" w:space="0" w:color="auto"/>
        <w:bottom w:val="none" w:sz="0" w:space="0" w:color="auto"/>
        <w:right w:val="none" w:sz="0" w:space="0" w:color="auto"/>
      </w:divBdr>
    </w:div>
    <w:div w:id="1844465408">
      <w:marLeft w:val="0"/>
      <w:marRight w:val="0"/>
      <w:marTop w:val="0"/>
      <w:marBottom w:val="0"/>
      <w:divBdr>
        <w:top w:val="none" w:sz="0" w:space="0" w:color="auto"/>
        <w:left w:val="none" w:sz="0" w:space="0" w:color="auto"/>
        <w:bottom w:val="none" w:sz="0" w:space="0" w:color="auto"/>
        <w:right w:val="none" w:sz="0" w:space="0" w:color="auto"/>
      </w:divBdr>
    </w:div>
    <w:div w:id="1844465409">
      <w:marLeft w:val="0"/>
      <w:marRight w:val="0"/>
      <w:marTop w:val="0"/>
      <w:marBottom w:val="0"/>
      <w:divBdr>
        <w:top w:val="none" w:sz="0" w:space="0" w:color="auto"/>
        <w:left w:val="none" w:sz="0" w:space="0" w:color="auto"/>
        <w:bottom w:val="none" w:sz="0" w:space="0" w:color="auto"/>
        <w:right w:val="none" w:sz="0" w:space="0" w:color="auto"/>
      </w:divBdr>
    </w:div>
    <w:div w:id="1844465410">
      <w:marLeft w:val="0"/>
      <w:marRight w:val="0"/>
      <w:marTop w:val="0"/>
      <w:marBottom w:val="0"/>
      <w:divBdr>
        <w:top w:val="none" w:sz="0" w:space="0" w:color="auto"/>
        <w:left w:val="none" w:sz="0" w:space="0" w:color="auto"/>
        <w:bottom w:val="none" w:sz="0" w:space="0" w:color="auto"/>
        <w:right w:val="none" w:sz="0" w:space="0" w:color="auto"/>
      </w:divBdr>
    </w:div>
    <w:div w:id="1844465411">
      <w:marLeft w:val="0"/>
      <w:marRight w:val="0"/>
      <w:marTop w:val="0"/>
      <w:marBottom w:val="0"/>
      <w:divBdr>
        <w:top w:val="none" w:sz="0" w:space="0" w:color="auto"/>
        <w:left w:val="none" w:sz="0" w:space="0" w:color="auto"/>
        <w:bottom w:val="none" w:sz="0" w:space="0" w:color="auto"/>
        <w:right w:val="none" w:sz="0" w:space="0" w:color="auto"/>
      </w:divBdr>
    </w:div>
    <w:div w:id="1844465412">
      <w:marLeft w:val="0"/>
      <w:marRight w:val="0"/>
      <w:marTop w:val="0"/>
      <w:marBottom w:val="0"/>
      <w:divBdr>
        <w:top w:val="none" w:sz="0" w:space="0" w:color="auto"/>
        <w:left w:val="none" w:sz="0" w:space="0" w:color="auto"/>
        <w:bottom w:val="none" w:sz="0" w:space="0" w:color="auto"/>
        <w:right w:val="none" w:sz="0" w:space="0" w:color="auto"/>
      </w:divBdr>
    </w:div>
    <w:div w:id="1844465413">
      <w:marLeft w:val="0"/>
      <w:marRight w:val="0"/>
      <w:marTop w:val="0"/>
      <w:marBottom w:val="0"/>
      <w:divBdr>
        <w:top w:val="none" w:sz="0" w:space="0" w:color="auto"/>
        <w:left w:val="none" w:sz="0" w:space="0" w:color="auto"/>
        <w:bottom w:val="none" w:sz="0" w:space="0" w:color="auto"/>
        <w:right w:val="none" w:sz="0" w:space="0" w:color="auto"/>
      </w:divBdr>
    </w:div>
    <w:div w:id="1844465414">
      <w:marLeft w:val="0"/>
      <w:marRight w:val="0"/>
      <w:marTop w:val="0"/>
      <w:marBottom w:val="0"/>
      <w:divBdr>
        <w:top w:val="none" w:sz="0" w:space="0" w:color="auto"/>
        <w:left w:val="none" w:sz="0" w:space="0" w:color="auto"/>
        <w:bottom w:val="none" w:sz="0" w:space="0" w:color="auto"/>
        <w:right w:val="none" w:sz="0" w:space="0" w:color="auto"/>
      </w:divBdr>
    </w:div>
    <w:div w:id="1844465426">
      <w:marLeft w:val="0"/>
      <w:marRight w:val="0"/>
      <w:marTop w:val="0"/>
      <w:marBottom w:val="0"/>
      <w:divBdr>
        <w:top w:val="none" w:sz="0" w:space="0" w:color="auto"/>
        <w:left w:val="none" w:sz="0" w:space="0" w:color="auto"/>
        <w:bottom w:val="none" w:sz="0" w:space="0" w:color="auto"/>
        <w:right w:val="none" w:sz="0" w:space="0" w:color="auto"/>
      </w:divBdr>
      <w:divsChild>
        <w:div w:id="1844465402">
          <w:marLeft w:val="0"/>
          <w:marRight w:val="0"/>
          <w:marTop w:val="0"/>
          <w:marBottom w:val="0"/>
          <w:divBdr>
            <w:top w:val="none" w:sz="0" w:space="0" w:color="auto"/>
            <w:left w:val="none" w:sz="0" w:space="0" w:color="auto"/>
            <w:bottom w:val="none" w:sz="0" w:space="0" w:color="auto"/>
            <w:right w:val="none" w:sz="0" w:space="0" w:color="auto"/>
          </w:divBdr>
          <w:divsChild>
            <w:div w:id="1844465422">
              <w:marLeft w:val="0"/>
              <w:marRight w:val="0"/>
              <w:marTop w:val="0"/>
              <w:marBottom w:val="0"/>
              <w:divBdr>
                <w:top w:val="none" w:sz="0" w:space="0" w:color="auto"/>
                <w:left w:val="none" w:sz="0" w:space="0" w:color="auto"/>
                <w:bottom w:val="none" w:sz="0" w:space="0" w:color="auto"/>
                <w:right w:val="none" w:sz="0" w:space="0" w:color="auto"/>
              </w:divBdr>
              <w:divsChild>
                <w:div w:id="1844465423">
                  <w:marLeft w:val="0"/>
                  <w:marRight w:val="0"/>
                  <w:marTop w:val="0"/>
                  <w:marBottom w:val="0"/>
                  <w:divBdr>
                    <w:top w:val="none" w:sz="0" w:space="0" w:color="auto"/>
                    <w:left w:val="none" w:sz="0" w:space="0" w:color="auto"/>
                    <w:bottom w:val="none" w:sz="0" w:space="0" w:color="auto"/>
                    <w:right w:val="none" w:sz="0" w:space="0" w:color="auto"/>
                  </w:divBdr>
                  <w:divsChild>
                    <w:div w:id="1844465419">
                      <w:marLeft w:val="0"/>
                      <w:marRight w:val="0"/>
                      <w:marTop w:val="0"/>
                      <w:marBottom w:val="0"/>
                      <w:divBdr>
                        <w:top w:val="none" w:sz="0" w:space="0" w:color="auto"/>
                        <w:left w:val="none" w:sz="0" w:space="0" w:color="auto"/>
                        <w:bottom w:val="none" w:sz="0" w:space="0" w:color="auto"/>
                        <w:right w:val="none" w:sz="0" w:space="0" w:color="auto"/>
                      </w:divBdr>
                      <w:divsChild>
                        <w:div w:id="1844465421">
                          <w:marLeft w:val="0"/>
                          <w:marRight w:val="0"/>
                          <w:marTop w:val="0"/>
                          <w:marBottom w:val="0"/>
                          <w:divBdr>
                            <w:top w:val="none" w:sz="0" w:space="0" w:color="auto"/>
                            <w:left w:val="none" w:sz="0" w:space="0" w:color="auto"/>
                            <w:bottom w:val="none" w:sz="0" w:space="0" w:color="auto"/>
                            <w:right w:val="none" w:sz="0" w:space="0" w:color="auto"/>
                          </w:divBdr>
                          <w:divsChild>
                            <w:div w:id="18444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65427">
                  <w:marLeft w:val="0"/>
                  <w:marRight w:val="0"/>
                  <w:marTop w:val="0"/>
                  <w:marBottom w:val="0"/>
                  <w:divBdr>
                    <w:top w:val="none" w:sz="0" w:space="0" w:color="auto"/>
                    <w:left w:val="none" w:sz="0" w:space="0" w:color="auto"/>
                    <w:bottom w:val="none" w:sz="0" w:space="0" w:color="auto"/>
                    <w:right w:val="none" w:sz="0" w:space="0" w:color="auto"/>
                  </w:divBdr>
                  <w:divsChild>
                    <w:div w:id="1844465420">
                      <w:marLeft w:val="0"/>
                      <w:marRight w:val="0"/>
                      <w:marTop w:val="0"/>
                      <w:marBottom w:val="0"/>
                      <w:divBdr>
                        <w:top w:val="none" w:sz="0" w:space="0" w:color="auto"/>
                        <w:left w:val="none" w:sz="0" w:space="0" w:color="auto"/>
                        <w:bottom w:val="none" w:sz="0" w:space="0" w:color="auto"/>
                        <w:right w:val="none" w:sz="0" w:space="0" w:color="auto"/>
                      </w:divBdr>
                      <w:divsChild>
                        <w:div w:id="1844465400">
                          <w:marLeft w:val="0"/>
                          <w:marRight w:val="0"/>
                          <w:marTop w:val="0"/>
                          <w:marBottom w:val="0"/>
                          <w:divBdr>
                            <w:top w:val="none" w:sz="0" w:space="0" w:color="auto"/>
                            <w:left w:val="none" w:sz="0" w:space="0" w:color="auto"/>
                            <w:bottom w:val="none" w:sz="0" w:space="0" w:color="auto"/>
                            <w:right w:val="none" w:sz="0" w:space="0" w:color="auto"/>
                          </w:divBdr>
                          <w:divsChild>
                            <w:div w:id="1844465425">
                              <w:marLeft w:val="0"/>
                              <w:marRight w:val="0"/>
                              <w:marTop w:val="0"/>
                              <w:marBottom w:val="0"/>
                              <w:divBdr>
                                <w:top w:val="none" w:sz="0" w:space="0" w:color="auto"/>
                                <w:left w:val="none" w:sz="0" w:space="0" w:color="auto"/>
                                <w:bottom w:val="none" w:sz="0" w:space="0" w:color="auto"/>
                                <w:right w:val="none" w:sz="0" w:space="0" w:color="auto"/>
                              </w:divBdr>
                              <w:divsChild>
                                <w:div w:id="18444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65416">
                          <w:marLeft w:val="0"/>
                          <w:marRight w:val="0"/>
                          <w:marTop w:val="0"/>
                          <w:marBottom w:val="0"/>
                          <w:divBdr>
                            <w:top w:val="none" w:sz="0" w:space="0" w:color="auto"/>
                            <w:left w:val="none" w:sz="0" w:space="0" w:color="auto"/>
                            <w:bottom w:val="none" w:sz="0" w:space="0" w:color="auto"/>
                            <w:right w:val="none" w:sz="0" w:space="0" w:color="auto"/>
                          </w:divBdr>
                          <w:divsChild>
                            <w:div w:id="1844465401">
                              <w:marLeft w:val="0"/>
                              <w:marRight w:val="0"/>
                              <w:marTop w:val="0"/>
                              <w:marBottom w:val="0"/>
                              <w:divBdr>
                                <w:top w:val="none" w:sz="0" w:space="0" w:color="auto"/>
                                <w:left w:val="none" w:sz="0" w:space="0" w:color="auto"/>
                                <w:bottom w:val="none" w:sz="0" w:space="0" w:color="auto"/>
                                <w:right w:val="none" w:sz="0" w:space="0" w:color="auto"/>
                              </w:divBdr>
                              <w:divsChild>
                                <w:div w:id="1844465415">
                                  <w:marLeft w:val="0"/>
                                  <w:marRight w:val="0"/>
                                  <w:marTop w:val="0"/>
                                  <w:marBottom w:val="0"/>
                                  <w:divBdr>
                                    <w:top w:val="none" w:sz="0" w:space="0" w:color="auto"/>
                                    <w:left w:val="none" w:sz="0" w:space="0" w:color="auto"/>
                                    <w:bottom w:val="none" w:sz="0" w:space="0" w:color="auto"/>
                                    <w:right w:val="none" w:sz="0" w:space="0" w:color="auto"/>
                                  </w:divBdr>
                                  <w:divsChild>
                                    <w:div w:id="18444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465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png"/><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image" Target="media/image24.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png"/><Relationship Id="rId43"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5.png"/></Relationships>
</file>

<file path=word/_rels/footer2.xml.rels><?xml version="1.0" encoding="UTF-8" standalone="yes"?>
<Relationships xmlns="http://schemas.openxmlformats.org/package/2006/relationships"><Relationship Id="rId1" Type="http://schemas.openxmlformats.org/officeDocument/2006/relationships/image" Target="media/image3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622B9-9EA2-4AC8-A363-20AD7F0B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Template>
  <TotalTime>18</TotalTime>
  <Pages>18</Pages>
  <Words>8221</Words>
  <Characters>48507</Characters>
  <Application>Microsoft Office Word</Application>
  <DocSecurity>0</DocSecurity>
  <Lines>404</Lines>
  <Paragraphs>113</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56615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Dubská, Kučera, Kamenický</dc:creator>
  <cp:lastModifiedBy>Ing. Drahomíra Dubská, CSc.</cp:lastModifiedBy>
  <cp:revision>7</cp:revision>
  <cp:lastPrinted>2015-07-30T06:16:00Z</cp:lastPrinted>
  <dcterms:created xsi:type="dcterms:W3CDTF">2015-07-30T08:59:00Z</dcterms:created>
  <dcterms:modified xsi:type="dcterms:W3CDTF">2015-07-30T10:03:00Z</dcterms:modified>
</cp:coreProperties>
</file>