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BC" w:rsidRDefault="00E70B7D" w:rsidP="00E70B7D">
      <w:pPr>
        <w:pStyle w:val="Nadpis1"/>
        <w:jc w:val="both"/>
      </w:pPr>
      <w:bookmarkStart w:id="0" w:name="_Toc414264324"/>
      <w:bookmarkStart w:id="1" w:name="_Toc426017660"/>
      <w:r>
        <w:t xml:space="preserve">4. </w:t>
      </w:r>
      <w:r w:rsidR="003E68BC">
        <w:t>Cen</w:t>
      </w:r>
      <w:bookmarkEnd w:id="0"/>
      <w:r w:rsidR="003E68BC">
        <w:t>ový vývoj</w:t>
      </w:r>
      <w:bookmarkEnd w:id="1"/>
    </w:p>
    <w:tbl>
      <w:tblPr>
        <w:tblW w:w="5000" w:type="pct"/>
        <w:tblLayout w:type="fixed"/>
        <w:tblLook w:val="00A0"/>
      </w:tblPr>
      <w:tblGrid>
        <w:gridCol w:w="9854"/>
      </w:tblGrid>
      <w:tr w:rsidR="003E68BC" w:rsidRPr="00CD6F99" w:rsidTr="008C41F7">
        <w:tc>
          <w:tcPr>
            <w:tcW w:w="5000" w:type="pct"/>
          </w:tcPr>
          <w:p w:rsidR="003E68BC" w:rsidRPr="0002083E" w:rsidRDefault="003E68BC" w:rsidP="008C41F7">
            <w:pPr>
              <w:pStyle w:val="Textpoznpodarou"/>
              <w:jc w:val="both"/>
            </w:pPr>
            <w:r w:rsidRPr="0002083E">
              <w:t>Přestože míra inflace v roce 2014 opět zpomalila, růst celkové cenové hladiny zrychlil. Více než v roce 2013 stouply ceny investic, zboží a služby vstupující do spotřeby vládních institucí také podražily výrazněji. Směnné relace v zahraničním ob</w:t>
            </w:r>
            <w:r w:rsidR="00986485">
              <w:t>chodě se zbožím nejenže zůstaly</w:t>
            </w:r>
            <w:r w:rsidRPr="0002083E">
              <w:t xml:space="preserve"> pozitivní, ale zlepšily se více než v roce 2013.</w:t>
            </w:r>
          </w:p>
          <w:p w:rsidR="003E68BC" w:rsidRPr="00CD6F99" w:rsidRDefault="003E68BC" w:rsidP="008C41F7">
            <w:pPr>
              <w:pStyle w:val="Textpoznpodarou"/>
              <w:jc w:val="both"/>
              <w:rPr>
                <w:color w:val="000000" w:themeColor="text1"/>
              </w:rPr>
            </w:pPr>
          </w:p>
        </w:tc>
      </w:tr>
    </w:tbl>
    <w:p w:rsidR="003E68BC" w:rsidRPr="00AD306C" w:rsidRDefault="003E68BC" w:rsidP="008B0C8B">
      <w:pPr>
        <w:pStyle w:val="Nadpis2"/>
        <w:numPr>
          <w:ilvl w:val="1"/>
          <w:numId w:val="5"/>
        </w:numPr>
      </w:pPr>
      <w:bookmarkStart w:id="2" w:name="_Toc426017661"/>
      <w:r>
        <w:t>Celková cenová hladina</w:t>
      </w:r>
      <w:bookmarkEnd w:id="2"/>
    </w:p>
    <w:tbl>
      <w:tblPr>
        <w:tblW w:w="5000" w:type="pct"/>
        <w:tblLayout w:type="fixed"/>
        <w:tblLook w:val="00A0"/>
      </w:tblPr>
      <w:tblGrid>
        <w:gridCol w:w="2077"/>
        <w:gridCol w:w="282"/>
        <w:gridCol w:w="7495"/>
      </w:tblGrid>
      <w:tr w:rsidR="003E68BC" w:rsidRPr="0002083E" w:rsidTr="008C41F7">
        <w:tc>
          <w:tcPr>
            <w:tcW w:w="1054" w:type="pct"/>
          </w:tcPr>
          <w:p w:rsidR="003E68BC" w:rsidRPr="0002083E" w:rsidRDefault="003E68BC" w:rsidP="008C41F7">
            <w:pPr>
              <w:spacing w:line="240" w:lineRule="auto"/>
              <w:rPr>
                <w:sz w:val="16"/>
                <w:szCs w:val="16"/>
              </w:rPr>
            </w:pPr>
            <w:r w:rsidRPr="0002083E">
              <w:rPr>
                <w:sz w:val="16"/>
                <w:szCs w:val="16"/>
              </w:rPr>
              <w:t>Celková cenová hladina v</w:t>
            </w:r>
            <w:r>
              <w:rPr>
                <w:sz w:val="16"/>
                <w:szCs w:val="16"/>
              </w:rPr>
              <w:t> ekonomice</w:t>
            </w:r>
            <w:r w:rsidRPr="0002083E">
              <w:rPr>
                <w:sz w:val="16"/>
                <w:szCs w:val="16"/>
              </w:rPr>
              <w:t xml:space="preserve"> se v roce 2014 zvýšila o</w:t>
            </w:r>
            <w:r>
              <w:rPr>
                <w:sz w:val="16"/>
                <w:szCs w:val="16"/>
              </w:rPr>
              <w:t> 2,5 </w:t>
            </w:r>
            <w:r w:rsidRPr="0002083E">
              <w:rPr>
                <w:sz w:val="16"/>
                <w:szCs w:val="16"/>
              </w:rPr>
              <w:t>%, nejvíce za</w:t>
            </w:r>
            <w:r>
              <w:rPr>
                <w:sz w:val="16"/>
                <w:szCs w:val="16"/>
              </w:rPr>
              <w:t> </w:t>
            </w:r>
            <w:r w:rsidRPr="0002083E">
              <w:rPr>
                <w:sz w:val="16"/>
                <w:szCs w:val="16"/>
              </w:rPr>
              <w:t>posledních pět let</w:t>
            </w:r>
          </w:p>
        </w:tc>
        <w:tc>
          <w:tcPr>
            <w:tcW w:w="143" w:type="pct"/>
          </w:tcPr>
          <w:p w:rsidR="003E68BC" w:rsidRPr="0002083E" w:rsidRDefault="003E68BC" w:rsidP="008C41F7">
            <w:pPr>
              <w:pStyle w:val="Textpoznpodarou"/>
              <w:jc w:val="both"/>
            </w:pPr>
          </w:p>
        </w:tc>
        <w:tc>
          <w:tcPr>
            <w:tcW w:w="3803" w:type="pct"/>
          </w:tcPr>
          <w:p w:rsidR="003E68BC" w:rsidRPr="00C81508" w:rsidRDefault="003E68BC" w:rsidP="008C41F7">
            <w:pPr>
              <w:pStyle w:val="Textpoznpodarou"/>
              <w:jc w:val="both"/>
            </w:pPr>
            <w:r w:rsidRPr="00C81508">
              <w:t>Celková cenová hladina v ekonomice, měřená implicitním deflátorem HDP</w:t>
            </w:r>
            <w:r>
              <w:t xml:space="preserve"> bez sezónního očištění, se</w:t>
            </w:r>
            <w:r w:rsidRPr="00C81508">
              <w:t xml:space="preserve"> v roce 2014</w:t>
            </w:r>
            <w:r>
              <w:t xml:space="preserve"> zvýšila</w:t>
            </w:r>
            <w:r w:rsidRPr="00C81508">
              <w:t xml:space="preserve"> </w:t>
            </w:r>
            <w:r>
              <w:t>již potřetí. Dynamika jejího přírůstku navíc ze</w:t>
            </w:r>
            <w:r w:rsidRPr="00C81508">
              <w:t xml:space="preserve">sílila. Zatímco v letech recese 2012 a 2013 se cenová hladina zvýšila </w:t>
            </w:r>
            <w:r>
              <w:t xml:space="preserve">shodně </w:t>
            </w:r>
            <w:r w:rsidRPr="00C81508">
              <w:t>o</w:t>
            </w:r>
            <w:r>
              <w:t> </w:t>
            </w:r>
            <w:r w:rsidRPr="00C81508">
              <w:t xml:space="preserve">1,4 %, v roce obnoveného růstu české ekonomiky 2014 dokonce o </w:t>
            </w:r>
            <w:r>
              <w:t>2,5 </w:t>
            </w:r>
            <w:r w:rsidRPr="00C81508">
              <w:t>%.</w:t>
            </w:r>
            <w:r>
              <w:t xml:space="preserve"> Za celou dekádu stoupla</w:t>
            </w:r>
            <w:r w:rsidRPr="00C81508">
              <w:t xml:space="preserve"> rychleji jen </w:t>
            </w:r>
            <w:r>
              <w:t>dvakrát</w:t>
            </w:r>
            <w:r w:rsidRPr="00C81508">
              <w:t xml:space="preserve"> (</w:t>
            </w:r>
            <w:r w:rsidR="00CB0414">
              <w:t>v letech</w:t>
            </w:r>
            <w:r>
              <w:t xml:space="preserve"> </w:t>
            </w:r>
            <w:r w:rsidRPr="00C81508">
              <w:t>2007 a 2009).</w:t>
            </w:r>
          </w:p>
          <w:p w:rsidR="003E68BC" w:rsidRPr="0002083E" w:rsidRDefault="003E68BC" w:rsidP="008C41F7">
            <w:pPr>
              <w:pStyle w:val="Textpoznpodarou"/>
              <w:jc w:val="both"/>
              <w:rPr>
                <w:sz w:val="16"/>
                <w:szCs w:val="16"/>
              </w:rPr>
            </w:pPr>
          </w:p>
        </w:tc>
      </w:tr>
      <w:tr w:rsidR="003E68BC" w:rsidRPr="0002083E" w:rsidTr="008C41F7">
        <w:trPr>
          <w:trHeight w:val="1815"/>
        </w:trPr>
        <w:tc>
          <w:tcPr>
            <w:tcW w:w="1054" w:type="pct"/>
          </w:tcPr>
          <w:p w:rsidR="003E68BC" w:rsidRPr="0002083E" w:rsidRDefault="003E68BC" w:rsidP="008C41F7">
            <w:pPr>
              <w:spacing w:line="240" w:lineRule="auto"/>
              <w:rPr>
                <w:sz w:val="16"/>
                <w:szCs w:val="16"/>
              </w:rPr>
            </w:pPr>
            <w:r w:rsidRPr="0002083E">
              <w:rPr>
                <w:sz w:val="16"/>
                <w:szCs w:val="16"/>
              </w:rPr>
              <w:t xml:space="preserve">Zatímco pozitivní směnné relace v zahraničním obchodě se zbožím byly hnací silou růstu </w:t>
            </w:r>
            <w:r>
              <w:rPr>
                <w:sz w:val="16"/>
                <w:szCs w:val="16"/>
              </w:rPr>
              <w:t xml:space="preserve">celkové </w:t>
            </w:r>
            <w:r w:rsidRPr="0002083E">
              <w:rPr>
                <w:sz w:val="16"/>
                <w:szCs w:val="16"/>
              </w:rPr>
              <w:t>cenové hladiny, …</w:t>
            </w:r>
          </w:p>
        </w:tc>
        <w:tc>
          <w:tcPr>
            <w:tcW w:w="143" w:type="pct"/>
          </w:tcPr>
          <w:p w:rsidR="003E68BC" w:rsidRPr="0002083E" w:rsidRDefault="003E68BC" w:rsidP="008C41F7">
            <w:pPr>
              <w:pStyle w:val="Textpoznpodarou"/>
              <w:jc w:val="both"/>
            </w:pPr>
          </w:p>
        </w:tc>
        <w:tc>
          <w:tcPr>
            <w:tcW w:w="3803" w:type="pct"/>
          </w:tcPr>
          <w:p w:rsidR="003E68BC" w:rsidRPr="0002083E" w:rsidRDefault="003E68BC" w:rsidP="008C41F7">
            <w:pPr>
              <w:pStyle w:val="Textpoznpodarou"/>
              <w:jc w:val="both"/>
            </w:pPr>
            <w:r w:rsidRPr="0002083E">
              <w:t>Na růstu celkové cenové hladiny v roce 2014 se podílel, stejně jako v roce předchozím, zejména příznivý vývoj cen v zahraničním obchodě. Směnné relace v úhrnu se zlepšily o 1,5 %, a to výhradně díky vy</w:t>
            </w:r>
            <w:r>
              <w:t>ššímu růstu cen vývozu zboží (+4,0</w:t>
            </w:r>
            <w:r w:rsidRPr="0002083E">
              <w:t xml:space="preserve"> </w:t>
            </w:r>
            <w:r>
              <w:t>%) proti dovozu zboží (+1,9</w:t>
            </w:r>
            <w:r w:rsidRPr="0002083E">
              <w:t xml:space="preserve"> %). V samotném zahraničním obchodě se službami se směnné relace vlivem menšího nárůstu cen vývozu (+</w:t>
            </w:r>
            <w:r>
              <w:t>4,7</w:t>
            </w:r>
            <w:r w:rsidRPr="0002083E">
              <w:t xml:space="preserve"> %) v porovnání s přírůstkem cen dovozu</w:t>
            </w:r>
            <w:r>
              <w:t xml:space="preserve"> (+6,9</w:t>
            </w:r>
            <w:r w:rsidRPr="0002083E">
              <w:t xml:space="preserve"> %) zhoršily (zahraniční obchod se službami tak růst celkové cenové hladiny v ČR brzdil).</w:t>
            </w:r>
          </w:p>
          <w:p w:rsidR="003E68BC" w:rsidRPr="0002083E" w:rsidRDefault="003E68BC" w:rsidP="008C41F7">
            <w:pPr>
              <w:pStyle w:val="Textpoznpodarou"/>
              <w:jc w:val="both"/>
              <w:rPr>
                <w:sz w:val="16"/>
                <w:szCs w:val="16"/>
              </w:rPr>
            </w:pPr>
          </w:p>
        </w:tc>
      </w:tr>
      <w:tr w:rsidR="003E68BC" w:rsidRPr="0002083E" w:rsidTr="008C41F7">
        <w:tc>
          <w:tcPr>
            <w:tcW w:w="1054" w:type="pct"/>
          </w:tcPr>
          <w:p w:rsidR="003E68BC" w:rsidRPr="0002083E" w:rsidRDefault="003E68BC" w:rsidP="008C41F7">
            <w:pPr>
              <w:spacing w:line="240" w:lineRule="auto"/>
              <w:rPr>
                <w:sz w:val="16"/>
                <w:szCs w:val="16"/>
              </w:rPr>
            </w:pPr>
            <w:r w:rsidRPr="0002083E">
              <w:rPr>
                <w:sz w:val="16"/>
                <w:szCs w:val="16"/>
              </w:rPr>
              <w:t>… v zahraničním obchodě se službami se směnné relace dále zhoršovaly</w:t>
            </w:r>
            <w:r>
              <w:rPr>
                <w:sz w:val="16"/>
                <w:szCs w:val="16"/>
              </w:rPr>
              <w:t xml:space="preserve"> a její růst tak brzdily</w:t>
            </w:r>
          </w:p>
        </w:tc>
        <w:tc>
          <w:tcPr>
            <w:tcW w:w="143" w:type="pct"/>
          </w:tcPr>
          <w:p w:rsidR="003E68BC" w:rsidRPr="0002083E" w:rsidRDefault="003E68BC" w:rsidP="008C41F7">
            <w:pPr>
              <w:pStyle w:val="Textpoznpodarou"/>
              <w:jc w:val="both"/>
            </w:pPr>
          </w:p>
        </w:tc>
        <w:tc>
          <w:tcPr>
            <w:tcW w:w="3803" w:type="pct"/>
          </w:tcPr>
          <w:p w:rsidR="003E68BC" w:rsidRPr="0002083E" w:rsidRDefault="003E68BC" w:rsidP="008C41F7">
            <w:pPr>
              <w:pStyle w:val="Textpoznpodarou"/>
              <w:jc w:val="both"/>
              <w:rPr>
                <w:spacing w:val="-4"/>
              </w:rPr>
            </w:pPr>
            <w:r w:rsidRPr="0002083E">
              <w:t>Nepříznivý cenový vývoj v zahraničn</w:t>
            </w:r>
            <w:r w:rsidR="00EA4370">
              <w:t>ím obchodě se službami nebyl</w:t>
            </w:r>
            <w:r w:rsidRPr="0002083E">
              <w:t xml:space="preserve"> ojedinělou záležitostí roku 2014. V zásadě se opakovala situace z předchozích </w:t>
            </w:r>
            <w:r>
              <w:t xml:space="preserve">dvou </w:t>
            </w:r>
            <w:r w:rsidRPr="0002083E">
              <w:t>let. Rozdíl v jednotlivých letech byl ovšem v tom, že „deflační“ tlaky, které ze strany zahraničního obchodu se službami plynuly, postupně sílily. Směnné relace se totiž po jednotlivých letech 2012, 2013 a 2014 zhoršovaly stále výrazněji</w:t>
            </w:r>
            <w:r>
              <w:t>,</w:t>
            </w:r>
            <w:r w:rsidRPr="0002083E">
              <w:t xml:space="preserve"> p</w:t>
            </w:r>
            <w:r>
              <w:t>ostupně o 0,5 %, 1,3</w:t>
            </w:r>
            <w:r w:rsidRPr="0002083E">
              <w:t xml:space="preserve"> % a </w:t>
            </w:r>
            <w:r>
              <w:t>2,1</w:t>
            </w:r>
            <w:r w:rsidRPr="0002083E">
              <w:t> %.</w:t>
            </w:r>
          </w:p>
          <w:p w:rsidR="003E68BC" w:rsidRPr="0002083E" w:rsidRDefault="003E68BC" w:rsidP="008C41F7">
            <w:pPr>
              <w:pStyle w:val="Textpoznpodarou"/>
              <w:jc w:val="both"/>
              <w:rPr>
                <w:sz w:val="16"/>
                <w:szCs w:val="16"/>
              </w:rPr>
            </w:pPr>
          </w:p>
        </w:tc>
      </w:tr>
      <w:tr w:rsidR="003E68BC" w:rsidRPr="0002083E" w:rsidTr="008C41F7">
        <w:tc>
          <w:tcPr>
            <w:tcW w:w="1054" w:type="pct"/>
          </w:tcPr>
          <w:p w:rsidR="003E68BC" w:rsidRPr="00E878D7" w:rsidRDefault="003E68BC" w:rsidP="008C41F7">
            <w:pPr>
              <w:spacing w:line="240" w:lineRule="auto"/>
              <w:rPr>
                <w:sz w:val="16"/>
                <w:szCs w:val="16"/>
              </w:rPr>
            </w:pPr>
            <w:r w:rsidRPr="00E878D7">
              <w:rPr>
                <w:sz w:val="16"/>
                <w:szCs w:val="16"/>
              </w:rPr>
              <w:t>K růstu ce</w:t>
            </w:r>
            <w:r>
              <w:rPr>
                <w:sz w:val="16"/>
                <w:szCs w:val="16"/>
              </w:rPr>
              <w:t>lkové cenové hladiny</w:t>
            </w:r>
            <w:r w:rsidRPr="00E878D7">
              <w:rPr>
                <w:sz w:val="16"/>
                <w:szCs w:val="16"/>
              </w:rPr>
              <w:t xml:space="preserve"> přispěly pozitivně i</w:t>
            </w:r>
            <w:r>
              <w:rPr>
                <w:sz w:val="16"/>
                <w:szCs w:val="16"/>
              </w:rPr>
              <w:t> </w:t>
            </w:r>
            <w:r w:rsidRPr="00E878D7">
              <w:rPr>
                <w:sz w:val="16"/>
                <w:szCs w:val="16"/>
              </w:rPr>
              <w:t>složky domácí poptávky</w:t>
            </w:r>
          </w:p>
        </w:tc>
        <w:tc>
          <w:tcPr>
            <w:tcW w:w="143" w:type="pct"/>
          </w:tcPr>
          <w:p w:rsidR="003E68BC" w:rsidRPr="00D35D5C" w:rsidRDefault="003E68BC" w:rsidP="008C41F7">
            <w:pPr>
              <w:pStyle w:val="Textpoznpodarou"/>
              <w:jc w:val="both"/>
              <w:rPr>
                <w:color w:val="FF0000"/>
              </w:rPr>
            </w:pPr>
          </w:p>
        </w:tc>
        <w:tc>
          <w:tcPr>
            <w:tcW w:w="3803" w:type="pct"/>
          </w:tcPr>
          <w:p w:rsidR="003E68BC" w:rsidRPr="00D35D5C" w:rsidRDefault="003E68BC" w:rsidP="008C41F7">
            <w:pPr>
              <w:pStyle w:val="Textpoznpodarou"/>
              <w:jc w:val="both"/>
              <w:rPr>
                <w:color w:val="FF0000"/>
              </w:rPr>
            </w:pPr>
            <w:r w:rsidRPr="00E878D7">
              <w:t xml:space="preserve">Přestože byl nárůst celkové cenové hladiny v roce 2014 iniciován především příznivým cenovým vývojem v zahraničním obchodě se zbožím, také složky domácí poptávky přispěly ke zvýšení cenové hladiny pozitivně. Výdaje na konečnou spotřebu vládních institucí – kam patří například výdaje na obranu, správu, školství, zdravotnictví atd. – podražily po faktické stagnaci v roce 2013, kdy se zvýšily jen o 0,1 %, </w:t>
            </w:r>
            <w:r>
              <w:t>u</w:t>
            </w:r>
            <w:r w:rsidRPr="00E878D7">
              <w:t>ž o </w:t>
            </w:r>
            <w:r>
              <w:t>1,5</w:t>
            </w:r>
            <w:r w:rsidRPr="00E878D7">
              <w:t xml:space="preserve"> %. Více narostly i ceny investic (tvorba hrubého fixního kapitálu). Jestliže v roce 2013 se zvýšily</w:t>
            </w:r>
            <w:r>
              <w:t xml:space="preserve"> pouze o 0</w:t>
            </w:r>
            <w:r w:rsidRPr="00E878D7">
              <w:t>,1 %, v roce následujícím stouply – především díky zrychlenému růstu cen objemově významných investic do ICT, strojů a zařízení –</w:t>
            </w:r>
            <w:r>
              <w:t xml:space="preserve"> o 1,9</w:t>
            </w:r>
            <w:r w:rsidRPr="00E878D7">
              <w:t xml:space="preserve"> %. K růstu cenové hladiny přispěl</w:t>
            </w:r>
            <w:r>
              <w:t>y</w:t>
            </w:r>
            <w:r w:rsidRPr="00E878D7">
              <w:t xml:space="preserve"> pozitivně také zboží a</w:t>
            </w:r>
            <w:r>
              <w:t xml:space="preserve"> služ</w:t>
            </w:r>
            <w:r w:rsidRPr="00E878D7">
              <w:t>b</w:t>
            </w:r>
            <w:r>
              <w:t>y</w:t>
            </w:r>
            <w:r w:rsidRPr="00E878D7">
              <w:t>, jež nakupují domácnosti, a to i přesto, že přírůstek cen těchto produktů již podruhé zpomalil</w:t>
            </w:r>
            <w:r>
              <w:t xml:space="preserve"> (+2,2</w:t>
            </w:r>
            <w:r w:rsidRPr="00E878D7">
              <w:t xml:space="preserve"> %</w:t>
            </w:r>
            <w:r>
              <w:t xml:space="preserve"> v roce 2012, +0,9 % v roce 2013, +0,5</w:t>
            </w:r>
            <w:r w:rsidRPr="00E878D7">
              <w:t> % v roce 2014).</w:t>
            </w:r>
          </w:p>
        </w:tc>
      </w:tr>
    </w:tbl>
    <w:p w:rsidR="003E68BC" w:rsidRPr="0002083E" w:rsidRDefault="003E68BC" w:rsidP="003E68BC">
      <w:pPr>
        <w:rPr>
          <w:sz w:val="16"/>
          <w:szCs w:val="16"/>
        </w:rPr>
      </w:pPr>
    </w:p>
    <w:tbl>
      <w:tblPr>
        <w:tblW w:w="5000" w:type="pct"/>
        <w:tblLook w:val="04A0"/>
      </w:tblPr>
      <w:tblGrid>
        <w:gridCol w:w="1052"/>
        <w:gridCol w:w="3883"/>
        <w:gridCol w:w="993"/>
        <w:gridCol w:w="3926"/>
      </w:tblGrid>
      <w:tr w:rsidR="003E68BC" w:rsidRPr="0002083E" w:rsidTr="008C41F7">
        <w:tc>
          <w:tcPr>
            <w:tcW w:w="532" w:type="pct"/>
          </w:tcPr>
          <w:p w:rsidR="003E68BC" w:rsidRPr="0002083E" w:rsidRDefault="003E68BC" w:rsidP="008C41F7">
            <w:pPr>
              <w:pStyle w:val="Textpoznpodarou"/>
            </w:pPr>
            <w:r w:rsidRPr="0002083E">
              <w:t>Graf č. 1</w:t>
            </w:r>
          </w:p>
        </w:tc>
        <w:tc>
          <w:tcPr>
            <w:tcW w:w="1967" w:type="pct"/>
          </w:tcPr>
          <w:p w:rsidR="003E68BC" w:rsidRPr="0002083E" w:rsidRDefault="003E68BC" w:rsidP="008C41F7">
            <w:pPr>
              <w:pStyle w:val="Textpoznpodarou"/>
            </w:pPr>
            <w:r w:rsidRPr="0002083E">
              <w:rPr>
                <w:b/>
              </w:rPr>
              <w:t>Implicitní deflátor HDP</w:t>
            </w:r>
            <w:r w:rsidRPr="0002083E">
              <w:t xml:space="preserve"> (y/y v %)</w:t>
            </w:r>
          </w:p>
        </w:tc>
        <w:tc>
          <w:tcPr>
            <w:tcW w:w="504" w:type="pct"/>
          </w:tcPr>
          <w:p w:rsidR="003E68BC" w:rsidRPr="0002083E" w:rsidRDefault="003E68BC" w:rsidP="008C41F7">
            <w:pPr>
              <w:pStyle w:val="Textpoznpodarou"/>
            </w:pPr>
            <w:r w:rsidRPr="0002083E">
              <w:t>Graf č. 2</w:t>
            </w:r>
          </w:p>
        </w:tc>
        <w:tc>
          <w:tcPr>
            <w:tcW w:w="1996" w:type="pct"/>
          </w:tcPr>
          <w:p w:rsidR="003E68BC" w:rsidRPr="0002083E" w:rsidRDefault="003E68BC" w:rsidP="008C41F7">
            <w:pPr>
              <w:pStyle w:val="Textpoznpodarou"/>
            </w:pPr>
            <w:r w:rsidRPr="0002083E">
              <w:rPr>
                <w:b/>
              </w:rPr>
              <w:t xml:space="preserve">Deflátory vybraných složek poptávky </w:t>
            </w:r>
            <w:r w:rsidRPr="0002083E">
              <w:t>(y/y v %)</w:t>
            </w:r>
          </w:p>
        </w:tc>
      </w:tr>
      <w:tr w:rsidR="003E68BC" w:rsidRPr="0056182E" w:rsidTr="008C41F7">
        <w:tc>
          <w:tcPr>
            <w:tcW w:w="2499" w:type="pct"/>
            <w:gridSpan w:val="2"/>
          </w:tcPr>
          <w:p w:rsidR="003E68BC" w:rsidRPr="0056182E" w:rsidRDefault="00E9367C" w:rsidP="008C41F7">
            <w:pPr>
              <w:pStyle w:val="Textpoznpodarou"/>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9" type="#_x0000_t75" style="width:237.75pt;height:186pt;visibility:visible;mso-wrap-style:square">
                  <v:imagedata r:id="rId8" o:title=""/>
                </v:shape>
              </w:pict>
            </w:r>
          </w:p>
        </w:tc>
        <w:tc>
          <w:tcPr>
            <w:tcW w:w="2501" w:type="pct"/>
            <w:gridSpan w:val="2"/>
          </w:tcPr>
          <w:p w:rsidR="003E68BC" w:rsidRPr="0056182E" w:rsidRDefault="00E9367C" w:rsidP="008C41F7">
            <w:pPr>
              <w:pStyle w:val="Textpoznpodarou"/>
              <w:jc w:val="both"/>
            </w:pPr>
            <w:r>
              <w:rPr>
                <w:noProof/>
              </w:rPr>
              <w:pict>
                <v:shape id="_x0000_i1530" type="#_x0000_t75" style="width:237pt;height:186pt;visibility:visible;mso-wrap-style:square">
                  <v:imagedata r:id="rId9" o:title=""/>
                </v:shape>
              </w:pict>
            </w:r>
          </w:p>
        </w:tc>
      </w:tr>
      <w:tr w:rsidR="003E68BC" w:rsidRPr="0002083E" w:rsidTr="008C41F7">
        <w:tc>
          <w:tcPr>
            <w:tcW w:w="5000" w:type="pct"/>
            <w:gridSpan w:val="4"/>
          </w:tcPr>
          <w:p w:rsidR="003E68BC" w:rsidRPr="0002083E" w:rsidRDefault="003E68BC" w:rsidP="008C41F7">
            <w:pPr>
              <w:pStyle w:val="Textpoznpodarou"/>
              <w:jc w:val="right"/>
              <w:rPr>
                <w:noProof/>
              </w:rPr>
            </w:pPr>
            <w:r w:rsidRPr="0002083E">
              <w:rPr>
                <w:sz w:val="18"/>
                <w:szCs w:val="18"/>
              </w:rPr>
              <w:t>Zdroj: ČSÚ, vlastní výpočty</w:t>
            </w:r>
          </w:p>
        </w:tc>
      </w:tr>
    </w:tbl>
    <w:p w:rsidR="003E68BC" w:rsidRPr="00AD306C" w:rsidRDefault="003E68BC" w:rsidP="008B0C8B">
      <w:pPr>
        <w:pStyle w:val="Nadpis2"/>
        <w:numPr>
          <w:ilvl w:val="1"/>
          <w:numId w:val="5"/>
        </w:numPr>
      </w:pPr>
      <w:bookmarkStart w:id="3" w:name="_Toc426017662"/>
      <w:r>
        <w:lastRenderedPageBreak/>
        <w:t>Ceny pro spotřebitele</w:t>
      </w:r>
      <w:bookmarkEnd w:id="3"/>
    </w:p>
    <w:tbl>
      <w:tblPr>
        <w:tblW w:w="5000" w:type="pct"/>
        <w:tblLayout w:type="fixed"/>
        <w:tblLook w:val="00A0"/>
      </w:tblPr>
      <w:tblGrid>
        <w:gridCol w:w="2077"/>
        <w:gridCol w:w="282"/>
        <w:gridCol w:w="7495"/>
      </w:tblGrid>
      <w:tr w:rsidR="003E68BC" w:rsidRPr="0002083E" w:rsidTr="008C41F7">
        <w:tc>
          <w:tcPr>
            <w:tcW w:w="1054" w:type="pct"/>
          </w:tcPr>
          <w:p w:rsidR="003E68BC" w:rsidRPr="0002083E" w:rsidRDefault="003E68BC" w:rsidP="008C41F7">
            <w:pPr>
              <w:spacing w:line="240" w:lineRule="auto"/>
              <w:rPr>
                <w:sz w:val="16"/>
                <w:szCs w:val="16"/>
              </w:rPr>
            </w:pPr>
            <w:r w:rsidRPr="0002083E">
              <w:rPr>
                <w:sz w:val="16"/>
                <w:szCs w:val="16"/>
              </w:rPr>
              <w:t>Navzdory uvolněným měnovým podmínkám klesla míra inflace v ČR v roce 2014 na pouhá 0,4 %, …</w:t>
            </w:r>
          </w:p>
        </w:tc>
        <w:tc>
          <w:tcPr>
            <w:tcW w:w="143" w:type="pct"/>
          </w:tcPr>
          <w:p w:rsidR="003E68BC" w:rsidRPr="0002083E" w:rsidRDefault="003E68BC" w:rsidP="008C41F7">
            <w:pPr>
              <w:pStyle w:val="Textpoznpodarou"/>
              <w:jc w:val="both"/>
            </w:pPr>
          </w:p>
        </w:tc>
        <w:tc>
          <w:tcPr>
            <w:tcW w:w="3803" w:type="pct"/>
          </w:tcPr>
          <w:p w:rsidR="003E68BC" w:rsidRPr="0002083E" w:rsidRDefault="003E68BC" w:rsidP="008C41F7">
            <w:pPr>
              <w:pStyle w:val="Textpoznpodarou"/>
              <w:jc w:val="both"/>
            </w:pPr>
            <w:r w:rsidRPr="0002083E">
              <w:t>Míra inflace v roce 2014 klesla na pouhá 0,4 %. S výjimkou roku 2003, kdy ceny pro spotřebitele prakticky stagnovaly (+0,1 %), byla vůbec nejnižší za dobu existence samostatné České republiky. Přestože Česká národní banka (ČNB) s dezinflací – která započala už v první polovině roku 2012 – bojovala setrvalým uvolňováním měnových podmínek</w:t>
            </w:r>
            <w:r w:rsidR="00D30788">
              <w:t>,</w:t>
            </w:r>
            <w:r w:rsidRPr="0002083E">
              <w:rPr>
                <w:rStyle w:val="Znakapoznpodarou"/>
              </w:rPr>
              <w:footnoteReference w:id="1"/>
            </w:r>
            <w:r w:rsidRPr="0002083E">
              <w:t xml:space="preserve"> nedařilo se jí tento trend zvrátit. Již druhým rokem tak míra inflace nabývala hodnoty, která byla z hlediska naplňování cíle ČNB – jenž je definovaný do podoby meziročního růstu spotřebitelských cen na úrovni 2 % – nedostatečná (v roce 2013 ceny pro spotřebitele vzrostly o 1,4 %).</w:t>
            </w:r>
          </w:p>
          <w:p w:rsidR="003E68BC" w:rsidRPr="00803424" w:rsidRDefault="003E68BC" w:rsidP="008C41F7">
            <w:pPr>
              <w:pStyle w:val="Textpoznpodarou"/>
              <w:jc w:val="both"/>
            </w:pPr>
          </w:p>
        </w:tc>
      </w:tr>
      <w:tr w:rsidR="003E68BC" w:rsidRPr="0002083E" w:rsidTr="008C41F7">
        <w:tc>
          <w:tcPr>
            <w:tcW w:w="1054" w:type="pct"/>
          </w:tcPr>
          <w:p w:rsidR="003E68BC" w:rsidRPr="0002083E" w:rsidRDefault="003E68BC" w:rsidP="008C41F7">
            <w:pPr>
              <w:spacing w:line="240" w:lineRule="auto"/>
              <w:rPr>
                <w:sz w:val="16"/>
                <w:szCs w:val="16"/>
              </w:rPr>
            </w:pPr>
            <w:r w:rsidRPr="0002083E">
              <w:rPr>
                <w:sz w:val="16"/>
                <w:szCs w:val="16"/>
              </w:rPr>
              <w:t xml:space="preserve">…příčinou nízkého růstu cen pro spotřebitele byla souhra několika faktorů. Zejména se jednalo o nepříznivý </w:t>
            </w:r>
            <w:r>
              <w:rPr>
                <w:sz w:val="16"/>
                <w:szCs w:val="16"/>
              </w:rPr>
              <w:t>cenový vývoj v </w:t>
            </w:r>
            <w:proofErr w:type="spellStart"/>
            <w:r>
              <w:rPr>
                <w:sz w:val="16"/>
                <w:szCs w:val="16"/>
              </w:rPr>
              <w:t>eurozóně</w:t>
            </w:r>
            <w:proofErr w:type="spellEnd"/>
            <w:r w:rsidRPr="0002083E">
              <w:rPr>
                <w:sz w:val="16"/>
                <w:szCs w:val="16"/>
              </w:rPr>
              <w:t>, pokles cen energií, dobrou úrodu zemědělských plodin a napjatou politickou situaci v Evropě</w:t>
            </w:r>
          </w:p>
        </w:tc>
        <w:tc>
          <w:tcPr>
            <w:tcW w:w="143" w:type="pct"/>
          </w:tcPr>
          <w:p w:rsidR="003E68BC" w:rsidRPr="0002083E" w:rsidRDefault="003E68BC" w:rsidP="008C41F7">
            <w:pPr>
              <w:pStyle w:val="Textpoznpodarou"/>
              <w:jc w:val="both"/>
            </w:pPr>
          </w:p>
        </w:tc>
        <w:tc>
          <w:tcPr>
            <w:tcW w:w="3803" w:type="pct"/>
          </w:tcPr>
          <w:p w:rsidR="003E68BC" w:rsidRPr="00FB3570" w:rsidRDefault="003E68BC" w:rsidP="008C41F7">
            <w:pPr>
              <w:pStyle w:val="Textpoznpodarou"/>
              <w:jc w:val="both"/>
            </w:pPr>
            <w:r w:rsidRPr="00FB3570">
              <w:t>Za velmi nízkým růstem cen pro spotřebitele v roce 2014 stál především nepříznivý cenový vývoj v</w:t>
            </w:r>
            <w:r>
              <w:t> </w:t>
            </w:r>
            <w:proofErr w:type="spellStart"/>
            <w:r>
              <w:t>eurozóně</w:t>
            </w:r>
            <w:proofErr w:type="spellEnd"/>
            <w:r w:rsidRPr="00FB3570">
              <w:t>, který</w:t>
            </w:r>
            <w:r w:rsidR="0027227B">
              <w:t xml:space="preserve"> se</w:t>
            </w:r>
            <w:r w:rsidRPr="00FB3570">
              <w:t xml:space="preserve"> do nadprůměrně otevřené české ekonomiky prolínal skrze ceny dovozu. Kromě toho se na nízké inflaci v roce 2014 podepsalo i zlevnění energií domácnostem (elektřiny a plynu), dále velmi dobrá úroda zemědělských plodin, jež vedla k relativně nízkému nárůstu cen potravin, ale také napjatá politická situace v Evropě – uvalené restrikce na zahraniční obchod zvyšovaly nabídku dotčených produktů trhu, což se promítalo do tlaku na pokles jejich cen. </w:t>
            </w:r>
            <w:r w:rsidR="002601FC">
              <w:t>Kurzová intervence ČNB (jež vedla primárně k výraznému oslabení české koruny k euru)</w:t>
            </w:r>
            <w:r w:rsidRPr="00FB3570">
              <w:t xml:space="preserve"> a nadále narůstající domácí poptávka nepříznivý cenový vývoj v ČR pouze tlumily, zvrátit jej však nedokázaly.</w:t>
            </w:r>
          </w:p>
          <w:p w:rsidR="003E68BC" w:rsidRPr="00803424" w:rsidRDefault="003E68BC" w:rsidP="008C41F7">
            <w:pPr>
              <w:pStyle w:val="Textpoznpodarou"/>
              <w:jc w:val="both"/>
            </w:pPr>
          </w:p>
        </w:tc>
      </w:tr>
      <w:tr w:rsidR="003E68BC" w:rsidRPr="0002083E" w:rsidTr="008C41F7">
        <w:trPr>
          <w:trHeight w:val="3210"/>
        </w:trPr>
        <w:tc>
          <w:tcPr>
            <w:tcW w:w="1054" w:type="pct"/>
          </w:tcPr>
          <w:p w:rsidR="003E68BC" w:rsidRPr="0002083E" w:rsidRDefault="003E68BC" w:rsidP="008C41F7">
            <w:pPr>
              <w:spacing w:line="240" w:lineRule="auto"/>
              <w:rPr>
                <w:sz w:val="16"/>
                <w:szCs w:val="16"/>
              </w:rPr>
            </w:pPr>
            <w:r w:rsidRPr="0002083E">
              <w:rPr>
                <w:sz w:val="16"/>
                <w:szCs w:val="16"/>
              </w:rPr>
              <w:t xml:space="preserve">Dostupné údaje poukazují na to, že </w:t>
            </w:r>
            <w:r>
              <w:rPr>
                <w:sz w:val="16"/>
                <w:szCs w:val="16"/>
              </w:rPr>
              <w:t xml:space="preserve">míra </w:t>
            </w:r>
            <w:r w:rsidRPr="0002083E">
              <w:rPr>
                <w:sz w:val="16"/>
                <w:szCs w:val="16"/>
              </w:rPr>
              <w:t>inflace bude nízká i v roce 2015, …</w:t>
            </w:r>
          </w:p>
          <w:p w:rsidR="003E68BC" w:rsidRPr="002C3E63" w:rsidRDefault="003E68BC" w:rsidP="008C41F7">
            <w:pPr>
              <w:spacing w:line="240" w:lineRule="auto"/>
              <w:rPr>
                <w:sz w:val="18"/>
                <w:szCs w:val="18"/>
              </w:rPr>
            </w:pPr>
          </w:p>
          <w:p w:rsidR="003E68BC" w:rsidRPr="002C3E63" w:rsidRDefault="003E68BC" w:rsidP="008C41F7">
            <w:pPr>
              <w:spacing w:line="240" w:lineRule="auto"/>
              <w:rPr>
                <w:sz w:val="18"/>
                <w:szCs w:val="18"/>
              </w:rPr>
            </w:pPr>
          </w:p>
          <w:p w:rsidR="003E68BC" w:rsidRPr="002C3E63" w:rsidRDefault="003E68BC" w:rsidP="008C41F7">
            <w:pPr>
              <w:spacing w:line="240" w:lineRule="auto"/>
              <w:rPr>
                <w:sz w:val="18"/>
                <w:szCs w:val="18"/>
              </w:rPr>
            </w:pPr>
          </w:p>
          <w:p w:rsidR="003E68BC" w:rsidRPr="002C3E63" w:rsidRDefault="003E68BC" w:rsidP="008C41F7">
            <w:pPr>
              <w:spacing w:line="240" w:lineRule="auto"/>
              <w:rPr>
                <w:sz w:val="18"/>
                <w:szCs w:val="18"/>
              </w:rPr>
            </w:pPr>
          </w:p>
          <w:p w:rsidR="003E68BC" w:rsidRPr="00803424" w:rsidRDefault="003E68BC" w:rsidP="008C41F7">
            <w:pPr>
              <w:spacing w:line="240" w:lineRule="auto"/>
              <w:rPr>
                <w:sz w:val="22"/>
                <w:szCs w:val="22"/>
              </w:rPr>
            </w:pPr>
          </w:p>
          <w:p w:rsidR="003E68BC" w:rsidRPr="002C3E63" w:rsidRDefault="003E68BC" w:rsidP="008C41F7">
            <w:pPr>
              <w:spacing w:line="240" w:lineRule="auto"/>
              <w:rPr>
                <w:sz w:val="18"/>
                <w:szCs w:val="18"/>
              </w:rPr>
            </w:pPr>
          </w:p>
          <w:p w:rsidR="003E68BC" w:rsidRPr="002C3E63" w:rsidRDefault="003E68BC" w:rsidP="008C41F7">
            <w:pPr>
              <w:spacing w:line="240" w:lineRule="auto"/>
              <w:rPr>
                <w:sz w:val="18"/>
                <w:szCs w:val="18"/>
              </w:rPr>
            </w:pPr>
          </w:p>
          <w:p w:rsidR="003E68BC" w:rsidRPr="002C3E63" w:rsidRDefault="003E68BC" w:rsidP="008C41F7">
            <w:pPr>
              <w:spacing w:line="240" w:lineRule="auto"/>
              <w:rPr>
                <w:szCs w:val="20"/>
              </w:rPr>
            </w:pPr>
          </w:p>
          <w:p w:rsidR="003E68BC" w:rsidRPr="002C3E63" w:rsidRDefault="003E68BC" w:rsidP="008C41F7">
            <w:pPr>
              <w:spacing w:line="240" w:lineRule="auto"/>
              <w:rPr>
                <w:szCs w:val="20"/>
              </w:rPr>
            </w:pPr>
          </w:p>
          <w:p w:rsidR="003E68BC" w:rsidRPr="002C3E63" w:rsidRDefault="003E68BC" w:rsidP="008C41F7">
            <w:pPr>
              <w:spacing w:line="240" w:lineRule="auto"/>
              <w:rPr>
                <w:szCs w:val="20"/>
              </w:rPr>
            </w:pPr>
          </w:p>
          <w:p w:rsidR="003E68BC" w:rsidRPr="0002083E" w:rsidRDefault="003E68BC" w:rsidP="008C41F7">
            <w:pPr>
              <w:spacing w:line="240" w:lineRule="auto"/>
              <w:rPr>
                <w:sz w:val="16"/>
                <w:szCs w:val="16"/>
              </w:rPr>
            </w:pPr>
            <w:r>
              <w:rPr>
                <w:sz w:val="16"/>
                <w:szCs w:val="16"/>
              </w:rPr>
              <w:t>… v úhrnu za prvních šest měsíců</w:t>
            </w:r>
            <w:r w:rsidRPr="0002083E">
              <w:rPr>
                <w:sz w:val="16"/>
                <w:szCs w:val="16"/>
              </w:rPr>
              <w:t xml:space="preserve"> roku ceny pro spotřebitele vzrostly meziročně </w:t>
            </w:r>
            <w:r>
              <w:rPr>
                <w:sz w:val="16"/>
                <w:szCs w:val="16"/>
              </w:rPr>
              <w:t xml:space="preserve">jen </w:t>
            </w:r>
            <w:r w:rsidRPr="0002083E">
              <w:rPr>
                <w:sz w:val="16"/>
                <w:szCs w:val="16"/>
              </w:rPr>
              <w:t>o</w:t>
            </w:r>
            <w:r>
              <w:rPr>
                <w:sz w:val="16"/>
                <w:szCs w:val="16"/>
              </w:rPr>
              <w:t xml:space="preserve"> 0,4</w:t>
            </w:r>
            <w:r w:rsidRPr="0002083E">
              <w:rPr>
                <w:sz w:val="16"/>
                <w:szCs w:val="16"/>
              </w:rPr>
              <w:t> %</w:t>
            </w:r>
          </w:p>
        </w:tc>
        <w:tc>
          <w:tcPr>
            <w:tcW w:w="143" w:type="pct"/>
          </w:tcPr>
          <w:p w:rsidR="003E68BC" w:rsidRPr="0002083E" w:rsidRDefault="003E68BC" w:rsidP="008C41F7">
            <w:pPr>
              <w:pStyle w:val="Textpoznpodarou"/>
              <w:jc w:val="both"/>
            </w:pPr>
          </w:p>
        </w:tc>
        <w:tc>
          <w:tcPr>
            <w:tcW w:w="3803" w:type="pct"/>
          </w:tcPr>
          <w:p w:rsidR="003E68BC" w:rsidRPr="00AC2D83" w:rsidRDefault="003E68BC" w:rsidP="008C41F7">
            <w:pPr>
              <w:pStyle w:val="Textpoznpodarou"/>
              <w:jc w:val="both"/>
            </w:pPr>
            <w:r>
              <w:t xml:space="preserve">Míra inflace zůstane s největší pravděpodobností nízká i v úhrnu za celý rok 2015. </w:t>
            </w:r>
            <w:r w:rsidR="00251879">
              <w:t>Hlavní příčiny</w:t>
            </w:r>
            <w:r w:rsidRPr="00AC2D83">
              <w:t>,</w:t>
            </w:r>
            <w:r w:rsidR="00251879">
              <w:t xml:space="preserve"> které na to poukazují, jsou dvě</w:t>
            </w:r>
            <w:r w:rsidR="00F80280">
              <w:t>. Za</w:t>
            </w:r>
            <w:r w:rsidRPr="00AC2D83">
              <w:t xml:space="preserve">prvé, </w:t>
            </w:r>
            <w:r>
              <w:t xml:space="preserve">deflační </w:t>
            </w:r>
            <w:r w:rsidRPr="00AC2D83">
              <w:t xml:space="preserve">vývoj </w:t>
            </w:r>
            <w:r>
              <w:t xml:space="preserve">v </w:t>
            </w:r>
            <w:proofErr w:type="spellStart"/>
            <w:r w:rsidRPr="00AC2D83">
              <w:t>eurozóně</w:t>
            </w:r>
            <w:proofErr w:type="spellEnd"/>
            <w:r w:rsidRPr="00AC2D83">
              <w:t xml:space="preserve"> se dle meziroční změny cen</w:t>
            </w:r>
            <w:r w:rsidR="00F80280">
              <w:t xml:space="preserve"> zpracovatelů na přelomu let</w:t>
            </w:r>
            <w:r>
              <w:t xml:space="preserve"> 2014 a 2015 prohloubil, a přestože v měsících následujících deflace již slábla, zůstává vývoj cen zpracovatelů v tomto hospodářském prostoru stále v záporných číslech. </w:t>
            </w:r>
            <w:r w:rsidRPr="00AC2D83">
              <w:t>Dovoz nepříznivého cenového vývoje do ČR – navíc umocněný tím, že efekt výrazného oslaben</w:t>
            </w:r>
            <w:r>
              <w:t>í koruny k euru v prosinci 2014</w:t>
            </w:r>
            <w:r w:rsidRPr="00AC2D83">
              <w:t xml:space="preserve"> vyprchal – tak </w:t>
            </w:r>
            <w:r>
              <w:t>trvá</w:t>
            </w:r>
            <w:r w:rsidR="00F80280">
              <w:t>. Za</w:t>
            </w:r>
            <w:r w:rsidRPr="00AC2D83">
              <w:t xml:space="preserve">druhé, na světovém trhu s komoditami došlo ve druhém pololetí 2014 k výraznému propadu cen ropy a zemního plynu. I když pokles jejich cen v roce 2015 </w:t>
            </w:r>
            <w:r>
              <w:t>u</w:t>
            </w:r>
            <w:r w:rsidRPr="00AC2D83">
              <w:t>ž dále nepokračoval</w:t>
            </w:r>
            <w:r>
              <w:t>, ceny ropy i zemního plynu jsou</w:t>
            </w:r>
            <w:r w:rsidRPr="00AC2D83">
              <w:t xml:space="preserve"> meziročně stále výrazně nižší. Prvotní náraz v podobě poklesu cen pohonných hmot se již v cenách pro spotřebitele projevil, avšak druhotný – kdy výrobci </w:t>
            </w:r>
            <w:r>
              <w:t>reflektují</w:t>
            </w:r>
            <w:r w:rsidRPr="00AC2D83">
              <w:t xml:space="preserve"> nižší náklady i v konečných cenách – budou ceny zřejmě vstřebávat dlouhodoběji.</w:t>
            </w:r>
          </w:p>
          <w:p w:rsidR="003E68BC" w:rsidRPr="00803424" w:rsidRDefault="003E68BC" w:rsidP="008C41F7">
            <w:pPr>
              <w:pStyle w:val="Textpoznpodarou"/>
              <w:jc w:val="both"/>
              <w:rPr>
                <w:spacing w:val="-2"/>
              </w:rPr>
            </w:pPr>
          </w:p>
          <w:p w:rsidR="003E68BC" w:rsidRPr="0002083E" w:rsidRDefault="003E68BC" w:rsidP="008C41F7">
            <w:pPr>
              <w:pStyle w:val="Textpoznpodarou"/>
              <w:jc w:val="both"/>
              <w:rPr>
                <w:spacing w:val="-4"/>
                <w:sz w:val="16"/>
                <w:szCs w:val="16"/>
              </w:rPr>
            </w:pPr>
            <w:r w:rsidRPr="0002083E">
              <w:rPr>
                <w:spacing w:val="-4"/>
              </w:rPr>
              <w:t>Jak dokláda</w:t>
            </w:r>
            <w:r>
              <w:rPr>
                <w:spacing w:val="-4"/>
              </w:rPr>
              <w:t>jí údaje o inflaci z prvních šesti</w:t>
            </w:r>
            <w:r w:rsidRPr="0002083E">
              <w:rPr>
                <w:spacing w:val="-4"/>
              </w:rPr>
              <w:t xml:space="preserve"> měsíců</w:t>
            </w:r>
            <w:r>
              <w:rPr>
                <w:spacing w:val="-4"/>
              </w:rPr>
              <w:t xml:space="preserve"> roku</w:t>
            </w:r>
            <w:r w:rsidRPr="0002083E">
              <w:rPr>
                <w:spacing w:val="-4"/>
              </w:rPr>
              <w:t xml:space="preserve"> 2015, meziroční růst spotřebitelských cen je </w:t>
            </w:r>
            <w:r>
              <w:rPr>
                <w:spacing w:val="-4"/>
              </w:rPr>
              <w:t>i přes pozvolné navyšování dynamiky stále střídmý.</w:t>
            </w:r>
          </w:p>
        </w:tc>
      </w:tr>
    </w:tbl>
    <w:p w:rsidR="003E68BC" w:rsidRPr="00803424" w:rsidRDefault="003E68BC" w:rsidP="003E68BC">
      <w:pPr>
        <w:rPr>
          <w:szCs w:val="20"/>
        </w:rPr>
      </w:pPr>
    </w:p>
    <w:tbl>
      <w:tblPr>
        <w:tblW w:w="5000" w:type="pct"/>
        <w:tblLook w:val="04A0"/>
      </w:tblPr>
      <w:tblGrid>
        <w:gridCol w:w="1056"/>
        <w:gridCol w:w="1027"/>
        <w:gridCol w:w="287"/>
        <w:gridCol w:w="2568"/>
        <w:gridCol w:w="994"/>
        <w:gridCol w:w="3922"/>
      </w:tblGrid>
      <w:tr w:rsidR="003E68BC" w:rsidRPr="0002083E" w:rsidTr="008C41F7">
        <w:tc>
          <w:tcPr>
            <w:tcW w:w="535" w:type="pct"/>
          </w:tcPr>
          <w:p w:rsidR="003E68BC" w:rsidRPr="0002083E" w:rsidRDefault="003E68BC" w:rsidP="008C41F7">
            <w:pPr>
              <w:pStyle w:val="Textpoznpodarou"/>
            </w:pPr>
            <w:r w:rsidRPr="0002083E">
              <w:t>Graf č. 3</w:t>
            </w:r>
          </w:p>
        </w:tc>
        <w:tc>
          <w:tcPr>
            <w:tcW w:w="1966" w:type="pct"/>
            <w:gridSpan w:val="3"/>
          </w:tcPr>
          <w:p w:rsidR="003E68BC" w:rsidRPr="0002083E" w:rsidRDefault="003E68BC" w:rsidP="008C41F7">
            <w:pPr>
              <w:pStyle w:val="Textpoznpodarou"/>
            </w:pPr>
            <w:r w:rsidRPr="0002083E">
              <w:rPr>
                <w:b/>
              </w:rPr>
              <w:t>Ceny pro spotřebitele</w:t>
            </w:r>
            <w:r w:rsidRPr="0002083E">
              <w:t xml:space="preserve"> (y/y v %)</w:t>
            </w:r>
          </w:p>
        </w:tc>
        <w:tc>
          <w:tcPr>
            <w:tcW w:w="505" w:type="pct"/>
          </w:tcPr>
          <w:p w:rsidR="003E68BC" w:rsidRPr="0002083E" w:rsidRDefault="003E68BC" w:rsidP="008C41F7">
            <w:pPr>
              <w:pStyle w:val="Textpoznpodarou"/>
            </w:pPr>
            <w:r w:rsidRPr="0002083E">
              <w:t>Graf č. 4</w:t>
            </w:r>
          </w:p>
        </w:tc>
        <w:tc>
          <w:tcPr>
            <w:tcW w:w="1994" w:type="pct"/>
          </w:tcPr>
          <w:p w:rsidR="003E68BC" w:rsidRPr="0002083E" w:rsidRDefault="003E68BC" w:rsidP="008C41F7">
            <w:pPr>
              <w:pStyle w:val="Textpoznpodarou"/>
            </w:pPr>
            <w:r w:rsidRPr="0002083E">
              <w:rPr>
                <w:b/>
              </w:rPr>
              <w:t xml:space="preserve">Ceny pro spotřebitele dle jednotlivých typů domácností </w:t>
            </w:r>
            <w:r w:rsidRPr="0002083E">
              <w:t>(y/y v %)</w:t>
            </w:r>
          </w:p>
        </w:tc>
      </w:tr>
      <w:tr w:rsidR="003E68BC" w:rsidRPr="0002083E" w:rsidTr="008C41F7">
        <w:tc>
          <w:tcPr>
            <w:tcW w:w="2502" w:type="pct"/>
            <w:gridSpan w:val="4"/>
          </w:tcPr>
          <w:p w:rsidR="003E68BC" w:rsidRPr="0002083E" w:rsidRDefault="00E70B7D" w:rsidP="008C41F7">
            <w:pPr>
              <w:pStyle w:val="Textpoznpodarou"/>
              <w:jc w:val="both"/>
            </w:pPr>
            <w:r>
              <w:rPr>
                <w:noProof/>
              </w:rPr>
              <w:pict>
                <v:shape id="_x0000_i1531" type="#_x0000_t75" style="width:237.75pt;height:186pt;visibility:visible;mso-wrap-style:square">
                  <v:imagedata r:id="rId10" o:title=""/>
                </v:shape>
              </w:pict>
            </w:r>
          </w:p>
        </w:tc>
        <w:tc>
          <w:tcPr>
            <w:tcW w:w="2498" w:type="pct"/>
            <w:gridSpan w:val="2"/>
          </w:tcPr>
          <w:p w:rsidR="003E68BC" w:rsidRPr="0002083E" w:rsidRDefault="00E70B7D" w:rsidP="008C41F7">
            <w:pPr>
              <w:pStyle w:val="Textpoznpodarou"/>
              <w:jc w:val="both"/>
            </w:pPr>
            <w:r>
              <w:rPr>
                <w:noProof/>
              </w:rPr>
              <w:pict>
                <v:shape id="_x0000_i1532" type="#_x0000_t75" style="width:237pt;height:186pt;visibility:visible;mso-wrap-style:square">
                  <v:imagedata r:id="rId11" o:title=""/>
                </v:shape>
              </w:pict>
            </w:r>
          </w:p>
        </w:tc>
      </w:tr>
      <w:tr w:rsidR="003E68BC" w:rsidRPr="0002083E" w:rsidTr="008C41F7">
        <w:tc>
          <w:tcPr>
            <w:tcW w:w="5000" w:type="pct"/>
            <w:gridSpan w:val="6"/>
          </w:tcPr>
          <w:p w:rsidR="003E68BC" w:rsidRDefault="003E68BC" w:rsidP="008C41F7">
            <w:pPr>
              <w:pStyle w:val="Textpoznpodarou"/>
              <w:jc w:val="right"/>
              <w:rPr>
                <w:sz w:val="18"/>
                <w:szCs w:val="18"/>
              </w:rPr>
            </w:pPr>
            <w:r w:rsidRPr="0002083E">
              <w:rPr>
                <w:sz w:val="18"/>
                <w:szCs w:val="18"/>
              </w:rPr>
              <w:t>Zdroj: ČSÚ</w:t>
            </w:r>
          </w:p>
          <w:p w:rsidR="002601FC" w:rsidRPr="0002083E" w:rsidRDefault="002601FC" w:rsidP="008C41F7">
            <w:pPr>
              <w:pStyle w:val="Textpoznpodarou"/>
              <w:jc w:val="right"/>
              <w:rPr>
                <w:noProof/>
              </w:rPr>
            </w:pPr>
          </w:p>
        </w:tc>
      </w:tr>
      <w:tr w:rsidR="003E68BC" w:rsidRPr="0002083E" w:rsidTr="008C41F7">
        <w:tblPrEx>
          <w:tblLook w:val="00A0"/>
        </w:tblPrEx>
        <w:tc>
          <w:tcPr>
            <w:tcW w:w="1055" w:type="pct"/>
            <w:gridSpan w:val="2"/>
          </w:tcPr>
          <w:p w:rsidR="003E68BC" w:rsidRPr="0002083E" w:rsidRDefault="003E68BC" w:rsidP="008C41F7">
            <w:pPr>
              <w:spacing w:line="240" w:lineRule="auto"/>
              <w:rPr>
                <w:sz w:val="16"/>
                <w:szCs w:val="16"/>
              </w:rPr>
            </w:pPr>
            <w:r w:rsidRPr="0002083E">
              <w:rPr>
                <w:sz w:val="16"/>
                <w:szCs w:val="16"/>
              </w:rPr>
              <w:lastRenderedPageBreak/>
              <w:t>Z levnějších energií v roce 2014 těžily hlavně domácnosti důchodců</w:t>
            </w:r>
          </w:p>
        </w:tc>
        <w:tc>
          <w:tcPr>
            <w:tcW w:w="145" w:type="pct"/>
          </w:tcPr>
          <w:p w:rsidR="003E68BC" w:rsidRPr="0002083E" w:rsidRDefault="003E68BC" w:rsidP="008C41F7">
            <w:pPr>
              <w:pStyle w:val="Textpoznpodarou"/>
              <w:jc w:val="both"/>
            </w:pPr>
          </w:p>
        </w:tc>
        <w:tc>
          <w:tcPr>
            <w:tcW w:w="3799" w:type="pct"/>
            <w:gridSpan w:val="3"/>
          </w:tcPr>
          <w:p w:rsidR="003E68BC" w:rsidRPr="0002083E" w:rsidRDefault="003E68BC" w:rsidP="008C41F7">
            <w:pPr>
              <w:pStyle w:val="Textpoznpodarou"/>
              <w:jc w:val="both"/>
            </w:pPr>
            <w:r w:rsidRPr="0002083E">
              <w:t>Vývoj cen pro spotřebitele, tak jak je zachycován mírou inflace, je vývojem za domácnosti celkem</w:t>
            </w:r>
            <w:r w:rsidR="00764664">
              <w:t>,</w:t>
            </w:r>
            <w:r w:rsidRPr="0002083E">
              <w:t xml:space="preserve"> a tedy vývojem průměrným. Konkrétní typy domácností (například domácnosti žijící v Praze, domácnosti důchodců) ovšem cenovou dynamiku pociťují odlišně, velmi přitom záleží na konkrétní struktuře jejich vydání, tedy na tom, jakou část svých výdajů vyčleňují na pořízení konkrétního zboží nebo služby. Zatímco tak míra inflace v roce 2014 dosáhla 0,4 %, domácnosti žijící v Praze zaznamenaly růst cen o 0,8 %. Naproti tomu domácnosti důchodců těžily z 0,1 % poklesu. Co konkrétně za touto disproporcí stálo? Především výrazné zlevnění energií</w:t>
            </w:r>
            <w:r w:rsidRPr="0002083E">
              <w:rPr>
                <w:rStyle w:val="Znakapoznpodarou"/>
              </w:rPr>
              <w:footnoteReference w:id="2"/>
            </w:r>
            <w:r w:rsidRPr="0002083E">
              <w:t>. Na ty totiž domácnosti celkem vynakládají 10,3 %</w:t>
            </w:r>
            <w:r w:rsidRPr="0002083E">
              <w:rPr>
                <w:rStyle w:val="Znakapoznpodarou"/>
              </w:rPr>
              <w:footnoteReference w:id="3"/>
            </w:r>
            <w:r w:rsidRPr="0002083E">
              <w:t xml:space="preserve"> svých celkových vydání, domácnosti žijící v Praze ale jen 8,4 %, proto se jich pokles cen energií dotkl méně. Naproti tomu domácnosti důchodců na ně vynakládají výrazně vyšších 15,9 % z celkových vydání. Logicky tak z jejich zlevnění těžily mnohem intenzivněji.</w:t>
            </w:r>
          </w:p>
          <w:p w:rsidR="003E68BC" w:rsidRPr="0002083E" w:rsidRDefault="003E68BC" w:rsidP="008C41F7">
            <w:pPr>
              <w:pStyle w:val="Textpoznpodarou"/>
              <w:jc w:val="both"/>
              <w:rPr>
                <w:sz w:val="16"/>
                <w:szCs w:val="16"/>
              </w:rPr>
            </w:pPr>
          </w:p>
        </w:tc>
      </w:tr>
      <w:tr w:rsidR="003E68BC" w:rsidRPr="0002083E" w:rsidTr="008C41F7">
        <w:tblPrEx>
          <w:tblLook w:val="00A0"/>
        </w:tblPrEx>
        <w:tc>
          <w:tcPr>
            <w:tcW w:w="1055" w:type="pct"/>
            <w:gridSpan w:val="2"/>
          </w:tcPr>
          <w:p w:rsidR="003E68BC" w:rsidRPr="0002083E" w:rsidRDefault="003E68BC" w:rsidP="008C41F7">
            <w:pPr>
              <w:spacing w:line="240" w:lineRule="auto"/>
              <w:rPr>
                <w:sz w:val="16"/>
                <w:szCs w:val="16"/>
              </w:rPr>
            </w:pPr>
            <w:r w:rsidRPr="0002083E">
              <w:rPr>
                <w:sz w:val="16"/>
                <w:szCs w:val="16"/>
              </w:rPr>
              <w:t>Ceny potravin stouply v roce 2014 jen o 2,3 %, výrazně méně než ve třech letech předchozích, …</w:t>
            </w:r>
          </w:p>
        </w:tc>
        <w:tc>
          <w:tcPr>
            <w:tcW w:w="145" w:type="pct"/>
          </w:tcPr>
          <w:p w:rsidR="003E68BC" w:rsidRPr="0002083E" w:rsidRDefault="003E68BC" w:rsidP="008C41F7">
            <w:pPr>
              <w:pStyle w:val="Textpoznpodarou"/>
              <w:jc w:val="both"/>
            </w:pPr>
          </w:p>
        </w:tc>
        <w:tc>
          <w:tcPr>
            <w:tcW w:w="3799" w:type="pct"/>
            <w:gridSpan w:val="3"/>
          </w:tcPr>
          <w:p w:rsidR="003E68BC" w:rsidRPr="0002083E" w:rsidRDefault="003E68BC" w:rsidP="008C41F7">
            <w:pPr>
              <w:pStyle w:val="Textpoznpodarou"/>
              <w:jc w:val="both"/>
            </w:pPr>
            <w:r w:rsidRPr="0002083E">
              <w:t>Potraviny, za které si tuzemští spotřebitelé museli v roce 2011 připlatit 4,4 %, v roce 2012 dokonce 6,6 % a v roce 2013 stále vysokých 5,4 %,</w:t>
            </w:r>
            <w:r>
              <w:t xml:space="preserve"> zdražily v roce 2014</w:t>
            </w:r>
            <w:r w:rsidRPr="0002083E">
              <w:t xml:space="preserve"> už jen o 2,3 %. Důvodem tohoto jen mírného pohybu směrem vzhůru – v kontextu předchozích tří let ojedinělého, avšak pro domácnosti jistě příznivého – byla zejména dobrá úroda zemědělských plodin, která významně stlačila ceny rostlinné výroby (-10,3 %). Ty se příznivě promítly v nákladech </w:t>
            </w:r>
            <w:r>
              <w:t>potravinářů</w:t>
            </w:r>
            <w:r w:rsidRPr="0002083E">
              <w:t>, a</w:t>
            </w:r>
            <w:r>
              <w:t> </w:t>
            </w:r>
            <w:r w:rsidRPr="0002083E">
              <w:t xml:space="preserve">v logice věci i v cenách jejich produkce. V úhrnu </w:t>
            </w:r>
            <w:r>
              <w:t>tito výrobci</w:t>
            </w:r>
            <w:r w:rsidRPr="0002083E">
              <w:t xml:space="preserve"> (podle výrobkové klasifikace CZ-CPA producenti p</w:t>
            </w:r>
            <w:r>
              <w:t>otravinářských výrobků, nápojů a</w:t>
            </w:r>
            <w:r w:rsidRPr="0002083E">
              <w:t xml:space="preserve"> tabáku) </w:t>
            </w:r>
            <w:r>
              <w:t>zlevnili </w:t>
            </w:r>
            <w:r w:rsidRPr="0002083E">
              <w:t>o mírných 0,3 %. Dynamika růstu cen potravin v obchodech tak mohla klesnout.</w:t>
            </w:r>
          </w:p>
          <w:p w:rsidR="003E68BC" w:rsidRPr="0002083E" w:rsidRDefault="003E68BC" w:rsidP="008C41F7">
            <w:pPr>
              <w:pStyle w:val="Textpoznpodarou"/>
              <w:jc w:val="both"/>
              <w:rPr>
                <w:sz w:val="16"/>
                <w:szCs w:val="16"/>
              </w:rPr>
            </w:pPr>
          </w:p>
        </w:tc>
      </w:tr>
      <w:tr w:rsidR="003E68BC" w:rsidRPr="0002083E" w:rsidTr="008C41F7">
        <w:tblPrEx>
          <w:tblLook w:val="00A0"/>
        </w:tblPrEx>
        <w:tc>
          <w:tcPr>
            <w:tcW w:w="1055" w:type="pct"/>
            <w:gridSpan w:val="2"/>
          </w:tcPr>
          <w:p w:rsidR="003E68BC" w:rsidRPr="0002083E" w:rsidRDefault="003E68BC" w:rsidP="008C41F7">
            <w:pPr>
              <w:spacing w:line="240" w:lineRule="auto"/>
              <w:rPr>
                <w:sz w:val="16"/>
                <w:szCs w:val="16"/>
              </w:rPr>
            </w:pPr>
            <w:r w:rsidRPr="0002083E">
              <w:rPr>
                <w:sz w:val="16"/>
                <w:szCs w:val="16"/>
              </w:rPr>
              <w:t>… přitom nebýt pokračujícího nárůstu cen dovozu, jejich dynamika mohla být ještě příznivější</w:t>
            </w:r>
          </w:p>
        </w:tc>
        <w:tc>
          <w:tcPr>
            <w:tcW w:w="145" w:type="pct"/>
          </w:tcPr>
          <w:p w:rsidR="003E68BC" w:rsidRPr="0002083E" w:rsidRDefault="003E68BC" w:rsidP="008C41F7">
            <w:pPr>
              <w:pStyle w:val="Textpoznpodarou"/>
              <w:jc w:val="both"/>
            </w:pPr>
          </w:p>
        </w:tc>
        <w:tc>
          <w:tcPr>
            <w:tcW w:w="3799" w:type="pct"/>
            <w:gridSpan w:val="3"/>
          </w:tcPr>
          <w:p w:rsidR="003E68BC" w:rsidRPr="0002083E" w:rsidRDefault="003E68BC" w:rsidP="008C41F7">
            <w:pPr>
              <w:pStyle w:val="Textpoznpodarou"/>
              <w:jc w:val="both"/>
            </w:pPr>
            <w:r w:rsidRPr="0002083E">
              <w:t>Cenová dynamika ve výrobním řetězci naznačuje, že nebýt pokračujícího nárůstu cen dovozu potravin</w:t>
            </w:r>
            <w:r>
              <w:t xml:space="preserve"> (vč. živých zvířat</w:t>
            </w:r>
            <w:r>
              <w:rPr>
                <w:lang w:val="en-US"/>
              </w:rPr>
              <w:t>;</w:t>
            </w:r>
            <w:r w:rsidRPr="0002083E">
              <w:t xml:space="preserve"> v roce 2014</w:t>
            </w:r>
            <w:r>
              <w:t xml:space="preserve"> i vlivem slabší koruny růst o 4,4 %),</w:t>
            </w:r>
            <w:r w:rsidRPr="0002083E">
              <w:t xml:space="preserve"> mohl být přírůstek cen potravin v tuzemských obchodech ještě nižší.</w:t>
            </w:r>
          </w:p>
          <w:p w:rsidR="003E68BC" w:rsidRPr="0002083E" w:rsidRDefault="003E68BC" w:rsidP="008C41F7">
            <w:pPr>
              <w:pStyle w:val="Textpoznpodarou"/>
              <w:jc w:val="both"/>
              <w:rPr>
                <w:sz w:val="16"/>
                <w:szCs w:val="16"/>
              </w:rPr>
            </w:pPr>
          </w:p>
        </w:tc>
      </w:tr>
      <w:tr w:rsidR="003E68BC" w:rsidRPr="0002083E" w:rsidTr="008C41F7">
        <w:tblPrEx>
          <w:tblLook w:val="00A0"/>
        </w:tblPrEx>
        <w:tc>
          <w:tcPr>
            <w:tcW w:w="1055" w:type="pct"/>
            <w:gridSpan w:val="2"/>
          </w:tcPr>
          <w:p w:rsidR="003E68BC" w:rsidRPr="00D35D5C" w:rsidRDefault="003E68BC" w:rsidP="008C41F7">
            <w:pPr>
              <w:spacing w:line="240" w:lineRule="auto"/>
              <w:rPr>
                <w:color w:val="FF0000"/>
                <w:sz w:val="16"/>
                <w:szCs w:val="16"/>
              </w:rPr>
            </w:pPr>
            <w:r w:rsidRPr="00BB22DE">
              <w:rPr>
                <w:sz w:val="16"/>
                <w:szCs w:val="16"/>
              </w:rPr>
              <w:t>Energie pro domácnosti zlevnily o 5,2 %. Takto výrazný pokles cen neměl v historii ČR obdoby</w:t>
            </w:r>
          </w:p>
        </w:tc>
        <w:tc>
          <w:tcPr>
            <w:tcW w:w="145" w:type="pct"/>
          </w:tcPr>
          <w:p w:rsidR="003E68BC" w:rsidRPr="00D35D5C" w:rsidRDefault="003E68BC" w:rsidP="008C41F7">
            <w:pPr>
              <w:pStyle w:val="Textpoznpodarou"/>
              <w:jc w:val="both"/>
              <w:rPr>
                <w:color w:val="FF0000"/>
              </w:rPr>
            </w:pPr>
          </w:p>
        </w:tc>
        <w:tc>
          <w:tcPr>
            <w:tcW w:w="3799" w:type="pct"/>
            <w:gridSpan w:val="3"/>
          </w:tcPr>
          <w:p w:rsidR="003E68BC" w:rsidRPr="00BB22DE" w:rsidRDefault="003E68BC" w:rsidP="008C41F7">
            <w:pPr>
              <w:pStyle w:val="Textpoznpodarou"/>
              <w:jc w:val="both"/>
            </w:pPr>
            <w:r w:rsidRPr="00BB22DE">
              <w:t>Energie, na které domácnost</w:t>
            </w:r>
            <w:r>
              <w:t>i vynakládají</w:t>
            </w:r>
            <w:r w:rsidRPr="00BB22DE">
              <w:t xml:space="preserve"> zhruba desetinu svých celkových vydání, zlevnily v lednu 2014 v meziměsíčním srovnání výrazně, a to</w:t>
            </w:r>
            <w:r>
              <w:t xml:space="preserve"> o</w:t>
            </w:r>
            <w:r w:rsidRPr="00BB22DE">
              <w:t xml:space="preserve"> 4,4 %. </w:t>
            </w:r>
            <w:r w:rsidRPr="00BB22DE">
              <w:rPr>
                <w:spacing w:val="-2"/>
              </w:rPr>
              <w:t>V úhrnu za celý rok 2014, v porovnání s rokem předchozím, byly jejich ceny nižší</w:t>
            </w:r>
            <w:r>
              <w:rPr>
                <w:spacing w:val="-2"/>
              </w:rPr>
              <w:t xml:space="preserve"> dokonce</w:t>
            </w:r>
            <w:r w:rsidRPr="00BB22DE">
              <w:rPr>
                <w:spacing w:val="-2"/>
              </w:rPr>
              <w:t xml:space="preserve"> o</w:t>
            </w:r>
            <w:r>
              <w:rPr>
                <w:spacing w:val="-2"/>
              </w:rPr>
              <w:t> </w:t>
            </w:r>
            <w:r w:rsidRPr="00BB22DE">
              <w:rPr>
                <w:spacing w:val="-2"/>
              </w:rPr>
              <w:t>5,2 %. Ceny energií se snížily poprvé od roku 2010 (-0,5 %), a to zejména díky poklesu ceny elektřiny (-10,3 %</w:t>
            </w:r>
            <w:r w:rsidRPr="00BB22DE">
              <w:rPr>
                <w:spacing w:val="-2"/>
                <w:lang w:val="en-US"/>
              </w:rPr>
              <w:t xml:space="preserve">; </w:t>
            </w:r>
            <w:r w:rsidRPr="00BB22DE">
              <w:rPr>
                <w:spacing w:val="-2"/>
              </w:rPr>
              <w:t>snížila se cena regulované i neregulované složky), ale také plynu (tzv. „plyn ze sítě“ zlevnil o 2,6 %).</w:t>
            </w:r>
          </w:p>
          <w:p w:rsidR="003E68BC" w:rsidRPr="00D35D5C" w:rsidRDefault="003E68BC" w:rsidP="008C41F7">
            <w:pPr>
              <w:pStyle w:val="Textpoznpodarou"/>
              <w:jc w:val="both"/>
              <w:rPr>
                <w:color w:val="FF0000"/>
                <w:sz w:val="16"/>
                <w:szCs w:val="16"/>
              </w:rPr>
            </w:pPr>
          </w:p>
        </w:tc>
      </w:tr>
      <w:tr w:rsidR="003E68BC" w:rsidRPr="0002083E" w:rsidTr="008C41F7">
        <w:tblPrEx>
          <w:tblLook w:val="00A0"/>
        </w:tblPrEx>
        <w:tc>
          <w:tcPr>
            <w:tcW w:w="1055" w:type="pct"/>
            <w:gridSpan w:val="2"/>
          </w:tcPr>
          <w:p w:rsidR="003E68BC" w:rsidRPr="0002083E" w:rsidRDefault="003E68BC" w:rsidP="008C41F7">
            <w:pPr>
              <w:spacing w:line="240" w:lineRule="auto"/>
              <w:rPr>
                <w:sz w:val="16"/>
                <w:szCs w:val="16"/>
              </w:rPr>
            </w:pPr>
            <w:r w:rsidRPr="0002083E">
              <w:rPr>
                <w:sz w:val="16"/>
                <w:szCs w:val="16"/>
              </w:rPr>
              <w:t>Od vstupu ČR do EU podražily potraviny zhruba o třetinu, energie dokonce o dvě třetiny</w:t>
            </w:r>
          </w:p>
        </w:tc>
        <w:tc>
          <w:tcPr>
            <w:tcW w:w="145" w:type="pct"/>
          </w:tcPr>
          <w:p w:rsidR="003E68BC" w:rsidRPr="0002083E" w:rsidRDefault="003E68BC" w:rsidP="008C41F7">
            <w:pPr>
              <w:pStyle w:val="Textpoznpodarou"/>
              <w:jc w:val="both"/>
            </w:pPr>
          </w:p>
        </w:tc>
        <w:tc>
          <w:tcPr>
            <w:tcW w:w="3799" w:type="pct"/>
            <w:gridSpan w:val="3"/>
          </w:tcPr>
          <w:p w:rsidR="003E68BC" w:rsidRPr="0002083E" w:rsidRDefault="003E68BC" w:rsidP="00DF5343">
            <w:pPr>
              <w:pStyle w:val="Textpoznpodarou"/>
              <w:jc w:val="both"/>
            </w:pPr>
            <w:r w:rsidRPr="0002083E">
              <w:t>Proti roku 2004 narostly ceny pro spotřebitele v ČR v úhrnu o 25,</w:t>
            </w:r>
            <w:r w:rsidR="00DF5343">
              <w:t>6</w:t>
            </w:r>
            <w:r w:rsidRPr="0002083E">
              <w:t xml:space="preserve"> %. Samotné potraviny a energie – tedy nezastupitelné složky spotřeby, na jejichž cenovou dynamiku je společnost značně citlivá – podražily ovšem nadprůměrně. Jejich ceny stouply o 33,</w:t>
            </w:r>
            <w:r w:rsidR="00DF5343">
              <w:t>6</w:t>
            </w:r>
            <w:r w:rsidRPr="0002083E">
              <w:t xml:space="preserve"> % v případě potravin, energie zdražily dokonce o 67,</w:t>
            </w:r>
            <w:r w:rsidR="00DF5343">
              <w:t>3</w:t>
            </w:r>
            <w:r w:rsidRPr="0002083E">
              <w:t xml:space="preserve"> %.</w:t>
            </w:r>
          </w:p>
        </w:tc>
      </w:tr>
    </w:tbl>
    <w:p w:rsidR="003E68BC" w:rsidRPr="0036659A" w:rsidRDefault="003E68BC" w:rsidP="003E68BC">
      <w:pPr>
        <w:rPr>
          <w:sz w:val="16"/>
          <w:szCs w:val="16"/>
        </w:rPr>
      </w:pPr>
    </w:p>
    <w:tbl>
      <w:tblPr>
        <w:tblW w:w="5000" w:type="pct"/>
        <w:tblLook w:val="04A0"/>
      </w:tblPr>
      <w:tblGrid>
        <w:gridCol w:w="1063"/>
        <w:gridCol w:w="1012"/>
        <w:gridCol w:w="282"/>
        <w:gridCol w:w="2563"/>
        <w:gridCol w:w="996"/>
        <w:gridCol w:w="3938"/>
      </w:tblGrid>
      <w:tr w:rsidR="003E68BC" w:rsidRPr="0056182E" w:rsidTr="008C41F7">
        <w:tc>
          <w:tcPr>
            <w:tcW w:w="540" w:type="pct"/>
          </w:tcPr>
          <w:p w:rsidR="003E68BC" w:rsidRPr="0002083E" w:rsidRDefault="003E68BC" w:rsidP="008C41F7">
            <w:pPr>
              <w:pStyle w:val="Textpoznpodarou"/>
            </w:pPr>
            <w:r w:rsidRPr="0002083E">
              <w:t>Graf č. 5</w:t>
            </w:r>
          </w:p>
        </w:tc>
        <w:tc>
          <w:tcPr>
            <w:tcW w:w="1960" w:type="pct"/>
            <w:gridSpan w:val="3"/>
          </w:tcPr>
          <w:p w:rsidR="003E68BC" w:rsidRPr="0002083E" w:rsidRDefault="003E68BC" w:rsidP="008C41F7">
            <w:pPr>
              <w:pStyle w:val="Textpoznpodarou"/>
              <w:rPr>
                <w:spacing w:val="-6"/>
              </w:rPr>
            </w:pPr>
            <w:r w:rsidRPr="0002083E">
              <w:rPr>
                <w:b/>
                <w:spacing w:val="-6"/>
              </w:rPr>
              <w:t xml:space="preserve">Ceny pro spotřebitele z hlediska struktury spotřebního koše </w:t>
            </w:r>
            <w:r w:rsidRPr="0002083E">
              <w:rPr>
                <w:spacing w:val="-6"/>
              </w:rPr>
              <w:t>(y/y v %)</w:t>
            </w:r>
          </w:p>
        </w:tc>
        <w:tc>
          <w:tcPr>
            <w:tcW w:w="504" w:type="pct"/>
          </w:tcPr>
          <w:p w:rsidR="003E68BC" w:rsidRPr="0002083E" w:rsidRDefault="003E68BC" w:rsidP="008C41F7">
            <w:pPr>
              <w:pStyle w:val="Textpoznpodarou"/>
            </w:pPr>
            <w:r w:rsidRPr="0002083E">
              <w:t>Graf č. 6</w:t>
            </w:r>
          </w:p>
        </w:tc>
        <w:tc>
          <w:tcPr>
            <w:tcW w:w="1996" w:type="pct"/>
          </w:tcPr>
          <w:p w:rsidR="003E68BC" w:rsidRPr="0002083E" w:rsidRDefault="003E68BC" w:rsidP="008C41F7">
            <w:pPr>
              <w:pStyle w:val="Textpoznpodarou"/>
            </w:pPr>
            <w:r w:rsidRPr="0002083E">
              <w:rPr>
                <w:b/>
              </w:rPr>
              <w:t xml:space="preserve">Dlouhodobý vývoj cen potravin a energií </w:t>
            </w:r>
            <w:r w:rsidRPr="0002083E">
              <w:t>(y/y v %)</w:t>
            </w:r>
          </w:p>
        </w:tc>
      </w:tr>
      <w:tr w:rsidR="003E68BC" w:rsidRPr="0056182E" w:rsidTr="008C41F7">
        <w:tc>
          <w:tcPr>
            <w:tcW w:w="2500" w:type="pct"/>
            <w:gridSpan w:val="4"/>
          </w:tcPr>
          <w:p w:rsidR="003E68BC" w:rsidRPr="0056182E" w:rsidRDefault="00E70B7D" w:rsidP="008C41F7">
            <w:pPr>
              <w:pStyle w:val="Textpoznpodarou"/>
              <w:jc w:val="both"/>
            </w:pPr>
            <w:r>
              <w:rPr>
                <w:noProof/>
              </w:rPr>
              <w:pict>
                <v:shape id="_x0000_i1533" type="#_x0000_t75" style="width:237pt;height:186pt;visibility:visible;mso-wrap-style:square">
                  <v:imagedata r:id="rId12" o:title=""/>
                </v:shape>
              </w:pict>
            </w:r>
          </w:p>
        </w:tc>
        <w:tc>
          <w:tcPr>
            <w:tcW w:w="2500" w:type="pct"/>
            <w:gridSpan w:val="2"/>
          </w:tcPr>
          <w:p w:rsidR="003E68BC" w:rsidRPr="0056182E" w:rsidRDefault="00E70B7D" w:rsidP="008C41F7">
            <w:pPr>
              <w:pStyle w:val="Textpoznpodarou"/>
              <w:jc w:val="both"/>
            </w:pPr>
            <w:r>
              <w:rPr>
                <w:noProof/>
              </w:rPr>
              <w:pict>
                <v:shape id="_x0000_i1534" type="#_x0000_t75" style="width:237.75pt;height:186pt;visibility:visible;mso-wrap-style:square">
                  <v:imagedata r:id="rId13" o:title=""/>
                </v:shape>
              </w:pict>
            </w:r>
          </w:p>
        </w:tc>
      </w:tr>
      <w:tr w:rsidR="003E68BC" w:rsidRPr="0056182E" w:rsidTr="008C41F7">
        <w:tc>
          <w:tcPr>
            <w:tcW w:w="5000" w:type="pct"/>
            <w:gridSpan w:val="6"/>
          </w:tcPr>
          <w:p w:rsidR="003E68BC" w:rsidRPr="0002083E" w:rsidRDefault="003E68BC" w:rsidP="008C41F7">
            <w:pPr>
              <w:pStyle w:val="Textpoznpodarou"/>
              <w:jc w:val="right"/>
              <w:rPr>
                <w:noProof/>
              </w:rPr>
            </w:pPr>
            <w:r w:rsidRPr="0002083E">
              <w:rPr>
                <w:sz w:val="18"/>
                <w:szCs w:val="18"/>
              </w:rPr>
              <w:t>Zdroj: ČSÚ, vlastní výpočty</w:t>
            </w:r>
          </w:p>
        </w:tc>
      </w:tr>
      <w:tr w:rsidR="003E68BC" w:rsidRPr="00A82C6E" w:rsidTr="008C41F7">
        <w:tblPrEx>
          <w:tblLook w:val="00A0"/>
        </w:tblPrEx>
        <w:tc>
          <w:tcPr>
            <w:tcW w:w="1054" w:type="pct"/>
            <w:gridSpan w:val="2"/>
          </w:tcPr>
          <w:p w:rsidR="003E68BC" w:rsidRPr="006A5510" w:rsidRDefault="003E68BC" w:rsidP="008C41F7">
            <w:pPr>
              <w:spacing w:line="240" w:lineRule="auto"/>
              <w:rPr>
                <w:sz w:val="16"/>
                <w:szCs w:val="16"/>
              </w:rPr>
            </w:pPr>
            <w:r w:rsidRPr="006A5510">
              <w:rPr>
                <w:sz w:val="16"/>
                <w:szCs w:val="16"/>
              </w:rPr>
              <w:lastRenderedPageBreak/>
              <w:t>Vývoj cen potravin i</w:t>
            </w:r>
            <w:r>
              <w:rPr>
                <w:sz w:val="16"/>
                <w:szCs w:val="16"/>
              </w:rPr>
              <w:t> </w:t>
            </w:r>
            <w:r w:rsidRPr="006A5510">
              <w:rPr>
                <w:sz w:val="16"/>
                <w:szCs w:val="16"/>
              </w:rPr>
              <w:t xml:space="preserve">energií byl v ČR v roce </w:t>
            </w:r>
            <w:r>
              <w:rPr>
                <w:sz w:val="16"/>
                <w:szCs w:val="16"/>
              </w:rPr>
              <w:t xml:space="preserve">2014 příznivý i z pohledu komparativní cenové hladiny. </w:t>
            </w:r>
            <w:r w:rsidRPr="006A5510">
              <w:rPr>
                <w:sz w:val="16"/>
                <w:szCs w:val="16"/>
              </w:rPr>
              <w:t>Zatímco cenová úroveň potravin se snížila z 82,7 %</w:t>
            </w:r>
            <w:r>
              <w:rPr>
                <w:sz w:val="16"/>
                <w:szCs w:val="16"/>
              </w:rPr>
              <w:t xml:space="preserve"> průměru EU</w:t>
            </w:r>
            <w:r w:rsidRPr="006A5510">
              <w:rPr>
                <w:sz w:val="16"/>
                <w:szCs w:val="16"/>
              </w:rPr>
              <w:t xml:space="preserve"> na</w:t>
            </w:r>
            <w:r>
              <w:rPr>
                <w:sz w:val="16"/>
                <w:szCs w:val="16"/>
              </w:rPr>
              <w:t> </w:t>
            </w:r>
            <w:r w:rsidRPr="006A5510">
              <w:rPr>
                <w:sz w:val="16"/>
                <w:szCs w:val="16"/>
              </w:rPr>
              <w:t>80,2 %, …</w:t>
            </w:r>
          </w:p>
        </w:tc>
        <w:tc>
          <w:tcPr>
            <w:tcW w:w="143" w:type="pct"/>
          </w:tcPr>
          <w:p w:rsidR="003E68BC" w:rsidRPr="00A82C6E" w:rsidRDefault="003E68BC" w:rsidP="008C41F7">
            <w:pPr>
              <w:pStyle w:val="Textpoznpodarou"/>
              <w:jc w:val="both"/>
              <w:rPr>
                <w:color w:val="FF0000"/>
              </w:rPr>
            </w:pPr>
          </w:p>
        </w:tc>
        <w:tc>
          <w:tcPr>
            <w:tcW w:w="3803" w:type="pct"/>
            <w:gridSpan w:val="3"/>
          </w:tcPr>
          <w:p w:rsidR="003E68BC" w:rsidRPr="00B01501" w:rsidRDefault="003E68BC" w:rsidP="008C41F7">
            <w:pPr>
              <w:pStyle w:val="Textpoznpodarou"/>
              <w:jc w:val="both"/>
            </w:pPr>
            <w:r w:rsidRPr="00B01501">
              <w:t>Jak vyplývá z ukazatele komparativní cenové hladiny, ceny potravin jsou v</w:t>
            </w:r>
            <w:r>
              <w:t> České republice</w:t>
            </w:r>
            <w:r w:rsidRPr="00B01501">
              <w:t xml:space="preserve"> navzdory dlouhodobému zdražování stále nižší než v průměru za celý hospodářský prostor Evropské unie. V samotném roce 2014 se cenová úroveň potravin</w:t>
            </w:r>
            <w:r>
              <w:t xml:space="preserve"> v tuzemsku</w:t>
            </w:r>
            <w:r w:rsidRPr="00B01501">
              <w:t xml:space="preserve"> dokonce snížila na 80,2 % průměru EU, když v roce 2012 i</w:t>
            </w:r>
            <w:r>
              <w:t> </w:t>
            </w:r>
            <w:r w:rsidRPr="00B01501">
              <w:t>2013</w:t>
            </w:r>
            <w:r>
              <w:t xml:space="preserve"> byla</w:t>
            </w:r>
            <w:r w:rsidRPr="00B01501">
              <w:t xml:space="preserve"> na úrovni 82,7 %. Za nižší ceny než v </w:t>
            </w:r>
            <w:r>
              <w:t>ČR</w:t>
            </w:r>
            <w:r w:rsidRPr="00B01501">
              <w:t xml:space="preserve"> </w:t>
            </w:r>
            <w:r>
              <w:t>bylo možné</w:t>
            </w:r>
            <w:r w:rsidRPr="00B01501">
              <w:t xml:space="preserve"> potraviny v roce 2014 pořídit</w:t>
            </w:r>
            <w:r>
              <w:t xml:space="preserve"> už</w:t>
            </w:r>
            <w:r w:rsidRPr="00B01501">
              <w:t xml:space="preserve"> jen v</w:t>
            </w:r>
            <w:r>
              <w:t> </w:t>
            </w:r>
            <w:r w:rsidRPr="00B01501">
              <w:t>pěti</w:t>
            </w:r>
            <w:r>
              <w:t xml:space="preserve"> jiných</w:t>
            </w:r>
            <w:r w:rsidRPr="00B01501">
              <w:t xml:space="preserve"> unijních zemích, v „nejlevnějším“ Polsku zhruba o čtvrtinu. V „nejdražší</w:t>
            </w:r>
            <w:r>
              <w:t>“</w:t>
            </w:r>
            <w:r w:rsidRPr="00B01501">
              <w:t xml:space="preserve"> zemi EU,</w:t>
            </w:r>
            <w:r>
              <w:t xml:space="preserve"> co se týče potravin,</w:t>
            </w:r>
            <w:r w:rsidRPr="00B01501">
              <w:t xml:space="preserve"> tj. v Dánsku, bychom si za</w:t>
            </w:r>
            <w:r>
              <w:t> ně</w:t>
            </w:r>
            <w:r w:rsidRPr="00B01501">
              <w:t xml:space="preserve"> naopak přibližně dvě třetiny připlatili.</w:t>
            </w:r>
          </w:p>
          <w:p w:rsidR="003E68BC" w:rsidRPr="00B01501" w:rsidRDefault="003E68BC" w:rsidP="008C41F7">
            <w:pPr>
              <w:pStyle w:val="Textpoznpodarou"/>
              <w:jc w:val="both"/>
              <w:rPr>
                <w:sz w:val="14"/>
                <w:szCs w:val="14"/>
              </w:rPr>
            </w:pPr>
          </w:p>
        </w:tc>
      </w:tr>
      <w:tr w:rsidR="003E68BC" w:rsidRPr="00A82C6E" w:rsidTr="008C41F7">
        <w:tblPrEx>
          <w:tblLook w:val="00A0"/>
        </w:tblPrEx>
        <w:tc>
          <w:tcPr>
            <w:tcW w:w="1054" w:type="pct"/>
            <w:gridSpan w:val="2"/>
          </w:tcPr>
          <w:p w:rsidR="003E68BC" w:rsidRPr="006A5510" w:rsidRDefault="003E68BC" w:rsidP="008C41F7">
            <w:pPr>
              <w:spacing w:line="240" w:lineRule="auto"/>
              <w:rPr>
                <w:sz w:val="16"/>
                <w:szCs w:val="16"/>
              </w:rPr>
            </w:pPr>
            <w:r w:rsidRPr="006A5510">
              <w:rPr>
                <w:sz w:val="16"/>
                <w:szCs w:val="16"/>
              </w:rPr>
              <w:t>…v případě energií</w:t>
            </w:r>
            <w:r>
              <w:rPr>
                <w:sz w:val="16"/>
                <w:szCs w:val="16"/>
              </w:rPr>
              <w:t xml:space="preserve"> </w:t>
            </w:r>
            <w:r w:rsidRPr="006A5510">
              <w:rPr>
                <w:sz w:val="16"/>
                <w:szCs w:val="16"/>
              </w:rPr>
              <w:t xml:space="preserve">z 86,9 % </w:t>
            </w:r>
            <w:r>
              <w:rPr>
                <w:sz w:val="16"/>
                <w:szCs w:val="16"/>
              </w:rPr>
              <w:t xml:space="preserve">dokonce </w:t>
            </w:r>
            <w:r w:rsidRPr="006A5510">
              <w:rPr>
                <w:sz w:val="16"/>
                <w:szCs w:val="16"/>
              </w:rPr>
              <w:t>na</w:t>
            </w:r>
            <w:r>
              <w:rPr>
                <w:sz w:val="16"/>
                <w:szCs w:val="16"/>
              </w:rPr>
              <w:t> </w:t>
            </w:r>
            <w:r w:rsidRPr="006A5510">
              <w:rPr>
                <w:sz w:val="16"/>
                <w:szCs w:val="16"/>
              </w:rPr>
              <w:t>78,1</w:t>
            </w:r>
            <w:r>
              <w:rPr>
                <w:sz w:val="16"/>
                <w:szCs w:val="16"/>
              </w:rPr>
              <w:t> </w:t>
            </w:r>
            <w:r w:rsidRPr="006A5510">
              <w:rPr>
                <w:sz w:val="16"/>
                <w:szCs w:val="16"/>
              </w:rPr>
              <w:t>%</w:t>
            </w:r>
          </w:p>
        </w:tc>
        <w:tc>
          <w:tcPr>
            <w:tcW w:w="143" w:type="pct"/>
          </w:tcPr>
          <w:p w:rsidR="003E68BC" w:rsidRPr="00A82C6E" w:rsidRDefault="003E68BC" w:rsidP="008C41F7">
            <w:pPr>
              <w:pStyle w:val="Textpoznpodarou"/>
              <w:jc w:val="both"/>
              <w:rPr>
                <w:color w:val="FF0000"/>
              </w:rPr>
            </w:pPr>
          </w:p>
        </w:tc>
        <w:tc>
          <w:tcPr>
            <w:tcW w:w="3803" w:type="pct"/>
            <w:gridSpan w:val="3"/>
          </w:tcPr>
          <w:p w:rsidR="003E68BC" w:rsidRPr="00B01501" w:rsidRDefault="003E68BC" w:rsidP="008C41F7">
            <w:pPr>
              <w:pStyle w:val="Textpoznpodarou"/>
              <w:jc w:val="both"/>
              <w:rPr>
                <w:spacing w:val="-2"/>
              </w:rPr>
            </w:pPr>
            <w:r w:rsidRPr="00B01501">
              <w:rPr>
                <w:spacing w:val="-2"/>
              </w:rPr>
              <w:t>Ceny energií, které byly v ČR</w:t>
            </w:r>
            <w:r>
              <w:rPr>
                <w:spacing w:val="-2"/>
              </w:rPr>
              <w:t xml:space="preserve"> v letech 2008 až </w:t>
            </w:r>
            <w:r w:rsidRPr="00B01501">
              <w:rPr>
                <w:spacing w:val="-2"/>
              </w:rPr>
              <w:t>2011 vyšší</w:t>
            </w:r>
            <w:r>
              <w:rPr>
                <w:spacing w:val="-2"/>
              </w:rPr>
              <w:t>,</w:t>
            </w:r>
            <w:r w:rsidRPr="00B01501">
              <w:rPr>
                <w:spacing w:val="-2"/>
              </w:rPr>
              <w:t xml:space="preserve"> než odpovídalo průměrné úrovni</w:t>
            </w:r>
            <w:r>
              <w:rPr>
                <w:spacing w:val="-2"/>
              </w:rPr>
              <w:t xml:space="preserve"> Evropské unie,</w:t>
            </w:r>
            <w:r w:rsidRPr="00B01501">
              <w:rPr>
                <w:spacing w:val="-2"/>
              </w:rPr>
              <w:t xml:space="preserve"> </w:t>
            </w:r>
            <w:r>
              <w:rPr>
                <w:spacing w:val="-2"/>
              </w:rPr>
              <w:t xml:space="preserve">se </w:t>
            </w:r>
            <w:r w:rsidRPr="00B01501">
              <w:rPr>
                <w:spacing w:val="-2"/>
              </w:rPr>
              <w:t xml:space="preserve">v letech následujících </w:t>
            </w:r>
            <w:r>
              <w:rPr>
                <w:spacing w:val="-2"/>
              </w:rPr>
              <w:t>vůči unijnímu průměru</w:t>
            </w:r>
            <w:r w:rsidRPr="00B01501">
              <w:rPr>
                <w:spacing w:val="-2"/>
              </w:rPr>
              <w:t xml:space="preserve"> </w:t>
            </w:r>
            <w:r>
              <w:rPr>
                <w:spacing w:val="-2"/>
              </w:rPr>
              <w:t>vyvíjely již příznivěji</w:t>
            </w:r>
            <w:r w:rsidRPr="00B01501">
              <w:rPr>
                <w:spacing w:val="-2"/>
              </w:rPr>
              <w:t xml:space="preserve">. </w:t>
            </w:r>
            <w:r>
              <w:rPr>
                <w:spacing w:val="-2"/>
              </w:rPr>
              <w:t>Jestliže</w:t>
            </w:r>
            <w:r w:rsidRPr="00B01501">
              <w:rPr>
                <w:spacing w:val="-2"/>
              </w:rPr>
              <w:t xml:space="preserve"> v roce 2011 český spotřebitel platil za energie o 4,1 % více než průměrný obyvatel </w:t>
            </w:r>
            <w:r>
              <w:rPr>
                <w:spacing w:val="-2"/>
              </w:rPr>
              <w:t>EU</w:t>
            </w:r>
            <w:r w:rsidRPr="00B01501">
              <w:rPr>
                <w:spacing w:val="-2"/>
              </w:rPr>
              <w:t xml:space="preserve">, v roce 2012 o 9,4 % méně a v roce 2013 </w:t>
            </w:r>
            <w:r>
              <w:rPr>
                <w:spacing w:val="-2"/>
              </w:rPr>
              <w:t xml:space="preserve">dokonce </w:t>
            </w:r>
            <w:r w:rsidRPr="00B01501">
              <w:rPr>
                <w:spacing w:val="-2"/>
              </w:rPr>
              <w:t xml:space="preserve">o 13,1 %. Také v roce 2014 se tato relace vyvíjela pro české spotřebitele </w:t>
            </w:r>
            <w:r>
              <w:rPr>
                <w:spacing w:val="-2"/>
              </w:rPr>
              <w:t>dobře</w:t>
            </w:r>
            <w:r w:rsidRPr="00B01501">
              <w:rPr>
                <w:spacing w:val="-2"/>
              </w:rPr>
              <w:t xml:space="preserve"> – </w:t>
            </w:r>
            <w:r>
              <w:rPr>
                <w:spacing w:val="-2"/>
              </w:rPr>
              <w:t>v porovnání s</w:t>
            </w:r>
            <w:r w:rsidRPr="00B01501">
              <w:rPr>
                <w:spacing w:val="-2"/>
              </w:rPr>
              <w:t xml:space="preserve"> EU byly ceny energií v tuzemsku nižší </w:t>
            </w:r>
            <w:r>
              <w:rPr>
                <w:spacing w:val="-2"/>
              </w:rPr>
              <w:t xml:space="preserve">už </w:t>
            </w:r>
            <w:r w:rsidRPr="00B01501">
              <w:rPr>
                <w:spacing w:val="-2"/>
              </w:rPr>
              <w:t>o 21,9 %.</w:t>
            </w:r>
          </w:p>
        </w:tc>
      </w:tr>
    </w:tbl>
    <w:p w:rsidR="003E68BC" w:rsidRPr="00CA3921" w:rsidRDefault="003E68BC" w:rsidP="003E68BC">
      <w:pPr>
        <w:rPr>
          <w:color w:val="FF0000"/>
          <w:sz w:val="12"/>
          <w:szCs w:val="12"/>
        </w:rPr>
      </w:pPr>
    </w:p>
    <w:tbl>
      <w:tblPr>
        <w:tblW w:w="5000" w:type="pct"/>
        <w:tblLook w:val="04A0"/>
      </w:tblPr>
      <w:tblGrid>
        <w:gridCol w:w="1062"/>
        <w:gridCol w:w="3865"/>
        <w:gridCol w:w="994"/>
        <w:gridCol w:w="2692"/>
        <w:gridCol w:w="1241"/>
      </w:tblGrid>
      <w:tr w:rsidR="003E68BC" w:rsidRPr="00A82C6E" w:rsidTr="008C41F7">
        <w:tc>
          <w:tcPr>
            <w:tcW w:w="538" w:type="pct"/>
          </w:tcPr>
          <w:p w:rsidR="003E68BC" w:rsidRPr="000F6246" w:rsidRDefault="003E68BC" w:rsidP="008C41F7">
            <w:pPr>
              <w:pStyle w:val="Textpoznpodarou"/>
              <w:rPr>
                <w:color w:val="000000" w:themeColor="text1"/>
              </w:rPr>
            </w:pPr>
            <w:r w:rsidRPr="000F6246">
              <w:rPr>
                <w:color w:val="000000" w:themeColor="text1"/>
              </w:rPr>
              <w:t>Graf č. 7</w:t>
            </w:r>
          </w:p>
        </w:tc>
        <w:tc>
          <w:tcPr>
            <w:tcW w:w="1961" w:type="pct"/>
          </w:tcPr>
          <w:p w:rsidR="003E68BC" w:rsidRPr="00A82C6E" w:rsidRDefault="003E68BC" w:rsidP="008C41F7">
            <w:pPr>
              <w:pStyle w:val="Textpoznpodarou"/>
              <w:rPr>
                <w:color w:val="FF0000"/>
                <w:spacing w:val="-6"/>
              </w:rPr>
            </w:pPr>
            <w:r w:rsidRPr="000F6246">
              <w:rPr>
                <w:b/>
                <w:color w:val="000000" w:themeColor="text1"/>
                <w:spacing w:val="-6"/>
              </w:rPr>
              <w:t>Ceny potravin v zemích EU</w:t>
            </w:r>
            <w:r w:rsidRPr="000F6246">
              <w:rPr>
                <w:color w:val="000000" w:themeColor="text1"/>
                <w:spacing w:val="-6"/>
              </w:rPr>
              <w:t xml:space="preserve"> (komparativní cenová hladina*</w:t>
            </w:r>
            <w:r w:rsidRPr="000F6246">
              <w:rPr>
                <w:color w:val="000000" w:themeColor="text1"/>
                <w:spacing w:val="-6"/>
                <w:lang w:val="en-US"/>
              </w:rPr>
              <w:t>;</w:t>
            </w:r>
            <w:r w:rsidRPr="000F6246">
              <w:rPr>
                <w:color w:val="000000" w:themeColor="text1"/>
                <w:spacing w:val="-6"/>
              </w:rPr>
              <w:t xml:space="preserve"> EU28=100)</w:t>
            </w:r>
          </w:p>
        </w:tc>
        <w:tc>
          <w:tcPr>
            <w:tcW w:w="504" w:type="pct"/>
          </w:tcPr>
          <w:p w:rsidR="003E68BC" w:rsidRPr="000F6246" w:rsidRDefault="003E68BC" w:rsidP="008C41F7">
            <w:pPr>
              <w:pStyle w:val="Textpoznpodarou"/>
              <w:rPr>
                <w:color w:val="000000" w:themeColor="text1"/>
              </w:rPr>
            </w:pPr>
            <w:r w:rsidRPr="000F6246">
              <w:rPr>
                <w:color w:val="000000" w:themeColor="text1"/>
              </w:rPr>
              <w:t>Graf č. 8</w:t>
            </w:r>
          </w:p>
        </w:tc>
        <w:tc>
          <w:tcPr>
            <w:tcW w:w="1997" w:type="pct"/>
            <w:gridSpan w:val="2"/>
          </w:tcPr>
          <w:p w:rsidR="003E68BC" w:rsidRPr="00A82C6E" w:rsidRDefault="003E68BC" w:rsidP="008C41F7">
            <w:pPr>
              <w:pStyle w:val="Textpoznpodarou"/>
              <w:rPr>
                <w:color w:val="FF0000"/>
              </w:rPr>
            </w:pPr>
            <w:r w:rsidRPr="000F6246">
              <w:rPr>
                <w:b/>
                <w:color w:val="000000" w:themeColor="text1"/>
              </w:rPr>
              <w:t>Ceny energií v zemích EU</w:t>
            </w:r>
            <w:r w:rsidRPr="000F6246">
              <w:rPr>
                <w:color w:val="000000" w:themeColor="text1"/>
                <w:lang w:val="en-US"/>
              </w:rPr>
              <w:t xml:space="preserve"> (</w:t>
            </w:r>
            <w:r w:rsidRPr="000F6246">
              <w:rPr>
                <w:color w:val="000000" w:themeColor="text1"/>
              </w:rPr>
              <w:t>komparativní cenová hladina*; EU28=100)</w:t>
            </w:r>
          </w:p>
        </w:tc>
      </w:tr>
      <w:tr w:rsidR="003E68BC" w:rsidRPr="00A82C6E" w:rsidTr="008C41F7">
        <w:tc>
          <w:tcPr>
            <w:tcW w:w="2499" w:type="pct"/>
            <w:gridSpan w:val="2"/>
          </w:tcPr>
          <w:p w:rsidR="003E68BC" w:rsidRPr="00A82C6E" w:rsidRDefault="00E70B7D" w:rsidP="008C41F7">
            <w:pPr>
              <w:pStyle w:val="Textpoznpodarou"/>
              <w:jc w:val="both"/>
              <w:rPr>
                <w:color w:val="FF0000"/>
              </w:rPr>
            </w:pPr>
            <w:r w:rsidRPr="00E9367C">
              <w:rPr>
                <w:noProof/>
                <w:color w:val="FF0000"/>
              </w:rPr>
              <w:pict>
                <v:shape id="_x0000_i1535" type="#_x0000_t75" style="width:237pt;height:186pt;visibility:visible;mso-wrap-style:square">
                  <v:imagedata r:id="rId14" o:title=""/>
                </v:shape>
              </w:pict>
            </w:r>
          </w:p>
        </w:tc>
        <w:tc>
          <w:tcPr>
            <w:tcW w:w="2501" w:type="pct"/>
            <w:gridSpan w:val="3"/>
          </w:tcPr>
          <w:p w:rsidR="003E68BC" w:rsidRPr="00A82C6E" w:rsidRDefault="00E70B7D" w:rsidP="008C41F7">
            <w:pPr>
              <w:pStyle w:val="Textpoznpodarou"/>
              <w:jc w:val="both"/>
              <w:rPr>
                <w:color w:val="FF0000"/>
              </w:rPr>
            </w:pPr>
            <w:r w:rsidRPr="00E9367C">
              <w:rPr>
                <w:noProof/>
                <w:color w:val="FF0000"/>
              </w:rPr>
              <w:pict>
                <v:shape id="_x0000_i1536" type="#_x0000_t75" style="width:237pt;height:186pt;visibility:visible;mso-wrap-style:square">
                  <v:imagedata r:id="rId15" o:title=""/>
                </v:shape>
              </w:pict>
            </w:r>
          </w:p>
        </w:tc>
      </w:tr>
      <w:tr w:rsidR="003E68BC" w:rsidRPr="00A82C6E" w:rsidTr="008C41F7">
        <w:tc>
          <w:tcPr>
            <w:tcW w:w="4370" w:type="pct"/>
            <w:gridSpan w:val="4"/>
          </w:tcPr>
          <w:p w:rsidR="003E68BC" w:rsidRPr="000F6246" w:rsidRDefault="003E68BC" w:rsidP="008C41F7">
            <w:pPr>
              <w:pStyle w:val="Textpoznpodarou"/>
              <w:rPr>
                <w:noProof/>
                <w:color w:val="000000" w:themeColor="text1"/>
                <w:sz w:val="18"/>
                <w:szCs w:val="18"/>
              </w:rPr>
            </w:pPr>
            <w:r w:rsidRPr="000F6246">
              <w:rPr>
                <w:noProof/>
                <w:color w:val="000000" w:themeColor="text1"/>
                <w:sz w:val="18"/>
                <w:szCs w:val="18"/>
              </w:rPr>
              <w:t>*Pozn.: Komparativní cenová hladina vyjadřuje, o kolik je vybraný produkt v dané zemi (oblasti) levnější</w:t>
            </w:r>
            <w:r>
              <w:rPr>
                <w:noProof/>
                <w:color w:val="000000" w:themeColor="text1"/>
                <w:sz w:val="18"/>
                <w:szCs w:val="18"/>
              </w:rPr>
              <w:t>,</w:t>
            </w:r>
            <w:r w:rsidRPr="000F6246">
              <w:rPr>
                <w:noProof/>
                <w:color w:val="000000" w:themeColor="text1"/>
                <w:sz w:val="18"/>
                <w:szCs w:val="18"/>
              </w:rPr>
              <w:t xml:space="preserve"> respektive dražší</w:t>
            </w:r>
            <w:r>
              <w:rPr>
                <w:noProof/>
                <w:color w:val="000000" w:themeColor="text1"/>
                <w:sz w:val="18"/>
                <w:szCs w:val="18"/>
              </w:rPr>
              <w:t>,</w:t>
            </w:r>
            <w:r w:rsidRPr="000F6246">
              <w:rPr>
                <w:noProof/>
                <w:color w:val="000000" w:themeColor="text1"/>
                <w:sz w:val="18"/>
                <w:szCs w:val="18"/>
              </w:rPr>
              <w:t xml:space="preserve"> v porovnání s jinou zemí (oblastí).</w:t>
            </w:r>
          </w:p>
        </w:tc>
        <w:tc>
          <w:tcPr>
            <w:tcW w:w="630" w:type="pct"/>
          </w:tcPr>
          <w:p w:rsidR="003E68BC" w:rsidRPr="000F6246" w:rsidRDefault="003E68BC" w:rsidP="008C41F7">
            <w:pPr>
              <w:pStyle w:val="Textpoznpodarou"/>
              <w:jc w:val="right"/>
              <w:rPr>
                <w:noProof/>
                <w:color w:val="000000" w:themeColor="text1"/>
              </w:rPr>
            </w:pPr>
            <w:r w:rsidRPr="000F6246">
              <w:rPr>
                <w:color w:val="000000" w:themeColor="text1"/>
                <w:sz w:val="18"/>
                <w:szCs w:val="18"/>
              </w:rPr>
              <w:t xml:space="preserve">Zdroj: </w:t>
            </w:r>
            <w:proofErr w:type="spellStart"/>
            <w:r w:rsidRPr="000F6246">
              <w:rPr>
                <w:color w:val="000000" w:themeColor="text1"/>
                <w:sz w:val="18"/>
                <w:szCs w:val="18"/>
              </w:rPr>
              <w:t>Eurostat</w:t>
            </w:r>
            <w:proofErr w:type="spellEnd"/>
          </w:p>
        </w:tc>
      </w:tr>
    </w:tbl>
    <w:p w:rsidR="003E68BC" w:rsidRPr="00CA3921" w:rsidRDefault="003E68BC" w:rsidP="003E68BC">
      <w:pPr>
        <w:rPr>
          <w:sz w:val="14"/>
          <w:szCs w:val="14"/>
        </w:rPr>
      </w:pPr>
    </w:p>
    <w:tbl>
      <w:tblPr>
        <w:tblW w:w="5000" w:type="pct"/>
        <w:tblLook w:val="00A0"/>
      </w:tblPr>
      <w:tblGrid>
        <w:gridCol w:w="2077"/>
        <w:gridCol w:w="282"/>
        <w:gridCol w:w="7495"/>
      </w:tblGrid>
      <w:tr w:rsidR="003E68BC" w:rsidRPr="0002083E" w:rsidTr="008C41F7">
        <w:tc>
          <w:tcPr>
            <w:tcW w:w="1054" w:type="pct"/>
          </w:tcPr>
          <w:p w:rsidR="003E68BC" w:rsidRPr="0002083E" w:rsidRDefault="003E68BC" w:rsidP="008C41F7">
            <w:pPr>
              <w:spacing w:line="240" w:lineRule="auto"/>
              <w:rPr>
                <w:sz w:val="16"/>
                <w:szCs w:val="16"/>
              </w:rPr>
            </w:pPr>
            <w:r>
              <w:rPr>
                <w:sz w:val="16"/>
                <w:szCs w:val="16"/>
              </w:rPr>
              <w:t>Ceny pro spotřebitele stouply</w:t>
            </w:r>
            <w:r w:rsidRPr="0002083E">
              <w:rPr>
                <w:sz w:val="16"/>
                <w:szCs w:val="16"/>
              </w:rPr>
              <w:t xml:space="preserve"> v ČR v roce 2014 o něco pomaleji než v EU a výrazně pomaleji než v USA</w:t>
            </w:r>
          </w:p>
        </w:tc>
        <w:tc>
          <w:tcPr>
            <w:tcW w:w="143" w:type="pct"/>
          </w:tcPr>
          <w:p w:rsidR="003E68BC" w:rsidRPr="0002083E" w:rsidRDefault="003E68BC" w:rsidP="008C41F7">
            <w:pPr>
              <w:pStyle w:val="Textpoznpodarou"/>
              <w:jc w:val="both"/>
            </w:pPr>
          </w:p>
        </w:tc>
        <w:tc>
          <w:tcPr>
            <w:tcW w:w="3803" w:type="pct"/>
          </w:tcPr>
          <w:p w:rsidR="003E68BC" w:rsidRPr="0002083E" w:rsidRDefault="003E68BC" w:rsidP="008C41F7">
            <w:pPr>
              <w:pStyle w:val="Textpoznpodarou"/>
              <w:jc w:val="both"/>
            </w:pPr>
            <w:r w:rsidRPr="0002083E">
              <w:t xml:space="preserve">Růst spotřebitelských cen v ČR v roce 2014, dosahující </w:t>
            </w:r>
            <w:r>
              <w:t>+</w:t>
            </w:r>
            <w:r w:rsidRPr="0002083E">
              <w:t xml:space="preserve">0,4 % i podle harmonizovaného indexu spotřebitelských cen (HICP), byl v evropském kontextu v zásadě průměrný. Ceny v tuzemsku stouply stejně jako v zemích platících eurem a o 0,2 </w:t>
            </w:r>
            <w:proofErr w:type="spellStart"/>
            <w:r w:rsidRPr="0002083E">
              <w:t>pb</w:t>
            </w:r>
            <w:proofErr w:type="spellEnd"/>
            <w:r w:rsidRPr="0002083E">
              <w:t>. méně než Evropské unii jako celku, jejíž výsledek vylepšil nadprůměrný růst cen ve třetí největší unijní ekonomice, tj. ve </w:t>
            </w:r>
            <w:r>
              <w:t>Velké</w:t>
            </w:r>
            <w:r w:rsidRPr="0002083E">
              <w:t xml:space="preserve"> </w:t>
            </w:r>
            <w:r>
              <w:t>Británii</w:t>
            </w:r>
            <w:r w:rsidRPr="0002083E">
              <w:t>. V porovnání se svižně rostoucí ekonomikou USA, kde se ceny zvýšily o 1,3 %, byl přírůstek cen pro spotřebitele v ČR zhruba třetinový.</w:t>
            </w:r>
          </w:p>
        </w:tc>
      </w:tr>
    </w:tbl>
    <w:p w:rsidR="003E68BC" w:rsidRPr="00CA3921" w:rsidRDefault="003E68BC" w:rsidP="003E68BC">
      <w:pPr>
        <w:rPr>
          <w:sz w:val="12"/>
          <w:szCs w:val="12"/>
        </w:rPr>
      </w:pPr>
    </w:p>
    <w:tbl>
      <w:tblPr>
        <w:tblW w:w="5000" w:type="pct"/>
        <w:tblLook w:val="04A0"/>
      </w:tblPr>
      <w:tblGrid>
        <w:gridCol w:w="1061"/>
        <w:gridCol w:w="1019"/>
        <w:gridCol w:w="285"/>
        <w:gridCol w:w="7489"/>
      </w:tblGrid>
      <w:tr w:rsidR="003E68BC" w:rsidRPr="0002083E" w:rsidTr="008C41F7">
        <w:tc>
          <w:tcPr>
            <w:tcW w:w="538" w:type="pct"/>
          </w:tcPr>
          <w:p w:rsidR="003E68BC" w:rsidRPr="0002083E" w:rsidRDefault="003E68BC" w:rsidP="008C41F7">
            <w:pPr>
              <w:pStyle w:val="Textpoznpodarou"/>
            </w:pPr>
            <w:r w:rsidRPr="0002083E">
              <w:t>Graf č. 9</w:t>
            </w:r>
          </w:p>
        </w:tc>
        <w:tc>
          <w:tcPr>
            <w:tcW w:w="4462" w:type="pct"/>
            <w:gridSpan w:val="3"/>
          </w:tcPr>
          <w:p w:rsidR="003E68BC" w:rsidRPr="0002083E" w:rsidRDefault="003E68BC" w:rsidP="008C41F7">
            <w:pPr>
              <w:pStyle w:val="Textpoznpodarou"/>
            </w:pPr>
            <w:r w:rsidRPr="0002083E">
              <w:rPr>
                <w:b/>
              </w:rPr>
              <w:t>Ceny pro spotřebitele v jednotlivých zemích EU a v USA v roce 2014</w:t>
            </w:r>
            <w:r w:rsidRPr="0002083E">
              <w:t xml:space="preserve"> (HICP, y/y v %)</w:t>
            </w:r>
          </w:p>
        </w:tc>
      </w:tr>
      <w:tr w:rsidR="003E68BC" w:rsidRPr="0002083E" w:rsidTr="008C41F7">
        <w:tc>
          <w:tcPr>
            <w:tcW w:w="5000" w:type="pct"/>
            <w:gridSpan w:val="4"/>
          </w:tcPr>
          <w:p w:rsidR="003E68BC" w:rsidRPr="0002083E" w:rsidRDefault="00E70B7D" w:rsidP="008C41F7">
            <w:pPr>
              <w:pStyle w:val="Textpoznpodarou"/>
              <w:jc w:val="both"/>
            </w:pPr>
            <w:r>
              <w:rPr>
                <w:noProof/>
              </w:rPr>
              <w:pict>
                <v:shape id="_x0000_i1537" type="#_x0000_t75" style="width:483.75pt;height:186pt;visibility:visible;mso-wrap-style:square">
                  <v:imagedata r:id="rId16" o:title=""/>
                </v:shape>
              </w:pict>
            </w:r>
          </w:p>
        </w:tc>
      </w:tr>
      <w:tr w:rsidR="003E68BC" w:rsidRPr="0002083E" w:rsidTr="008C41F7">
        <w:tc>
          <w:tcPr>
            <w:tcW w:w="5000" w:type="pct"/>
            <w:gridSpan w:val="4"/>
          </w:tcPr>
          <w:p w:rsidR="003E68BC" w:rsidRPr="0002083E" w:rsidRDefault="003E68BC" w:rsidP="008C41F7">
            <w:pPr>
              <w:pStyle w:val="Textpoznpodarou"/>
              <w:jc w:val="right"/>
              <w:rPr>
                <w:noProof/>
              </w:rPr>
            </w:pPr>
            <w:r w:rsidRPr="0002083E">
              <w:rPr>
                <w:sz w:val="18"/>
                <w:szCs w:val="18"/>
              </w:rPr>
              <w:t xml:space="preserve">Zdroj: </w:t>
            </w:r>
            <w:proofErr w:type="spellStart"/>
            <w:r w:rsidRPr="0002083E">
              <w:rPr>
                <w:sz w:val="18"/>
                <w:szCs w:val="18"/>
              </w:rPr>
              <w:t>Eurostat</w:t>
            </w:r>
            <w:proofErr w:type="spellEnd"/>
          </w:p>
        </w:tc>
      </w:tr>
      <w:tr w:rsidR="003E68BC" w:rsidRPr="0002083E" w:rsidTr="008C41F7">
        <w:tblPrEx>
          <w:tblLook w:val="00A0"/>
        </w:tblPrEx>
        <w:trPr>
          <w:trHeight w:val="915"/>
        </w:trPr>
        <w:tc>
          <w:tcPr>
            <w:tcW w:w="1055" w:type="pct"/>
            <w:gridSpan w:val="2"/>
          </w:tcPr>
          <w:p w:rsidR="003E68BC" w:rsidRPr="0002083E" w:rsidRDefault="003E68BC" w:rsidP="008C41F7">
            <w:pPr>
              <w:spacing w:line="240" w:lineRule="auto"/>
              <w:rPr>
                <w:sz w:val="16"/>
                <w:szCs w:val="16"/>
              </w:rPr>
            </w:pPr>
            <w:r w:rsidRPr="0002083E">
              <w:rPr>
                <w:sz w:val="16"/>
                <w:szCs w:val="16"/>
              </w:rPr>
              <w:lastRenderedPageBreak/>
              <w:t>Cenový vývoj se v roce 2014 zhoršil ve všech zemích EU, výjimkou bylo pouze Lotyšsko</w:t>
            </w:r>
          </w:p>
        </w:tc>
        <w:tc>
          <w:tcPr>
            <w:tcW w:w="144" w:type="pct"/>
          </w:tcPr>
          <w:p w:rsidR="003E68BC" w:rsidRPr="0002083E" w:rsidRDefault="003E68BC" w:rsidP="008C41F7">
            <w:pPr>
              <w:pStyle w:val="Textpoznpodarou"/>
              <w:jc w:val="both"/>
            </w:pPr>
          </w:p>
        </w:tc>
        <w:tc>
          <w:tcPr>
            <w:tcW w:w="3802" w:type="pct"/>
          </w:tcPr>
          <w:p w:rsidR="003E68BC" w:rsidRPr="0002083E" w:rsidRDefault="003E68BC" w:rsidP="008C41F7">
            <w:pPr>
              <w:pStyle w:val="Textpoznpodarou"/>
              <w:jc w:val="both"/>
            </w:pPr>
            <w:r w:rsidRPr="0002083E">
              <w:t xml:space="preserve">V drtivé většině zemí EU byl cenový vývoj v roce 2014 </w:t>
            </w:r>
            <w:r w:rsidR="00923BAB">
              <w:t>méně příznivý než v roce</w:t>
            </w:r>
            <w:r w:rsidRPr="0002083E">
              <w:t xml:space="preserve"> předchozím. Světlou výjimkou bylo jen Lotyšsko, kde ceny pro spotřebitele v roce 2013 stagnovaly, avšak v roce 2014 již o 0,7 % stouply.</w:t>
            </w:r>
          </w:p>
          <w:p w:rsidR="003E68BC" w:rsidRPr="0002083E" w:rsidRDefault="003E68BC" w:rsidP="008C41F7">
            <w:pPr>
              <w:pStyle w:val="Textpoznpodarou"/>
              <w:jc w:val="both"/>
              <w:rPr>
                <w:sz w:val="16"/>
                <w:szCs w:val="16"/>
              </w:rPr>
            </w:pPr>
          </w:p>
        </w:tc>
      </w:tr>
      <w:tr w:rsidR="003E68BC" w:rsidRPr="0002083E" w:rsidTr="008C41F7">
        <w:tblPrEx>
          <w:tblLook w:val="00A0"/>
        </w:tblPrEx>
        <w:trPr>
          <w:trHeight w:val="2445"/>
        </w:trPr>
        <w:tc>
          <w:tcPr>
            <w:tcW w:w="1055" w:type="pct"/>
            <w:gridSpan w:val="2"/>
          </w:tcPr>
          <w:p w:rsidR="003E68BC" w:rsidRPr="0002083E" w:rsidRDefault="003E68BC" w:rsidP="008C41F7">
            <w:pPr>
              <w:spacing w:line="240" w:lineRule="auto"/>
              <w:rPr>
                <w:sz w:val="16"/>
                <w:szCs w:val="16"/>
              </w:rPr>
            </w:pPr>
            <w:r w:rsidRPr="0002083E">
              <w:rPr>
                <w:sz w:val="16"/>
                <w:szCs w:val="16"/>
              </w:rPr>
              <w:t xml:space="preserve">Šest unijních zemí </w:t>
            </w:r>
            <w:r>
              <w:rPr>
                <w:sz w:val="16"/>
                <w:szCs w:val="16"/>
              </w:rPr>
              <w:t>v deflaci</w:t>
            </w:r>
            <w:r w:rsidRPr="0002083E">
              <w:rPr>
                <w:sz w:val="16"/>
                <w:szCs w:val="16"/>
              </w:rPr>
              <w:t>, …</w:t>
            </w:r>
          </w:p>
        </w:tc>
        <w:tc>
          <w:tcPr>
            <w:tcW w:w="144" w:type="pct"/>
          </w:tcPr>
          <w:p w:rsidR="003E68BC" w:rsidRPr="0002083E" w:rsidRDefault="003E68BC" w:rsidP="008C41F7">
            <w:pPr>
              <w:pStyle w:val="Textpoznpodarou"/>
              <w:jc w:val="both"/>
            </w:pPr>
          </w:p>
        </w:tc>
        <w:tc>
          <w:tcPr>
            <w:tcW w:w="3802" w:type="pct"/>
          </w:tcPr>
          <w:p w:rsidR="003E68BC" w:rsidRPr="0002083E" w:rsidRDefault="003E68BC" w:rsidP="008C41F7">
            <w:pPr>
              <w:pStyle w:val="Textpoznpodarou"/>
              <w:jc w:val="both"/>
              <w:rPr>
                <w:spacing w:val="-2"/>
              </w:rPr>
            </w:pPr>
            <w:r w:rsidRPr="0002083E">
              <w:t>K nejrazantnějšímu snížení dynamiky spotřebitelských</w:t>
            </w:r>
            <w:r w:rsidR="0068416C">
              <w:t xml:space="preserve"> cen</w:t>
            </w:r>
            <w:r w:rsidRPr="0002083E">
              <w:t xml:space="preserve"> ze všech dvaceti osmi zemí EU došlo v Estonsku (z +3,2 % v roce 2013 na +0,5 v roce 2014), dále pak v Nizozemsku (z +2,6 % na </w:t>
            </w:r>
            <w:r>
              <w:t>+</w:t>
            </w:r>
            <w:r w:rsidRPr="0002083E">
              <w:t xml:space="preserve">0,3 %) a v Chorvatsku (z +2,3 % na +0,2 %). Značný pokles přírůstku spotřebitelských cen zasáhl rovněž Bulharsko, avšak vzhledem k tomu, že zde ceny už i v roce 2013 rostly jen velmi málo (+0,4 %), propadlo se Bulharsko do hluboké deflace (-1,6 %). </w:t>
            </w:r>
            <w:r w:rsidRPr="0002083E">
              <w:rPr>
                <w:spacing w:val="-2"/>
              </w:rPr>
              <w:t>Pokles cen v meziročním srovnání, i když ne tak výrazný jako v Bulharsku, zasáhl ovšem i dalších pět unijních zemí. Potýkalo se s ním Slovensko (-0,1 %), Portugalsko (-0,2 %), Španělsko (-0,2 %) a Kypr (-0,3 %), druhým rokem v řadě – a to s prohlubující intenzitou – ceny klesaly v Řecku (-0,9 % v roce 2013, -1,4 % v roce 2014).</w:t>
            </w:r>
          </w:p>
          <w:p w:rsidR="003E68BC" w:rsidRPr="0002083E" w:rsidRDefault="003E68BC" w:rsidP="008C41F7">
            <w:pPr>
              <w:pStyle w:val="Textpoznpodarou"/>
              <w:jc w:val="both"/>
              <w:rPr>
                <w:sz w:val="14"/>
                <w:szCs w:val="14"/>
              </w:rPr>
            </w:pPr>
          </w:p>
        </w:tc>
      </w:tr>
      <w:tr w:rsidR="003E68BC" w:rsidRPr="0002083E" w:rsidTr="008C41F7">
        <w:tblPrEx>
          <w:tblLook w:val="00A0"/>
        </w:tblPrEx>
        <w:tc>
          <w:tcPr>
            <w:tcW w:w="1055" w:type="pct"/>
            <w:gridSpan w:val="2"/>
          </w:tcPr>
          <w:p w:rsidR="003E68BC" w:rsidRPr="0002083E" w:rsidRDefault="003E68BC" w:rsidP="008C41F7">
            <w:pPr>
              <w:spacing w:line="240" w:lineRule="auto"/>
              <w:rPr>
                <w:sz w:val="16"/>
                <w:szCs w:val="16"/>
              </w:rPr>
            </w:pPr>
          </w:p>
        </w:tc>
        <w:tc>
          <w:tcPr>
            <w:tcW w:w="144" w:type="pct"/>
          </w:tcPr>
          <w:p w:rsidR="003E68BC" w:rsidRPr="0002083E" w:rsidRDefault="003E68BC" w:rsidP="008C41F7">
            <w:pPr>
              <w:pStyle w:val="Textpoznpodarou"/>
              <w:jc w:val="both"/>
            </w:pPr>
          </w:p>
        </w:tc>
        <w:tc>
          <w:tcPr>
            <w:tcW w:w="3802" w:type="pct"/>
          </w:tcPr>
          <w:p w:rsidR="003E68BC" w:rsidRPr="0002083E" w:rsidRDefault="003E68BC" w:rsidP="008C41F7">
            <w:pPr>
              <w:pStyle w:val="Textpoznpodarou"/>
              <w:jc w:val="both"/>
            </w:pPr>
            <w:r w:rsidRPr="0002083E">
              <w:t>V deflaci bylo v roce 2014 nejvíce unijních zemí v historii, tedy od roku 1997, od kdy jsou meziroční změny cen pro spotřebitele v pojetí HICP sledovány.</w:t>
            </w:r>
          </w:p>
          <w:p w:rsidR="003E68BC" w:rsidRPr="0002083E" w:rsidRDefault="003E68BC" w:rsidP="008C41F7">
            <w:pPr>
              <w:pStyle w:val="Textpoznpodarou"/>
              <w:jc w:val="both"/>
              <w:rPr>
                <w:sz w:val="14"/>
                <w:szCs w:val="14"/>
              </w:rPr>
            </w:pPr>
          </w:p>
        </w:tc>
      </w:tr>
      <w:tr w:rsidR="003E68BC" w:rsidRPr="0002083E" w:rsidTr="008C41F7">
        <w:tblPrEx>
          <w:tblLook w:val="00A0"/>
        </w:tblPrEx>
        <w:tc>
          <w:tcPr>
            <w:tcW w:w="1055" w:type="pct"/>
            <w:gridSpan w:val="2"/>
          </w:tcPr>
          <w:p w:rsidR="003E68BC" w:rsidRPr="0002083E" w:rsidRDefault="003E68BC" w:rsidP="008C41F7">
            <w:pPr>
              <w:spacing w:line="240" w:lineRule="auto"/>
              <w:rPr>
                <w:sz w:val="16"/>
                <w:szCs w:val="16"/>
              </w:rPr>
            </w:pPr>
            <w:r w:rsidRPr="0002083E">
              <w:rPr>
                <w:sz w:val="16"/>
                <w:szCs w:val="16"/>
              </w:rPr>
              <w:t>… ani jedna z ekonomik EU nezaznamenala inflaci překračující 1,5 %</w:t>
            </w:r>
          </w:p>
        </w:tc>
        <w:tc>
          <w:tcPr>
            <w:tcW w:w="144" w:type="pct"/>
          </w:tcPr>
          <w:p w:rsidR="003E68BC" w:rsidRPr="0002083E" w:rsidRDefault="003E68BC" w:rsidP="008C41F7">
            <w:pPr>
              <w:pStyle w:val="Textpoznpodarou"/>
              <w:jc w:val="both"/>
            </w:pPr>
          </w:p>
        </w:tc>
        <w:tc>
          <w:tcPr>
            <w:tcW w:w="3802" w:type="pct"/>
          </w:tcPr>
          <w:p w:rsidR="003E68BC" w:rsidRPr="0002083E" w:rsidRDefault="003E68BC" w:rsidP="008C41F7">
            <w:pPr>
              <w:pStyle w:val="Textpoznpodarou"/>
              <w:jc w:val="both"/>
            </w:pPr>
            <w:r w:rsidRPr="0002083E">
              <w:t xml:space="preserve">Jestliže se šest ekonomik EU potýkalo s deflací a přitom v Maďarsku ceny stagnovaly, pak pouze v jednadvaceti zemích EU stouply. Jejich přírůstky ale byly velmi slabé. Nejvyšší nárůst cen, a to pouze o 1,5 %, byl patrný ve </w:t>
            </w:r>
            <w:r>
              <w:t>Velké</w:t>
            </w:r>
            <w:r w:rsidRPr="0002083E">
              <w:t xml:space="preserve"> </w:t>
            </w:r>
            <w:r>
              <w:t>Británii</w:t>
            </w:r>
            <w:r w:rsidRPr="0002083E">
              <w:t xml:space="preserve"> a v Rakousku. O 1,4 % zboží a služby podražily v Rumunsku (tedy v zemi, která ještě v roce 2004 bojovala s dvoucifernou inflací), o 1,2 % ve Finsku. Zbývající země EU evidovaly růst spotřebitelských cen v rozmezí od +0,1 % (Polsko) do +0,8 % (Německo a Malta).</w:t>
            </w:r>
          </w:p>
          <w:p w:rsidR="003E68BC" w:rsidRPr="0002083E" w:rsidRDefault="003E68BC" w:rsidP="008C41F7">
            <w:pPr>
              <w:pStyle w:val="Textpoznpodarou"/>
              <w:jc w:val="both"/>
              <w:rPr>
                <w:sz w:val="16"/>
                <w:szCs w:val="16"/>
              </w:rPr>
            </w:pPr>
          </w:p>
        </w:tc>
      </w:tr>
      <w:tr w:rsidR="003E68BC" w:rsidRPr="0002083E" w:rsidTr="008C41F7">
        <w:tblPrEx>
          <w:tblLook w:val="00A0"/>
        </w:tblPrEx>
        <w:trPr>
          <w:trHeight w:val="1305"/>
        </w:trPr>
        <w:tc>
          <w:tcPr>
            <w:tcW w:w="1055" w:type="pct"/>
            <w:gridSpan w:val="2"/>
          </w:tcPr>
          <w:p w:rsidR="003E68BC" w:rsidRPr="0002083E" w:rsidRDefault="003E68BC" w:rsidP="008C41F7">
            <w:pPr>
              <w:spacing w:line="240" w:lineRule="auto"/>
              <w:rPr>
                <w:sz w:val="16"/>
                <w:szCs w:val="16"/>
              </w:rPr>
            </w:pPr>
            <w:r w:rsidRPr="0002083E">
              <w:rPr>
                <w:sz w:val="16"/>
                <w:szCs w:val="16"/>
              </w:rPr>
              <w:t>Evropská centrální banka s dezinflací bojuje, …</w:t>
            </w:r>
          </w:p>
        </w:tc>
        <w:tc>
          <w:tcPr>
            <w:tcW w:w="144" w:type="pct"/>
          </w:tcPr>
          <w:p w:rsidR="003E68BC" w:rsidRPr="0002083E" w:rsidRDefault="003E68BC" w:rsidP="008C41F7">
            <w:pPr>
              <w:pStyle w:val="Textpoznpodarou"/>
              <w:jc w:val="both"/>
            </w:pPr>
          </w:p>
        </w:tc>
        <w:tc>
          <w:tcPr>
            <w:tcW w:w="3802" w:type="pct"/>
          </w:tcPr>
          <w:p w:rsidR="003E68BC" w:rsidRPr="0002083E" w:rsidRDefault="003E68BC" w:rsidP="008C41F7">
            <w:pPr>
              <w:pStyle w:val="Textpoznpodarou"/>
              <w:jc w:val="both"/>
            </w:pPr>
            <w:r w:rsidRPr="0002083E">
              <w:t>Co se týče přírůstku spotřebitelských cen v </w:t>
            </w:r>
            <w:proofErr w:type="spellStart"/>
            <w:r w:rsidRPr="0002083E">
              <w:t>eurozóně</w:t>
            </w:r>
            <w:proofErr w:type="spellEnd"/>
            <w:r w:rsidRPr="0002083E">
              <w:t xml:space="preserve"> jako celku, jeho dynamika zpomalovala od </w:t>
            </w:r>
            <w:r>
              <w:t>první poloviny roku</w:t>
            </w:r>
            <w:r w:rsidRPr="0002083E">
              <w:t xml:space="preserve"> 2012, tedy </w:t>
            </w:r>
            <w:r>
              <w:t>podobně</w:t>
            </w:r>
            <w:r w:rsidRPr="0002083E">
              <w:t xml:space="preserve"> jako v ČR. A stejně jako v Česku – kde dezinflaci čelila tuzemská měnově politická autorita, tedy ČNB – s dezinflací v </w:t>
            </w:r>
            <w:proofErr w:type="spellStart"/>
            <w:r w:rsidRPr="0002083E">
              <w:t>eurozóně</w:t>
            </w:r>
            <w:proofErr w:type="spellEnd"/>
            <w:r w:rsidRPr="0002083E">
              <w:t xml:space="preserve"> bojovala měnově politická autorita pro tento hospodářský prostor, tedy Evropská centrální banka (ECB).</w:t>
            </w:r>
          </w:p>
          <w:p w:rsidR="003E68BC" w:rsidRPr="0002083E" w:rsidRDefault="003E68BC" w:rsidP="008C41F7">
            <w:pPr>
              <w:pStyle w:val="Textpoznpodarou"/>
              <w:jc w:val="both"/>
              <w:rPr>
                <w:sz w:val="16"/>
                <w:szCs w:val="16"/>
              </w:rPr>
            </w:pPr>
          </w:p>
        </w:tc>
      </w:tr>
      <w:tr w:rsidR="003E68BC" w:rsidRPr="0002083E" w:rsidTr="008C41F7">
        <w:tblPrEx>
          <w:tblLook w:val="00A0"/>
        </w:tblPrEx>
        <w:trPr>
          <w:trHeight w:val="2310"/>
        </w:trPr>
        <w:tc>
          <w:tcPr>
            <w:tcW w:w="1055" w:type="pct"/>
            <w:gridSpan w:val="2"/>
          </w:tcPr>
          <w:p w:rsidR="003E68BC" w:rsidRPr="0002083E" w:rsidRDefault="003E68BC" w:rsidP="008C41F7">
            <w:pPr>
              <w:spacing w:line="240" w:lineRule="auto"/>
              <w:rPr>
                <w:sz w:val="16"/>
                <w:szCs w:val="16"/>
              </w:rPr>
            </w:pPr>
            <w:r w:rsidRPr="0002083E">
              <w:rPr>
                <w:sz w:val="16"/>
                <w:szCs w:val="16"/>
              </w:rPr>
              <w:t>… a to jak standardními opatřeními, tak opatřeními nestandardními</w:t>
            </w:r>
          </w:p>
        </w:tc>
        <w:tc>
          <w:tcPr>
            <w:tcW w:w="144" w:type="pct"/>
          </w:tcPr>
          <w:p w:rsidR="003E68BC" w:rsidRPr="0002083E" w:rsidRDefault="003E68BC" w:rsidP="008C41F7">
            <w:pPr>
              <w:pStyle w:val="Textpoznpodarou"/>
              <w:jc w:val="both"/>
            </w:pPr>
          </w:p>
        </w:tc>
        <w:tc>
          <w:tcPr>
            <w:tcW w:w="3802" w:type="pct"/>
          </w:tcPr>
          <w:p w:rsidR="003E68BC" w:rsidRPr="0002083E" w:rsidRDefault="003E68BC" w:rsidP="008C41F7">
            <w:pPr>
              <w:pStyle w:val="Textpoznpodarou"/>
              <w:jc w:val="both"/>
              <w:rPr>
                <w:spacing w:val="-2"/>
              </w:rPr>
            </w:pPr>
            <w:r w:rsidRPr="0002083E">
              <w:rPr>
                <w:spacing w:val="-2"/>
              </w:rPr>
              <w:t>V průběhu roku 2014 přistoupila ECB ke třem hlavním měnově politickým opatřením, které měly nepříznivý v</w:t>
            </w:r>
            <w:r w:rsidR="00E1629D">
              <w:rPr>
                <w:spacing w:val="-2"/>
              </w:rPr>
              <w:t xml:space="preserve">ývoj cen v </w:t>
            </w:r>
            <w:proofErr w:type="spellStart"/>
            <w:r w:rsidR="00E1629D">
              <w:rPr>
                <w:spacing w:val="-2"/>
              </w:rPr>
              <w:t>eurozóně</w:t>
            </w:r>
            <w:proofErr w:type="spellEnd"/>
            <w:r w:rsidR="00E1629D">
              <w:rPr>
                <w:spacing w:val="-2"/>
              </w:rPr>
              <w:t xml:space="preserve"> zvrátit. Za</w:t>
            </w:r>
            <w:r w:rsidRPr="0002083E">
              <w:rPr>
                <w:spacing w:val="-2"/>
              </w:rPr>
              <w:t>prvé, snížila úrokové sazby, za které obchoduje s komerčními bankami likviditu (hlavní refinanční sazbu stanovila na 0,05 %, tedy na</w:t>
            </w:r>
            <w:r>
              <w:rPr>
                <w:spacing w:val="-2"/>
              </w:rPr>
              <w:t xml:space="preserve"> faktickou nulu, depozitní</w:t>
            </w:r>
            <w:r w:rsidRPr="0002083E">
              <w:rPr>
                <w:spacing w:val="-2"/>
              </w:rPr>
              <w:t xml:space="preserve"> sazbu – za kterou si u ECB mohou banky ukládat volnou likviditu tzv. „přes noc“ – srazila </w:t>
            </w:r>
            <w:r w:rsidR="00E1629D">
              <w:rPr>
                <w:spacing w:val="-2"/>
              </w:rPr>
              <w:t>dokonce do záporného pásma). Za</w:t>
            </w:r>
            <w:r w:rsidRPr="0002083E">
              <w:rPr>
                <w:spacing w:val="-2"/>
              </w:rPr>
              <w:t xml:space="preserve">druhé, začala komerčním bankám poskytovat </w:t>
            </w:r>
            <w:r>
              <w:rPr>
                <w:spacing w:val="-2"/>
              </w:rPr>
              <w:t xml:space="preserve">„dlouhodobou“ </w:t>
            </w:r>
            <w:r w:rsidR="00E1629D">
              <w:rPr>
                <w:spacing w:val="-2"/>
              </w:rPr>
              <w:t>likviditu. Za</w:t>
            </w:r>
            <w:r w:rsidRPr="0002083E">
              <w:rPr>
                <w:spacing w:val="-2"/>
              </w:rPr>
              <w:t>třetí, přistoupila k nákupům krytých dluhopisů a tzv. ABS instrumentů. Dezinflační vývoj se jí ale zvrátit nedařilo, a tak se v lednu 2015 rozhodla podpořit ekonomiku dalším opatřením. Oznámila, že bude</w:t>
            </w:r>
            <w:r>
              <w:rPr>
                <w:spacing w:val="-2"/>
              </w:rPr>
              <w:t xml:space="preserve"> (po vzoru amerického </w:t>
            </w:r>
            <w:proofErr w:type="spellStart"/>
            <w:r>
              <w:rPr>
                <w:spacing w:val="-2"/>
              </w:rPr>
              <w:t>FEDu</w:t>
            </w:r>
            <w:proofErr w:type="spellEnd"/>
            <w:r>
              <w:rPr>
                <w:spacing w:val="-2"/>
              </w:rPr>
              <w:t>)</w:t>
            </w:r>
            <w:r w:rsidRPr="0002083E">
              <w:rPr>
                <w:spacing w:val="-2"/>
              </w:rPr>
              <w:t xml:space="preserve"> nakupovat vládní dluhopisy, tedy provádět politiku známou pod pojmem „kvantitativní uvolňování“. Spuštěna byla v březnu.</w:t>
            </w:r>
          </w:p>
        </w:tc>
      </w:tr>
    </w:tbl>
    <w:p w:rsidR="003E68BC" w:rsidRPr="007B732C" w:rsidRDefault="003E68BC" w:rsidP="003E68BC">
      <w:pPr>
        <w:rPr>
          <w:sz w:val="16"/>
          <w:szCs w:val="16"/>
        </w:rPr>
      </w:pPr>
    </w:p>
    <w:tbl>
      <w:tblPr>
        <w:tblW w:w="5000" w:type="pct"/>
        <w:tblLook w:val="04A0"/>
      </w:tblPr>
      <w:tblGrid>
        <w:gridCol w:w="1062"/>
        <w:gridCol w:w="3864"/>
        <w:gridCol w:w="998"/>
        <w:gridCol w:w="2265"/>
        <w:gridCol w:w="1665"/>
      </w:tblGrid>
      <w:tr w:rsidR="003E68BC" w:rsidRPr="0002083E" w:rsidTr="008C41F7">
        <w:tc>
          <w:tcPr>
            <w:tcW w:w="539" w:type="pct"/>
          </w:tcPr>
          <w:p w:rsidR="003E68BC" w:rsidRPr="0002083E" w:rsidRDefault="003E68BC" w:rsidP="00F92B4F">
            <w:pPr>
              <w:pStyle w:val="Textpoznpodarou"/>
            </w:pPr>
            <w:r w:rsidRPr="0002083E">
              <w:t>Graf č.</w:t>
            </w:r>
            <w:r w:rsidR="00F92B4F">
              <w:t> </w:t>
            </w:r>
            <w:r w:rsidRPr="0002083E">
              <w:t>10</w:t>
            </w:r>
          </w:p>
        </w:tc>
        <w:tc>
          <w:tcPr>
            <w:tcW w:w="1962" w:type="pct"/>
          </w:tcPr>
          <w:p w:rsidR="003E68BC" w:rsidRPr="0002083E" w:rsidRDefault="003E68BC" w:rsidP="008C41F7">
            <w:pPr>
              <w:pStyle w:val="Textpoznpodarou"/>
              <w:rPr>
                <w:spacing w:val="-6"/>
              </w:rPr>
            </w:pPr>
            <w:r w:rsidRPr="0002083E">
              <w:rPr>
                <w:b/>
                <w:spacing w:val="-6"/>
              </w:rPr>
              <w:t xml:space="preserve">Ceny pro spotřebitele v ČR, EU28, </w:t>
            </w:r>
            <w:proofErr w:type="spellStart"/>
            <w:r w:rsidRPr="0002083E">
              <w:rPr>
                <w:b/>
                <w:spacing w:val="-6"/>
              </w:rPr>
              <w:t>eurozóně</w:t>
            </w:r>
            <w:proofErr w:type="spellEnd"/>
            <w:r w:rsidRPr="0002083E">
              <w:rPr>
                <w:b/>
                <w:spacing w:val="-6"/>
              </w:rPr>
              <w:t xml:space="preserve"> a v USA</w:t>
            </w:r>
            <w:r w:rsidRPr="0002083E">
              <w:rPr>
                <w:spacing w:val="-6"/>
              </w:rPr>
              <w:t xml:space="preserve"> (HICP, y/y v %)</w:t>
            </w:r>
          </w:p>
        </w:tc>
        <w:tc>
          <w:tcPr>
            <w:tcW w:w="506" w:type="pct"/>
          </w:tcPr>
          <w:p w:rsidR="003E68BC" w:rsidRPr="0002083E" w:rsidRDefault="003E68BC" w:rsidP="00F92B4F">
            <w:pPr>
              <w:pStyle w:val="Textpoznpodarou"/>
            </w:pPr>
            <w:r w:rsidRPr="0002083E">
              <w:t>Graf č.</w:t>
            </w:r>
            <w:r w:rsidR="00F92B4F">
              <w:t> </w:t>
            </w:r>
            <w:r w:rsidRPr="0002083E">
              <w:t>11</w:t>
            </w:r>
          </w:p>
        </w:tc>
        <w:tc>
          <w:tcPr>
            <w:tcW w:w="1993" w:type="pct"/>
            <w:gridSpan w:val="2"/>
          </w:tcPr>
          <w:p w:rsidR="003E68BC" w:rsidRPr="0002083E" w:rsidRDefault="003E68BC" w:rsidP="008C41F7">
            <w:pPr>
              <w:pStyle w:val="Textpoznpodarou"/>
            </w:pPr>
            <w:r w:rsidRPr="0002083E">
              <w:rPr>
                <w:b/>
              </w:rPr>
              <w:t>Ceny pro spotřebitele ve vybraných zemích EU</w:t>
            </w:r>
            <w:r w:rsidRPr="0002083E">
              <w:rPr>
                <w:lang w:val="en-US"/>
              </w:rPr>
              <w:t xml:space="preserve"> (</w:t>
            </w:r>
            <w:r w:rsidRPr="0002083E">
              <w:t>HICP, y/y v %)</w:t>
            </w:r>
          </w:p>
        </w:tc>
      </w:tr>
      <w:tr w:rsidR="003E68BC" w:rsidRPr="0002083E" w:rsidTr="008C41F7">
        <w:tc>
          <w:tcPr>
            <w:tcW w:w="2501" w:type="pct"/>
            <w:gridSpan w:val="2"/>
          </w:tcPr>
          <w:p w:rsidR="003E68BC" w:rsidRPr="0002083E" w:rsidRDefault="00E70B7D" w:rsidP="008C41F7">
            <w:pPr>
              <w:pStyle w:val="Textpoznpodarou"/>
              <w:jc w:val="both"/>
            </w:pPr>
            <w:r>
              <w:rPr>
                <w:noProof/>
              </w:rPr>
              <w:pict>
                <v:shape id="_x0000_i1538" type="#_x0000_t75" style="width:237pt;height:186pt;visibility:visible;mso-wrap-style:square">
                  <v:imagedata r:id="rId17" o:title=""/>
                </v:shape>
              </w:pict>
            </w:r>
          </w:p>
        </w:tc>
        <w:tc>
          <w:tcPr>
            <w:tcW w:w="2499" w:type="pct"/>
            <w:gridSpan w:val="3"/>
          </w:tcPr>
          <w:p w:rsidR="003E68BC" w:rsidRPr="0002083E" w:rsidRDefault="00E70B7D" w:rsidP="008C41F7">
            <w:pPr>
              <w:pStyle w:val="Textpoznpodarou"/>
              <w:jc w:val="both"/>
            </w:pPr>
            <w:r>
              <w:rPr>
                <w:noProof/>
              </w:rPr>
              <w:pict>
                <v:shape id="_x0000_i1539" type="#_x0000_t75" style="width:237pt;height:186pt;visibility:visible;mso-wrap-style:square">
                  <v:imagedata r:id="rId18" o:title=""/>
                </v:shape>
              </w:pict>
            </w:r>
          </w:p>
        </w:tc>
      </w:tr>
      <w:tr w:rsidR="003E68BC" w:rsidRPr="0002083E" w:rsidTr="008C41F7">
        <w:tc>
          <w:tcPr>
            <w:tcW w:w="4156" w:type="pct"/>
            <w:gridSpan w:val="4"/>
          </w:tcPr>
          <w:p w:rsidR="003E68BC" w:rsidRPr="0002083E" w:rsidRDefault="003E68BC" w:rsidP="008C41F7">
            <w:pPr>
              <w:pStyle w:val="Textpoznpodarou"/>
              <w:rPr>
                <w:noProof/>
                <w:sz w:val="18"/>
                <w:szCs w:val="18"/>
              </w:rPr>
            </w:pPr>
          </w:p>
        </w:tc>
        <w:tc>
          <w:tcPr>
            <w:tcW w:w="844" w:type="pct"/>
          </w:tcPr>
          <w:p w:rsidR="003E68BC" w:rsidRPr="0002083E" w:rsidRDefault="003E68BC" w:rsidP="008C41F7">
            <w:pPr>
              <w:pStyle w:val="Textpoznpodarou"/>
              <w:jc w:val="right"/>
              <w:rPr>
                <w:noProof/>
              </w:rPr>
            </w:pPr>
            <w:r w:rsidRPr="0002083E">
              <w:rPr>
                <w:sz w:val="18"/>
                <w:szCs w:val="18"/>
              </w:rPr>
              <w:t xml:space="preserve">Zdroj: </w:t>
            </w:r>
            <w:proofErr w:type="spellStart"/>
            <w:r w:rsidRPr="0002083E">
              <w:rPr>
                <w:sz w:val="18"/>
                <w:szCs w:val="18"/>
              </w:rPr>
              <w:t>Eurostat</w:t>
            </w:r>
            <w:proofErr w:type="spellEnd"/>
          </w:p>
        </w:tc>
      </w:tr>
    </w:tbl>
    <w:p w:rsidR="003E68BC" w:rsidRPr="00AD306C" w:rsidRDefault="003E68BC" w:rsidP="008B0C8B">
      <w:pPr>
        <w:pStyle w:val="Nadpis2"/>
        <w:numPr>
          <w:ilvl w:val="1"/>
          <w:numId w:val="5"/>
        </w:numPr>
      </w:pPr>
      <w:bookmarkStart w:id="4" w:name="_Toc426017663"/>
      <w:r>
        <w:lastRenderedPageBreak/>
        <w:t>Ceny výrobců</w:t>
      </w:r>
      <w:bookmarkEnd w:id="4"/>
    </w:p>
    <w:tbl>
      <w:tblPr>
        <w:tblW w:w="5000" w:type="pct"/>
        <w:tblLook w:val="00A0"/>
      </w:tblPr>
      <w:tblGrid>
        <w:gridCol w:w="2079"/>
        <w:gridCol w:w="284"/>
        <w:gridCol w:w="7491"/>
      </w:tblGrid>
      <w:tr w:rsidR="003E68BC" w:rsidRPr="0002083E" w:rsidTr="008C41F7">
        <w:tc>
          <w:tcPr>
            <w:tcW w:w="1055" w:type="pct"/>
          </w:tcPr>
          <w:p w:rsidR="003E68BC" w:rsidRPr="0002083E" w:rsidRDefault="003E68BC" w:rsidP="008C41F7">
            <w:pPr>
              <w:spacing w:line="240" w:lineRule="auto"/>
              <w:rPr>
                <w:sz w:val="16"/>
                <w:szCs w:val="16"/>
              </w:rPr>
            </w:pPr>
            <w:r w:rsidRPr="0002083E">
              <w:rPr>
                <w:sz w:val="16"/>
                <w:szCs w:val="16"/>
              </w:rPr>
              <w:t xml:space="preserve">Zemědělské výrobky zlevnily v roce 2014 sice výrazně méně než v roce 2009, i tak ovšem tento </w:t>
            </w:r>
            <w:r>
              <w:rPr>
                <w:sz w:val="16"/>
                <w:szCs w:val="16"/>
              </w:rPr>
              <w:t xml:space="preserve">cenový </w:t>
            </w:r>
            <w:r w:rsidRPr="0002083E">
              <w:rPr>
                <w:sz w:val="16"/>
                <w:szCs w:val="16"/>
              </w:rPr>
              <w:t>pokles stačil na to, aby skrze v</w:t>
            </w:r>
            <w:r>
              <w:rPr>
                <w:sz w:val="16"/>
                <w:szCs w:val="16"/>
              </w:rPr>
              <w:t>ýrobní řetězec zmenšil přírůstek</w:t>
            </w:r>
            <w:r w:rsidRPr="0002083E">
              <w:rPr>
                <w:sz w:val="16"/>
                <w:szCs w:val="16"/>
              </w:rPr>
              <w:t xml:space="preserve"> cen potravin a tedy i vlastní inflaci</w:t>
            </w:r>
          </w:p>
        </w:tc>
        <w:tc>
          <w:tcPr>
            <w:tcW w:w="144" w:type="pct"/>
          </w:tcPr>
          <w:p w:rsidR="003E68BC" w:rsidRPr="0002083E" w:rsidRDefault="003E68BC" w:rsidP="008C41F7">
            <w:pPr>
              <w:pStyle w:val="Textpoznpodarou"/>
              <w:jc w:val="both"/>
            </w:pPr>
          </w:p>
        </w:tc>
        <w:tc>
          <w:tcPr>
            <w:tcW w:w="3801" w:type="pct"/>
          </w:tcPr>
          <w:p w:rsidR="003E68BC" w:rsidRPr="0002083E" w:rsidRDefault="003E68BC" w:rsidP="008C41F7">
            <w:pPr>
              <w:pStyle w:val="Textpoznpodarou"/>
              <w:jc w:val="both"/>
            </w:pPr>
            <w:r w:rsidRPr="0002083E">
              <w:t>Ceny zemědělských výrobců se snížily poprvé od roku 2009. Zatímco tehdy</w:t>
            </w:r>
            <w:r>
              <w:t xml:space="preserve"> </w:t>
            </w:r>
            <w:r w:rsidRPr="0002083E">
              <w:t>k propadu cen přispěla jak rostlinná, tak živočišná výroba, v roce 2014 to byla pouze rostlinná výroba. Také z tohoto důvodu byl pokles cen mnohem méně výrazný – jestliže v roce 2009 ceny zemědělských výrobců klesly o čtvrtinu, v roce 2014 jen o 3,7 %. I tento pokles, v porovnání s rokem 2009 pouze mírný, ovšem stačil na to, aby skrze výrobní řetězec snížil dynamiku cen potravin v obchodech (zeleniny, ovoce, ale také například pekárenských výrobků a obilovin) a tím přispěl k pokračující dezinflaci.</w:t>
            </w:r>
          </w:p>
          <w:p w:rsidR="003E68BC" w:rsidRPr="0002083E" w:rsidRDefault="003E68BC" w:rsidP="008C41F7">
            <w:pPr>
              <w:pStyle w:val="Textpoznpodarou"/>
              <w:jc w:val="both"/>
              <w:rPr>
                <w:sz w:val="16"/>
                <w:szCs w:val="16"/>
              </w:rPr>
            </w:pPr>
          </w:p>
        </w:tc>
      </w:tr>
      <w:tr w:rsidR="003E68BC" w:rsidRPr="0002083E" w:rsidTr="008C41F7">
        <w:tc>
          <w:tcPr>
            <w:tcW w:w="1055" w:type="pct"/>
          </w:tcPr>
          <w:p w:rsidR="003E68BC" w:rsidRPr="0002083E" w:rsidRDefault="003E68BC" w:rsidP="008C41F7">
            <w:pPr>
              <w:spacing w:line="240" w:lineRule="auto"/>
              <w:rPr>
                <w:sz w:val="16"/>
                <w:szCs w:val="16"/>
              </w:rPr>
            </w:pPr>
            <w:r w:rsidRPr="0002083E">
              <w:rPr>
                <w:sz w:val="16"/>
                <w:szCs w:val="16"/>
              </w:rPr>
              <w:t>Levněji než před rokem se vykupovaly všechny druhy sledovaných obilovin, ale také řepka, brambory, zelenina, ovoce</w:t>
            </w:r>
          </w:p>
        </w:tc>
        <w:tc>
          <w:tcPr>
            <w:tcW w:w="144" w:type="pct"/>
          </w:tcPr>
          <w:p w:rsidR="003E68BC" w:rsidRPr="0002083E" w:rsidRDefault="003E68BC" w:rsidP="008C41F7">
            <w:pPr>
              <w:pStyle w:val="Textpoznpodarou"/>
              <w:jc w:val="both"/>
            </w:pPr>
          </w:p>
        </w:tc>
        <w:tc>
          <w:tcPr>
            <w:tcW w:w="3801" w:type="pct"/>
          </w:tcPr>
          <w:p w:rsidR="003E68BC" w:rsidRPr="0002083E" w:rsidRDefault="003E68BC" w:rsidP="008C41F7">
            <w:pPr>
              <w:pStyle w:val="Textpoznpodarou"/>
              <w:jc w:val="both"/>
              <w:rPr>
                <w:spacing w:val="-2"/>
              </w:rPr>
            </w:pPr>
            <w:r w:rsidRPr="0002083E">
              <w:rPr>
                <w:spacing w:val="-2"/>
              </w:rPr>
              <w:t>Rostlinná výroba, která v roce 2013 podražila o 5,1 % a její ceny tak byly historicky vůbec nejvyšší (v porovnání s rokem 2005 o tři čtvrtiny), v roce 2014 o 10,3 % zlevnila. Hlavním důvodem, který za tímto poklesem stál, byla dobrá úroda, a to nejen ve světě, ale i v samotné ČR. Tak například výnosy obilovin narostly o 17,2 %, řepky o 14,6 %, brambor – kterých se v roce 2013 vlivem nepříznivého počasí urodilo velmi málo – dokonce o 25,8 %. Takto vysoké růsty výnosů, při relativně malé změně osevních ploch, logicky vedly k nárůstu nabídky produktů na trhu, a v logice věci k tlaku na pokles cen. Obiloviny se tak vykupovaly o 14,0 % levněji než v roce předchozím, řepka o 11,2 % a brambory o 10,4 %. Snížily se ale i ceny zeleniny a zahradnických produktů (-5,3 %), zlevnilo také ovoce (-12,8 %).</w:t>
            </w:r>
          </w:p>
          <w:p w:rsidR="003E68BC" w:rsidRPr="0002083E" w:rsidRDefault="003E68BC" w:rsidP="008C41F7">
            <w:pPr>
              <w:pStyle w:val="Textpoznpodarou"/>
              <w:jc w:val="both"/>
              <w:rPr>
                <w:sz w:val="16"/>
                <w:szCs w:val="16"/>
              </w:rPr>
            </w:pPr>
          </w:p>
        </w:tc>
      </w:tr>
      <w:tr w:rsidR="003E68BC" w:rsidRPr="0002083E" w:rsidTr="008C41F7">
        <w:trPr>
          <w:trHeight w:val="1515"/>
        </w:trPr>
        <w:tc>
          <w:tcPr>
            <w:tcW w:w="1055" w:type="pct"/>
          </w:tcPr>
          <w:p w:rsidR="003E68BC" w:rsidRPr="0002083E" w:rsidRDefault="003E68BC" w:rsidP="008C41F7">
            <w:pPr>
              <w:spacing w:line="240" w:lineRule="auto"/>
              <w:rPr>
                <w:sz w:val="16"/>
                <w:szCs w:val="16"/>
              </w:rPr>
            </w:pPr>
            <w:r w:rsidRPr="0002083E">
              <w:rPr>
                <w:sz w:val="16"/>
                <w:szCs w:val="16"/>
              </w:rPr>
              <w:t>Ceny mléka stouply v roce 2014 o 13,1 %…</w:t>
            </w:r>
          </w:p>
        </w:tc>
        <w:tc>
          <w:tcPr>
            <w:tcW w:w="144" w:type="pct"/>
          </w:tcPr>
          <w:p w:rsidR="003E68BC" w:rsidRPr="0002083E" w:rsidRDefault="003E68BC" w:rsidP="008C41F7">
            <w:pPr>
              <w:pStyle w:val="Textpoznpodarou"/>
              <w:jc w:val="both"/>
            </w:pPr>
          </w:p>
        </w:tc>
        <w:tc>
          <w:tcPr>
            <w:tcW w:w="3801" w:type="pct"/>
          </w:tcPr>
          <w:p w:rsidR="003E68BC" w:rsidRPr="0002083E" w:rsidRDefault="003E68BC" w:rsidP="008C41F7">
            <w:pPr>
              <w:pStyle w:val="Textpoznpodarou"/>
              <w:jc w:val="both"/>
            </w:pPr>
            <w:r w:rsidRPr="0002083E">
              <w:t>Ceny živočišné výroby pokračovaly v trendu nastoleném v roce 2010 i nadále, zvýšily se o 4,9 %. Zatímco v roce 2013 k jejich zvýšení pozitivně přispěly rostoucí ceny hospodářských zvířat i mléka, v roce 2014 již výkupní ceny hospodářských zvířat klesly (-1,5 %). To ale neplatilo pro mléko, jeho ceny narostl</w:t>
            </w:r>
            <w:r>
              <w:t>y – zřejmě zejména vlivem silné</w:t>
            </w:r>
            <w:r w:rsidRPr="0002083E">
              <w:t xml:space="preserve"> poptávky po výrobcích z mléka ve světě – o poměrně vysokých 13,1 %. </w:t>
            </w:r>
          </w:p>
          <w:p w:rsidR="003E68BC" w:rsidRPr="0002083E" w:rsidRDefault="003E68BC" w:rsidP="008C41F7">
            <w:pPr>
              <w:pStyle w:val="Textpoznpodarou"/>
              <w:jc w:val="both"/>
              <w:rPr>
                <w:sz w:val="16"/>
                <w:szCs w:val="16"/>
              </w:rPr>
            </w:pPr>
          </w:p>
        </w:tc>
      </w:tr>
      <w:tr w:rsidR="003E68BC" w:rsidRPr="0002083E" w:rsidTr="008C41F7">
        <w:trPr>
          <w:trHeight w:val="1590"/>
        </w:trPr>
        <w:tc>
          <w:tcPr>
            <w:tcW w:w="1055" w:type="pct"/>
          </w:tcPr>
          <w:p w:rsidR="003E68BC" w:rsidRPr="0002083E" w:rsidRDefault="003E68BC" w:rsidP="008C41F7">
            <w:pPr>
              <w:spacing w:line="240" w:lineRule="auto"/>
              <w:rPr>
                <w:sz w:val="16"/>
                <w:szCs w:val="16"/>
              </w:rPr>
            </w:pPr>
            <w:r w:rsidRPr="0002083E">
              <w:rPr>
                <w:sz w:val="16"/>
                <w:szCs w:val="16"/>
              </w:rPr>
              <w:t xml:space="preserve">…a výraznou měrou přispěly k tomu, že úhrnné zisky zemědělců meziročně vzrostly </w:t>
            </w:r>
            <w:r>
              <w:rPr>
                <w:sz w:val="16"/>
                <w:szCs w:val="16"/>
              </w:rPr>
              <w:t>o tři desetiny</w:t>
            </w:r>
          </w:p>
        </w:tc>
        <w:tc>
          <w:tcPr>
            <w:tcW w:w="144" w:type="pct"/>
          </w:tcPr>
          <w:p w:rsidR="003E68BC" w:rsidRPr="0002083E" w:rsidRDefault="003E68BC" w:rsidP="008C41F7">
            <w:pPr>
              <w:pStyle w:val="Textpoznpodarou"/>
              <w:jc w:val="both"/>
            </w:pPr>
          </w:p>
        </w:tc>
        <w:tc>
          <w:tcPr>
            <w:tcW w:w="3801" w:type="pct"/>
          </w:tcPr>
          <w:p w:rsidR="003E68BC" w:rsidRPr="0002083E" w:rsidRDefault="003E68BC" w:rsidP="008C41F7">
            <w:pPr>
              <w:pStyle w:val="Textpoznpodarou"/>
              <w:jc w:val="both"/>
            </w:pPr>
            <w:r w:rsidRPr="0002083E">
              <w:t>Výrazný nárůst cen mléka v roce 2014 byl jednou z příčin toho, že zemědělci mohly rok 2014 označit za rok úspěšný. Podle</w:t>
            </w:r>
            <w:r>
              <w:t xml:space="preserve"> předběžných výsledků</w:t>
            </w:r>
            <w:r w:rsidRPr="0002083E">
              <w:t xml:space="preserve"> souhrnného zemědělského účtu dosáhly úhrnné zisky zemědělců v pojetí čistého provozního přebytku </w:t>
            </w:r>
            <w:r>
              <w:t>a </w:t>
            </w:r>
            <w:r w:rsidRPr="0002083E">
              <w:t>smíšeného důc</w:t>
            </w:r>
            <w:r>
              <w:t>hodu nominálně 29,3 mld. korun, nejvyšší hodnoty</w:t>
            </w:r>
            <w:r w:rsidRPr="0002083E">
              <w:t xml:space="preserve"> od</w:t>
            </w:r>
            <w:r>
              <w:t> </w:t>
            </w:r>
            <w:r w:rsidRPr="0002083E">
              <w:t xml:space="preserve">roku 1998, od kdy jsou srovnatelné údaje k dispozici. </w:t>
            </w:r>
            <w:r>
              <w:t>V meziročním srovnání</w:t>
            </w:r>
            <w:r w:rsidRPr="0002083E">
              <w:t xml:space="preserve"> </w:t>
            </w:r>
            <w:r>
              <w:t xml:space="preserve">stouply </w:t>
            </w:r>
            <w:r w:rsidRPr="0002083E">
              <w:t xml:space="preserve">o </w:t>
            </w:r>
            <w:r>
              <w:t>tři desetiny.</w:t>
            </w:r>
          </w:p>
          <w:p w:rsidR="003E68BC" w:rsidRPr="0002083E" w:rsidRDefault="003E68BC" w:rsidP="008C41F7">
            <w:pPr>
              <w:pStyle w:val="Textpoznpodarou"/>
              <w:jc w:val="both"/>
              <w:rPr>
                <w:sz w:val="16"/>
                <w:szCs w:val="16"/>
              </w:rPr>
            </w:pPr>
          </w:p>
        </w:tc>
      </w:tr>
      <w:tr w:rsidR="003E68BC" w:rsidRPr="0002083E" w:rsidTr="008C41F7">
        <w:tc>
          <w:tcPr>
            <w:tcW w:w="1055" w:type="pct"/>
          </w:tcPr>
          <w:p w:rsidR="003E68BC" w:rsidRPr="0002083E" w:rsidRDefault="003E68BC" w:rsidP="008C41F7">
            <w:pPr>
              <w:spacing w:line="240" w:lineRule="auto"/>
              <w:rPr>
                <w:sz w:val="16"/>
                <w:szCs w:val="16"/>
              </w:rPr>
            </w:pPr>
            <w:r w:rsidRPr="0002083E">
              <w:rPr>
                <w:sz w:val="16"/>
                <w:szCs w:val="16"/>
              </w:rPr>
              <w:t>Pokles cen průmyslových výrobců v roce 2014 způsoben pokračujícím snižováním cen uhlí a lednovým zlevněním elektřiny a plynu</w:t>
            </w:r>
          </w:p>
        </w:tc>
        <w:tc>
          <w:tcPr>
            <w:tcW w:w="144" w:type="pct"/>
          </w:tcPr>
          <w:p w:rsidR="003E68BC" w:rsidRPr="0002083E" w:rsidRDefault="003E68BC" w:rsidP="008C41F7">
            <w:pPr>
              <w:pStyle w:val="Textpoznpodarou"/>
              <w:jc w:val="both"/>
            </w:pPr>
          </w:p>
        </w:tc>
        <w:tc>
          <w:tcPr>
            <w:tcW w:w="3801" w:type="pct"/>
          </w:tcPr>
          <w:p w:rsidR="003E68BC" w:rsidRPr="0002083E" w:rsidRDefault="003E68BC" w:rsidP="008C41F7">
            <w:pPr>
              <w:pStyle w:val="Textpoznpodarou"/>
              <w:jc w:val="both"/>
              <w:rPr>
                <w:sz w:val="14"/>
                <w:szCs w:val="14"/>
              </w:rPr>
            </w:pPr>
            <w:r w:rsidRPr="0002083E">
              <w:t>Dezinflačním směrem přispíval v roce 2014 i cenový vývoj v průmyslu. Ceny v této části výrobního řetězce klesly o 0,8 %, poprvé za posledních pět let. Zatímco v roce 2009 byl pokles cen v průmyslu (-3,1 %) iniciován ojedinělým snížením cen uhlí a hlubokým propadem cen ropy na světovém komoditním trhu (barel ropy Brent zlevnil během druhé poloviny roku 2008 ze zhruba 130 amerických dolarů na pouhých 40), v roce 2014 již několik let trvajícím poklesem cen uhlí a poměrně výrazným lednovým zlevněním v energetice. To se týkalo – stejně jako v případě domácností – elektřiny i plynu.</w:t>
            </w:r>
          </w:p>
        </w:tc>
      </w:tr>
    </w:tbl>
    <w:p w:rsidR="003E68BC" w:rsidRPr="00D37F8B" w:rsidRDefault="003E68BC" w:rsidP="003E68BC">
      <w:pPr>
        <w:rPr>
          <w:sz w:val="16"/>
          <w:szCs w:val="16"/>
        </w:rPr>
      </w:pPr>
    </w:p>
    <w:tbl>
      <w:tblPr>
        <w:tblW w:w="5000" w:type="pct"/>
        <w:tblLook w:val="04A0"/>
      </w:tblPr>
      <w:tblGrid>
        <w:gridCol w:w="1245"/>
        <w:gridCol w:w="838"/>
        <w:gridCol w:w="294"/>
        <w:gridCol w:w="2550"/>
        <w:gridCol w:w="1142"/>
        <w:gridCol w:w="855"/>
        <w:gridCol w:w="2930"/>
      </w:tblGrid>
      <w:tr w:rsidR="003E68BC" w:rsidRPr="0002083E" w:rsidTr="008C41F7">
        <w:tc>
          <w:tcPr>
            <w:tcW w:w="632" w:type="pct"/>
          </w:tcPr>
          <w:p w:rsidR="003E68BC" w:rsidRPr="0002083E" w:rsidRDefault="003E68BC" w:rsidP="008C41F7">
            <w:pPr>
              <w:pStyle w:val="Textpoznpodarou"/>
            </w:pPr>
            <w:r w:rsidRPr="0002083E">
              <w:t>Graf č. 12</w:t>
            </w:r>
          </w:p>
        </w:tc>
        <w:tc>
          <w:tcPr>
            <w:tcW w:w="1869" w:type="pct"/>
            <w:gridSpan w:val="3"/>
          </w:tcPr>
          <w:p w:rsidR="003E68BC" w:rsidRPr="0002083E" w:rsidRDefault="003E68BC" w:rsidP="008C41F7">
            <w:pPr>
              <w:pStyle w:val="Textpoznpodarou"/>
              <w:rPr>
                <w:spacing w:val="-6"/>
              </w:rPr>
            </w:pPr>
            <w:r w:rsidRPr="0002083E">
              <w:rPr>
                <w:b/>
                <w:spacing w:val="-6"/>
              </w:rPr>
              <w:t xml:space="preserve">Ceny zemědělských výrobců </w:t>
            </w:r>
            <w:r w:rsidRPr="0002083E">
              <w:rPr>
                <w:spacing w:val="-6"/>
              </w:rPr>
              <w:t>(y/y v %)</w:t>
            </w:r>
          </w:p>
        </w:tc>
        <w:tc>
          <w:tcPr>
            <w:tcW w:w="579" w:type="pct"/>
          </w:tcPr>
          <w:p w:rsidR="003E68BC" w:rsidRPr="0002083E" w:rsidRDefault="003E68BC" w:rsidP="008C41F7">
            <w:pPr>
              <w:pStyle w:val="Textpoznpodarou"/>
            </w:pPr>
            <w:r w:rsidRPr="0002083E">
              <w:t>Graf č. 13</w:t>
            </w:r>
          </w:p>
        </w:tc>
        <w:tc>
          <w:tcPr>
            <w:tcW w:w="1920" w:type="pct"/>
            <w:gridSpan w:val="2"/>
          </w:tcPr>
          <w:p w:rsidR="003E68BC" w:rsidRPr="0002083E" w:rsidRDefault="003E68BC" w:rsidP="008C41F7">
            <w:pPr>
              <w:pStyle w:val="Textpoznpodarou"/>
            </w:pPr>
            <w:r w:rsidRPr="0002083E">
              <w:rPr>
                <w:b/>
                <w:spacing w:val="-6"/>
              </w:rPr>
              <w:t xml:space="preserve">Ceny průmyslových výrobců </w:t>
            </w:r>
            <w:r w:rsidRPr="0002083E">
              <w:rPr>
                <w:spacing w:val="-6"/>
              </w:rPr>
              <w:t>(y/y v %)</w:t>
            </w:r>
          </w:p>
        </w:tc>
      </w:tr>
      <w:tr w:rsidR="003E68BC" w:rsidRPr="0002083E" w:rsidTr="008C41F7">
        <w:tc>
          <w:tcPr>
            <w:tcW w:w="2501" w:type="pct"/>
            <w:gridSpan w:val="4"/>
          </w:tcPr>
          <w:p w:rsidR="003E68BC" w:rsidRPr="0002083E" w:rsidRDefault="00E70B7D" w:rsidP="008C41F7">
            <w:pPr>
              <w:pStyle w:val="Textpoznpodarou"/>
              <w:jc w:val="both"/>
            </w:pPr>
            <w:r>
              <w:rPr>
                <w:noProof/>
              </w:rPr>
              <w:pict>
                <v:shape id="_x0000_i1540" type="#_x0000_t75" style="width:237pt;height:186pt;visibility:visible;mso-wrap-style:square">
                  <v:imagedata r:id="rId19" o:title=""/>
                </v:shape>
              </w:pict>
            </w:r>
          </w:p>
        </w:tc>
        <w:tc>
          <w:tcPr>
            <w:tcW w:w="2499" w:type="pct"/>
            <w:gridSpan w:val="3"/>
          </w:tcPr>
          <w:p w:rsidR="003E68BC" w:rsidRPr="0002083E" w:rsidRDefault="00E70B7D" w:rsidP="008C41F7">
            <w:pPr>
              <w:pStyle w:val="Textpoznpodarou"/>
              <w:jc w:val="both"/>
            </w:pPr>
            <w:r>
              <w:rPr>
                <w:noProof/>
              </w:rPr>
              <w:pict>
                <v:shape id="_x0000_i1541" type="#_x0000_t75" style="width:237pt;height:186pt;visibility:visible;mso-wrap-style:square">
                  <v:imagedata r:id="rId20" o:title=""/>
                </v:shape>
              </w:pict>
            </w:r>
          </w:p>
        </w:tc>
      </w:tr>
      <w:tr w:rsidR="003E68BC" w:rsidRPr="0002083E" w:rsidTr="008C41F7">
        <w:tc>
          <w:tcPr>
            <w:tcW w:w="3513" w:type="pct"/>
            <w:gridSpan w:val="6"/>
          </w:tcPr>
          <w:p w:rsidR="003E68BC" w:rsidRPr="0002083E" w:rsidRDefault="003E68BC" w:rsidP="008C41F7">
            <w:pPr>
              <w:pStyle w:val="Textpoznpodarou"/>
              <w:rPr>
                <w:noProof/>
                <w:sz w:val="18"/>
                <w:szCs w:val="18"/>
              </w:rPr>
            </w:pPr>
          </w:p>
        </w:tc>
        <w:tc>
          <w:tcPr>
            <w:tcW w:w="1487" w:type="pct"/>
          </w:tcPr>
          <w:p w:rsidR="003E68BC" w:rsidRPr="0002083E" w:rsidRDefault="003E68BC" w:rsidP="008C41F7">
            <w:pPr>
              <w:pStyle w:val="Textpoznpodarou"/>
              <w:jc w:val="right"/>
              <w:rPr>
                <w:noProof/>
              </w:rPr>
            </w:pPr>
            <w:r w:rsidRPr="0002083E">
              <w:rPr>
                <w:sz w:val="18"/>
                <w:szCs w:val="18"/>
              </w:rPr>
              <w:t>Zdroj: ČSÚ</w:t>
            </w:r>
          </w:p>
        </w:tc>
      </w:tr>
      <w:tr w:rsidR="003E68BC" w:rsidRPr="0002083E" w:rsidTr="008C41F7">
        <w:tblPrEx>
          <w:tblLook w:val="00A0"/>
        </w:tblPrEx>
        <w:tc>
          <w:tcPr>
            <w:tcW w:w="1057" w:type="pct"/>
            <w:gridSpan w:val="2"/>
          </w:tcPr>
          <w:p w:rsidR="003E68BC" w:rsidRPr="0002083E" w:rsidRDefault="003E68BC" w:rsidP="008C41F7">
            <w:pPr>
              <w:spacing w:line="240" w:lineRule="auto"/>
              <w:rPr>
                <w:sz w:val="16"/>
                <w:szCs w:val="16"/>
              </w:rPr>
            </w:pPr>
            <w:r>
              <w:rPr>
                <w:sz w:val="16"/>
                <w:szCs w:val="16"/>
              </w:rPr>
              <w:lastRenderedPageBreak/>
              <w:t>Posilující</w:t>
            </w:r>
            <w:r w:rsidRPr="0002083E">
              <w:rPr>
                <w:sz w:val="16"/>
                <w:szCs w:val="16"/>
              </w:rPr>
              <w:t xml:space="preserve"> poptávka a</w:t>
            </w:r>
            <w:r>
              <w:rPr>
                <w:sz w:val="16"/>
                <w:szCs w:val="16"/>
              </w:rPr>
              <w:t> </w:t>
            </w:r>
            <w:r w:rsidRPr="0002083E">
              <w:rPr>
                <w:sz w:val="16"/>
                <w:szCs w:val="16"/>
              </w:rPr>
              <w:t>slabší koruna, to jsou dva hlav</w:t>
            </w:r>
            <w:r>
              <w:rPr>
                <w:sz w:val="16"/>
                <w:szCs w:val="16"/>
              </w:rPr>
              <w:t xml:space="preserve">ní faktory stojící za </w:t>
            </w:r>
            <w:r w:rsidRPr="0002083E">
              <w:rPr>
                <w:sz w:val="16"/>
                <w:szCs w:val="16"/>
              </w:rPr>
              <w:t>vyšším růstem cen ve zpracovatelském průmyslu</w:t>
            </w:r>
          </w:p>
        </w:tc>
        <w:tc>
          <w:tcPr>
            <w:tcW w:w="149" w:type="pct"/>
          </w:tcPr>
          <w:p w:rsidR="003E68BC" w:rsidRPr="0002083E" w:rsidRDefault="003E68BC" w:rsidP="008C41F7">
            <w:pPr>
              <w:pStyle w:val="Textpoznpodarou"/>
              <w:jc w:val="both"/>
            </w:pPr>
          </w:p>
        </w:tc>
        <w:tc>
          <w:tcPr>
            <w:tcW w:w="3793" w:type="pct"/>
            <w:gridSpan w:val="4"/>
          </w:tcPr>
          <w:p w:rsidR="003E68BC" w:rsidRPr="00B65674" w:rsidRDefault="003E68BC" w:rsidP="008C41F7">
            <w:pPr>
              <w:pStyle w:val="Textpoznpodarou"/>
              <w:jc w:val="both"/>
            </w:pPr>
            <w:r w:rsidRPr="00B65674">
              <w:t>Navzdory tomu, že ceny v průmyslu v roce 2014 o 0,8 % klesly, výrobky samotného zpracovatelského průmyslu o 1,0 % podražily. Ceny zpracovatelů se zvýšily už popáté, přitom dynamika jejich přírůstku v porovnání s rokem předchozím narostla (v roce 2013 +0,2 %). Lze se domnívat, že na vyšším růstu cen zpracovatelů než v roce předchozím participovala posilující poptávka, ale také slabší koruna. Ta se promítala do cen vstupů (zpracovatelé za suroviny a meziprodukty z dovozu platili v korunovém vyjádření více</w:t>
            </w:r>
            <w:r w:rsidRPr="00B65674">
              <w:rPr>
                <w:lang w:val="en-US"/>
              </w:rPr>
              <w:t>;</w:t>
            </w:r>
            <w:r w:rsidRPr="00B65674">
              <w:t xml:space="preserve"> vzhledem k tomu, že mnoho obchodů na tuzemském trhu probíhá v eurech, pak jim zřejmě podražily i vstupy pocházející od domácích producentů) a v logice věci se zrcadlila i v cenách výstupu. Navíc, jestliže vývozně zaměřeným zpracovatelům narostly díky slabší koruně příjmy z vývozu, pak nelze vyloučit, že měli zájem dosáhnout vyšších příjmů i z prodejů na tuzemském trhu. I tento efekt tak mohl stát za zrychleným růstem cen zpracovatelů.</w:t>
            </w:r>
          </w:p>
          <w:p w:rsidR="003E68BC" w:rsidRPr="0002083E" w:rsidRDefault="003E68BC" w:rsidP="008C41F7">
            <w:pPr>
              <w:pStyle w:val="Textpoznpodarou"/>
              <w:jc w:val="both"/>
              <w:rPr>
                <w:sz w:val="12"/>
                <w:szCs w:val="12"/>
              </w:rPr>
            </w:pPr>
          </w:p>
        </w:tc>
      </w:tr>
      <w:tr w:rsidR="003E68BC" w:rsidRPr="0002083E" w:rsidTr="008C41F7">
        <w:tblPrEx>
          <w:tblLook w:val="00A0"/>
        </w:tblPrEx>
        <w:tc>
          <w:tcPr>
            <w:tcW w:w="1057" w:type="pct"/>
            <w:gridSpan w:val="2"/>
          </w:tcPr>
          <w:p w:rsidR="003E68BC" w:rsidRPr="0002083E" w:rsidRDefault="003E68BC" w:rsidP="008C41F7">
            <w:pPr>
              <w:spacing w:line="240" w:lineRule="auto"/>
              <w:rPr>
                <w:sz w:val="16"/>
                <w:szCs w:val="16"/>
              </w:rPr>
            </w:pPr>
            <w:r w:rsidRPr="0002083E">
              <w:rPr>
                <w:sz w:val="16"/>
                <w:szCs w:val="16"/>
              </w:rPr>
              <w:t>Ze zpracovatelů zlevnili jen producenti koksu a rafinovaných ropných produktů (vlivem nižších nákladů na zakoupení ropy ve druhé půlce roku), producenti základních farmaceutických výrobků a potravináři</w:t>
            </w:r>
          </w:p>
        </w:tc>
        <w:tc>
          <w:tcPr>
            <w:tcW w:w="149" w:type="pct"/>
          </w:tcPr>
          <w:p w:rsidR="003E68BC" w:rsidRPr="0002083E" w:rsidRDefault="003E68BC" w:rsidP="008C41F7">
            <w:pPr>
              <w:pStyle w:val="Textpoznpodarou"/>
              <w:jc w:val="both"/>
            </w:pPr>
          </w:p>
        </w:tc>
        <w:tc>
          <w:tcPr>
            <w:tcW w:w="3793" w:type="pct"/>
            <w:gridSpan w:val="4"/>
          </w:tcPr>
          <w:p w:rsidR="003E68BC" w:rsidRPr="0002083E" w:rsidRDefault="003E68BC" w:rsidP="008C41F7">
            <w:pPr>
              <w:pStyle w:val="Textpoznpodarou"/>
              <w:jc w:val="both"/>
              <w:rPr>
                <w:spacing w:val="-2"/>
              </w:rPr>
            </w:pPr>
            <w:r w:rsidRPr="0002083E">
              <w:rPr>
                <w:spacing w:val="-2"/>
              </w:rPr>
              <w:t xml:space="preserve">Z klasifikace CZ-CPA je zřejmé (dle </w:t>
            </w:r>
            <w:proofErr w:type="spellStart"/>
            <w:r w:rsidRPr="0002083E">
              <w:rPr>
                <w:spacing w:val="-2"/>
              </w:rPr>
              <w:t>subsekcí</w:t>
            </w:r>
            <w:proofErr w:type="spellEnd"/>
            <w:r w:rsidRPr="0002083E">
              <w:rPr>
                <w:spacing w:val="-2"/>
              </w:rPr>
              <w:t xml:space="preserve">), že v roce 2014 své ceny nadprůměrně zvýšili výrobci dopravních prostředků (+3,5 %), ale také na ně částečně navázaní producenti obecných kovů a kovodělných výrobků (+2,4 %) nebo pryžových a plastových výrobků (+1,5 %). O 1,2 % narostly ceny producentů PC, elektronických a optických přístrojů. Z méně významných (co se týče podílu na celkové hrubé přidané hodnotě ekonomiky) znatelně podražily firmy, jejichž činnost spočívá ve zpracování dřeva, výrobě papíru a v tisku (+3,6 %), nadprůměrně ceny narostly i výrobcům textilu, oděvů a usní (+2,4 %). Ve zbývajících </w:t>
            </w:r>
            <w:proofErr w:type="spellStart"/>
            <w:r w:rsidRPr="0002083E">
              <w:rPr>
                <w:spacing w:val="-2"/>
              </w:rPr>
              <w:t>subsekcích</w:t>
            </w:r>
            <w:proofErr w:type="spellEnd"/>
            <w:r w:rsidRPr="0002083E">
              <w:rPr>
                <w:spacing w:val="-2"/>
              </w:rPr>
              <w:t xml:space="preserve"> se ceny zvýšily podprůměrně, přímo </w:t>
            </w:r>
            <w:r>
              <w:rPr>
                <w:spacing w:val="-2"/>
              </w:rPr>
              <w:t>zlevnili</w:t>
            </w:r>
            <w:r w:rsidRPr="0002083E">
              <w:rPr>
                <w:spacing w:val="-2"/>
              </w:rPr>
              <w:t xml:space="preserve"> ovšem jen výrobci koksu a rafinovaných ropných produktů (-1,9 %), základních farmaceutických výrobků (-1,6 %), mírně pak potravináři (-0,3 %).</w:t>
            </w:r>
          </w:p>
          <w:p w:rsidR="003E68BC" w:rsidRPr="0002083E" w:rsidRDefault="003E68BC" w:rsidP="008C41F7">
            <w:pPr>
              <w:pStyle w:val="Textpoznpodarou"/>
              <w:jc w:val="both"/>
              <w:rPr>
                <w:sz w:val="10"/>
                <w:szCs w:val="10"/>
              </w:rPr>
            </w:pPr>
          </w:p>
        </w:tc>
      </w:tr>
      <w:tr w:rsidR="003E68BC" w:rsidRPr="0002083E" w:rsidTr="008C41F7">
        <w:tblPrEx>
          <w:tblLook w:val="00A0"/>
        </w:tblPrEx>
        <w:tc>
          <w:tcPr>
            <w:tcW w:w="1057" w:type="pct"/>
            <w:gridSpan w:val="2"/>
          </w:tcPr>
          <w:p w:rsidR="003E68BC" w:rsidRPr="0002083E" w:rsidRDefault="003E68BC" w:rsidP="008C41F7">
            <w:pPr>
              <w:spacing w:line="240" w:lineRule="auto"/>
              <w:rPr>
                <w:spacing w:val="-4"/>
                <w:sz w:val="16"/>
                <w:szCs w:val="16"/>
              </w:rPr>
            </w:pPr>
            <w:r w:rsidRPr="0002083E">
              <w:rPr>
                <w:spacing w:val="-4"/>
                <w:sz w:val="16"/>
                <w:szCs w:val="16"/>
              </w:rPr>
              <w:t xml:space="preserve">Ceny stavebních prací vzrostly v roce 2014 poprvé za posledních pět let, … </w:t>
            </w:r>
          </w:p>
        </w:tc>
        <w:tc>
          <w:tcPr>
            <w:tcW w:w="149" w:type="pct"/>
          </w:tcPr>
          <w:p w:rsidR="003E68BC" w:rsidRPr="0002083E" w:rsidRDefault="003E68BC" w:rsidP="008C41F7">
            <w:pPr>
              <w:pStyle w:val="Textpoznpodarou"/>
              <w:jc w:val="both"/>
            </w:pPr>
          </w:p>
        </w:tc>
        <w:tc>
          <w:tcPr>
            <w:tcW w:w="3793" w:type="pct"/>
            <w:gridSpan w:val="4"/>
          </w:tcPr>
          <w:p w:rsidR="003E68BC" w:rsidRPr="0002083E" w:rsidRDefault="003E68BC" w:rsidP="008C41F7">
            <w:pPr>
              <w:pStyle w:val="Textpoznpodarou"/>
              <w:jc w:val="both"/>
            </w:pPr>
            <w:r w:rsidRPr="0002083E">
              <w:t>Čtyři roky trvající pokles cen stavebních prací se v roce 2014 již zastavil. Proti roku 2013 se ceny zvýšily o 0,5 %, v porovnání s rokem 2009 nicméně setrvávaly o rovná 2 % nižší.</w:t>
            </w:r>
          </w:p>
          <w:p w:rsidR="003E68BC" w:rsidRPr="0002083E" w:rsidRDefault="003E68BC" w:rsidP="008C41F7">
            <w:pPr>
              <w:pStyle w:val="Textpoznpodarou"/>
              <w:jc w:val="both"/>
              <w:rPr>
                <w:sz w:val="12"/>
                <w:szCs w:val="12"/>
              </w:rPr>
            </w:pPr>
          </w:p>
        </w:tc>
      </w:tr>
      <w:tr w:rsidR="003E68BC" w:rsidRPr="0002083E" w:rsidTr="008C41F7">
        <w:tblPrEx>
          <w:tblLook w:val="00A0"/>
        </w:tblPrEx>
        <w:trPr>
          <w:trHeight w:val="1410"/>
        </w:trPr>
        <w:tc>
          <w:tcPr>
            <w:tcW w:w="1057" w:type="pct"/>
            <w:gridSpan w:val="2"/>
          </w:tcPr>
          <w:p w:rsidR="003E68BC" w:rsidRPr="0002083E" w:rsidRDefault="003E68BC" w:rsidP="008C41F7">
            <w:pPr>
              <w:spacing w:line="240" w:lineRule="auto"/>
              <w:rPr>
                <w:sz w:val="16"/>
                <w:szCs w:val="16"/>
              </w:rPr>
            </w:pPr>
            <w:r w:rsidRPr="0002083E">
              <w:rPr>
                <w:sz w:val="16"/>
                <w:szCs w:val="16"/>
              </w:rPr>
              <w:t>…jejich přírůstek byl ale pouze střídmý</w:t>
            </w:r>
          </w:p>
        </w:tc>
        <w:tc>
          <w:tcPr>
            <w:tcW w:w="149" w:type="pct"/>
          </w:tcPr>
          <w:p w:rsidR="003E68BC" w:rsidRPr="0002083E" w:rsidRDefault="003E68BC" w:rsidP="008C41F7">
            <w:pPr>
              <w:pStyle w:val="Textpoznpodarou"/>
              <w:jc w:val="both"/>
            </w:pPr>
          </w:p>
        </w:tc>
        <w:tc>
          <w:tcPr>
            <w:tcW w:w="3793" w:type="pct"/>
            <w:gridSpan w:val="4"/>
          </w:tcPr>
          <w:p w:rsidR="003E68BC" w:rsidRPr="00531864" w:rsidRDefault="003E68BC" w:rsidP="008C41F7">
            <w:pPr>
              <w:pStyle w:val="Textpoznpodarou"/>
              <w:jc w:val="both"/>
            </w:pPr>
            <w:r w:rsidRPr="00531864">
              <w:t xml:space="preserve">Jestliže v letech konjunktury české ekonomiky 2004-2008 narůstaly ceny stavebních prací v průměru o 3,6 % za rok, v roce obnoveného růstu 2014 jen zhruba </w:t>
            </w:r>
            <w:proofErr w:type="spellStart"/>
            <w:r w:rsidRPr="00531864">
              <w:t>sedminovým</w:t>
            </w:r>
            <w:proofErr w:type="spellEnd"/>
            <w:r w:rsidRPr="00531864">
              <w:t> tempem. Firmy si i přes opětovné posílení poptávky po stavebních činnostech větší zdražení nemohly dovolit. Stavebnictví totiž i nadále zůstávalo odvětvím vysoce konkurenčním, a to i přesto, že se během let 2009</w:t>
            </w:r>
            <w:r>
              <w:t xml:space="preserve"> až </w:t>
            </w:r>
            <w:r w:rsidRPr="00531864">
              <w:t>2014 počet aktivních firem ve stavebnictví (těch, které evidují 20 zaměstnanců a</w:t>
            </w:r>
            <w:r>
              <w:t> </w:t>
            </w:r>
            <w:r w:rsidRPr="00531864">
              <w:t>více) zmenšil téměř o čtvrtinu (z 2,69 tis. firem na konci roku 2008 na 2,08 tis. firem na konci roku 2014).</w:t>
            </w:r>
          </w:p>
          <w:p w:rsidR="003E68BC" w:rsidRPr="0002083E" w:rsidRDefault="003E68BC" w:rsidP="008C41F7">
            <w:pPr>
              <w:pStyle w:val="Textpoznpodarou"/>
              <w:jc w:val="both"/>
              <w:rPr>
                <w:sz w:val="12"/>
                <w:szCs w:val="12"/>
              </w:rPr>
            </w:pPr>
          </w:p>
        </w:tc>
      </w:tr>
      <w:tr w:rsidR="003E68BC" w:rsidRPr="0002083E" w:rsidTr="008C41F7">
        <w:tblPrEx>
          <w:tblLook w:val="00A0"/>
        </w:tblPrEx>
        <w:tc>
          <w:tcPr>
            <w:tcW w:w="1057" w:type="pct"/>
            <w:gridSpan w:val="2"/>
          </w:tcPr>
          <w:p w:rsidR="003E68BC" w:rsidRPr="0002083E" w:rsidRDefault="00DF5343" w:rsidP="00DF5343">
            <w:pPr>
              <w:spacing w:line="240" w:lineRule="auto"/>
              <w:rPr>
                <w:sz w:val="16"/>
                <w:szCs w:val="16"/>
              </w:rPr>
            </w:pPr>
            <w:r>
              <w:rPr>
                <w:sz w:val="16"/>
                <w:szCs w:val="16"/>
              </w:rPr>
              <w:t>Ceny budov a inženýrských děl rostly zhruba stejně</w:t>
            </w:r>
          </w:p>
        </w:tc>
        <w:tc>
          <w:tcPr>
            <w:tcW w:w="149" w:type="pct"/>
          </w:tcPr>
          <w:p w:rsidR="003E68BC" w:rsidRPr="0002083E" w:rsidRDefault="003E68BC" w:rsidP="008C41F7">
            <w:pPr>
              <w:pStyle w:val="Textpoznpodarou"/>
              <w:jc w:val="both"/>
            </w:pPr>
          </w:p>
        </w:tc>
        <w:tc>
          <w:tcPr>
            <w:tcW w:w="3793" w:type="pct"/>
            <w:gridSpan w:val="4"/>
          </w:tcPr>
          <w:p w:rsidR="003E68BC" w:rsidRPr="00B65674" w:rsidRDefault="003E68BC" w:rsidP="00DF5343">
            <w:pPr>
              <w:pStyle w:val="Textpoznpodarou"/>
              <w:jc w:val="both"/>
              <w:rPr>
                <w:spacing w:val="-2"/>
              </w:rPr>
            </w:pPr>
            <w:r w:rsidRPr="00B65674">
              <w:rPr>
                <w:spacing w:val="-2"/>
              </w:rPr>
              <w:t>Nárůst cen stavebních prací v roce 2014 byl rovnoměrně rozprostřen mezi budovy (+0,5 %) a inženýrská díla (+0,4 %). Zatímco ceny samotných nebytových budov stouply o 0,6 %, bytových o 0,4 %. Z inženýrských děl nejvíce narostly ceny dopravních staveb (+0,5 %)</w:t>
            </w:r>
            <w:r w:rsidR="00DF5343">
              <w:rPr>
                <w:spacing w:val="-2"/>
              </w:rPr>
              <w:t>.</w:t>
            </w:r>
          </w:p>
        </w:tc>
      </w:tr>
    </w:tbl>
    <w:p w:rsidR="003E68BC" w:rsidRPr="009C7B34" w:rsidRDefault="003E68BC" w:rsidP="003E68BC">
      <w:pPr>
        <w:rPr>
          <w:sz w:val="12"/>
          <w:szCs w:val="12"/>
        </w:rPr>
      </w:pPr>
    </w:p>
    <w:tbl>
      <w:tblPr>
        <w:tblW w:w="5000" w:type="pct"/>
        <w:tblLook w:val="04A0"/>
      </w:tblPr>
      <w:tblGrid>
        <w:gridCol w:w="679"/>
        <w:gridCol w:w="1406"/>
        <w:gridCol w:w="294"/>
        <w:gridCol w:w="2548"/>
        <w:gridCol w:w="1141"/>
        <w:gridCol w:w="866"/>
        <w:gridCol w:w="2920"/>
      </w:tblGrid>
      <w:tr w:rsidR="003E68BC" w:rsidRPr="0002083E" w:rsidTr="008C41F7">
        <w:tc>
          <w:tcPr>
            <w:tcW w:w="344" w:type="pct"/>
          </w:tcPr>
          <w:p w:rsidR="003E68BC" w:rsidRPr="0002083E" w:rsidRDefault="003E68BC" w:rsidP="008C41F7">
            <w:pPr>
              <w:pStyle w:val="Textpoznpodarou"/>
            </w:pPr>
            <w:r w:rsidRPr="0002083E">
              <w:t>Graf č. 14</w:t>
            </w:r>
          </w:p>
        </w:tc>
        <w:tc>
          <w:tcPr>
            <w:tcW w:w="2155" w:type="pct"/>
            <w:gridSpan w:val="3"/>
          </w:tcPr>
          <w:p w:rsidR="003E68BC" w:rsidRPr="0002083E" w:rsidRDefault="003E68BC" w:rsidP="008C41F7">
            <w:pPr>
              <w:pStyle w:val="Textpoznpodarou"/>
              <w:rPr>
                <w:spacing w:val="-6"/>
              </w:rPr>
            </w:pPr>
            <w:r w:rsidRPr="0002083E">
              <w:rPr>
                <w:b/>
                <w:spacing w:val="-6"/>
              </w:rPr>
              <w:t xml:space="preserve">Ceny stavebních prací </w:t>
            </w:r>
            <w:r w:rsidRPr="0002083E">
              <w:rPr>
                <w:spacing w:val="-6"/>
              </w:rPr>
              <w:t xml:space="preserve">(y/y v %) </w:t>
            </w:r>
            <w:r w:rsidRPr="0002083E">
              <w:rPr>
                <w:b/>
                <w:spacing w:val="-6"/>
              </w:rPr>
              <w:t>a hodnota nových stavebních zakázek</w:t>
            </w:r>
            <w:r w:rsidRPr="0002083E">
              <w:rPr>
                <w:spacing w:val="-6"/>
              </w:rPr>
              <w:t xml:space="preserve"> (y/y v %, stavební podniky nad 50 zaměstnanců)</w:t>
            </w:r>
          </w:p>
        </w:tc>
        <w:tc>
          <w:tcPr>
            <w:tcW w:w="579" w:type="pct"/>
          </w:tcPr>
          <w:p w:rsidR="003E68BC" w:rsidRPr="0002083E" w:rsidRDefault="003E68BC" w:rsidP="008C41F7">
            <w:pPr>
              <w:pStyle w:val="Textpoznpodarou"/>
            </w:pPr>
            <w:r w:rsidRPr="0002083E">
              <w:t>Graf č. 15</w:t>
            </w:r>
          </w:p>
        </w:tc>
        <w:tc>
          <w:tcPr>
            <w:tcW w:w="1921" w:type="pct"/>
            <w:gridSpan w:val="2"/>
          </w:tcPr>
          <w:p w:rsidR="003E68BC" w:rsidRPr="0002083E" w:rsidRDefault="003E68BC" w:rsidP="008C41F7">
            <w:pPr>
              <w:pStyle w:val="Textpoznpodarou"/>
            </w:pPr>
            <w:r w:rsidRPr="0002083E">
              <w:rPr>
                <w:b/>
                <w:spacing w:val="-6"/>
              </w:rPr>
              <w:t xml:space="preserve">Ceny tržních služeb </w:t>
            </w:r>
            <w:r w:rsidRPr="0002083E">
              <w:rPr>
                <w:spacing w:val="-6"/>
              </w:rPr>
              <w:t>(y/y v %)</w:t>
            </w:r>
          </w:p>
        </w:tc>
      </w:tr>
      <w:tr w:rsidR="003E68BC" w:rsidRPr="0002083E" w:rsidTr="008C41F7">
        <w:tc>
          <w:tcPr>
            <w:tcW w:w="2499" w:type="pct"/>
            <w:gridSpan w:val="4"/>
          </w:tcPr>
          <w:p w:rsidR="003E68BC" w:rsidRPr="0002083E" w:rsidRDefault="00E70B7D" w:rsidP="008C41F7">
            <w:pPr>
              <w:pStyle w:val="Textpoznpodarou"/>
              <w:jc w:val="both"/>
            </w:pPr>
            <w:r>
              <w:rPr>
                <w:noProof/>
              </w:rPr>
              <w:pict>
                <v:shape id="_x0000_i1542" type="#_x0000_t75" style="width:237pt;height:186pt;visibility:visible;mso-wrap-style:square">
                  <v:imagedata r:id="rId21" o:title=""/>
                </v:shape>
              </w:pict>
            </w:r>
          </w:p>
        </w:tc>
        <w:tc>
          <w:tcPr>
            <w:tcW w:w="2501" w:type="pct"/>
            <w:gridSpan w:val="3"/>
          </w:tcPr>
          <w:p w:rsidR="003E68BC" w:rsidRPr="0002083E" w:rsidRDefault="00E70B7D" w:rsidP="008C41F7">
            <w:pPr>
              <w:pStyle w:val="Textpoznpodarou"/>
              <w:jc w:val="both"/>
            </w:pPr>
            <w:r>
              <w:rPr>
                <w:noProof/>
              </w:rPr>
              <w:pict>
                <v:shape id="_x0000_i1543" type="#_x0000_t75" style="width:237pt;height:186pt;visibility:visible;mso-wrap-style:square">
                  <v:imagedata r:id="rId22" o:title=""/>
                </v:shape>
              </w:pict>
            </w:r>
          </w:p>
        </w:tc>
      </w:tr>
      <w:tr w:rsidR="003E68BC" w:rsidRPr="0002083E" w:rsidTr="008C41F7">
        <w:tc>
          <w:tcPr>
            <w:tcW w:w="3517" w:type="pct"/>
            <w:gridSpan w:val="6"/>
          </w:tcPr>
          <w:p w:rsidR="003E68BC" w:rsidRPr="0002083E" w:rsidRDefault="003E68BC" w:rsidP="008C41F7">
            <w:pPr>
              <w:pStyle w:val="Textpoznpodarou"/>
              <w:rPr>
                <w:noProof/>
                <w:sz w:val="18"/>
                <w:szCs w:val="18"/>
              </w:rPr>
            </w:pPr>
          </w:p>
        </w:tc>
        <w:tc>
          <w:tcPr>
            <w:tcW w:w="1483" w:type="pct"/>
          </w:tcPr>
          <w:p w:rsidR="003E68BC" w:rsidRPr="0002083E" w:rsidRDefault="003E68BC" w:rsidP="008C41F7">
            <w:pPr>
              <w:pStyle w:val="Textpoznpodarou"/>
              <w:jc w:val="right"/>
              <w:rPr>
                <w:noProof/>
              </w:rPr>
            </w:pPr>
            <w:r w:rsidRPr="0002083E">
              <w:rPr>
                <w:sz w:val="18"/>
                <w:szCs w:val="18"/>
              </w:rPr>
              <w:t>Zdroj: ČSÚ</w:t>
            </w:r>
          </w:p>
        </w:tc>
      </w:tr>
      <w:tr w:rsidR="003E68BC" w:rsidRPr="0002083E" w:rsidTr="008C41F7">
        <w:tblPrEx>
          <w:tblLook w:val="00A0"/>
        </w:tblPrEx>
        <w:tc>
          <w:tcPr>
            <w:tcW w:w="1057" w:type="pct"/>
            <w:gridSpan w:val="2"/>
          </w:tcPr>
          <w:p w:rsidR="003E68BC" w:rsidRPr="0002083E" w:rsidRDefault="003E68BC" w:rsidP="008C41F7">
            <w:pPr>
              <w:spacing w:line="240" w:lineRule="auto"/>
              <w:rPr>
                <w:sz w:val="16"/>
                <w:szCs w:val="16"/>
              </w:rPr>
            </w:pPr>
            <w:r w:rsidRPr="0002083E">
              <w:rPr>
                <w:sz w:val="16"/>
                <w:szCs w:val="16"/>
              </w:rPr>
              <w:lastRenderedPageBreak/>
              <w:t xml:space="preserve">Na mírném zvýšení cen tržních služeb v roce 2014 se podílely zejména finanční služby, ale také </w:t>
            </w:r>
            <w:r>
              <w:rPr>
                <w:sz w:val="16"/>
                <w:szCs w:val="16"/>
              </w:rPr>
              <w:t>silniční nákladní doprava</w:t>
            </w:r>
          </w:p>
        </w:tc>
        <w:tc>
          <w:tcPr>
            <w:tcW w:w="149" w:type="pct"/>
          </w:tcPr>
          <w:p w:rsidR="003E68BC" w:rsidRPr="0002083E" w:rsidRDefault="003E68BC" w:rsidP="008C41F7">
            <w:pPr>
              <w:pStyle w:val="Textpoznpodarou"/>
              <w:jc w:val="both"/>
            </w:pPr>
          </w:p>
        </w:tc>
        <w:tc>
          <w:tcPr>
            <w:tcW w:w="3794" w:type="pct"/>
            <w:gridSpan w:val="4"/>
          </w:tcPr>
          <w:p w:rsidR="003E68BC" w:rsidRPr="0002083E" w:rsidRDefault="003E68BC" w:rsidP="008C41F7">
            <w:pPr>
              <w:pStyle w:val="Textpoznpodarou"/>
              <w:jc w:val="both"/>
            </w:pPr>
            <w:r w:rsidRPr="0002083E">
              <w:t>Ceny tržních služeb, které v letech recese české ekonomiky 2012 a 2013 klesly o 0,6 % a 1,5 %, v roce 2014 již mírně stouply. Narostly o 0,3 %. K jejich zvýšení největším dílem přispělo nemalé zdražení finančních služeb (peněžních zprostředkovatelských služeb a pojištění motorových vozidel), ale také střídmější nárůst cen objemově významné silniční</w:t>
            </w:r>
            <w:r>
              <w:t xml:space="preserve"> nákladní dopravy</w:t>
            </w:r>
            <w:r w:rsidRPr="0002083E">
              <w:t>. Nebýt značného poklesu cen</w:t>
            </w:r>
            <w:r>
              <w:t xml:space="preserve"> v segmentu telekomunikačních služeb</w:t>
            </w:r>
            <w:r w:rsidRPr="0002083E">
              <w:t xml:space="preserve"> (k faktickému zlevňování docházelo v důsledku tvrdých konkurenčních bojů mezi poskytovateli sice již v první půlce roku 2013, na ceny v roce 2014 ale působila vysoká srovnávací základna), mohly tržní služby v úhrnu podražit</w:t>
            </w:r>
            <w:r>
              <w:t xml:space="preserve"> nikoliv o 0,3 %, ale</w:t>
            </w:r>
            <w:r w:rsidRPr="0002083E">
              <w:t xml:space="preserve"> o 1,0 %.</w:t>
            </w:r>
          </w:p>
          <w:p w:rsidR="003E68BC" w:rsidRPr="0002083E" w:rsidRDefault="003E68BC" w:rsidP="008C41F7">
            <w:pPr>
              <w:pStyle w:val="Textpoznpodarou"/>
              <w:jc w:val="both"/>
              <w:rPr>
                <w:sz w:val="16"/>
                <w:szCs w:val="16"/>
              </w:rPr>
            </w:pPr>
          </w:p>
        </w:tc>
      </w:tr>
      <w:tr w:rsidR="003E68BC" w:rsidRPr="0002083E" w:rsidTr="008C41F7">
        <w:tblPrEx>
          <w:tblLook w:val="00A0"/>
        </w:tblPrEx>
        <w:tc>
          <w:tcPr>
            <w:tcW w:w="1057" w:type="pct"/>
            <w:gridSpan w:val="2"/>
          </w:tcPr>
          <w:p w:rsidR="003E68BC" w:rsidRPr="0002083E" w:rsidRDefault="003E68BC" w:rsidP="008C41F7">
            <w:pPr>
              <w:spacing w:line="240" w:lineRule="auto"/>
              <w:rPr>
                <w:spacing w:val="-4"/>
                <w:sz w:val="16"/>
                <w:szCs w:val="16"/>
              </w:rPr>
            </w:pPr>
            <w:r w:rsidRPr="0002083E">
              <w:rPr>
                <w:spacing w:val="-4"/>
                <w:sz w:val="16"/>
                <w:szCs w:val="16"/>
              </w:rPr>
              <w:t>Dlouhodobý růst cen v segmentu tržních služeb pokulhává</w:t>
            </w:r>
          </w:p>
        </w:tc>
        <w:tc>
          <w:tcPr>
            <w:tcW w:w="149" w:type="pct"/>
          </w:tcPr>
          <w:p w:rsidR="003E68BC" w:rsidRPr="0002083E" w:rsidRDefault="003E68BC" w:rsidP="008C41F7">
            <w:pPr>
              <w:pStyle w:val="Textpoznpodarou"/>
              <w:jc w:val="both"/>
            </w:pPr>
          </w:p>
        </w:tc>
        <w:tc>
          <w:tcPr>
            <w:tcW w:w="3794" w:type="pct"/>
            <w:gridSpan w:val="4"/>
          </w:tcPr>
          <w:p w:rsidR="003E68BC" w:rsidRPr="0002083E" w:rsidRDefault="003E68BC" w:rsidP="008C41F7">
            <w:pPr>
              <w:pStyle w:val="Textpoznpodarou"/>
              <w:jc w:val="both"/>
            </w:pPr>
            <w:r w:rsidRPr="0002083E">
              <w:t>Proti roku 2004 narostly ceny tržních služeb o 7,9 %. V průmy</w:t>
            </w:r>
            <w:r w:rsidR="00E635DD">
              <w:t>slu za stejné období ale stouply</w:t>
            </w:r>
            <w:r w:rsidRPr="0002083E">
              <w:t xml:space="preserve"> o 20,4 %. Pokud vezmeme v potaz, jaký podíl z celkového výkonu české</w:t>
            </w:r>
            <w:r>
              <w:t xml:space="preserve"> ekonomiky vytváří služby (44,6</w:t>
            </w:r>
            <w:r w:rsidRPr="0002083E">
              <w:t xml:space="preserve"> % bez zahrnutí veřejné správy a obrany, vzdělávání, zdravotní a sociální péče, tedy bez CZ-NACE O-Q) a jaký průmysl (</w:t>
            </w:r>
            <w:r>
              <w:t>32,4</w:t>
            </w:r>
            <w:r w:rsidRPr="0002083E">
              <w:t xml:space="preserve"> %), a také, jaký podíl zaměstnanců v těchto segmentech pracuje (</w:t>
            </w:r>
            <w:r>
              <w:t>39,9</w:t>
            </w:r>
            <w:r w:rsidRPr="0002083E">
              <w:t xml:space="preserve"> % vs. 30,8 %), pak tato disproporce nevyznívá příliš příznivě. Zatímco v méně významném průmyslu moh</w:t>
            </w:r>
            <w:r w:rsidR="00FF0B85">
              <w:t>ly zisky díky vysokému růstu cen</w:t>
            </w:r>
            <w:r w:rsidRPr="0002083E">
              <w:t xml:space="preserve"> narůstat relativně dynamicky a projevovat se i ve značném zvyšování mezd zaměstnanců, ve službách k takto příznivým tendencím zřejmě docházet nemohlo.</w:t>
            </w:r>
          </w:p>
          <w:p w:rsidR="003E68BC" w:rsidRPr="0002083E" w:rsidRDefault="003E68BC" w:rsidP="008C41F7">
            <w:pPr>
              <w:pStyle w:val="Textpoznpodarou"/>
              <w:jc w:val="both"/>
              <w:rPr>
                <w:sz w:val="16"/>
                <w:szCs w:val="16"/>
              </w:rPr>
            </w:pPr>
          </w:p>
        </w:tc>
      </w:tr>
      <w:tr w:rsidR="003E68BC" w:rsidRPr="0002083E" w:rsidTr="008C41F7">
        <w:tblPrEx>
          <w:tblLook w:val="00A0"/>
        </w:tblPrEx>
        <w:trPr>
          <w:trHeight w:val="1795"/>
        </w:trPr>
        <w:tc>
          <w:tcPr>
            <w:tcW w:w="1057" w:type="pct"/>
            <w:gridSpan w:val="2"/>
          </w:tcPr>
          <w:p w:rsidR="003E68BC" w:rsidRPr="0002083E" w:rsidRDefault="003E68BC" w:rsidP="008C41F7">
            <w:pPr>
              <w:spacing w:line="240" w:lineRule="auto"/>
              <w:rPr>
                <w:sz w:val="16"/>
                <w:szCs w:val="16"/>
              </w:rPr>
            </w:pPr>
            <w:r w:rsidRPr="0002083E">
              <w:rPr>
                <w:sz w:val="16"/>
                <w:szCs w:val="16"/>
              </w:rPr>
              <w:t>Za zprostředkování zaměstnání si agentury v roce 2014 účtovaly ceny, které byly o 14,7 % vyšší než v roce 2012</w:t>
            </w:r>
          </w:p>
        </w:tc>
        <w:tc>
          <w:tcPr>
            <w:tcW w:w="149" w:type="pct"/>
          </w:tcPr>
          <w:p w:rsidR="003E68BC" w:rsidRPr="0002083E" w:rsidRDefault="003E68BC" w:rsidP="008C41F7">
            <w:pPr>
              <w:pStyle w:val="Textpoznpodarou"/>
              <w:jc w:val="both"/>
            </w:pPr>
          </w:p>
        </w:tc>
        <w:tc>
          <w:tcPr>
            <w:tcW w:w="3794" w:type="pct"/>
            <w:gridSpan w:val="4"/>
          </w:tcPr>
          <w:p w:rsidR="003E68BC" w:rsidRPr="0002083E" w:rsidRDefault="003E68BC" w:rsidP="00DF5343">
            <w:pPr>
              <w:pStyle w:val="Textpoznpodarou"/>
              <w:jc w:val="both"/>
            </w:pPr>
            <w:r w:rsidRPr="0002083E">
              <w:t>Z tržních služeb v roc</w:t>
            </w:r>
            <w:r w:rsidR="00DF5343">
              <w:t xml:space="preserve">e 2014 nejdynamičtěji narostly </w:t>
            </w:r>
            <w:r w:rsidRPr="0002083E">
              <w:t>ceny poštovních a kurýrních služeb (zdražení o 4,9 % bylo důsledkem skokového nárůstu cen „poštovních služeb poskytovaných na základě poštovní licence“ v srpnu 2013). V těsném závěsu je následovaly ceny služeb v oblasti zaměstnání (+4,8 %), tedy služeb pracovních agentur. Z nich podražily zejména služby agentur zprostředkujících zaměstnání (+5,6 %), příliš ovšem nezaostávaly ani služby agentur zprostředkujících pracovníky na přechodnou dobu (+4,6 %).</w:t>
            </w:r>
          </w:p>
        </w:tc>
      </w:tr>
    </w:tbl>
    <w:p w:rsidR="003E68BC" w:rsidRPr="006D05EE" w:rsidRDefault="003E68BC" w:rsidP="003E68BC">
      <w:pPr>
        <w:pStyle w:val="Nadpis2"/>
        <w:ind w:left="1080"/>
        <w:rPr>
          <w:sz w:val="16"/>
          <w:szCs w:val="16"/>
        </w:rPr>
      </w:pPr>
    </w:p>
    <w:p w:rsidR="003E68BC" w:rsidRPr="00AD306C" w:rsidRDefault="003E68BC" w:rsidP="008B0C8B">
      <w:pPr>
        <w:pStyle w:val="Nadpis2"/>
        <w:numPr>
          <w:ilvl w:val="1"/>
          <w:numId w:val="5"/>
        </w:numPr>
      </w:pPr>
      <w:bookmarkStart w:id="5" w:name="_Toc426017664"/>
      <w:r>
        <w:t>Ceny v zahraničním obchodě se zbožím</w:t>
      </w:r>
      <w:bookmarkEnd w:id="5"/>
    </w:p>
    <w:tbl>
      <w:tblPr>
        <w:tblW w:w="5000" w:type="pct"/>
        <w:tblLook w:val="00A0"/>
      </w:tblPr>
      <w:tblGrid>
        <w:gridCol w:w="2083"/>
        <w:gridCol w:w="294"/>
        <w:gridCol w:w="7477"/>
      </w:tblGrid>
      <w:tr w:rsidR="003E68BC" w:rsidRPr="0002083E" w:rsidTr="008C41F7">
        <w:tc>
          <w:tcPr>
            <w:tcW w:w="1057" w:type="pct"/>
          </w:tcPr>
          <w:p w:rsidR="003E68BC" w:rsidRPr="0002083E" w:rsidRDefault="003E68BC" w:rsidP="008C41F7">
            <w:pPr>
              <w:spacing w:line="240" w:lineRule="auto"/>
              <w:rPr>
                <w:sz w:val="16"/>
                <w:szCs w:val="16"/>
              </w:rPr>
            </w:pPr>
            <w:r w:rsidRPr="0002083E">
              <w:rPr>
                <w:sz w:val="16"/>
                <w:szCs w:val="16"/>
              </w:rPr>
              <w:t>Slabší koruna bránila dovozu deflace po celý rok 2014 …</w:t>
            </w:r>
          </w:p>
        </w:tc>
        <w:tc>
          <w:tcPr>
            <w:tcW w:w="149" w:type="pct"/>
          </w:tcPr>
          <w:p w:rsidR="003E68BC" w:rsidRPr="0002083E" w:rsidRDefault="003E68BC" w:rsidP="008C41F7">
            <w:pPr>
              <w:pStyle w:val="Textpoznpodarou"/>
              <w:jc w:val="both"/>
            </w:pPr>
          </w:p>
        </w:tc>
        <w:tc>
          <w:tcPr>
            <w:tcW w:w="3794" w:type="pct"/>
          </w:tcPr>
          <w:p w:rsidR="003E68BC" w:rsidRPr="0002083E" w:rsidRDefault="003E68BC" w:rsidP="008C41F7">
            <w:pPr>
              <w:pStyle w:val="Textpoznpodarou"/>
              <w:jc w:val="both"/>
            </w:pPr>
            <w:r w:rsidRPr="0002083E">
              <w:t>Jestli</w:t>
            </w:r>
            <w:r>
              <w:t>že v roce 2013 ceny dovozu</w:t>
            </w:r>
            <w:r w:rsidRPr="0002083E">
              <w:t xml:space="preserve"> o 0,2 % klesly a do ČR tak byla spolu se zbožím dovážena deflace, v roce 2014 </w:t>
            </w:r>
            <w:r>
              <w:t>už</w:t>
            </w:r>
            <w:r w:rsidRPr="0002083E">
              <w:t xml:space="preserve"> o 1,9 % stouply. Na jejich růstu měla zásadní podíl slabší koruna. Ta oslabila k oběma hlavním světovým měnám. K euru byla v roce 2014</w:t>
            </w:r>
            <w:r w:rsidR="000217F1">
              <w:t xml:space="preserve"> v důsledku devizové intervence ČNB slabší v průměru o 6,0 %, proti</w:t>
            </w:r>
            <w:r w:rsidRPr="0002083E">
              <w:t xml:space="preserve"> americkému dolaru </w:t>
            </w:r>
            <w:r w:rsidR="000217F1">
              <w:t>ztrácela</w:t>
            </w:r>
            <w:r w:rsidRPr="0002083E">
              <w:t xml:space="preserve"> 6,1 %.</w:t>
            </w:r>
          </w:p>
          <w:p w:rsidR="003E68BC" w:rsidRPr="0002083E" w:rsidRDefault="003E68BC" w:rsidP="008C41F7">
            <w:pPr>
              <w:pStyle w:val="Textpoznpodarou"/>
              <w:jc w:val="both"/>
              <w:rPr>
                <w:sz w:val="16"/>
                <w:szCs w:val="16"/>
              </w:rPr>
            </w:pPr>
          </w:p>
        </w:tc>
      </w:tr>
      <w:tr w:rsidR="003E68BC" w:rsidRPr="0002083E" w:rsidTr="008C41F7">
        <w:tc>
          <w:tcPr>
            <w:tcW w:w="1057" w:type="pct"/>
          </w:tcPr>
          <w:p w:rsidR="003E68BC" w:rsidRPr="0002083E" w:rsidRDefault="003E68BC" w:rsidP="000217F1">
            <w:pPr>
              <w:spacing w:line="240" w:lineRule="auto"/>
              <w:rPr>
                <w:sz w:val="16"/>
                <w:szCs w:val="16"/>
              </w:rPr>
            </w:pPr>
            <w:r w:rsidRPr="0002083E">
              <w:rPr>
                <w:sz w:val="16"/>
                <w:szCs w:val="16"/>
              </w:rPr>
              <w:t xml:space="preserve">… s výjimkou prosince, kdy efekt </w:t>
            </w:r>
            <w:r w:rsidR="000217F1">
              <w:rPr>
                <w:sz w:val="16"/>
                <w:szCs w:val="16"/>
              </w:rPr>
              <w:t>devizové intervence</w:t>
            </w:r>
            <w:r>
              <w:rPr>
                <w:sz w:val="16"/>
                <w:szCs w:val="16"/>
              </w:rPr>
              <w:t xml:space="preserve"> již vyprchal</w:t>
            </w:r>
          </w:p>
        </w:tc>
        <w:tc>
          <w:tcPr>
            <w:tcW w:w="149" w:type="pct"/>
          </w:tcPr>
          <w:p w:rsidR="003E68BC" w:rsidRPr="0002083E" w:rsidRDefault="003E68BC" w:rsidP="008C41F7">
            <w:pPr>
              <w:pStyle w:val="Textpoznpodarou"/>
              <w:jc w:val="both"/>
            </w:pPr>
          </w:p>
        </w:tc>
        <w:tc>
          <w:tcPr>
            <w:tcW w:w="3794" w:type="pct"/>
          </w:tcPr>
          <w:p w:rsidR="003E68BC" w:rsidRPr="0002083E" w:rsidRDefault="003E68BC" w:rsidP="008C41F7">
            <w:pPr>
              <w:pStyle w:val="Textpoznpodarou"/>
              <w:jc w:val="both"/>
            </w:pPr>
            <w:r w:rsidRPr="0002083E">
              <w:t>Ceny dovozu zboží byly v meziročním srovnání vyšší v průběhu celého roku 2014, vý</w:t>
            </w:r>
            <w:r>
              <w:t>jimkou byl jen prosinec, kdy</w:t>
            </w:r>
            <w:r w:rsidRPr="0002083E">
              <w:t xml:space="preserve"> o 1,9 % klesly. Efekt výrazného oslabení koruny k euru vyprchal (jestliže ještě v říjnu byla koruna k euru meziročně slabší o 7,5 %, v listopadu už jen o 2,8 % a v prosinci o pouhá 0,4 %), nadále posilující americky dolar sám o sobě poklesu dovozních cen zabránit nedokázal.</w:t>
            </w:r>
          </w:p>
        </w:tc>
      </w:tr>
    </w:tbl>
    <w:p w:rsidR="003E68BC" w:rsidRPr="006D05EE" w:rsidRDefault="003E68BC" w:rsidP="003E68BC">
      <w:pPr>
        <w:rPr>
          <w:sz w:val="16"/>
          <w:szCs w:val="16"/>
        </w:rPr>
      </w:pPr>
    </w:p>
    <w:tbl>
      <w:tblPr>
        <w:tblW w:w="5000" w:type="pct"/>
        <w:tblLook w:val="04A0"/>
      </w:tblPr>
      <w:tblGrid>
        <w:gridCol w:w="1105"/>
        <w:gridCol w:w="980"/>
        <w:gridCol w:w="299"/>
        <w:gridCol w:w="2544"/>
        <w:gridCol w:w="1152"/>
        <w:gridCol w:w="865"/>
        <w:gridCol w:w="2909"/>
      </w:tblGrid>
      <w:tr w:rsidR="003E68BC" w:rsidRPr="0002083E" w:rsidTr="008C41F7">
        <w:tc>
          <w:tcPr>
            <w:tcW w:w="561" w:type="pct"/>
          </w:tcPr>
          <w:p w:rsidR="003E68BC" w:rsidRPr="0002083E" w:rsidRDefault="003E68BC" w:rsidP="008C41F7">
            <w:pPr>
              <w:pStyle w:val="Textpoznpodarou"/>
            </w:pPr>
            <w:r w:rsidRPr="0002083E">
              <w:t>Graf č. 16</w:t>
            </w:r>
          </w:p>
        </w:tc>
        <w:tc>
          <w:tcPr>
            <w:tcW w:w="1940" w:type="pct"/>
            <w:gridSpan w:val="3"/>
          </w:tcPr>
          <w:p w:rsidR="003E68BC" w:rsidRPr="0002083E" w:rsidRDefault="003E68BC" w:rsidP="008C41F7">
            <w:pPr>
              <w:pStyle w:val="Textpoznpodarou"/>
              <w:rPr>
                <w:spacing w:val="-6"/>
              </w:rPr>
            </w:pPr>
            <w:r w:rsidRPr="0002083E">
              <w:rPr>
                <w:b/>
                <w:spacing w:val="-6"/>
              </w:rPr>
              <w:t xml:space="preserve">Ceny v zahraničním obchodě se zbožím </w:t>
            </w:r>
            <w:r w:rsidRPr="0002083E">
              <w:rPr>
                <w:spacing w:val="-6"/>
              </w:rPr>
              <w:t>(y/y v %)</w:t>
            </w:r>
          </w:p>
        </w:tc>
        <w:tc>
          <w:tcPr>
            <w:tcW w:w="584" w:type="pct"/>
          </w:tcPr>
          <w:p w:rsidR="003E68BC" w:rsidRPr="0002083E" w:rsidRDefault="003E68BC" w:rsidP="008C41F7">
            <w:pPr>
              <w:pStyle w:val="Textpoznpodarou"/>
            </w:pPr>
            <w:r w:rsidRPr="0002083E">
              <w:t>Graf č. 17</w:t>
            </w:r>
          </w:p>
        </w:tc>
        <w:tc>
          <w:tcPr>
            <w:tcW w:w="1915" w:type="pct"/>
            <w:gridSpan w:val="2"/>
          </w:tcPr>
          <w:p w:rsidR="003E68BC" w:rsidRPr="0002083E" w:rsidRDefault="003E68BC" w:rsidP="008C41F7">
            <w:pPr>
              <w:pStyle w:val="Textpoznpodarou"/>
            </w:pPr>
            <w:r w:rsidRPr="0002083E">
              <w:rPr>
                <w:b/>
                <w:spacing w:val="-6"/>
              </w:rPr>
              <w:t xml:space="preserve">Směnné relace v zahraničním obchodě se zbožím v roce 2014 </w:t>
            </w:r>
            <w:r w:rsidRPr="0002083E">
              <w:rPr>
                <w:spacing w:val="-6"/>
              </w:rPr>
              <w:t>(y/y v %)</w:t>
            </w:r>
          </w:p>
        </w:tc>
      </w:tr>
      <w:tr w:rsidR="003E68BC" w:rsidRPr="0002083E" w:rsidTr="008C41F7">
        <w:tc>
          <w:tcPr>
            <w:tcW w:w="2501" w:type="pct"/>
            <w:gridSpan w:val="4"/>
          </w:tcPr>
          <w:p w:rsidR="003E68BC" w:rsidRPr="0002083E" w:rsidRDefault="00E70B7D" w:rsidP="008C41F7">
            <w:pPr>
              <w:pStyle w:val="Textpoznpodarou"/>
              <w:jc w:val="both"/>
            </w:pPr>
            <w:r>
              <w:rPr>
                <w:noProof/>
              </w:rPr>
              <w:pict>
                <v:shape id="_x0000_i1544" type="#_x0000_t75" style="width:237.75pt;height:186pt;visibility:visible;mso-wrap-style:square">
                  <v:imagedata r:id="rId23" o:title=""/>
                </v:shape>
              </w:pict>
            </w:r>
          </w:p>
        </w:tc>
        <w:tc>
          <w:tcPr>
            <w:tcW w:w="2499" w:type="pct"/>
            <w:gridSpan w:val="3"/>
          </w:tcPr>
          <w:p w:rsidR="003E68BC" w:rsidRPr="0002083E" w:rsidRDefault="00E70B7D" w:rsidP="008C41F7">
            <w:pPr>
              <w:pStyle w:val="Textpoznpodarou"/>
              <w:jc w:val="both"/>
            </w:pPr>
            <w:r>
              <w:rPr>
                <w:noProof/>
              </w:rPr>
              <w:pict>
                <v:shape id="_x0000_i1545" type="#_x0000_t75" style="width:237.75pt;height:186pt;visibility:visible;mso-wrap-style:square">
                  <v:imagedata r:id="rId24" o:title=""/>
                </v:shape>
              </w:pict>
            </w:r>
          </w:p>
        </w:tc>
      </w:tr>
      <w:tr w:rsidR="003E68BC" w:rsidRPr="0002083E" w:rsidTr="008C41F7">
        <w:tc>
          <w:tcPr>
            <w:tcW w:w="3523" w:type="pct"/>
            <w:gridSpan w:val="6"/>
          </w:tcPr>
          <w:p w:rsidR="003E68BC" w:rsidRPr="0002083E" w:rsidRDefault="003E68BC" w:rsidP="008C41F7">
            <w:pPr>
              <w:pStyle w:val="Textpoznpodarou"/>
              <w:rPr>
                <w:noProof/>
                <w:sz w:val="18"/>
                <w:szCs w:val="18"/>
              </w:rPr>
            </w:pPr>
          </w:p>
        </w:tc>
        <w:tc>
          <w:tcPr>
            <w:tcW w:w="1477" w:type="pct"/>
          </w:tcPr>
          <w:p w:rsidR="003E68BC" w:rsidRPr="0002083E" w:rsidRDefault="003E68BC" w:rsidP="008C41F7">
            <w:pPr>
              <w:pStyle w:val="Textpoznpodarou"/>
              <w:jc w:val="right"/>
              <w:rPr>
                <w:noProof/>
              </w:rPr>
            </w:pPr>
            <w:r w:rsidRPr="0002083E">
              <w:rPr>
                <w:sz w:val="18"/>
                <w:szCs w:val="18"/>
              </w:rPr>
              <w:t>Zdroj: ČSÚ, vlastní výpočty</w:t>
            </w:r>
          </w:p>
        </w:tc>
      </w:tr>
      <w:tr w:rsidR="003E68BC" w:rsidRPr="0002083E" w:rsidTr="008C41F7">
        <w:tblPrEx>
          <w:tblLook w:val="00A0"/>
        </w:tblPrEx>
        <w:trPr>
          <w:trHeight w:val="851"/>
        </w:trPr>
        <w:tc>
          <w:tcPr>
            <w:tcW w:w="1058" w:type="pct"/>
            <w:gridSpan w:val="2"/>
          </w:tcPr>
          <w:p w:rsidR="003E68BC" w:rsidRPr="0002083E" w:rsidRDefault="003E68BC" w:rsidP="008C41F7">
            <w:pPr>
              <w:spacing w:line="240" w:lineRule="auto"/>
              <w:rPr>
                <w:sz w:val="16"/>
                <w:szCs w:val="16"/>
              </w:rPr>
            </w:pPr>
            <w:r w:rsidRPr="0002083E">
              <w:rPr>
                <w:sz w:val="16"/>
                <w:szCs w:val="16"/>
              </w:rPr>
              <w:lastRenderedPageBreak/>
              <w:t>Vyšší ceny dovozu v roce 2014 pod taktovkou strojů a dopravních prostředků, ale také polotovarů</w:t>
            </w:r>
          </w:p>
        </w:tc>
        <w:tc>
          <w:tcPr>
            <w:tcW w:w="151" w:type="pct"/>
          </w:tcPr>
          <w:p w:rsidR="003E68BC" w:rsidRPr="0002083E" w:rsidRDefault="003E68BC" w:rsidP="008C41F7">
            <w:pPr>
              <w:pStyle w:val="Textpoznpodarou"/>
              <w:jc w:val="both"/>
            </w:pPr>
          </w:p>
        </w:tc>
        <w:tc>
          <w:tcPr>
            <w:tcW w:w="3791" w:type="pct"/>
            <w:gridSpan w:val="4"/>
          </w:tcPr>
          <w:p w:rsidR="003E68BC" w:rsidRPr="0002083E" w:rsidRDefault="003E68BC" w:rsidP="008C41F7">
            <w:pPr>
              <w:pStyle w:val="Textpoznpodarou"/>
              <w:jc w:val="both"/>
            </w:pPr>
            <w:r w:rsidRPr="0002083E">
              <w:t>Z nomenklatury SITC je patrné, že v roce 2014 nejvíce narostly dovozní ceny potravin a živých zvířat (+4,4 %) a nápojů a tabáku (+4,1 %). Jejich dopad do celkových</w:t>
            </w:r>
            <w:r>
              <w:t xml:space="preserve"> dovozních</w:t>
            </w:r>
            <w:r w:rsidRPr="0002083E">
              <w:t xml:space="preserve"> cen, vhledem k jejich malému podílu na úhrnných dovozech zboží do ČR (společně mají zhruba 6 %), byl ovšem minimální. Naopak efekt umírněnějšího nárůstu cen dovozu strojů a dopravních prostředků (+3,5 %) a polotovarů (+3,2 %), které společně obstarávají zhruba šest desetin celkového dovozu zboží do ČR, byl značný.</w:t>
            </w:r>
          </w:p>
          <w:p w:rsidR="003E68BC" w:rsidRPr="0002083E" w:rsidRDefault="003E68BC" w:rsidP="008C41F7">
            <w:pPr>
              <w:pStyle w:val="Textpoznpodarou"/>
              <w:jc w:val="both"/>
            </w:pPr>
          </w:p>
        </w:tc>
      </w:tr>
      <w:tr w:rsidR="003E68BC" w:rsidRPr="0002083E" w:rsidTr="008C41F7">
        <w:tblPrEx>
          <w:tblLook w:val="00A0"/>
        </w:tblPrEx>
        <w:trPr>
          <w:trHeight w:val="851"/>
        </w:trPr>
        <w:tc>
          <w:tcPr>
            <w:tcW w:w="1058" w:type="pct"/>
            <w:gridSpan w:val="2"/>
          </w:tcPr>
          <w:p w:rsidR="003E68BC" w:rsidRPr="0002083E" w:rsidRDefault="003E68BC" w:rsidP="008C41F7">
            <w:pPr>
              <w:spacing w:line="240" w:lineRule="auto"/>
              <w:rPr>
                <w:sz w:val="16"/>
                <w:szCs w:val="16"/>
              </w:rPr>
            </w:pPr>
            <w:r>
              <w:rPr>
                <w:sz w:val="16"/>
                <w:szCs w:val="16"/>
              </w:rPr>
              <w:t xml:space="preserve">Z nižších dovozních cen </w:t>
            </w:r>
            <w:r w:rsidRPr="0002083E">
              <w:rPr>
                <w:sz w:val="16"/>
                <w:szCs w:val="16"/>
              </w:rPr>
              <w:t>profitovaly zejména podniky stojící na začátku výrobního řetězce</w:t>
            </w:r>
          </w:p>
        </w:tc>
        <w:tc>
          <w:tcPr>
            <w:tcW w:w="151" w:type="pct"/>
          </w:tcPr>
          <w:p w:rsidR="003E68BC" w:rsidRPr="0002083E" w:rsidRDefault="003E68BC" w:rsidP="008C41F7">
            <w:pPr>
              <w:pStyle w:val="Textpoznpodarou"/>
              <w:jc w:val="both"/>
            </w:pPr>
          </w:p>
        </w:tc>
        <w:tc>
          <w:tcPr>
            <w:tcW w:w="3791" w:type="pct"/>
            <w:gridSpan w:val="4"/>
          </w:tcPr>
          <w:p w:rsidR="003E68BC" w:rsidRPr="0002083E" w:rsidRDefault="003E68BC" w:rsidP="008C41F7">
            <w:pPr>
              <w:pStyle w:val="Textpoznpodarou"/>
              <w:jc w:val="both"/>
            </w:pPr>
            <w:r w:rsidRPr="0002083E">
              <w:t xml:space="preserve">Za nižší ceny než v roce 2013 se do ČR dovážely jen málo významné živočišné a rostlinné oleje (-7,8 %), ale také minerální paliva (-5,6 %) a tzv. ostatní suroviny (-3,3 %). Zatímco k poklesu cen minerálních paliv došlo zejména vlivem propadu cen ropy (posilující americký dolar pokles dovozních cen ropy jen mírnil), na snížení cen dovozu ostatních surovin </w:t>
            </w:r>
            <w:r>
              <w:t>se podílely především nižší ceny rud kovů a kovového odpadu, a také surového kaučuku.</w:t>
            </w:r>
          </w:p>
          <w:p w:rsidR="003E68BC" w:rsidRPr="0002083E" w:rsidRDefault="003E68BC" w:rsidP="008C41F7">
            <w:pPr>
              <w:pStyle w:val="Textpoznpodarou"/>
              <w:jc w:val="both"/>
            </w:pPr>
          </w:p>
        </w:tc>
      </w:tr>
      <w:tr w:rsidR="003E68BC" w:rsidRPr="0002083E" w:rsidTr="008C41F7">
        <w:tblPrEx>
          <w:tblLook w:val="00A0"/>
        </w:tblPrEx>
        <w:trPr>
          <w:trHeight w:val="851"/>
        </w:trPr>
        <w:tc>
          <w:tcPr>
            <w:tcW w:w="1058" w:type="pct"/>
            <w:gridSpan w:val="2"/>
          </w:tcPr>
          <w:p w:rsidR="003E68BC" w:rsidRPr="0002083E" w:rsidRDefault="003E68BC" w:rsidP="008C41F7">
            <w:pPr>
              <w:spacing w:line="240" w:lineRule="auto"/>
              <w:rPr>
                <w:sz w:val="16"/>
                <w:szCs w:val="16"/>
              </w:rPr>
            </w:pPr>
            <w:r w:rsidRPr="0002083E">
              <w:rPr>
                <w:sz w:val="16"/>
                <w:szCs w:val="16"/>
              </w:rPr>
              <w:t>Ceny vývozu vzrostly v roce 2014 o 3,5 %, nejvíce od vstupu ČR do Evropské unie</w:t>
            </w:r>
          </w:p>
        </w:tc>
        <w:tc>
          <w:tcPr>
            <w:tcW w:w="151" w:type="pct"/>
          </w:tcPr>
          <w:p w:rsidR="003E68BC" w:rsidRPr="0002083E" w:rsidRDefault="003E68BC" w:rsidP="008C41F7">
            <w:pPr>
              <w:pStyle w:val="Textpoznpodarou"/>
              <w:jc w:val="both"/>
            </w:pPr>
          </w:p>
        </w:tc>
        <w:tc>
          <w:tcPr>
            <w:tcW w:w="3791" w:type="pct"/>
            <w:gridSpan w:val="4"/>
          </w:tcPr>
          <w:p w:rsidR="003E68BC" w:rsidRPr="0002083E" w:rsidRDefault="003E68BC" w:rsidP="008C41F7">
            <w:pPr>
              <w:pStyle w:val="Textpoznpodarou"/>
              <w:jc w:val="both"/>
            </w:pPr>
            <w:r w:rsidRPr="0002083E">
              <w:t>Ceny vývozu zboží vzros</w:t>
            </w:r>
            <w:r>
              <w:t>tly v roce 2014 o 3,5 %, nejrychleji</w:t>
            </w:r>
            <w:r w:rsidRPr="0002083E">
              <w:t xml:space="preserve"> od roku 2004 (+3,7</w:t>
            </w:r>
            <w:r>
              <w:t> </w:t>
            </w:r>
            <w:r w:rsidRPr="0002083E">
              <w:t>%). Jestliže tehdy koruna k euru fakticky stagnovala a</w:t>
            </w:r>
            <w:r>
              <w:t xml:space="preserve"> k americkému dolaru posílila o 8,9 %, což znamená, že</w:t>
            </w:r>
            <w:r w:rsidRPr="0002083E">
              <w:t xml:space="preserve"> rů</w:t>
            </w:r>
            <w:r>
              <w:t>st cen vývozu zboží</w:t>
            </w:r>
            <w:r w:rsidRPr="0002083E">
              <w:t xml:space="preserve"> byl dán ryze </w:t>
            </w:r>
            <w:r>
              <w:t>schopností tuzemských exportérů, kterou podpořilo i začlenění</w:t>
            </w:r>
            <w:r w:rsidRPr="0002083E">
              <w:t xml:space="preserve"> ČR do EU, v roce 2014 </w:t>
            </w:r>
            <w:r>
              <w:t>vzrostly jen díky kurzu</w:t>
            </w:r>
            <w:r w:rsidRPr="0002083E">
              <w:t xml:space="preserve">. </w:t>
            </w:r>
            <w:r>
              <w:t>N</w:t>
            </w:r>
            <w:r w:rsidRPr="0002083E">
              <w:t>ebýt slabš</w:t>
            </w:r>
            <w:r>
              <w:t>í koruny, ceny vývozu by klesly, stejně jako by tomu bylo na straně cen dovozu.</w:t>
            </w:r>
          </w:p>
          <w:p w:rsidR="003E68BC" w:rsidRPr="0002083E" w:rsidRDefault="003E68BC" w:rsidP="008C41F7">
            <w:pPr>
              <w:pStyle w:val="Textpoznpodarou"/>
              <w:jc w:val="both"/>
            </w:pPr>
          </w:p>
        </w:tc>
      </w:tr>
      <w:tr w:rsidR="003E68BC" w:rsidRPr="0002083E" w:rsidTr="008C41F7">
        <w:tblPrEx>
          <w:tblLook w:val="00A0"/>
        </w:tblPrEx>
        <w:trPr>
          <w:trHeight w:val="851"/>
        </w:trPr>
        <w:tc>
          <w:tcPr>
            <w:tcW w:w="1058" w:type="pct"/>
            <w:gridSpan w:val="2"/>
          </w:tcPr>
          <w:p w:rsidR="003E68BC" w:rsidRPr="0002083E" w:rsidRDefault="003E68BC" w:rsidP="008C41F7">
            <w:pPr>
              <w:spacing w:line="240" w:lineRule="auto"/>
              <w:rPr>
                <w:sz w:val="16"/>
                <w:szCs w:val="16"/>
              </w:rPr>
            </w:pPr>
            <w:r w:rsidRPr="0002083E">
              <w:rPr>
                <w:sz w:val="16"/>
                <w:szCs w:val="16"/>
              </w:rPr>
              <w:t xml:space="preserve">Vysoký nárůst cen vývozu silničních vozidel </w:t>
            </w:r>
            <w:r>
              <w:rPr>
                <w:sz w:val="16"/>
                <w:szCs w:val="16"/>
              </w:rPr>
              <w:t>zvyšoval</w:t>
            </w:r>
            <w:r w:rsidRPr="0002083E">
              <w:rPr>
                <w:sz w:val="16"/>
                <w:szCs w:val="16"/>
              </w:rPr>
              <w:t xml:space="preserve"> zisky exportně orientovaného automobilového průmyslu</w:t>
            </w:r>
          </w:p>
        </w:tc>
        <w:tc>
          <w:tcPr>
            <w:tcW w:w="151" w:type="pct"/>
          </w:tcPr>
          <w:p w:rsidR="003E68BC" w:rsidRPr="0002083E" w:rsidRDefault="003E68BC" w:rsidP="008C41F7">
            <w:pPr>
              <w:pStyle w:val="Textpoznpodarou"/>
              <w:jc w:val="both"/>
            </w:pPr>
          </w:p>
        </w:tc>
        <w:tc>
          <w:tcPr>
            <w:tcW w:w="3791" w:type="pct"/>
            <w:gridSpan w:val="4"/>
          </w:tcPr>
          <w:p w:rsidR="003E68BC" w:rsidRPr="00B76D38" w:rsidRDefault="003E68BC" w:rsidP="008C41F7">
            <w:pPr>
              <w:pStyle w:val="Textpoznpodarou"/>
              <w:jc w:val="both"/>
            </w:pPr>
            <w:r w:rsidRPr="00B76D38">
              <w:t>Nejdynamičtěji v roce 2014 narostly vývozní ceny v případě nápojů a tabáku (+7,5 %). O 5,2 % stouply vývozní ceny polotovarů, o 4,4 % průmyslového spotřebního zboží. Shodně – o 3,7 % – podražil vývoz strojů a dopravních prostředků a ostatních surovin. Zatímco v případě strojů a dopravních prostředků stouply zejména ceny silničních vozidel</w:t>
            </w:r>
            <w:r>
              <w:t>, na vyšších cenách</w:t>
            </w:r>
            <w:r w:rsidRPr="00B76D38">
              <w:t xml:space="preserve"> ostatních surovin </w:t>
            </w:r>
            <w:r>
              <w:t>se podílel především nárůst cen korku</w:t>
            </w:r>
            <w:r w:rsidRPr="00B76D38">
              <w:t xml:space="preserve"> a dřeva, ale také vlákniny a sběrového papíru. Z jednotlivých tříd SITC vývozní ceny v roce 2014 klesly pouze u potravin a živých zvířat (-0,2 %) a živočišných a rostlinných olejů (-3,2 %), ale také v případě minerálních paliv (-5,0 %).</w:t>
            </w:r>
          </w:p>
          <w:p w:rsidR="003E68BC" w:rsidRPr="0002083E" w:rsidRDefault="003E68BC" w:rsidP="008C41F7">
            <w:pPr>
              <w:pStyle w:val="Textpoznpodarou"/>
              <w:jc w:val="both"/>
              <w:rPr>
                <w:spacing w:val="-2"/>
              </w:rPr>
            </w:pPr>
          </w:p>
        </w:tc>
      </w:tr>
      <w:tr w:rsidR="003E68BC" w:rsidRPr="0002083E" w:rsidTr="008C41F7">
        <w:tblPrEx>
          <w:tblLook w:val="00A0"/>
        </w:tblPrEx>
        <w:tc>
          <w:tcPr>
            <w:tcW w:w="1058" w:type="pct"/>
            <w:gridSpan w:val="2"/>
          </w:tcPr>
          <w:p w:rsidR="003E68BC" w:rsidRPr="0002083E" w:rsidRDefault="003E68BC" w:rsidP="008C41F7">
            <w:pPr>
              <w:spacing w:line="240" w:lineRule="auto"/>
              <w:rPr>
                <w:sz w:val="16"/>
                <w:szCs w:val="16"/>
              </w:rPr>
            </w:pPr>
            <w:r w:rsidRPr="0002083E">
              <w:rPr>
                <w:sz w:val="16"/>
                <w:szCs w:val="16"/>
              </w:rPr>
              <w:t>Směnné relace v zahraničním obchodě se zbožím se zlepšily i v roce 2014, …</w:t>
            </w:r>
          </w:p>
        </w:tc>
        <w:tc>
          <w:tcPr>
            <w:tcW w:w="151" w:type="pct"/>
          </w:tcPr>
          <w:p w:rsidR="003E68BC" w:rsidRPr="0002083E" w:rsidRDefault="003E68BC" w:rsidP="008C41F7">
            <w:pPr>
              <w:pStyle w:val="Textpoznpodarou"/>
              <w:jc w:val="both"/>
            </w:pPr>
          </w:p>
        </w:tc>
        <w:tc>
          <w:tcPr>
            <w:tcW w:w="3791" w:type="pct"/>
            <w:gridSpan w:val="4"/>
          </w:tcPr>
          <w:p w:rsidR="003E68BC" w:rsidRPr="0002083E" w:rsidRDefault="003E68BC" w:rsidP="008C41F7">
            <w:pPr>
              <w:pStyle w:val="Textpoznpodarou"/>
              <w:jc w:val="both"/>
            </w:pPr>
            <w:r w:rsidRPr="0002083E">
              <w:t xml:space="preserve">Příznivý vývoj cen v zahraničním obchodě se zbožím, ze kterého česká ekonomika těžila poprvé po třech letech již v roce 2013, pokračoval i v roce </w:t>
            </w:r>
            <w:r>
              <w:t>2014</w:t>
            </w:r>
            <w:r w:rsidRPr="0002083E">
              <w:t>. Zatímco v roce 2013 se směnné relace vlivem nárůstu cen vývozu (+1,2 %) ve</w:t>
            </w:r>
            <w:r>
              <w:t> </w:t>
            </w:r>
            <w:r w:rsidRPr="0002083E">
              <w:t>spojení s poklesem cen dovozu (-0,2 %) zlepšily o 1,4 %, v roce 2014 vlivem dynamičtějšího přírůstku cen vývozu oproti cenám dovozu dokonce o 1,6 %. Zlepšily se nejvíce od roku 2009 (+3,8 %), kdy</w:t>
            </w:r>
            <w:r>
              <w:t xml:space="preserve"> se</w:t>
            </w:r>
            <w:r w:rsidRPr="0002083E">
              <w:t xml:space="preserve"> na světovém trhu s komoditami propadly ceny ropy.</w:t>
            </w:r>
          </w:p>
          <w:p w:rsidR="003E68BC" w:rsidRPr="0002083E" w:rsidRDefault="003E68BC" w:rsidP="008C41F7">
            <w:pPr>
              <w:pStyle w:val="Textpoznpodarou"/>
              <w:jc w:val="both"/>
              <w:rPr>
                <w:spacing w:val="-2"/>
              </w:rPr>
            </w:pPr>
          </w:p>
        </w:tc>
      </w:tr>
      <w:tr w:rsidR="003E68BC" w:rsidRPr="0002083E" w:rsidTr="008C41F7">
        <w:tblPrEx>
          <w:tblLook w:val="00A0"/>
        </w:tblPrEx>
        <w:tc>
          <w:tcPr>
            <w:tcW w:w="1058" w:type="pct"/>
            <w:gridSpan w:val="2"/>
          </w:tcPr>
          <w:p w:rsidR="003E68BC" w:rsidRPr="0002083E" w:rsidRDefault="003E68BC" w:rsidP="008C41F7">
            <w:pPr>
              <w:spacing w:line="240" w:lineRule="auto"/>
              <w:rPr>
                <w:sz w:val="16"/>
                <w:szCs w:val="16"/>
              </w:rPr>
            </w:pPr>
            <w:r w:rsidRPr="0002083E">
              <w:rPr>
                <w:sz w:val="16"/>
                <w:szCs w:val="16"/>
              </w:rPr>
              <w:t>… přitom pozitivním aspektem bylo, že příznivý vývoj cen se dotýkal většiny tříd SITC</w:t>
            </w:r>
          </w:p>
        </w:tc>
        <w:tc>
          <w:tcPr>
            <w:tcW w:w="151" w:type="pct"/>
          </w:tcPr>
          <w:p w:rsidR="003E68BC" w:rsidRPr="0002083E" w:rsidRDefault="003E68BC" w:rsidP="008C41F7">
            <w:pPr>
              <w:pStyle w:val="Textpoznpodarou"/>
              <w:jc w:val="both"/>
            </w:pPr>
          </w:p>
        </w:tc>
        <w:tc>
          <w:tcPr>
            <w:tcW w:w="3791" w:type="pct"/>
            <w:gridSpan w:val="4"/>
          </w:tcPr>
          <w:p w:rsidR="003E68BC" w:rsidRPr="0002083E" w:rsidRDefault="003E68BC" w:rsidP="008C41F7">
            <w:pPr>
              <w:pStyle w:val="Textpoznpodarou"/>
              <w:jc w:val="both"/>
            </w:pPr>
            <w:r w:rsidRPr="0002083E">
              <w:t>Zlepšení směnných relací v roce 2014 se týkalo všech tříd SITC, výjimkou byly jen potraviny a živá zvířata. Zde se směnné relace vlivem vysokého nárůstu cen dovozu (+4,4 %), který však nebyl reflektován v cenách vývozu (-0,2 %), zhoršily o značných 4,4 %. Zhoršily se už potřetí, přitom jejich vývoj byl s každým rokem méně příznivý než v tom předchozím. Zatímco v roce 2012</w:t>
            </w:r>
            <w:r>
              <w:t xml:space="preserve"> se směnné relace v zahraničním obchodě s potravinami a živými zvířaty </w:t>
            </w:r>
            <w:r w:rsidRPr="0002083E">
              <w:t>zhoršily o 2,6 %, v roce 2013 už o 3,1 % a v roce 2014 dokonce o zmíněných 4,4 %. Zřejmě se v nich zrcadlila skutečnost, že zboží s vyšší přidanou hodnotou – které je do České republiky ve velké míře dováženo – zaznamenávalo příznivější vývoj cen než produkty s nižší přidanou hodnot</w:t>
            </w:r>
            <w:r>
              <w:t>o</w:t>
            </w:r>
            <w:r w:rsidRPr="0002083E">
              <w:t>u, které jsou naopak více zastoupeny na</w:t>
            </w:r>
            <w:r>
              <w:t> </w:t>
            </w:r>
            <w:r w:rsidRPr="0002083E">
              <w:t>straně vývozu.</w:t>
            </w:r>
          </w:p>
          <w:p w:rsidR="003E68BC" w:rsidRPr="0002083E" w:rsidRDefault="003E68BC" w:rsidP="008C41F7">
            <w:pPr>
              <w:pStyle w:val="Textpoznpodarou"/>
              <w:jc w:val="both"/>
            </w:pPr>
          </w:p>
        </w:tc>
      </w:tr>
      <w:tr w:rsidR="003E68BC" w:rsidRPr="0002083E" w:rsidTr="008C41F7">
        <w:tblPrEx>
          <w:tblLook w:val="00A0"/>
        </w:tblPrEx>
        <w:trPr>
          <w:trHeight w:val="1268"/>
        </w:trPr>
        <w:tc>
          <w:tcPr>
            <w:tcW w:w="1058" w:type="pct"/>
            <w:gridSpan w:val="2"/>
          </w:tcPr>
          <w:p w:rsidR="003E68BC" w:rsidRPr="0002083E" w:rsidRDefault="003E68BC" w:rsidP="008C41F7">
            <w:pPr>
              <w:spacing w:line="240" w:lineRule="auto"/>
              <w:rPr>
                <w:spacing w:val="-4"/>
                <w:sz w:val="16"/>
                <w:szCs w:val="16"/>
              </w:rPr>
            </w:pPr>
            <w:r w:rsidRPr="0002083E">
              <w:rPr>
                <w:spacing w:val="-4"/>
                <w:sz w:val="16"/>
                <w:szCs w:val="16"/>
              </w:rPr>
              <w:t>V kumulaci za roky 1996-2014 se směnné relace v zahraničním obchodě se zbožím zlepšily o 4,3 %, v samotném obchodě se stroji a dopravními prostředky</w:t>
            </w:r>
            <w:r>
              <w:rPr>
                <w:spacing w:val="-4"/>
                <w:sz w:val="16"/>
                <w:szCs w:val="16"/>
              </w:rPr>
              <w:t xml:space="preserve"> ale</w:t>
            </w:r>
            <w:r w:rsidRPr="0002083E">
              <w:rPr>
                <w:spacing w:val="-4"/>
                <w:sz w:val="16"/>
                <w:szCs w:val="16"/>
              </w:rPr>
              <w:t xml:space="preserve"> o 31,7 %</w:t>
            </w:r>
          </w:p>
        </w:tc>
        <w:tc>
          <w:tcPr>
            <w:tcW w:w="151" w:type="pct"/>
          </w:tcPr>
          <w:p w:rsidR="003E68BC" w:rsidRPr="0002083E" w:rsidRDefault="003E68BC" w:rsidP="008C41F7">
            <w:pPr>
              <w:pStyle w:val="Textpoznpodarou"/>
              <w:jc w:val="both"/>
            </w:pPr>
          </w:p>
        </w:tc>
        <w:tc>
          <w:tcPr>
            <w:tcW w:w="3791" w:type="pct"/>
            <w:gridSpan w:val="4"/>
          </w:tcPr>
          <w:p w:rsidR="003E68BC" w:rsidRPr="0002083E" w:rsidRDefault="003E68BC" w:rsidP="008C41F7">
            <w:pPr>
              <w:pStyle w:val="Textpoznpodarou"/>
              <w:jc w:val="both"/>
            </w:pPr>
            <w:r w:rsidRPr="0002083E">
              <w:t xml:space="preserve">Co se týče nejvýznamnější komodity v zahraničním obchodě ČR (na straně vývozu i dovozu), tedy strojů a dopravních prostředků, směnné relace se zde v roce 2014 zlepšily jen velmi málo, </w:t>
            </w:r>
            <w:r>
              <w:t xml:space="preserve">a to </w:t>
            </w:r>
            <w:r w:rsidRPr="0002083E">
              <w:t>pouze o 0,2 %. Na druhou stranu se zlepšily již počtvrté, a nebýt ojedinělého nepříznivého cenového vývoje v roce 2010, kdy se zhoršily o 2,0 %, zlepšovaly by se prakticky neustále (na dostupné časové řadě, tj. od roku 1996 včetně).</w:t>
            </w:r>
          </w:p>
        </w:tc>
      </w:tr>
    </w:tbl>
    <w:p w:rsidR="003E68BC" w:rsidRPr="008E2C4E" w:rsidRDefault="003E68BC" w:rsidP="003E68BC"/>
    <w:p w:rsidR="003E68BC" w:rsidRDefault="003E68BC" w:rsidP="00D34225"/>
    <w:sectPr w:rsidR="003E68BC" w:rsidSect="00E70B7D">
      <w:headerReference w:type="even" r:id="rId25"/>
      <w:headerReference w:type="default" r:id="rId26"/>
      <w:footerReference w:type="even" r:id="rId27"/>
      <w:footerReference w:type="default" r:id="rId28"/>
      <w:type w:val="continuous"/>
      <w:pgSz w:w="11906" w:h="16838" w:code="9"/>
      <w:pgMar w:top="1134" w:right="1134" w:bottom="1418" w:left="1134" w:header="680" w:footer="680"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34" w:rsidRDefault="00333234" w:rsidP="00E71A58">
      <w:r>
        <w:separator/>
      </w:r>
    </w:p>
  </w:endnote>
  <w:endnote w:type="continuationSeparator" w:id="0">
    <w:p w:rsidR="00333234" w:rsidRDefault="0033323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Default="00E9367C"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333234" w:rsidRPr="005A21E0">
      <w:rPr>
        <w:rFonts w:ascii="Arial" w:hAnsi="Arial" w:cs="Arial"/>
        <w:sz w:val="16"/>
        <w:szCs w:val="16"/>
      </w:rPr>
      <w:instrText>PAGE   \* MERGEFORMAT</w:instrText>
    </w:r>
    <w:r w:rsidRPr="005A21E0">
      <w:rPr>
        <w:rFonts w:ascii="Arial" w:hAnsi="Arial" w:cs="Arial"/>
        <w:sz w:val="16"/>
        <w:szCs w:val="16"/>
      </w:rPr>
      <w:fldChar w:fldCharType="separate"/>
    </w:r>
    <w:r w:rsidR="00E70B7D">
      <w:rPr>
        <w:rFonts w:ascii="Arial" w:hAnsi="Arial" w:cs="Arial"/>
        <w:noProof/>
        <w:sz w:val="16"/>
        <w:szCs w:val="16"/>
      </w:rPr>
      <w:t>34</w:t>
    </w:r>
    <w:r w:rsidRPr="005A21E0">
      <w:rPr>
        <w:rFonts w:ascii="Arial" w:hAnsi="Arial" w:cs="Arial"/>
        <w:sz w:val="16"/>
        <w:szCs w:val="16"/>
      </w:rPr>
      <w:fldChar w:fldCharType="end"/>
    </w:r>
    <w:r w:rsidR="00333234">
      <w:rPr>
        <w:rFonts w:ascii="Arial" w:hAnsi="Arial" w:cs="Arial"/>
        <w:sz w:val="16"/>
        <w:szCs w:val="16"/>
      </w:rPr>
      <w:tab/>
      <w:t>2014</w:t>
    </w:r>
    <w:r w:rsidR="00333234">
      <w:tab/>
    </w:r>
    <w:r w:rsidR="00333234">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Default="00E9367C"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333234">
      <w:tab/>
    </w:r>
    <w:r w:rsidR="00333234">
      <w:tab/>
    </w:r>
    <w:r w:rsidR="00333234" w:rsidRPr="00DC5B3B">
      <w:t xml:space="preserve">                              </w:t>
    </w:r>
  </w:p>
  <w:p w:rsidR="00333234" w:rsidRPr="00223E00" w:rsidRDefault="00333234"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E9367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E9367C" w:rsidRPr="00223E00">
      <w:rPr>
        <w:rFonts w:ascii="Arial" w:hAnsi="Arial" w:cs="Arial"/>
        <w:sz w:val="16"/>
        <w:szCs w:val="16"/>
      </w:rPr>
      <w:fldChar w:fldCharType="separate"/>
    </w:r>
    <w:r w:rsidR="00E70B7D">
      <w:rPr>
        <w:rFonts w:ascii="Arial" w:hAnsi="Arial" w:cs="Arial"/>
        <w:noProof/>
        <w:sz w:val="16"/>
        <w:szCs w:val="16"/>
      </w:rPr>
      <w:t>33</w:t>
    </w:r>
    <w:r w:rsidR="00E9367C"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34" w:rsidRDefault="00333234" w:rsidP="00E71A58">
      <w:r>
        <w:separator/>
      </w:r>
    </w:p>
  </w:footnote>
  <w:footnote w:type="continuationSeparator" w:id="0">
    <w:p w:rsidR="00333234" w:rsidRDefault="00333234" w:rsidP="00E71A58">
      <w:r>
        <w:continuationSeparator/>
      </w:r>
    </w:p>
  </w:footnote>
  <w:footnote w:id="1">
    <w:p w:rsidR="00333234" w:rsidRPr="0002083E" w:rsidRDefault="00333234" w:rsidP="003E68BC">
      <w:pPr>
        <w:pStyle w:val="Textpoznpodarou"/>
        <w:jc w:val="both"/>
        <w:rPr>
          <w:sz w:val="16"/>
          <w:szCs w:val="16"/>
        </w:rPr>
      </w:pPr>
      <w:r w:rsidRPr="0002083E">
        <w:rPr>
          <w:rStyle w:val="Znakapoznpodarou"/>
          <w:sz w:val="16"/>
          <w:szCs w:val="16"/>
        </w:rPr>
        <w:footnoteRef/>
      </w:r>
      <w:r w:rsidRPr="0002083E">
        <w:rPr>
          <w:sz w:val="16"/>
          <w:szCs w:val="16"/>
        </w:rPr>
        <w:t xml:space="preserve"> ČNB dlouhodobě snižovala základní měnově politické sazby (diskontní, </w:t>
      </w:r>
      <w:proofErr w:type="spellStart"/>
      <w:r w:rsidRPr="0002083E">
        <w:rPr>
          <w:sz w:val="16"/>
          <w:szCs w:val="16"/>
        </w:rPr>
        <w:t>repo</w:t>
      </w:r>
      <w:proofErr w:type="spellEnd"/>
      <w:r w:rsidRPr="0002083E">
        <w:rPr>
          <w:sz w:val="16"/>
          <w:szCs w:val="16"/>
        </w:rPr>
        <w:t>, lombardní), za něž obchoduje spolu s komerčními bankami likviditu, v listopadu 2013 navíc využila dodatečného nástroje měnové politiky a zasáhla proti české koruně.</w:t>
      </w:r>
    </w:p>
  </w:footnote>
  <w:footnote w:id="2">
    <w:p w:rsidR="00333234" w:rsidRPr="00754F27" w:rsidRDefault="00333234" w:rsidP="003E68BC">
      <w:pPr>
        <w:pStyle w:val="Textpoznpodarou"/>
        <w:jc w:val="both"/>
        <w:rPr>
          <w:lang w:val="en-US"/>
        </w:rPr>
      </w:pPr>
      <w:r w:rsidRPr="0002083E">
        <w:rPr>
          <w:sz w:val="16"/>
          <w:szCs w:val="16"/>
          <w:vertAlign w:val="superscript"/>
        </w:rPr>
        <w:footnoteRef/>
      </w:r>
      <w:r w:rsidRPr="0002083E">
        <w:rPr>
          <w:sz w:val="16"/>
          <w:szCs w:val="16"/>
        </w:rPr>
        <w:t xml:space="preserve"> Energie = elektrická a tepeln</w:t>
      </w:r>
      <w:r>
        <w:rPr>
          <w:sz w:val="16"/>
          <w:szCs w:val="16"/>
        </w:rPr>
        <w:t xml:space="preserve">á energie, plyn a </w:t>
      </w:r>
      <w:r w:rsidRPr="00754F27">
        <w:rPr>
          <w:sz w:val="16"/>
          <w:szCs w:val="16"/>
        </w:rPr>
        <w:t xml:space="preserve">ostatní paliva. </w:t>
      </w:r>
      <w:r>
        <w:rPr>
          <w:sz w:val="16"/>
          <w:szCs w:val="16"/>
        </w:rPr>
        <w:t>Jedná se tedy o energii využívanou v domácnosti.</w:t>
      </w:r>
    </w:p>
  </w:footnote>
  <w:footnote w:id="3">
    <w:p w:rsidR="00333234" w:rsidRPr="0002083E" w:rsidRDefault="00333234" w:rsidP="003E68BC">
      <w:pPr>
        <w:pStyle w:val="Textpoznpodarou"/>
        <w:jc w:val="both"/>
      </w:pPr>
      <w:r w:rsidRPr="0002083E">
        <w:rPr>
          <w:sz w:val="16"/>
          <w:szCs w:val="16"/>
          <w:vertAlign w:val="superscript"/>
        </w:rPr>
        <w:footnoteRef/>
      </w:r>
      <w:r w:rsidRPr="0002083E">
        <w:rPr>
          <w:sz w:val="16"/>
          <w:szCs w:val="16"/>
        </w:rPr>
        <w:t xml:space="preserve"> Struktura spotřebního koše jednotlivých typů domácností odpovídá vahám roku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Pr="00F5435A" w:rsidRDefault="00333234" w:rsidP="00F5435A">
    <w:pPr>
      <w:pStyle w:val="Zhlav"/>
      <w:tabs>
        <w:tab w:val="clear" w:pos="4536"/>
        <w:tab w:val="clear" w:pos="9072"/>
        <w:tab w:val="left" w:pos="-6379"/>
        <w:tab w:val="center" w:pos="4820"/>
        <w:tab w:val="right" w:pos="9639"/>
      </w:tabs>
      <w:rPr>
        <w:szCs w:val="16"/>
      </w:rPr>
    </w:pPr>
    <w:r>
      <w:rPr>
        <w:rFonts w:ascii="Arial" w:hAnsi="Arial" w:cs="Arial"/>
        <w:sz w:val="16"/>
        <w:szCs w:val="16"/>
      </w:rPr>
      <w:t>Tendence makroekonomického vývoje a kvality života v České republice v roce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Pr="00F5435A" w:rsidRDefault="00333234" w:rsidP="00F5435A">
    <w:pPr>
      <w:pStyle w:val="Zhlav"/>
      <w:tabs>
        <w:tab w:val="clear" w:pos="4536"/>
        <w:tab w:val="clear" w:pos="9072"/>
        <w:tab w:val="left" w:pos="-6379"/>
        <w:tab w:val="center" w:pos="4820"/>
        <w:tab w:val="right" w:pos="9639"/>
      </w:tabs>
      <w:rPr>
        <w:szCs w:val="16"/>
      </w:rPr>
    </w:pPr>
    <w:r>
      <w:rPr>
        <w:rFonts w:ascii="Arial" w:hAnsi="Arial" w:cs="Arial"/>
        <w:sz w:val="16"/>
        <w:szCs w:val="16"/>
      </w:rPr>
      <w:t>Tendence makroekonomického vývoje a kvality života v České republice v roce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BEF"/>
    <w:multiLevelType w:val="hybridMultilevel"/>
    <w:tmpl w:val="3B360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9A62B8"/>
    <w:multiLevelType w:val="multilevel"/>
    <w:tmpl w:val="DBE6868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EA7172B"/>
    <w:multiLevelType w:val="multilevel"/>
    <w:tmpl w:val="DE863A6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0BB57F8"/>
    <w:multiLevelType w:val="multilevel"/>
    <w:tmpl w:val="2074470E"/>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8454264"/>
    <w:multiLevelType w:val="hybridMultilevel"/>
    <w:tmpl w:val="8AE023D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96F0669"/>
    <w:multiLevelType w:val="hybridMultilevel"/>
    <w:tmpl w:val="6B98091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742A32BF"/>
    <w:multiLevelType w:val="multilevel"/>
    <w:tmpl w:val="2C7C09C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E94"/>
    <w:rsid w:val="00003687"/>
    <w:rsid w:val="00003A9E"/>
    <w:rsid w:val="00003C43"/>
    <w:rsid w:val="000047B7"/>
    <w:rsid w:val="00004BDD"/>
    <w:rsid w:val="00006CF8"/>
    <w:rsid w:val="00007498"/>
    <w:rsid w:val="0000767A"/>
    <w:rsid w:val="000104B9"/>
    <w:rsid w:val="00010702"/>
    <w:rsid w:val="0001159B"/>
    <w:rsid w:val="000118F0"/>
    <w:rsid w:val="00011ABE"/>
    <w:rsid w:val="00014DB4"/>
    <w:rsid w:val="0001573E"/>
    <w:rsid w:val="00017315"/>
    <w:rsid w:val="000173CC"/>
    <w:rsid w:val="000178A6"/>
    <w:rsid w:val="00017F05"/>
    <w:rsid w:val="0002016D"/>
    <w:rsid w:val="000202B9"/>
    <w:rsid w:val="000202C6"/>
    <w:rsid w:val="00020946"/>
    <w:rsid w:val="000217F1"/>
    <w:rsid w:val="0002366A"/>
    <w:rsid w:val="00023777"/>
    <w:rsid w:val="00024887"/>
    <w:rsid w:val="00024CBA"/>
    <w:rsid w:val="000264DE"/>
    <w:rsid w:val="00026998"/>
    <w:rsid w:val="0003066A"/>
    <w:rsid w:val="00032838"/>
    <w:rsid w:val="00032879"/>
    <w:rsid w:val="00032C12"/>
    <w:rsid w:val="00034B90"/>
    <w:rsid w:val="000353D4"/>
    <w:rsid w:val="00035FC6"/>
    <w:rsid w:val="00036889"/>
    <w:rsid w:val="00037667"/>
    <w:rsid w:val="000411E1"/>
    <w:rsid w:val="000441DE"/>
    <w:rsid w:val="00045541"/>
    <w:rsid w:val="000458C6"/>
    <w:rsid w:val="0004694F"/>
    <w:rsid w:val="0004735A"/>
    <w:rsid w:val="0005077D"/>
    <w:rsid w:val="00050C11"/>
    <w:rsid w:val="00052172"/>
    <w:rsid w:val="000548AB"/>
    <w:rsid w:val="00054B1C"/>
    <w:rsid w:val="00055059"/>
    <w:rsid w:val="000553E4"/>
    <w:rsid w:val="00060A26"/>
    <w:rsid w:val="00061443"/>
    <w:rsid w:val="00062EC5"/>
    <w:rsid w:val="00063BCF"/>
    <w:rsid w:val="00064256"/>
    <w:rsid w:val="00064D80"/>
    <w:rsid w:val="000666E0"/>
    <w:rsid w:val="000706A4"/>
    <w:rsid w:val="000708EE"/>
    <w:rsid w:val="00072118"/>
    <w:rsid w:val="000727C7"/>
    <w:rsid w:val="00072F46"/>
    <w:rsid w:val="00073039"/>
    <w:rsid w:val="00073173"/>
    <w:rsid w:val="0007406D"/>
    <w:rsid w:val="0007602A"/>
    <w:rsid w:val="00076196"/>
    <w:rsid w:val="00076B48"/>
    <w:rsid w:val="000774C1"/>
    <w:rsid w:val="000779AC"/>
    <w:rsid w:val="0008193E"/>
    <w:rsid w:val="000821A7"/>
    <w:rsid w:val="00083803"/>
    <w:rsid w:val="000848F4"/>
    <w:rsid w:val="0008716A"/>
    <w:rsid w:val="00087634"/>
    <w:rsid w:val="00090F47"/>
    <w:rsid w:val="00091237"/>
    <w:rsid w:val="000920EC"/>
    <w:rsid w:val="00092505"/>
    <w:rsid w:val="00095ACB"/>
    <w:rsid w:val="00096B97"/>
    <w:rsid w:val="000A0F46"/>
    <w:rsid w:val="000A1183"/>
    <w:rsid w:val="000A13D1"/>
    <w:rsid w:val="000A2121"/>
    <w:rsid w:val="000A3D94"/>
    <w:rsid w:val="000A4B3E"/>
    <w:rsid w:val="000B1398"/>
    <w:rsid w:val="000B1CFE"/>
    <w:rsid w:val="000B210A"/>
    <w:rsid w:val="000B249B"/>
    <w:rsid w:val="000B3DB9"/>
    <w:rsid w:val="000B3F02"/>
    <w:rsid w:val="000B48E7"/>
    <w:rsid w:val="000B7663"/>
    <w:rsid w:val="000C0E2B"/>
    <w:rsid w:val="000C11D3"/>
    <w:rsid w:val="000C12F5"/>
    <w:rsid w:val="000C152B"/>
    <w:rsid w:val="000C3408"/>
    <w:rsid w:val="000C776C"/>
    <w:rsid w:val="000D2E41"/>
    <w:rsid w:val="000D5E7A"/>
    <w:rsid w:val="000D5FAA"/>
    <w:rsid w:val="000D65A4"/>
    <w:rsid w:val="000D6946"/>
    <w:rsid w:val="000D6AEF"/>
    <w:rsid w:val="000E0F3D"/>
    <w:rsid w:val="000E19A8"/>
    <w:rsid w:val="000E2776"/>
    <w:rsid w:val="000E2A8A"/>
    <w:rsid w:val="000E51B0"/>
    <w:rsid w:val="000E78D2"/>
    <w:rsid w:val="000F0029"/>
    <w:rsid w:val="000F2D72"/>
    <w:rsid w:val="000F3332"/>
    <w:rsid w:val="000F33EE"/>
    <w:rsid w:val="000F401E"/>
    <w:rsid w:val="000F5445"/>
    <w:rsid w:val="000F5E7A"/>
    <w:rsid w:val="000F67B2"/>
    <w:rsid w:val="00100014"/>
    <w:rsid w:val="00102756"/>
    <w:rsid w:val="00102D79"/>
    <w:rsid w:val="00102F02"/>
    <w:rsid w:val="00103834"/>
    <w:rsid w:val="001041B6"/>
    <w:rsid w:val="001070EA"/>
    <w:rsid w:val="0011002A"/>
    <w:rsid w:val="0011110A"/>
    <w:rsid w:val="001118AF"/>
    <w:rsid w:val="0011256E"/>
    <w:rsid w:val="001157D5"/>
    <w:rsid w:val="00116DB9"/>
    <w:rsid w:val="00121167"/>
    <w:rsid w:val="001214CE"/>
    <w:rsid w:val="00121C39"/>
    <w:rsid w:val="00123255"/>
    <w:rsid w:val="001242CF"/>
    <w:rsid w:val="001247F5"/>
    <w:rsid w:val="00124D2D"/>
    <w:rsid w:val="00126F9E"/>
    <w:rsid w:val="001306B1"/>
    <w:rsid w:val="001307BE"/>
    <w:rsid w:val="00130C8F"/>
    <w:rsid w:val="001314F2"/>
    <w:rsid w:val="001317DA"/>
    <w:rsid w:val="00131B66"/>
    <w:rsid w:val="0013254D"/>
    <w:rsid w:val="00132665"/>
    <w:rsid w:val="00132CF6"/>
    <w:rsid w:val="00133A3B"/>
    <w:rsid w:val="00133AAC"/>
    <w:rsid w:val="00136561"/>
    <w:rsid w:val="00136CE4"/>
    <w:rsid w:val="001400E1"/>
    <w:rsid w:val="001405FA"/>
    <w:rsid w:val="001425C3"/>
    <w:rsid w:val="00142F16"/>
    <w:rsid w:val="00143B81"/>
    <w:rsid w:val="00143E03"/>
    <w:rsid w:val="00143E93"/>
    <w:rsid w:val="00150943"/>
    <w:rsid w:val="00151AC0"/>
    <w:rsid w:val="00152046"/>
    <w:rsid w:val="0015232F"/>
    <w:rsid w:val="00154059"/>
    <w:rsid w:val="00156318"/>
    <w:rsid w:val="0015639A"/>
    <w:rsid w:val="00157931"/>
    <w:rsid w:val="00157990"/>
    <w:rsid w:val="0016081D"/>
    <w:rsid w:val="00161312"/>
    <w:rsid w:val="00161EDA"/>
    <w:rsid w:val="001620D2"/>
    <w:rsid w:val="001620FA"/>
    <w:rsid w:val="00162853"/>
    <w:rsid w:val="00162EB2"/>
    <w:rsid w:val="00163793"/>
    <w:rsid w:val="0016545C"/>
    <w:rsid w:val="0016560B"/>
    <w:rsid w:val="00165A85"/>
    <w:rsid w:val="001707DE"/>
    <w:rsid w:val="00170B04"/>
    <w:rsid w:val="00170F47"/>
    <w:rsid w:val="001714F2"/>
    <w:rsid w:val="00171672"/>
    <w:rsid w:val="00171D29"/>
    <w:rsid w:val="00171D2A"/>
    <w:rsid w:val="00173485"/>
    <w:rsid w:val="00173642"/>
    <w:rsid w:val="00174CE8"/>
    <w:rsid w:val="00174FFB"/>
    <w:rsid w:val="001764D8"/>
    <w:rsid w:val="00176A8F"/>
    <w:rsid w:val="0017789F"/>
    <w:rsid w:val="001779F0"/>
    <w:rsid w:val="001804ED"/>
    <w:rsid w:val="00181338"/>
    <w:rsid w:val="00181893"/>
    <w:rsid w:val="0018225A"/>
    <w:rsid w:val="00182981"/>
    <w:rsid w:val="00184CF9"/>
    <w:rsid w:val="00185010"/>
    <w:rsid w:val="00186164"/>
    <w:rsid w:val="00186915"/>
    <w:rsid w:val="0018724F"/>
    <w:rsid w:val="001874CF"/>
    <w:rsid w:val="00187C76"/>
    <w:rsid w:val="00190D9B"/>
    <w:rsid w:val="00194331"/>
    <w:rsid w:val="0019492D"/>
    <w:rsid w:val="0019505A"/>
    <w:rsid w:val="00195444"/>
    <w:rsid w:val="001962A3"/>
    <w:rsid w:val="001971D0"/>
    <w:rsid w:val="0019731C"/>
    <w:rsid w:val="001A0075"/>
    <w:rsid w:val="001A250D"/>
    <w:rsid w:val="001A2BDB"/>
    <w:rsid w:val="001A2D19"/>
    <w:rsid w:val="001A443A"/>
    <w:rsid w:val="001A511C"/>
    <w:rsid w:val="001A552F"/>
    <w:rsid w:val="001A5DA4"/>
    <w:rsid w:val="001A7C15"/>
    <w:rsid w:val="001A7CD1"/>
    <w:rsid w:val="001B0AF0"/>
    <w:rsid w:val="001B1D89"/>
    <w:rsid w:val="001B2964"/>
    <w:rsid w:val="001B3110"/>
    <w:rsid w:val="001B44BC"/>
    <w:rsid w:val="001B4721"/>
    <w:rsid w:val="001B51F8"/>
    <w:rsid w:val="001B6545"/>
    <w:rsid w:val="001B666A"/>
    <w:rsid w:val="001B681B"/>
    <w:rsid w:val="001B74FB"/>
    <w:rsid w:val="001B77A1"/>
    <w:rsid w:val="001B7C99"/>
    <w:rsid w:val="001C0422"/>
    <w:rsid w:val="001C0E0E"/>
    <w:rsid w:val="001C1219"/>
    <w:rsid w:val="001C3178"/>
    <w:rsid w:val="001C357A"/>
    <w:rsid w:val="001C38BC"/>
    <w:rsid w:val="001C3A37"/>
    <w:rsid w:val="001C4384"/>
    <w:rsid w:val="001C573E"/>
    <w:rsid w:val="001C65FF"/>
    <w:rsid w:val="001C6B05"/>
    <w:rsid w:val="001C6E5E"/>
    <w:rsid w:val="001C70BF"/>
    <w:rsid w:val="001D234F"/>
    <w:rsid w:val="001D3651"/>
    <w:rsid w:val="001D47E5"/>
    <w:rsid w:val="001D5088"/>
    <w:rsid w:val="001D54E7"/>
    <w:rsid w:val="001D584C"/>
    <w:rsid w:val="001D66C1"/>
    <w:rsid w:val="001D77D5"/>
    <w:rsid w:val="001E03A3"/>
    <w:rsid w:val="001E0533"/>
    <w:rsid w:val="001E0BE1"/>
    <w:rsid w:val="001E0C65"/>
    <w:rsid w:val="001E23E3"/>
    <w:rsid w:val="001E33B9"/>
    <w:rsid w:val="001E387A"/>
    <w:rsid w:val="001E3DA4"/>
    <w:rsid w:val="001E48E5"/>
    <w:rsid w:val="001E4A25"/>
    <w:rsid w:val="001E561F"/>
    <w:rsid w:val="001E684C"/>
    <w:rsid w:val="001E701C"/>
    <w:rsid w:val="001E7C03"/>
    <w:rsid w:val="001F02AF"/>
    <w:rsid w:val="001F037F"/>
    <w:rsid w:val="001F0406"/>
    <w:rsid w:val="001F0EC9"/>
    <w:rsid w:val="001F274B"/>
    <w:rsid w:val="001F28F4"/>
    <w:rsid w:val="001F3C55"/>
    <w:rsid w:val="001F3C79"/>
    <w:rsid w:val="001F3E68"/>
    <w:rsid w:val="001F3E96"/>
    <w:rsid w:val="001F4597"/>
    <w:rsid w:val="001F55D7"/>
    <w:rsid w:val="001F7A31"/>
    <w:rsid w:val="00200D15"/>
    <w:rsid w:val="002029EF"/>
    <w:rsid w:val="00203074"/>
    <w:rsid w:val="00205103"/>
    <w:rsid w:val="00207730"/>
    <w:rsid w:val="00210400"/>
    <w:rsid w:val="00210CC2"/>
    <w:rsid w:val="00210F5B"/>
    <w:rsid w:val="00211036"/>
    <w:rsid w:val="00211262"/>
    <w:rsid w:val="002113A7"/>
    <w:rsid w:val="00211636"/>
    <w:rsid w:val="00211AC9"/>
    <w:rsid w:val="00212A98"/>
    <w:rsid w:val="0021355B"/>
    <w:rsid w:val="00214ED2"/>
    <w:rsid w:val="002155A9"/>
    <w:rsid w:val="002156B9"/>
    <w:rsid w:val="002200D8"/>
    <w:rsid w:val="002205F2"/>
    <w:rsid w:val="0022080E"/>
    <w:rsid w:val="0022139E"/>
    <w:rsid w:val="0022160A"/>
    <w:rsid w:val="0022272B"/>
    <w:rsid w:val="00222A99"/>
    <w:rsid w:val="00223667"/>
    <w:rsid w:val="00223678"/>
    <w:rsid w:val="00223E00"/>
    <w:rsid w:val="00223F33"/>
    <w:rsid w:val="00224911"/>
    <w:rsid w:val="002252E0"/>
    <w:rsid w:val="002255F6"/>
    <w:rsid w:val="00226466"/>
    <w:rsid w:val="00227993"/>
    <w:rsid w:val="0023229C"/>
    <w:rsid w:val="00232351"/>
    <w:rsid w:val="002329C3"/>
    <w:rsid w:val="00233472"/>
    <w:rsid w:val="00234111"/>
    <w:rsid w:val="00234280"/>
    <w:rsid w:val="002350E3"/>
    <w:rsid w:val="00235AFB"/>
    <w:rsid w:val="00236443"/>
    <w:rsid w:val="00237819"/>
    <w:rsid w:val="00240A5B"/>
    <w:rsid w:val="00241C02"/>
    <w:rsid w:val="00242569"/>
    <w:rsid w:val="0024261F"/>
    <w:rsid w:val="002436BA"/>
    <w:rsid w:val="00243E3B"/>
    <w:rsid w:val="002441B6"/>
    <w:rsid w:val="002444ED"/>
    <w:rsid w:val="00244A15"/>
    <w:rsid w:val="00244D40"/>
    <w:rsid w:val="0024620F"/>
    <w:rsid w:val="00246AE9"/>
    <w:rsid w:val="0024799E"/>
    <w:rsid w:val="0025186A"/>
    <w:rsid w:val="00251879"/>
    <w:rsid w:val="00251D59"/>
    <w:rsid w:val="00252FDC"/>
    <w:rsid w:val="00253719"/>
    <w:rsid w:val="002544F5"/>
    <w:rsid w:val="002547A6"/>
    <w:rsid w:val="0025540B"/>
    <w:rsid w:val="002555ED"/>
    <w:rsid w:val="002601FC"/>
    <w:rsid w:val="00260FA6"/>
    <w:rsid w:val="00261E29"/>
    <w:rsid w:val="00261E5B"/>
    <w:rsid w:val="00263470"/>
    <w:rsid w:val="00263733"/>
    <w:rsid w:val="002641A7"/>
    <w:rsid w:val="002650C1"/>
    <w:rsid w:val="00265536"/>
    <w:rsid w:val="00266591"/>
    <w:rsid w:val="00266F3E"/>
    <w:rsid w:val="0027227B"/>
    <w:rsid w:val="00272464"/>
    <w:rsid w:val="002727EA"/>
    <w:rsid w:val="00273DCD"/>
    <w:rsid w:val="00274291"/>
    <w:rsid w:val="00276CFE"/>
    <w:rsid w:val="00277071"/>
    <w:rsid w:val="0027786C"/>
    <w:rsid w:val="00281416"/>
    <w:rsid w:val="00283D2E"/>
    <w:rsid w:val="00284F79"/>
    <w:rsid w:val="002852C6"/>
    <w:rsid w:val="00285CD3"/>
    <w:rsid w:val="0028686A"/>
    <w:rsid w:val="00286E66"/>
    <w:rsid w:val="00290910"/>
    <w:rsid w:val="002911C8"/>
    <w:rsid w:val="002919B5"/>
    <w:rsid w:val="00293441"/>
    <w:rsid w:val="00293FEA"/>
    <w:rsid w:val="0029493E"/>
    <w:rsid w:val="00296C2E"/>
    <w:rsid w:val="002A1B05"/>
    <w:rsid w:val="002A2083"/>
    <w:rsid w:val="002A3BD5"/>
    <w:rsid w:val="002A4277"/>
    <w:rsid w:val="002A43A2"/>
    <w:rsid w:val="002A4612"/>
    <w:rsid w:val="002A4FBE"/>
    <w:rsid w:val="002A5263"/>
    <w:rsid w:val="002A659A"/>
    <w:rsid w:val="002A6821"/>
    <w:rsid w:val="002A6841"/>
    <w:rsid w:val="002A74D2"/>
    <w:rsid w:val="002B28A4"/>
    <w:rsid w:val="002B342C"/>
    <w:rsid w:val="002B36C8"/>
    <w:rsid w:val="002B3DAF"/>
    <w:rsid w:val="002B7240"/>
    <w:rsid w:val="002B798E"/>
    <w:rsid w:val="002B79A0"/>
    <w:rsid w:val="002B7EC1"/>
    <w:rsid w:val="002C055E"/>
    <w:rsid w:val="002C43BD"/>
    <w:rsid w:val="002C5261"/>
    <w:rsid w:val="002C6091"/>
    <w:rsid w:val="002C69FA"/>
    <w:rsid w:val="002D0562"/>
    <w:rsid w:val="002D1B5A"/>
    <w:rsid w:val="002D22B5"/>
    <w:rsid w:val="002D3EE3"/>
    <w:rsid w:val="002D5E94"/>
    <w:rsid w:val="002D632D"/>
    <w:rsid w:val="002D7CA9"/>
    <w:rsid w:val="002E02A1"/>
    <w:rsid w:val="002E1C6A"/>
    <w:rsid w:val="002E1DE4"/>
    <w:rsid w:val="002E2CE4"/>
    <w:rsid w:val="002E7C20"/>
    <w:rsid w:val="002F1DB9"/>
    <w:rsid w:val="002F33F7"/>
    <w:rsid w:val="002F33FB"/>
    <w:rsid w:val="002F3C26"/>
    <w:rsid w:val="002F46A9"/>
    <w:rsid w:val="002F47F3"/>
    <w:rsid w:val="002F7C73"/>
    <w:rsid w:val="00300B28"/>
    <w:rsid w:val="00300E9F"/>
    <w:rsid w:val="00301357"/>
    <w:rsid w:val="003016B0"/>
    <w:rsid w:val="00301D04"/>
    <w:rsid w:val="00303FCA"/>
    <w:rsid w:val="003046B3"/>
    <w:rsid w:val="00304771"/>
    <w:rsid w:val="003048B8"/>
    <w:rsid w:val="00305736"/>
    <w:rsid w:val="00306C5B"/>
    <w:rsid w:val="0030780B"/>
    <w:rsid w:val="003078E0"/>
    <w:rsid w:val="003103DA"/>
    <w:rsid w:val="0031223A"/>
    <w:rsid w:val="00312C3D"/>
    <w:rsid w:val="00314331"/>
    <w:rsid w:val="00316C55"/>
    <w:rsid w:val="00317C76"/>
    <w:rsid w:val="00320214"/>
    <w:rsid w:val="003209D6"/>
    <w:rsid w:val="0032109A"/>
    <w:rsid w:val="0032214F"/>
    <w:rsid w:val="00322164"/>
    <w:rsid w:val="003229E0"/>
    <w:rsid w:val="003247BB"/>
    <w:rsid w:val="00324F61"/>
    <w:rsid w:val="0032513D"/>
    <w:rsid w:val="00326251"/>
    <w:rsid w:val="0032697E"/>
    <w:rsid w:val="00327290"/>
    <w:rsid w:val="00327DEE"/>
    <w:rsid w:val="00331BAC"/>
    <w:rsid w:val="003329CF"/>
    <w:rsid w:val="003329F3"/>
    <w:rsid w:val="00332E05"/>
    <w:rsid w:val="00333234"/>
    <w:rsid w:val="0033352E"/>
    <w:rsid w:val="00333690"/>
    <w:rsid w:val="00333D20"/>
    <w:rsid w:val="003340EF"/>
    <w:rsid w:val="00334A49"/>
    <w:rsid w:val="00334C45"/>
    <w:rsid w:val="00335BB0"/>
    <w:rsid w:val="0033627B"/>
    <w:rsid w:val="00336EAA"/>
    <w:rsid w:val="003406BD"/>
    <w:rsid w:val="00343D5B"/>
    <w:rsid w:val="00343F84"/>
    <w:rsid w:val="00344135"/>
    <w:rsid w:val="00347DF6"/>
    <w:rsid w:val="00350B0A"/>
    <w:rsid w:val="00350DED"/>
    <w:rsid w:val="00351A67"/>
    <w:rsid w:val="00351B63"/>
    <w:rsid w:val="00352B72"/>
    <w:rsid w:val="00352D04"/>
    <w:rsid w:val="00352E57"/>
    <w:rsid w:val="00353A57"/>
    <w:rsid w:val="00353E12"/>
    <w:rsid w:val="003541B0"/>
    <w:rsid w:val="00354366"/>
    <w:rsid w:val="00355885"/>
    <w:rsid w:val="0035605E"/>
    <w:rsid w:val="00357449"/>
    <w:rsid w:val="00360712"/>
    <w:rsid w:val="00361918"/>
    <w:rsid w:val="0036238B"/>
    <w:rsid w:val="0036282B"/>
    <w:rsid w:val="00365680"/>
    <w:rsid w:val="003657F3"/>
    <w:rsid w:val="00365A32"/>
    <w:rsid w:val="00370362"/>
    <w:rsid w:val="00370C57"/>
    <w:rsid w:val="003723F7"/>
    <w:rsid w:val="00374B10"/>
    <w:rsid w:val="00374F1E"/>
    <w:rsid w:val="00375F77"/>
    <w:rsid w:val="00376DEC"/>
    <w:rsid w:val="00377A5A"/>
    <w:rsid w:val="00380E04"/>
    <w:rsid w:val="00382658"/>
    <w:rsid w:val="00384D8F"/>
    <w:rsid w:val="00385D98"/>
    <w:rsid w:val="00385EC5"/>
    <w:rsid w:val="0038634F"/>
    <w:rsid w:val="00386BD0"/>
    <w:rsid w:val="0039066E"/>
    <w:rsid w:val="0039073D"/>
    <w:rsid w:val="00391689"/>
    <w:rsid w:val="00391C95"/>
    <w:rsid w:val="0039268B"/>
    <w:rsid w:val="00393241"/>
    <w:rsid w:val="00394659"/>
    <w:rsid w:val="00395378"/>
    <w:rsid w:val="00396593"/>
    <w:rsid w:val="00396DAC"/>
    <w:rsid w:val="003A0214"/>
    <w:rsid w:val="003A098C"/>
    <w:rsid w:val="003A0D5B"/>
    <w:rsid w:val="003A180C"/>
    <w:rsid w:val="003A1D17"/>
    <w:rsid w:val="003A1D74"/>
    <w:rsid w:val="003A2708"/>
    <w:rsid w:val="003A2B4D"/>
    <w:rsid w:val="003A2D2B"/>
    <w:rsid w:val="003A30EF"/>
    <w:rsid w:val="003A3B1C"/>
    <w:rsid w:val="003A478C"/>
    <w:rsid w:val="003A49F1"/>
    <w:rsid w:val="003A4F82"/>
    <w:rsid w:val="003A5525"/>
    <w:rsid w:val="003A6B38"/>
    <w:rsid w:val="003B0002"/>
    <w:rsid w:val="003B1109"/>
    <w:rsid w:val="003B1454"/>
    <w:rsid w:val="003B2E63"/>
    <w:rsid w:val="003B3189"/>
    <w:rsid w:val="003B3932"/>
    <w:rsid w:val="003B39C4"/>
    <w:rsid w:val="003B3A9D"/>
    <w:rsid w:val="003B4102"/>
    <w:rsid w:val="003B4442"/>
    <w:rsid w:val="003B5031"/>
    <w:rsid w:val="003B50F0"/>
    <w:rsid w:val="003B5A32"/>
    <w:rsid w:val="003B6105"/>
    <w:rsid w:val="003B6C43"/>
    <w:rsid w:val="003B7F51"/>
    <w:rsid w:val="003C03C7"/>
    <w:rsid w:val="003C04C4"/>
    <w:rsid w:val="003C0CB8"/>
    <w:rsid w:val="003C20E8"/>
    <w:rsid w:val="003C26F4"/>
    <w:rsid w:val="003C383F"/>
    <w:rsid w:val="003C4852"/>
    <w:rsid w:val="003C6715"/>
    <w:rsid w:val="003C6F0F"/>
    <w:rsid w:val="003C7D80"/>
    <w:rsid w:val="003D030B"/>
    <w:rsid w:val="003D34B4"/>
    <w:rsid w:val="003D3600"/>
    <w:rsid w:val="003D3825"/>
    <w:rsid w:val="003D4760"/>
    <w:rsid w:val="003D4E62"/>
    <w:rsid w:val="003E0663"/>
    <w:rsid w:val="003E133F"/>
    <w:rsid w:val="003E193E"/>
    <w:rsid w:val="003E31B2"/>
    <w:rsid w:val="003E41E3"/>
    <w:rsid w:val="003E59FD"/>
    <w:rsid w:val="003E68BC"/>
    <w:rsid w:val="003E699C"/>
    <w:rsid w:val="003E69F3"/>
    <w:rsid w:val="003E7136"/>
    <w:rsid w:val="003E782E"/>
    <w:rsid w:val="003E7A0B"/>
    <w:rsid w:val="003E7B05"/>
    <w:rsid w:val="003F2B0A"/>
    <w:rsid w:val="003F313C"/>
    <w:rsid w:val="003F37FC"/>
    <w:rsid w:val="003F3FC2"/>
    <w:rsid w:val="003F49A6"/>
    <w:rsid w:val="003F4E1F"/>
    <w:rsid w:val="003F5098"/>
    <w:rsid w:val="003F5568"/>
    <w:rsid w:val="003F5A95"/>
    <w:rsid w:val="003F6D19"/>
    <w:rsid w:val="004000D5"/>
    <w:rsid w:val="00401716"/>
    <w:rsid w:val="00401B7F"/>
    <w:rsid w:val="00401CA8"/>
    <w:rsid w:val="00402C25"/>
    <w:rsid w:val="00403598"/>
    <w:rsid w:val="00403697"/>
    <w:rsid w:val="004050D7"/>
    <w:rsid w:val="00405E1A"/>
    <w:rsid w:val="00407373"/>
    <w:rsid w:val="004078BD"/>
    <w:rsid w:val="00410132"/>
    <w:rsid w:val="004109BF"/>
    <w:rsid w:val="0041187E"/>
    <w:rsid w:val="004123BE"/>
    <w:rsid w:val="00414CE5"/>
    <w:rsid w:val="00416673"/>
    <w:rsid w:val="004168FC"/>
    <w:rsid w:val="004170FE"/>
    <w:rsid w:val="00417C5B"/>
    <w:rsid w:val="00420A35"/>
    <w:rsid w:val="0042160D"/>
    <w:rsid w:val="004223D7"/>
    <w:rsid w:val="00422776"/>
    <w:rsid w:val="0042681B"/>
    <w:rsid w:val="00426CEE"/>
    <w:rsid w:val="004274DD"/>
    <w:rsid w:val="0043068A"/>
    <w:rsid w:val="004306E0"/>
    <w:rsid w:val="00431862"/>
    <w:rsid w:val="004329BE"/>
    <w:rsid w:val="00434FA3"/>
    <w:rsid w:val="00435D30"/>
    <w:rsid w:val="004360E1"/>
    <w:rsid w:val="00436125"/>
    <w:rsid w:val="0043752B"/>
    <w:rsid w:val="00437C76"/>
    <w:rsid w:val="00442AAC"/>
    <w:rsid w:val="004441A0"/>
    <w:rsid w:val="004443BF"/>
    <w:rsid w:val="00446892"/>
    <w:rsid w:val="00450C30"/>
    <w:rsid w:val="00451A03"/>
    <w:rsid w:val="00455ECA"/>
    <w:rsid w:val="00460164"/>
    <w:rsid w:val="004601C1"/>
    <w:rsid w:val="0046039A"/>
    <w:rsid w:val="00461977"/>
    <w:rsid w:val="00461A44"/>
    <w:rsid w:val="004629FD"/>
    <w:rsid w:val="00463F4D"/>
    <w:rsid w:val="004643C6"/>
    <w:rsid w:val="00465019"/>
    <w:rsid w:val="0046613F"/>
    <w:rsid w:val="0046655D"/>
    <w:rsid w:val="00466B34"/>
    <w:rsid w:val="00467606"/>
    <w:rsid w:val="0046765E"/>
    <w:rsid w:val="004676E2"/>
    <w:rsid w:val="004701B6"/>
    <w:rsid w:val="00470CC7"/>
    <w:rsid w:val="00470CCA"/>
    <w:rsid w:val="00470F69"/>
    <w:rsid w:val="00471EDD"/>
    <w:rsid w:val="0047400C"/>
    <w:rsid w:val="004749D9"/>
    <w:rsid w:val="00476D29"/>
    <w:rsid w:val="00477A06"/>
    <w:rsid w:val="00477EAF"/>
    <w:rsid w:val="00477EE0"/>
    <w:rsid w:val="004801DD"/>
    <w:rsid w:val="00480FAB"/>
    <w:rsid w:val="0048139F"/>
    <w:rsid w:val="004827FE"/>
    <w:rsid w:val="00483ABA"/>
    <w:rsid w:val="00486283"/>
    <w:rsid w:val="004879E9"/>
    <w:rsid w:val="004902E2"/>
    <w:rsid w:val="00490988"/>
    <w:rsid w:val="00491218"/>
    <w:rsid w:val="00493362"/>
    <w:rsid w:val="00493907"/>
    <w:rsid w:val="00494D91"/>
    <w:rsid w:val="00494FA0"/>
    <w:rsid w:val="00495C38"/>
    <w:rsid w:val="00495D8B"/>
    <w:rsid w:val="00496C2F"/>
    <w:rsid w:val="0049740D"/>
    <w:rsid w:val="004A269A"/>
    <w:rsid w:val="004A29F2"/>
    <w:rsid w:val="004A30FB"/>
    <w:rsid w:val="004A35DD"/>
    <w:rsid w:val="004A37D3"/>
    <w:rsid w:val="004A48EE"/>
    <w:rsid w:val="004A5864"/>
    <w:rsid w:val="004A5865"/>
    <w:rsid w:val="004A5972"/>
    <w:rsid w:val="004A6C74"/>
    <w:rsid w:val="004A77DF"/>
    <w:rsid w:val="004B0295"/>
    <w:rsid w:val="004B040D"/>
    <w:rsid w:val="004B3CB7"/>
    <w:rsid w:val="004B3D55"/>
    <w:rsid w:val="004B55B7"/>
    <w:rsid w:val="004B6337"/>
    <w:rsid w:val="004B7046"/>
    <w:rsid w:val="004C00A6"/>
    <w:rsid w:val="004C0BBB"/>
    <w:rsid w:val="004C3867"/>
    <w:rsid w:val="004C3A73"/>
    <w:rsid w:val="004C4CD0"/>
    <w:rsid w:val="004C57B5"/>
    <w:rsid w:val="004C5C25"/>
    <w:rsid w:val="004C5EFF"/>
    <w:rsid w:val="004C6CFF"/>
    <w:rsid w:val="004C6ED6"/>
    <w:rsid w:val="004C70DC"/>
    <w:rsid w:val="004C7268"/>
    <w:rsid w:val="004D0211"/>
    <w:rsid w:val="004D1AEF"/>
    <w:rsid w:val="004D1C9C"/>
    <w:rsid w:val="004D504B"/>
    <w:rsid w:val="004D536E"/>
    <w:rsid w:val="004D5A97"/>
    <w:rsid w:val="004D726E"/>
    <w:rsid w:val="004E0040"/>
    <w:rsid w:val="004E1494"/>
    <w:rsid w:val="004E18BB"/>
    <w:rsid w:val="004E4116"/>
    <w:rsid w:val="004E4A75"/>
    <w:rsid w:val="004E4AC0"/>
    <w:rsid w:val="004E541A"/>
    <w:rsid w:val="004E5A5C"/>
    <w:rsid w:val="004E5B4E"/>
    <w:rsid w:val="004E5FE8"/>
    <w:rsid w:val="004E762E"/>
    <w:rsid w:val="004E76D6"/>
    <w:rsid w:val="004E7AF6"/>
    <w:rsid w:val="004F03A7"/>
    <w:rsid w:val="004F06F5"/>
    <w:rsid w:val="004F146A"/>
    <w:rsid w:val="004F191F"/>
    <w:rsid w:val="004F2A73"/>
    <w:rsid w:val="004F2D3A"/>
    <w:rsid w:val="004F33A0"/>
    <w:rsid w:val="004F447D"/>
    <w:rsid w:val="004F4C28"/>
    <w:rsid w:val="004F5CC5"/>
    <w:rsid w:val="004F7D36"/>
    <w:rsid w:val="005016AC"/>
    <w:rsid w:val="00501ABE"/>
    <w:rsid w:val="0050286E"/>
    <w:rsid w:val="00504FF6"/>
    <w:rsid w:val="005058A8"/>
    <w:rsid w:val="00505923"/>
    <w:rsid w:val="00510189"/>
    <w:rsid w:val="005108C0"/>
    <w:rsid w:val="00511873"/>
    <w:rsid w:val="0051266C"/>
    <w:rsid w:val="00512F27"/>
    <w:rsid w:val="00513818"/>
    <w:rsid w:val="00513B7E"/>
    <w:rsid w:val="00513C6F"/>
    <w:rsid w:val="00514474"/>
    <w:rsid w:val="005172F4"/>
    <w:rsid w:val="005202E0"/>
    <w:rsid w:val="005215EF"/>
    <w:rsid w:val="00521CC7"/>
    <w:rsid w:val="00522CB5"/>
    <w:rsid w:val="005231C6"/>
    <w:rsid w:val="00525137"/>
    <w:rsid w:val="005251DD"/>
    <w:rsid w:val="0053017A"/>
    <w:rsid w:val="00530492"/>
    <w:rsid w:val="00530FEF"/>
    <w:rsid w:val="00532AB1"/>
    <w:rsid w:val="00532C18"/>
    <w:rsid w:val="005339BC"/>
    <w:rsid w:val="00534675"/>
    <w:rsid w:val="00535359"/>
    <w:rsid w:val="005357A2"/>
    <w:rsid w:val="00535A51"/>
    <w:rsid w:val="00535BCB"/>
    <w:rsid w:val="00535EF0"/>
    <w:rsid w:val="00537171"/>
    <w:rsid w:val="0053734B"/>
    <w:rsid w:val="005378BB"/>
    <w:rsid w:val="00537AFD"/>
    <w:rsid w:val="00537CB4"/>
    <w:rsid w:val="00540A0C"/>
    <w:rsid w:val="00540BBC"/>
    <w:rsid w:val="005426C1"/>
    <w:rsid w:val="005431DC"/>
    <w:rsid w:val="00544EA1"/>
    <w:rsid w:val="00544EBB"/>
    <w:rsid w:val="005513D5"/>
    <w:rsid w:val="005523B9"/>
    <w:rsid w:val="00552887"/>
    <w:rsid w:val="00553225"/>
    <w:rsid w:val="00553D09"/>
    <w:rsid w:val="005545E0"/>
    <w:rsid w:val="00554865"/>
    <w:rsid w:val="00554E57"/>
    <w:rsid w:val="005550E9"/>
    <w:rsid w:val="00555182"/>
    <w:rsid w:val="00561CBF"/>
    <w:rsid w:val="00562749"/>
    <w:rsid w:val="00562DE9"/>
    <w:rsid w:val="005638A5"/>
    <w:rsid w:val="00566381"/>
    <w:rsid w:val="0056667C"/>
    <w:rsid w:val="00566A03"/>
    <w:rsid w:val="00566C62"/>
    <w:rsid w:val="005718E3"/>
    <w:rsid w:val="00572DA2"/>
    <w:rsid w:val="00572EA7"/>
    <w:rsid w:val="00574240"/>
    <w:rsid w:val="0057459E"/>
    <w:rsid w:val="00574F14"/>
    <w:rsid w:val="00575CDC"/>
    <w:rsid w:val="0058053D"/>
    <w:rsid w:val="00580E2E"/>
    <w:rsid w:val="00582178"/>
    <w:rsid w:val="00582677"/>
    <w:rsid w:val="00583078"/>
    <w:rsid w:val="00583D5B"/>
    <w:rsid w:val="00583FFD"/>
    <w:rsid w:val="00587CCD"/>
    <w:rsid w:val="00590528"/>
    <w:rsid w:val="005908AE"/>
    <w:rsid w:val="0059176E"/>
    <w:rsid w:val="00591A22"/>
    <w:rsid w:val="005925A8"/>
    <w:rsid w:val="00593152"/>
    <w:rsid w:val="00593CA3"/>
    <w:rsid w:val="00594161"/>
    <w:rsid w:val="005947A6"/>
    <w:rsid w:val="00594969"/>
    <w:rsid w:val="00594EAA"/>
    <w:rsid w:val="00596A83"/>
    <w:rsid w:val="00596C5E"/>
    <w:rsid w:val="005977BA"/>
    <w:rsid w:val="00597827"/>
    <w:rsid w:val="0059787F"/>
    <w:rsid w:val="00597C5E"/>
    <w:rsid w:val="005A08BD"/>
    <w:rsid w:val="005A1CEC"/>
    <w:rsid w:val="005A21E0"/>
    <w:rsid w:val="005A33A1"/>
    <w:rsid w:val="005A54EE"/>
    <w:rsid w:val="005A5884"/>
    <w:rsid w:val="005A6E4A"/>
    <w:rsid w:val="005A7500"/>
    <w:rsid w:val="005B1BDB"/>
    <w:rsid w:val="005B310D"/>
    <w:rsid w:val="005B3247"/>
    <w:rsid w:val="005B3409"/>
    <w:rsid w:val="005B34D1"/>
    <w:rsid w:val="005B4A14"/>
    <w:rsid w:val="005B55C6"/>
    <w:rsid w:val="005B6AFE"/>
    <w:rsid w:val="005B7B12"/>
    <w:rsid w:val="005C1D5E"/>
    <w:rsid w:val="005C2412"/>
    <w:rsid w:val="005C3F9F"/>
    <w:rsid w:val="005C4A94"/>
    <w:rsid w:val="005C53CB"/>
    <w:rsid w:val="005C59F6"/>
    <w:rsid w:val="005C760A"/>
    <w:rsid w:val="005C7F1E"/>
    <w:rsid w:val="005D1508"/>
    <w:rsid w:val="005D1AF2"/>
    <w:rsid w:val="005D4067"/>
    <w:rsid w:val="005D5802"/>
    <w:rsid w:val="005D5A35"/>
    <w:rsid w:val="005D5B8F"/>
    <w:rsid w:val="005D5D32"/>
    <w:rsid w:val="005D6CFC"/>
    <w:rsid w:val="005D73E2"/>
    <w:rsid w:val="005E0D10"/>
    <w:rsid w:val="005E1E4B"/>
    <w:rsid w:val="005E24EF"/>
    <w:rsid w:val="005E362D"/>
    <w:rsid w:val="005E492C"/>
    <w:rsid w:val="005E4BAA"/>
    <w:rsid w:val="005E5B56"/>
    <w:rsid w:val="005E6B78"/>
    <w:rsid w:val="005F2F28"/>
    <w:rsid w:val="005F4057"/>
    <w:rsid w:val="005F4088"/>
    <w:rsid w:val="005F4CFA"/>
    <w:rsid w:val="005F6119"/>
    <w:rsid w:val="00600A3D"/>
    <w:rsid w:val="0060107A"/>
    <w:rsid w:val="0060154D"/>
    <w:rsid w:val="00601AFF"/>
    <w:rsid w:val="00602D1D"/>
    <w:rsid w:val="006038F7"/>
    <w:rsid w:val="00604307"/>
    <w:rsid w:val="0060487F"/>
    <w:rsid w:val="006059EB"/>
    <w:rsid w:val="00606B93"/>
    <w:rsid w:val="006118AA"/>
    <w:rsid w:val="00612CCA"/>
    <w:rsid w:val="00614460"/>
    <w:rsid w:val="006148B8"/>
    <w:rsid w:val="006153E3"/>
    <w:rsid w:val="006158DF"/>
    <w:rsid w:val="00616CD8"/>
    <w:rsid w:val="00617D2D"/>
    <w:rsid w:val="00617D83"/>
    <w:rsid w:val="00617F45"/>
    <w:rsid w:val="0062002F"/>
    <w:rsid w:val="00620AC5"/>
    <w:rsid w:val="00621575"/>
    <w:rsid w:val="006215FC"/>
    <w:rsid w:val="0062290D"/>
    <w:rsid w:val="00624093"/>
    <w:rsid w:val="00626CE6"/>
    <w:rsid w:val="00627CE0"/>
    <w:rsid w:val="00630F66"/>
    <w:rsid w:val="0063332A"/>
    <w:rsid w:val="006347F9"/>
    <w:rsid w:val="00634C90"/>
    <w:rsid w:val="00635E79"/>
    <w:rsid w:val="0063756F"/>
    <w:rsid w:val="006404A7"/>
    <w:rsid w:val="006407F3"/>
    <w:rsid w:val="00640C2B"/>
    <w:rsid w:val="00642977"/>
    <w:rsid w:val="00643175"/>
    <w:rsid w:val="00644C5B"/>
    <w:rsid w:val="006451E4"/>
    <w:rsid w:val="006460B8"/>
    <w:rsid w:val="00651D5D"/>
    <w:rsid w:val="006520C7"/>
    <w:rsid w:val="006530B8"/>
    <w:rsid w:val="006535D6"/>
    <w:rsid w:val="00655F7D"/>
    <w:rsid w:val="00657E87"/>
    <w:rsid w:val="00660206"/>
    <w:rsid w:val="00660265"/>
    <w:rsid w:val="00660457"/>
    <w:rsid w:val="00660E1E"/>
    <w:rsid w:val="00663662"/>
    <w:rsid w:val="006637B1"/>
    <w:rsid w:val="00664C40"/>
    <w:rsid w:val="00665D67"/>
    <w:rsid w:val="00665D77"/>
    <w:rsid w:val="006660CD"/>
    <w:rsid w:val="00667556"/>
    <w:rsid w:val="006676D0"/>
    <w:rsid w:val="00667C83"/>
    <w:rsid w:val="00670300"/>
    <w:rsid w:val="006710C9"/>
    <w:rsid w:val="00671437"/>
    <w:rsid w:val="00675120"/>
    <w:rsid w:val="00675E37"/>
    <w:rsid w:val="00676E82"/>
    <w:rsid w:val="00680292"/>
    <w:rsid w:val="0068260E"/>
    <w:rsid w:val="0068373D"/>
    <w:rsid w:val="00683BFE"/>
    <w:rsid w:val="0068416C"/>
    <w:rsid w:val="00685E66"/>
    <w:rsid w:val="0068672C"/>
    <w:rsid w:val="00686B72"/>
    <w:rsid w:val="00686D87"/>
    <w:rsid w:val="00690A09"/>
    <w:rsid w:val="00693FEA"/>
    <w:rsid w:val="006945DF"/>
    <w:rsid w:val="00694B93"/>
    <w:rsid w:val="00695170"/>
    <w:rsid w:val="00695BEF"/>
    <w:rsid w:val="006960D6"/>
    <w:rsid w:val="00696AA5"/>
    <w:rsid w:val="006977F6"/>
    <w:rsid w:val="00697A13"/>
    <w:rsid w:val="006A0436"/>
    <w:rsid w:val="006A109C"/>
    <w:rsid w:val="006A23BA"/>
    <w:rsid w:val="006A2B36"/>
    <w:rsid w:val="006A3B4D"/>
    <w:rsid w:val="006A456E"/>
    <w:rsid w:val="006A672B"/>
    <w:rsid w:val="006B05C6"/>
    <w:rsid w:val="006B0BC1"/>
    <w:rsid w:val="006B2EE3"/>
    <w:rsid w:val="006B3F8A"/>
    <w:rsid w:val="006B5CA3"/>
    <w:rsid w:val="006B6A7E"/>
    <w:rsid w:val="006B78D8"/>
    <w:rsid w:val="006C090F"/>
    <w:rsid w:val="006C113F"/>
    <w:rsid w:val="006C2A26"/>
    <w:rsid w:val="006C38DD"/>
    <w:rsid w:val="006C4BB5"/>
    <w:rsid w:val="006C5561"/>
    <w:rsid w:val="006C5577"/>
    <w:rsid w:val="006C559A"/>
    <w:rsid w:val="006C58FA"/>
    <w:rsid w:val="006D042D"/>
    <w:rsid w:val="006D06EF"/>
    <w:rsid w:val="006D090F"/>
    <w:rsid w:val="006D15EB"/>
    <w:rsid w:val="006D1D8E"/>
    <w:rsid w:val="006D41A6"/>
    <w:rsid w:val="006D61F6"/>
    <w:rsid w:val="006D6AF7"/>
    <w:rsid w:val="006E157B"/>
    <w:rsid w:val="006E15CB"/>
    <w:rsid w:val="006E1F4C"/>
    <w:rsid w:val="006E279A"/>
    <w:rsid w:val="006E2964"/>
    <w:rsid w:val="006E2F3F"/>
    <w:rsid w:val="006E313B"/>
    <w:rsid w:val="006E32B9"/>
    <w:rsid w:val="006E442A"/>
    <w:rsid w:val="006E5875"/>
    <w:rsid w:val="006E5CFD"/>
    <w:rsid w:val="006E5F51"/>
    <w:rsid w:val="006E6701"/>
    <w:rsid w:val="006E73B9"/>
    <w:rsid w:val="006F1E27"/>
    <w:rsid w:val="006F2BEE"/>
    <w:rsid w:val="006F3708"/>
    <w:rsid w:val="006F38BB"/>
    <w:rsid w:val="006F3E6B"/>
    <w:rsid w:val="006F4A59"/>
    <w:rsid w:val="006F4D1E"/>
    <w:rsid w:val="006F756C"/>
    <w:rsid w:val="006F75D2"/>
    <w:rsid w:val="007004E0"/>
    <w:rsid w:val="00700C69"/>
    <w:rsid w:val="007014C7"/>
    <w:rsid w:val="00701F7D"/>
    <w:rsid w:val="00702D6F"/>
    <w:rsid w:val="007054B9"/>
    <w:rsid w:val="007058F0"/>
    <w:rsid w:val="00705D98"/>
    <w:rsid w:val="00706E5E"/>
    <w:rsid w:val="00707891"/>
    <w:rsid w:val="007115E4"/>
    <w:rsid w:val="00711EF1"/>
    <w:rsid w:val="0071229A"/>
    <w:rsid w:val="007146CC"/>
    <w:rsid w:val="00720FA2"/>
    <w:rsid w:val="007211F5"/>
    <w:rsid w:val="0072459F"/>
    <w:rsid w:val="00724666"/>
    <w:rsid w:val="007253C1"/>
    <w:rsid w:val="00725534"/>
    <w:rsid w:val="00726043"/>
    <w:rsid w:val="0072704A"/>
    <w:rsid w:val="00730AE8"/>
    <w:rsid w:val="00734321"/>
    <w:rsid w:val="007351BA"/>
    <w:rsid w:val="007363A9"/>
    <w:rsid w:val="00736EB6"/>
    <w:rsid w:val="00740652"/>
    <w:rsid w:val="00740F02"/>
    <w:rsid w:val="00740FEC"/>
    <w:rsid w:val="00741493"/>
    <w:rsid w:val="007426B3"/>
    <w:rsid w:val="007426FD"/>
    <w:rsid w:val="00744376"/>
    <w:rsid w:val="007449EA"/>
    <w:rsid w:val="007457CF"/>
    <w:rsid w:val="00746DD9"/>
    <w:rsid w:val="00750310"/>
    <w:rsid w:val="0075057A"/>
    <w:rsid w:val="00751771"/>
    <w:rsid w:val="00751EA2"/>
    <w:rsid w:val="00752180"/>
    <w:rsid w:val="007521A1"/>
    <w:rsid w:val="0075245C"/>
    <w:rsid w:val="0075315D"/>
    <w:rsid w:val="00754253"/>
    <w:rsid w:val="007558D3"/>
    <w:rsid w:val="00755D3A"/>
    <w:rsid w:val="00755E71"/>
    <w:rsid w:val="007563E7"/>
    <w:rsid w:val="00756B64"/>
    <w:rsid w:val="00760141"/>
    <w:rsid w:val="007609C6"/>
    <w:rsid w:val="007610A0"/>
    <w:rsid w:val="007620F2"/>
    <w:rsid w:val="00764561"/>
    <w:rsid w:val="00764664"/>
    <w:rsid w:val="007655B1"/>
    <w:rsid w:val="007657B9"/>
    <w:rsid w:val="00765CCE"/>
    <w:rsid w:val="007674C6"/>
    <w:rsid w:val="00771236"/>
    <w:rsid w:val="00772F26"/>
    <w:rsid w:val="00774665"/>
    <w:rsid w:val="00774782"/>
    <w:rsid w:val="00776527"/>
    <w:rsid w:val="00780B8F"/>
    <w:rsid w:val="00781834"/>
    <w:rsid w:val="00781FA0"/>
    <w:rsid w:val="007821DB"/>
    <w:rsid w:val="00782818"/>
    <w:rsid w:val="007835F2"/>
    <w:rsid w:val="00784C4A"/>
    <w:rsid w:val="0078561F"/>
    <w:rsid w:val="00786303"/>
    <w:rsid w:val="00786DA5"/>
    <w:rsid w:val="00787432"/>
    <w:rsid w:val="007879F2"/>
    <w:rsid w:val="007910AE"/>
    <w:rsid w:val="00791CF8"/>
    <w:rsid w:val="00793BAE"/>
    <w:rsid w:val="00794E0A"/>
    <w:rsid w:val="00796187"/>
    <w:rsid w:val="00796642"/>
    <w:rsid w:val="007977D7"/>
    <w:rsid w:val="00797AD0"/>
    <w:rsid w:val="007A0F38"/>
    <w:rsid w:val="007A155D"/>
    <w:rsid w:val="007A2C57"/>
    <w:rsid w:val="007A327B"/>
    <w:rsid w:val="007A4606"/>
    <w:rsid w:val="007A69E3"/>
    <w:rsid w:val="007A7353"/>
    <w:rsid w:val="007B3DCC"/>
    <w:rsid w:val="007B4518"/>
    <w:rsid w:val="007B5031"/>
    <w:rsid w:val="007B5182"/>
    <w:rsid w:val="007B573F"/>
    <w:rsid w:val="007B6FDA"/>
    <w:rsid w:val="007B7A79"/>
    <w:rsid w:val="007C4691"/>
    <w:rsid w:val="007C471B"/>
    <w:rsid w:val="007C55AE"/>
    <w:rsid w:val="007C6BAA"/>
    <w:rsid w:val="007C7BEA"/>
    <w:rsid w:val="007D2051"/>
    <w:rsid w:val="007D2AD8"/>
    <w:rsid w:val="007D2C47"/>
    <w:rsid w:val="007D44C3"/>
    <w:rsid w:val="007D4885"/>
    <w:rsid w:val="007D7588"/>
    <w:rsid w:val="007E0F4B"/>
    <w:rsid w:val="007E1E50"/>
    <w:rsid w:val="007E386C"/>
    <w:rsid w:val="007E6455"/>
    <w:rsid w:val="007E770F"/>
    <w:rsid w:val="007E7E61"/>
    <w:rsid w:val="007F0845"/>
    <w:rsid w:val="007F141A"/>
    <w:rsid w:val="007F16F9"/>
    <w:rsid w:val="007F5F14"/>
    <w:rsid w:val="007F7B54"/>
    <w:rsid w:val="008005D7"/>
    <w:rsid w:val="00801FDD"/>
    <w:rsid w:val="0080255C"/>
    <w:rsid w:val="00803424"/>
    <w:rsid w:val="00804DDA"/>
    <w:rsid w:val="008056F7"/>
    <w:rsid w:val="008059A4"/>
    <w:rsid w:val="008064E9"/>
    <w:rsid w:val="0080798B"/>
    <w:rsid w:val="00807A2C"/>
    <w:rsid w:val="00810A52"/>
    <w:rsid w:val="00811257"/>
    <w:rsid w:val="0081187C"/>
    <w:rsid w:val="00811E24"/>
    <w:rsid w:val="00812E2B"/>
    <w:rsid w:val="00813A70"/>
    <w:rsid w:val="008155EA"/>
    <w:rsid w:val="00816259"/>
    <w:rsid w:val="0081645F"/>
    <w:rsid w:val="008178C2"/>
    <w:rsid w:val="008178CF"/>
    <w:rsid w:val="00817AE0"/>
    <w:rsid w:val="00817C98"/>
    <w:rsid w:val="00820C9F"/>
    <w:rsid w:val="00821FF6"/>
    <w:rsid w:val="00822495"/>
    <w:rsid w:val="0082409A"/>
    <w:rsid w:val="008241C2"/>
    <w:rsid w:val="008263CD"/>
    <w:rsid w:val="00827181"/>
    <w:rsid w:val="00827746"/>
    <w:rsid w:val="0083143E"/>
    <w:rsid w:val="0083159D"/>
    <w:rsid w:val="008334C5"/>
    <w:rsid w:val="008336D8"/>
    <w:rsid w:val="008339C4"/>
    <w:rsid w:val="008341A6"/>
    <w:rsid w:val="00834996"/>
    <w:rsid w:val="00834F0A"/>
    <w:rsid w:val="00834FAA"/>
    <w:rsid w:val="00835E23"/>
    <w:rsid w:val="00836086"/>
    <w:rsid w:val="008362FF"/>
    <w:rsid w:val="00841D9F"/>
    <w:rsid w:val="00842604"/>
    <w:rsid w:val="00843B81"/>
    <w:rsid w:val="00843D95"/>
    <w:rsid w:val="00843ECF"/>
    <w:rsid w:val="00846673"/>
    <w:rsid w:val="00846BD7"/>
    <w:rsid w:val="008518B7"/>
    <w:rsid w:val="0085281A"/>
    <w:rsid w:val="00853794"/>
    <w:rsid w:val="00853DA2"/>
    <w:rsid w:val="00853EAB"/>
    <w:rsid w:val="00853F4C"/>
    <w:rsid w:val="008545A1"/>
    <w:rsid w:val="00854865"/>
    <w:rsid w:val="008559FE"/>
    <w:rsid w:val="00855A99"/>
    <w:rsid w:val="00857339"/>
    <w:rsid w:val="00860288"/>
    <w:rsid w:val="008615C3"/>
    <w:rsid w:val="00862A7A"/>
    <w:rsid w:val="00863374"/>
    <w:rsid w:val="00863D9E"/>
    <w:rsid w:val="008665C1"/>
    <w:rsid w:val="008666C3"/>
    <w:rsid w:val="00867C4F"/>
    <w:rsid w:val="00867E29"/>
    <w:rsid w:val="008705E3"/>
    <w:rsid w:val="00870F2B"/>
    <w:rsid w:val="00871002"/>
    <w:rsid w:val="0087129A"/>
    <w:rsid w:val="008712FB"/>
    <w:rsid w:val="008715FE"/>
    <w:rsid w:val="00871782"/>
    <w:rsid w:val="008746E6"/>
    <w:rsid w:val="008752D2"/>
    <w:rsid w:val="00876086"/>
    <w:rsid w:val="008768D6"/>
    <w:rsid w:val="00876C5B"/>
    <w:rsid w:val="00877329"/>
    <w:rsid w:val="008775D1"/>
    <w:rsid w:val="008777BB"/>
    <w:rsid w:val="008852B1"/>
    <w:rsid w:val="0088555A"/>
    <w:rsid w:val="008866C2"/>
    <w:rsid w:val="0088733A"/>
    <w:rsid w:val="00887AEB"/>
    <w:rsid w:val="00891BE0"/>
    <w:rsid w:val="008945A1"/>
    <w:rsid w:val="00894A63"/>
    <w:rsid w:val="00895F20"/>
    <w:rsid w:val="0089668D"/>
    <w:rsid w:val="00896BDE"/>
    <w:rsid w:val="00897C0E"/>
    <w:rsid w:val="008A03E6"/>
    <w:rsid w:val="008A0861"/>
    <w:rsid w:val="008A0BB2"/>
    <w:rsid w:val="008A133B"/>
    <w:rsid w:val="008A1A90"/>
    <w:rsid w:val="008A1AB3"/>
    <w:rsid w:val="008A1D5C"/>
    <w:rsid w:val="008A3292"/>
    <w:rsid w:val="008A3A85"/>
    <w:rsid w:val="008A43E9"/>
    <w:rsid w:val="008A4CB1"/>
    <w:rsid w:val="008A5942"/>
    <w:rsid w:val="008A615E"/>
    <w:rsid w:val="008A632B"/>
    <w:rsid w:val="008A6BFE"/>
    <w:rsid w:val="008A7CE6"/>
    <w:rsid w:val="008B0683"/>
    <w:rsid w:val="008B06EF"/>
    <w:rsid w:val="008B0C8B"/>
    <w:rsid w:val="008B190E"/>
    <w:rsid w:val="008B1A8A"/>
    <w:rsid w:val="008B2CB6"/>
    <w:rsid w:val="008B7306"/>
    <w:rsid w:val="008B775F"/>
    <w:rsid w:val="008B7C02"/>
    <w:rsid w:val="008B7EF5"/>
    <w:rsid w:val="008B7F9E"/>
    <w:rsid w:val="008C0E88"/>
    <w:rsid w:val="008C1AA8"/>
    <w:rsid w:val="008C2717"/>
    <w:rsid w:val="008C2E5B"/>
    <w:rsid w:val="008C41F7"/>
    <w:rsid w:val="008C5FBF"/>
    <w:rsid w:val="008C6CB8"/>
    <w:rsid w:val="008C7815"/>
    <w:rsid w:val="008D0171"/>
    <w:rsid w:val="008D0FEC"/>
    <w:rsid w:val="008D0FF8"/>
    <w:rsid w:val="008D2811"/>
    <w:rsid w:val="008D2A16"/>
    <w:rsid w:val="008D2ECF"/>
    <w:rsid w:val="008D39A6"/>
    <w:rsid w:val="008D3F3D"/>
    <w:rsid w:val="008D49DC"/>
    <w:rsid w:val="008D53E3"/>
    <w:rsid w:val="008E30AD"/>
    <w:rsid w:val="008E31FF"/>
    <w:rsid w:val="008E33DD"/>
    <w:rsid w:val="008E517B"/>
    <w:rsid w:val="008E6113"/>
    <w:rsid w:val="008E6AB3"/>
    <w:rsid w:val="008E6AD3"/>
    <w:rsid w:val="008E71A6"/>
    <w:rsid w:val="008E77B6"/>
    <w:rsid w:val="008F032E"/>
    <w:rsid w:val="008F0F14"/>
    <w:rsid w:val="008F2B5D"/>
    <w:rsid w:val="008F371B"/>
    <w:rsid w:val="008F3A22"/>
    <w:rsid w:val="008F3CAE"/>
    <w:rsid w:val="008F41F7"/>
    <w:rsid w:val="008F471F"/>
    <w:rsid w:val="008F4FCE"/>
    <w:rsid w:val="008F79E1"/>
    <w:rsid w:val="008F7D28"/>
    <w:rsid w:val="009003A8"/>
    <w:rsid w:val="00900873"/>
    <w:rsid w:val="00901236"/>
    <w:rsid w:val="00902CBE"/>
    <w:rsid w:val="00902EFF"/>
    <w:rsid w:val="00903E06"/>
    <w:rsid w:val="00905425"/>
    <w:rsid w:val="009065B1"/>
    <w:rsid w:val="00910824"/>
    <w:rsid w:val="00910F93"/>
    <w:rsid w:val="00911F2B"/>
    <w:rsid w:val="00914426"/>
    <w:rsid w:val="00914EE3"/>
    <w:rsid w:val="00915DFE"/>
    <w:rsid w:val="00915F5B"/>
    <w:rsid w:val="0091675F"/>
    <w:rsid w:val="00917709"/>
    <w:rsid w:val="00917918"/>
    <w:rsid w:val="00917FD4"/>
    <w:rsid w:val="00920AC4"/>
    <w:rsid w:val="00921F14"/>
    <w:rsid w:val="009233EB"/>
    <w:rsid w:val="00923BAB"/>
    <w:rsid w:val="00923F10"/>
    <w:rsid w:val="009243A5"/>
    <w:rsid w:val="00925217"/>
    <w:rsid w:val="00925FDB"/>
    <w:rsid w:val="00926283"/>
    <w:rsid w:val="0093181C"/>
    <w:rsid w:val="009329C5"/>
    <w:rsid w:val="00932A93"/>
    <w:rsid w:val="009348E3"/>
    <w:rsid w:val="00934AE3"/>
    <w:rsid w:val="00935835"/>
    <w:rsid w:val="00935B60"/>
    <w:rsid w:val="009362AF"/>
    <w:rsid w:val="00937B11"/>
    <w:rsid w:val="00940F1F"/>
    <w:rsid w:val="00941250"/>
    <w:rsid w:val="00942629"/>
    <w:rsid w:val="0094427A"/>
    <w:rsid w:val="00945578"/>
    <w:rsid w:val="009459C5"/>
    <w:rsid w:val="00946D52"/>
    <w:rsid w:val="0094750F"/>
    <w:rsid w:val="0094760E"/>
    <w:rsid w:val="0095013A"/>
    <w:rsid w:val="00953AEF"/>
    <w:rsid w:val="009551E2"/>
    <w:rsid w:val="00955783"/>
    <w:rsid w:val="00955F37"/>
    <w:rsid w:val="009560B0"/>
    <w:rsid w:val="00957164"/>
    <w:rsid w:val="00957871"/>
    <w:rsid w:val="00960239"/>
    <w:rsid w:val="00964498"/>
    <w:rsid w:val="00965F36"/>
    <w:rsid w:val="0096650F"/>
    <w:rsid w:val="00967184"/>
    <w:rsid w:val="009700DB"/>
    <w:rsid w:val="009704BD"/>
    <w:rsid w:val="009712F3"/>
    <w:rsid w:val="00971C65"/>
    <w:rsid w:val="00972263"/>
    <w:rsid w:val="00972D8D"/>
    <w:rsid w:val="00973AAE"/>
    <w:rsid w:val="00974923"/>
    <w:rsid w:val="00974D48"/>
    <w:rsid w:val="00975655"/>
    <w:rsid w:val="009759B5"/>
    <w:rsid w:val="009773AE"/>
    <w:rsid w:val="00980621"/>
    <w:rsid w:val="00981EC7"/>
    <w:rsid w:val="00982072"/>
    <w:rsid w:val="0098358E"/>
    <w:rsid w:val="00983CBF"/>
    <w:rsid w:val="00983ECF"/>
    <w:rsid w:val="00984A20"/>
    <w:rsid w:val="00986485"/>
    <w:rsid w:val="00986745"/>
    <w:rsid w:val="00987109"/>
    <w:rsid w:val="0099012D"/>
    <w:rsid w:val="00996355"/>
    <w:rsid w:val="00996B72"/>
    <w:rsid w:val="00996E07"/>
    <w:rsid w:val="00997EEB"/>
    <w:rsid w:val="009A3909"/>
    <w:rsid w:val="009A4E12"/>
    <w:rsid w:val="009A4E89"/>
    <w:rsid w:val="009B052C"/>
    <w:rsid w:val="009B06E8"/>
    <w:rsid w:val="009B0EF2"/>
    <w:rsid w:val="009B1FDF"/>
    <w:rsid w:val="009B23A3"/>
    <w:rsid w:val="009B61D0"/>
    <w:rsid w:val="009B6FD3"/>
    <w:rsid w:val="009B70BD"/>
    <w:rsid w:val="009C2524"/>
    <w:rsid w:val="009C42CD"/>
    <w:rsid w:val="009C4DA1"/>
    <w:rsid w:val="009C7388"/>
    <w:rsid w:val="009C764D"/>
    <w:rsid w:val="009C7AE1"/>
    <w:rsid w:val="009D0355"/>
    <w:rsid w:val="009D0F98"/>
    <w:rsid w:val="009D1551"/>
    <w:rsid w:val="009D2859"/>
    <w:rsid w:val="009D3B5E"/>
    <w:rsid w:val="009D4173"/>
    <w:rsid w:val="009D5354"/>
    <w:rsid w:val="009D6095"/>
    <w:rsid w:val="009D6306"/>
    <w:rsid w:val="009D7385"/>
    <w:rsid w:val="009E0015"/>
    <w:rsid w:val="009E048A"/>
    <w:rsid w:val="009E16D0"/>
    <w:rsid w:val="009E1FBA"/>
    <w:rsid w:val="009E2C54"/>
    <w:rsid w:val="009E3710"/>
    <w:rsid w:val="009E3EB9"/>
    <w:rsid w:val="009E577B"/>
    <w:rsid w:val="009E7B1F"/>
    <w:rsid w:val="009F0A68"/>
    <w:rsid w:val="009F1131"/>
    <w:rsid w:val="009F18F2"/>
    <w:rsid w:val="009F19BA"/>
    <w:rsid w:val="009F3FD0"/>
    <w:rsid w:val="009F408C"/>
    <w:rsid w:val="009F41C4"/>
    <w:rsid w:val="009F4792"/>
    <w:rsid w:val="009F5846"/>
    <w:rsid w:val="009F7D77"/>
    <w:rsid w:val="00A0259C"/>
    <w:rsid w:val="00A030BD"/>
    <w:rsid w:val="00A0348B"/>
    <w:rsid w:val="00A10D66"/>
    <w:rsid w:val="00A117C1"/>
    <w:rsid w:val="00A11838"/>
    <w:rsid w:val="00A11C9D"/>
    <w:rsid w:val="00A127F7"/>
    <w:rsid w:val="00A13714"/>
    <w:rsid w:val="00A1420C"/>
    <w:rsid w:val="00A15AB6"/>
    <w:rsid w:val="00A2055B"/>
    <w:rsid w:val="00A2253C"/>
    <w:rsid w:val="00A23545"/>
    <w:rsid w:val="00A23A55"/>
    <w:rsid w:val="00A23E43"/>
    <w:rsid w:val="00A24F8C"/>
    <w:rsid w:val="00A25E57"/>
    <w:rsid w:val="00A262BF"/>
    <w:rsid w:val="00A271AD"/>
    <w:rsid w:val="00A276D5"/>
    <w:rsid w:val="00A30336"/>
    <w:rsid w:val="00A30529"/>
    <w:rsid w:val="00A30BB5"/>
    <w:rsid w:val="00A30E88"/>
    <w:rsid w:val="00A3128F"/>
    <w:rsid w:val="00A326D0"/>
    <w:rsid w:val="00A35287"/>
    <w:rsid w:val="00A35CB9"/>
    <w:rsid w:val="00A37441"/>
    <w:rsid w:val="00A378F8"/>
    <w:rsid w:val="00A40530"/>
    <w:rsid w:val="00A40B19"/>
    <w:rsid w:val="00A41F2C"/>
    <w:rsid w:val="00A424F8"/>
    <w:rsid w:val="00A44B0D"/>
    <w:rsid w:val="00A46826"/>
    <w:rsid w:val="00A46DE0"/>
    <w:rsid w:val="00A4778A"/>
    <w:rsid w:val="00A5067F"/>
    <w:rsid w:val="00A5104A"/>
    <w:rsid w:val="00A53936"/>
    <w:rsid w:val="00A55301"/>
    <w:rsid w:val="00A57B3C"/>
    <w:rsid w:val="00A602D9"/>
    <w:rsid w:val="00A6128E"/>
    <w:rsid w:val="00A62CE1"/>
    <w:rsid w:val="00A631FA"/>
    <w:rsid w:val="00A64143"/>
    <w:rsid w:val="00A64203"/>
    <w:rsid w:val="00A64348"/>
    <w:rsid w:val="00A651DB"/>
    <w:rsid w:val="00A66976"/>
    <w:rsid w:val="00A674E1"/>
    <w:rsid w:val="00A70FBC"/>
    <w:rsid w:val="00A721FB"/>
    <w:rsid w:val="00A72671"/>
    <w:rsid w:val="00A727BA"/>
    <w:rsid w:val="00A72D4B"/>
    <w:rsid w:val="00A732AE"/>
    <w:rsid w:val="00A74C7F"/>
    <w:rsid w:val="00A75744"/>
    <w:rsid w:val="00A75E40"/>
    <w:rsid w:val="00A77EB2"/>
    <w:rsid w:val="00A823B7"/>
    <w:rsid w:val="00A82A03"/>
    <w:rsid w:val="00A82B66"/>
    <w:rsid w:val="00A83B58"/>
    <w:rsid w:val="00A841AC"/>
    <w:rsid w:val="00A851B6"/>
    <w:rsid w:val="00A85332"/>
    <w:rsid w:val="00A85729"/>
    <w:rsid w:val="00A8574B"/>
    <w:rsid w:val="00A857C0"/>
    <w:rsid w:val="00A86068"/>
    <w:rsid w:val="00A872CE"/>
    <w:rsid w:val="00A90368"/>
    <w:rsid w:val="00A906AC"/>
    <w:rsid w:val="00A91893"/>
    <w:rsid w:val="00A96463"/>
    <w:rsid w:val="00A97E3F"/>
    <w:rsid w:val="00A97F75"/>
    <w:rsid w:val="00AA0A14"/>
    <w:rsid w:val="00AA23FB"/>
    <w:rsid w:val="00AA3855"/>
    <w:rsid w:val="00AA42AB"/>
    <w:rsid w:val="00AA559A"/>
    <w:rsid w:val="00AA7B05"/>
    <w:rsid w:val="00AB11AB"/>
    <w:rsid w:val="00AB2AF1"/>
    <w:rsid w:val="00AB440B"/>
    <w:rsid w:val="00AB5082"/>
    <w:rsid w:val="00AB50D4"/>
    <w:rsid w:val="00AB7037"/>
    <w:rsid w:val="00AB74C5"/>
    <w:rsid w:val="00AB76C0"/>
    <w:rsid w:val="00AB7DF2"/>
    <w:rsid w:val="00AC1E3F"/>
    <w:rsid w:val="00AC44CA"/>
    <w:rsid w:val="00AC4F18"/>
    <w:rsid w:val="00AC5926"/>
    <w:rsid w:val="00AD0B46"/>
    <w:rsid w:val="00AD186B"/>
    <w:rsid w:val="00AD2565"/>
    <w:rsid w:val="00AD27F2"/>
    <w:rsid w:val="00AD306C"/>
    <w:rsid w:val="00AD3424"/>
    <w:rsid w:val="00AD460D"/>
    <w:rsid w:val="00AD4F85"/>
    <w:rsid w:val="00AD59BB"/>
    <w:rsid w:val="00AD5D3A"/>
    <w:rsid w:val="00AD5D68"/>
    <w:rsid w:val="00AD6C73"/>
    <w:rsid w:val="00AD6D14"/>
    <w:rsid w:val="00AD7314"/>
    <w:rsid w:val="00AD799D"/>
    <w:rsid w:val="00AE06D0"/>
    <w:rsid w:val="00AE39DC"/>
    <w:rsid w:val="00AE6D73"/>
    <w:rsid w:val="00AE721E"/>
    <w:rsid w:val="00AE7968"/>
    <w:rsid w:val="00AF128B"/>
    <w:rsid w:val="00AF14DC"/>
    <w:rsid w:val="00AF2852"/>
    <w:rsid w:val="00AF2E94"/>
    <w:rsid w:val="00AF3225"/>
    <w:rsid w:val="00AF518B"/>
    <w:rsid w:val="00AF5275"/>
    <w:rsid w:val="00AF5F15"/>
    <w:rsid w:val="00AF6367"/>
    <w:rsid w:val="00AF648D"/>
    <w:rsid w:val="00AF659A"/>
    <w:rsid w:val="00AF6A79"/>
    <w:rsid w:val="00AF6F70"/>
    <w:rsid w:val="00AF724E"/>
    <w:rsid w:val="00AF73A9"/>
    <w:rsid w:val="00AF74FD"/>
    <w:rsid w:val="00AF7C2D"/>
    <w:rsid w:val="00B01C2C"/>
    <w:rsid w:val="00B0231C"/>
    <w:rsid w:val="00B04828"/>
    <w:rsid w:val="00B06DC2"/>
    <w:rsid w:val="00B06EE6"/>
    <w:rsid w:val="00B07952"/>
    <w:rsid w:val="00B07F24"/>
    <w:rsid w:val="00B106D8"/>
    <w:rsid w:val="00B12609"/>
    <w:rsid w:val="00B13134"/>
    <w:rsid w:val="00B133F1"/>
    <w:rsid w:val="00B13619"/>
    <w:rsid w:val="00B155A3"/>
    <w:rsid w:val="00B15DCD"/>
    <w:rsid w:val="00B160A4"/>
    <w:rsid w:val="00B16102"/>
    <w:rsid w:val="00B174DD"/>
    <w:rsid w:val="00B17567"/>
    <w:rsid w:val="00B17E71"/>
    <w:rsid w:val="00B17FCE"/>
    <w:rsid w:val="00B17FDE"/>
    <w:rsid w:val="00B208FC"/>
    <w:rsid w:val="00B20C65"/>
    <w:rsid w:val="00B23632"/>
    <w:rsid w:val="00B2424E"/>
    <w:rsid w:val="00B24707"/>
    <w:rsid w:val="00B24E42"/>
    <w:rsid w:val="00B27293"/>
    <w:rsid w:val="00B274E0"/>
    <w:rsid w:val="00B27737"/>
    <w:rsid w:val="00B31336"/>
    <w:rsid w:val="00B3229E"/>
    <w:rsid w:val="00B326B3"/>
    <w:rsid w:val="00B32DDB"/>
    <w:rsid w:val="00B35BEA"/>
    <w:rsid w:val="00B37A71"/>
    <w:rsid w:val="00B41BE6"/>
    <w:rsid w:val="00B41D75"/>
    <w:rsid w:val="00B435EF"/>
    <w:rsid w:val="00B43871"/>
    <w:rsid w:val="00B457E7"/>
    <w:rsid w:val="00B47430"/>
    <w:rsid w:val="00B47436"/>
    <w:rsid w:val="00B47FCC"/>
    <w:rsid w:val="00B51604"/>
    <w:rsid w:val="00B52D2D"/>
    <w:rsid w:val="00B53BC1"/>
    <w:rsid w:val="00B56082"/>
    <w:rsid w:val="00B561A6"/>
    <w:rsid w:val="00B60C8D"/>
    <w:rsid w:val="00B61046"/>
    <w:rsid w:val="00B61F2D"/>
    <w:rsid w:val="00B62960"/>
    <w:rsid w:val="00B63A11"/>
    <w:rsid w:val="00B63FD0"/>
    <w:rsid w:val="00B64D5A"/>
    <w:rsid w:val="00B65845"/>
    <w:rsid w:val="00B65C84"/>
    <w:rsid w:val="00B6608F"/>
    <w:rsid w:val="00B662E3"/>
    <w:rsid w:val="00B66C89"/>
    <w:rsid w:val="00B71C2D"/>
    <w:rsid w:val="00B737C7"/>
    <w:rsid w:val="00B74317"/>
    <w:rsid w:val="00B7638C"/>
    <w:rsid w:val="00B765F3"/>
    <w:rsid w:val="00B76D1E"/>
    <w:rsid w:val="00B812F0"/>
    <w:rsid w:val="00B822D2"/>
    <w:rsid w:val="00B832DF"/>
    <w:rsid w:val="00B83DDF"/>
    <w:rsid w:val="00B848B8"/>
    <w:rsid w:val="00B84A41"/>
    <w:rsid w:val="00B84D57"/>
    <w:rsid w:val="00B856A2"/>
    <w:rsid w:val="00B85E2C"/>
    <w:rsid w:val="00B86748"/>
    <w:rsid w:val="00B87EDC"/>
    <w:rsid w:val="00B91EC9"/>
    <w:rsid w:val="00B924CA"/>
    <w:rsid w:val="00B93384"/>
    <w:rsid w:val="00B93A86"/>
    <w:rsid w:val="00B94417"/>
    <w:rsid w:val="00B95940"/>
    <w:rsid w:val="00B95EF8"/>
    <w:rsid w:val="00B95F50"/>
    <w:rsid w:val="00B96BD9"/>
    <w:rsid w:val="00B978CD"/>
    <w:rsid w:val="00BA00BE"/>
    <w:rsid w:val="00BA4B2A"/>
    <w:rsid w:val="00BB19EC"/>
    <w:rsid w:val="00BB2116"/>
    <w:rsid w:val="00BB2C53"/>
    <w:rsid w:val="00BB32DA"/>
    <w:rsid w:val="00BB3972"/>
    <w:rsid w:val="00BB3A54"/>
    <w:rsid w:val="00BB4E21"/>
    <w:rsid w:val="00BB5CEB"/>
    <w:rsid w:val="00BC1728"/>
    <w:rsid w:val="00BC2AB7"/>
    <w:rsid w:val="00BC4CE0"/>
    <w:rsid w:val="00BC5111"/>
    <w:rsid w:val="00BC54E1"/>
    <w:rsid w:val="00BC682B"/>
    <w:rsid w:val="00BC6A12"/>
    <w:rsid w:val="00BC6B04"/>
    <w:rsid w:val="00BD053B"/>
    <w:rsid w:val="00BD0B9B"/>
    <w:rsid w:val="00BD1F94"/>
    <w:rsid w:val="00BD3428"/>
    <w:rsid w:val="00BD366B"/>
    <w:rsid w:val="00BD3915"/>
    <w:rsid w:val="00BD56BC"/>
    <w:rsid w:val="00BD59D1"/>
    <w:rsid w:val="00BD5D91"/>
    <w:rsid w:val="00BD64E1"/>
    <w:rsid w:val="00BD6615"/>
    <w:rsid w:val="00BD6D50"/>
    <w:rsid w:val="00BE0261"/>
    <w:rsid w:val="00BE09E4"/>
    <w:rsid w:val="00BE0DB0"/>
    <w:rsid w:val="00BE1C59"/>
    <w:rsid w:val="00BE3F09"/>
    <w:rsid w:val="00BE572B"/>
    <w:rsid w:val="00BE670A"/>
    <w:rsid w:val="00BE6906"/>
    <w:rsid w:val="00BE6AAB"/>
    <w:rsid w:val="00BE795E"/>
    <w:rsid w:val="00BF18F4"/>
    <w:rsid w:val="00BF1A69"/>
    <w:rsid w:val="00BF1B37"/>
    <w:rsid w:val="00BF1D58"/>
    <w:rsid w:val="00BF36F6"/>
    <w:rsid w:val="00BF3BC8"/>
    <w:rsid w:val="00BF3DF1"/>
    <w:rsid w:val="00BF4C31"/>
    <w:rsid w:val="00BF59A0"/>
    <w:rsid w:val="00BF6C56"/>
    <w:rsid w:val="00BF6DE7"/>
    <w:rsid w:val="00C00F20"/>
    <w:rsid w:val="00C0165A"/>
    <w:rsid w:val="00C020FE"/>
    <w:rsid w:val="00C03388"/>
    <w:rsid w:val="00C034E6"/>
    <w:rsid w:val="00C0353A"/>
    <w:rsid w:val="00C0784A"/>
    <w:rsid w:val="00C104F3"/>
    <w:rsid w:val="00C10982"/>
    <w:rsid w:val="00C10FAE"/>
    <w:rsid w:val="00C12A69"/>
    <w:rsid w:val="00C12B35"/>
    <w:rsid w:val="00C150BE"/>
    <w:rsid w:val="00C15A0C"/>
    <w:rsid w:val="00C15DCB"/>
    <w:rsid w:val="00C16198"/>
    <w:rsid w:val="00C20744"/>
    <w:rsid w:val="00C20C4D"/>
    <w:rsid w:val="00C21937"/>
    <w:rsid w:val="00C21D46"/>
    <w:rsid w:val="00C21F94"/>
    <w:rsid w:val="00C222A1"/>
    <w:rsid w:val="00C2250A"/>
    <w:rsid w:val="00C23D22"/>
    <w:rsid w:val="00C243B5"/>
    <w:rsid w:val="00C24E77"/>
    <w:rsid w:val="00C25608"/>
    <w:rsid w:val="00C2732D"/>
    <w:rsid w:val="00C273C6"/>
    <w:rsid w:val="00C27913"/>
    <w:rsid w:val="00C300C6"/>
    <w:rsid w:val="00C30530"/>
    <w:rsid w:val="00C3252C"/>
    <w:rsid w:val="00C336F4"/>
    <w:rsid w:val="00C34FDE"/>
    <w:rsid w:val="00C35C16"/>
    <w:rsid w:val="00C408C3"/>
    <w:rsid w:val="00C41233"/>
    <w:rsid w:val="00C41463"/>
    <w:rsid w:val="00C417ED"/>
    <w:rsid w:val="00C41A72"/>
    <w:rsid w:val="00C42294"/>
    <w:rsid w:val="00C4365E"/>
    <w:rsid w:val="00C4549D"/>
    <w:rsid w:val="00C45C2B"/>
    <w:rsid w:val="00C476C5"/>
    <w:rsid w:val="00C503B0"/>
    <w:rsid w:val="00C511C2"/>
    <w:rsid w:val="00C53D82"/>
    <w:rsid w:val="00C53F31"/>
    <w:rsid w:val="00C540C9"/>
    <w:rsid w:val="00C553F5"/>
    <w:rsid w:val="00C559DD"/>
    <w:rsid w:val="00C57FA7"/>
    <w:rsid w:val="00C60696"/>
    <w:rsid w:val="00C615F1"/>
    <w:rsid w:val="00C61627"/>
    <w:rsid w:val="00C640C6"/>
    <w:rsid w:val="00C64E60"/>
    <w:rsid w:val="00C657A4"/>
    <w:rsid w:val="00C662C1"/>
    <w:rsid w:val="00C6736C"/>
    <w:rsid w:val="00C67B02"/>
    <w:rsid w:val="00C708C0"/>
    <w:rsid w:val="00C71247"/>
    <w:rsid w:val="00C72261"/>
    <w:rsid w:val="00C72CFC"/>
    <w:rsid w:val="00C7315B"/>
    <w:rsid w:val="00C732D0"/>
    <w:rsid w:val="00C74002"/>
    <w:rsid w:val="00C7548A"/>
    <w:rsid w:val="00C75C7E"/>
    <w:rsid w:val="00C76D8E"/>
    <w:rsid w:val="00C77833"/>
    <w:rsid w:val="00C80C9B"/>
    <w:rsid w:val="00C8335E"/>
    <w:rsid w:val="00C84605"/>
    <w:rsid w:val="00C84CE3"/>
    <w:rsid w:val="00C84FE8"/>
    <w:rsid w:val="00C85705"/>
    <w:rsid w:val="00C860F2"/>
    <w:rsid w:val="00C86F05"/>
    <w:rsid w:val="00C87626"/>
    <w:rsid w:val="00C90CF4"/>
    <w:rsid w:val="00C91C19"/>
    <w:rsid w:val="00C929A0"/>
    <w:rsid w:val="00C93389"/>
    <w:rsid w:val="00C93679"/>
    <w:rsid w:val="00C937DB"/>
    <w:rsid w:val="00C93A94"/>
    <w:rsid w:val="00C94519"/>
    <w:rsid w:val="00C94E83"/>
    <w:rsid w:val="00C9531C"/>
    <w:rsid w:val="00C97768"/>
    <w:rsid w:val="00CA0CDD"/>
    <w:rsid w:val="00CA140F"/>
    <w:rsid w:val="00CA37CA"/>
    <w:rsid w:val="00CA3CB2"/>
    <w:rsid w:val="00CA3D39"/>
    <w:rsid w:val="00CA4232"/>
    <w:rsid w:val="00CA6BA1"/>
    <w:rsid w:val="00CA6CD5"/>
    <w:rsid w:val="00CB0414"/>
    <w:rsid w:val="00CB0C6E"/>
    <w:rsid w:val="00CB2150"/>
    <w:rsid w:val="00CB28EE"/>
    <w:rsid w:val="00CB3ACB"/>
    <w:rsid w:val="00CB3ECF"/>
    <w:rsid w:val="00CB43A7"/>
    <w:rsid w:val="00CB43BC"/>
    <w:rsid w:val="00CB5996"/>
    <w:rsid w:val="00CB5B25"/>
    <w:rsid w:val="00CB7452"/>
    <w:rsid w:val="00CB7A5E"/>
    <w:rsid w:val="00CB7D09"/>
    <w:rsid w:val="00CC2642"/>
    <w:rsid w:val="00CC2E15"/>
    <w:rsid w:val="00CC30FE"/>
    <w:rsid w:val="00CC3908"/>
    <w:rsid w:val="00CC3C77"/>
    <w:rsid w:val="00CC4DDF"/>
    <w:rsid w:val="00CC52A7"/>
    <w:rsid w:val="00CC62AD"/>
    <w:rsid w:val="00CD2B3C"/>
    <w:rsid w:val="00CD30F6"/>
    <w:rsid w:val="00CD4823"/>
    <w:rsid w:val="00CD4AD9"/>
    <w:rsid w:val="00CD4B29"/>
    <w:rsid w:val="00CD5242"/>
    <w:rsid w:val="00CD6EF1"/>
    <w:rsid w:val="00CD6FC4"/>
    <w:rsid w:val="00CE090E"/>
    <w:rsid w:val="00CE21C7"/>
    <w:rsid w:val="00CE57D8"/>
    <w:rsid w:val="00CE617A"/>
    <w:rsid w:val="00CE7E17"/>
    <w:rsid w:val="00CF1152"/>
    <w:rsid w:val="00CF27AC"/>
    <w:rsid w:val="00CF28C2"/>
    <w:rsid w:val="00CF316F"/>
    <w:rsid w:val="00CF3E37"/>
    <w:rsid w:val="00CF42BD"/>
    <w:rsid w:val="00CF50FC"/>
    <w:rsid w:val="00CF51EC"/>
    <w:rsid w:val="00CF6CD7"/>
    <w:rsid w:val="00D0037A"/>
    <w:rsid w:val="00D00DAF"/>
    <w:rsid w:val="00D00F76"/>
    <w:rsid w:val="00D017EC"/>
    <w:rsid w:val="00D01CDA"/>
    <w:rsid w:val="00D02200"/>
    <w:rsid w:val="00D02924"/>
    <w:rsid w:val="00D036AB"/>
    <w:rsid w:val="00D040DD"/>
    <w:rsid w:val="00D04A11"/>
    <w:rsid w:val="00D04E1B"/>
    <w:rsid w:val="00D05207"/>
    <w:rsid w:val="00D06438"/>
    <w:rsid w:val="00D06FB4"/>
    <w:rsid w:val="00D1067C"/>
    <w:rsid w:val="00D136D4"/>
    <w:rsid w:val="00D1391B"/>
    <w:rsid w:val="00D13ECF"/>
    <w:rsid w:val="00D14148"/>
    <w:rsid w:val="00D142E5"/>
    <w:rsid w:val="00D1611E"/>
    <w:rsid w:val="00D16E69"/>
    <w:rsid w:val="00D17F4F"/>
    <w:rsid w:val="00D205A9"/>
    <w:rsid w:val="00D217EE"/>
    <w:rsid w:val="00D22468"/>
    <w:rsid w:val="00D2282B"/>
    <w:rsid w:val="00D24DA0"/>
    <w:rsid w:val="00D25220"/>
    <w:rsid w:val="00D2620E"/>
    <w:rsid w:val="00D26579"/>
    <w:rsid w:val="00D26923"/>
    <w:rsid w:val="00D26B20"/>
    <w:rsid w:val="00D27856"/>
    <w:rsid w:val="00D279D3"/>
    <w:rsid w:val="00D30740"/>
    <w:rsid w:val="00D30788"/>
    <w:rsid w:val="00D309A7"/>
    <w:rsid w:val="00D309E7"/>
    <w:rsid w:val="00D31075"/>
    <w:rsid w:val="00D31311"/>
    <w:rsid w:val="00D31445"/>
    <w:rsid w:val="00D31932"/>
    <w:rsid w:val="00D32D31"/>
    <w:rsid w:val="00D34225"/>
    <w:rsid w:val="00D35A48"/>
    <w:rsid w:val="00D378CC"/>
    <w:rsid w:val="00D4042C"/>
    <w:rsid w:val="00D42312"/>
    <w:rsid w:val="00D43998"/>
    <w:rsid w:val="00D45046"/>
    <w:rsid w:val="00D45EEE"/>
    <w:rsid w:val="00D4615E"/>
    <w:rsid w:val="00D478E2"/>
    <w:rsid w:val="00D47948"/>
    <w:rsid w:val="00D52401"/>
    <w:rsid w:val="00D5264C"/>
    <w:rsid w:val="00D52EC9"/>
    <w:rsid w:val="00D547BA"/>
    <w:rsid w:val="00D54BC4"/>
    <w:rsid w:val="00D5561E"/>
    <w:rsid w:val="00D55626"/>
    <w:rsid w:val="00D556BC"/>
    <w:rsid w:val="00D5626D"/>
    <w:rsid w:val="00D56C22"/>
    <w:rsid w:val="00D5718D"/>
    <w:rsid w:val="00D57C38"/>
    <w:rsid w:val="00D60277"/>
    <w:rsid w:val="00D62536"/>
    <w:rsid w:val="00D62901"/>
    <w:rsid w:val="00D6470C"/>
    <w:rsid w:val="00D64853"/>
    <w:rsid w:val="00D64B04"/>
    <w:rsid w:val="00D64CB5"/>
    <w:rsid w:val="00D64E9A"/>
    <w:rsid w:val="00D6524A"/>
    <w:rsid w:val="00D65B29"/>
    <w:rsid w:val="00D65C09"/>
    <w:rsid w:val="00D66CBA"/>
    <w:rsid w:val="00D66D48"/>
    <w:rsid w:val="00D70E41"/>
    <w:rsid w:val="00D712E0"/>
    <w:rsid w:val="00D72379"/>
    <w:rsid w:val="00D73256"/>
    <w:rsid w:val="00D73A30"/>
    <w:rsid w:val="00D74A6A"/>
    <w:rsid w:val="00D74C65"/>
    <w:rsid w:val="00D74E76"/>
    <w:rsid w:val="00D75DC2"/>
    <w:rsid w:val="00D76F27"/>
    <w:rsid w:val="00D81703"/>
    <w:rsid w:val="00D82462"/>
    <w:rsid w:val="00D85A88"/>
    <w:rsid w:val="00D868CE"/>
    <w:rsid w:val="00D87D8D"/>
    <w:rsid w:val="00D90C1E"/>
    <w:rsid w:val="00D922B8"/>
    <w:rsid w:val="00D93A51"/>
    <w:rsid w:val="00D93F09"/>
    <w:rsid w:val="00D97BB8"/>
    <w:rsid w:val="00DA0C01"/>
    <w:rsid w:val="00DA24BD"/>
    <w:rsid w:val="00DA3FF9"/>
    <w:rsid w:val="00DA4AF6"/>
    <w:rsid w:val="00DA5CAB"/>
    <w:rsid w:val="00DA7613"/>
    <w:rsid w:val="00DB016E"/>
    <w:rsid w:val="00DB01A2"/>
    <w:rsid w:val="00DB06E9"/>
    <w:rsid w:val="00DB0BA5"/>
    <w:rsid w:val="00DB31DE"/>
    <w:rsid w:val="00DB378E"/>
    <w:rsid w:val="00DB3CFB"/>
    <w:rsid w:val="00DB3E9D"/>
    <w:rsid w:val="00DB47B9"/>
    <w:rsid w:val="00DB4FB8"/>
    <w:rsid w:val="00DB4FEB"/>
    <w:rsid w:val="00DB5104"/>
    <w:rsid w:val="00DB53CE"/>
    <w:rsid w:val="00DB549D"/>
    <w:rsid w:val="00DB7969"/>
    <w:rsid w:val="00DC00D7"/>
    <w:rsid w:val="00DC0BB4"/>
    <w:rsid w:val="00DC257F"/>
    <w:rsid w:val="00DC344C"/>
    <w:rsid w:val="00DC408A"/>
    <w:rsid w:val="00DC5B3B"/>
    <w:rsid w:val="00DC5B54"/>
    <w:rsid w:val="00DC6796"/>
    <w:rsid w:val="00DC78DF"/>
    <w:rsid w:val="00DD0821"/>
    <w:rsid w:val="00DD0E32"/>
    <w:rsid w:val="00DD1A36"/>
    <w:rsid w:val="00DD2130"/>
    <w:rsid w:val="00DD28A1"/>
    <w:rsid w:val="00DD3532"/>
    <w:rsid w:val="00DD373E"/>
    <w:rsid w:val="00DD57AD"/>
    <w:rsid w:val="00DE009B"/>
    <w:rsid w:val="00DE200E"/>
    <w:rsid w:val="00DE2084"/>
    <w:rsid w:val="00DE2ED9"/>
    <w:rsid w:val="00DE319A"/>
    <w:rsid w:val="00DE4D6E"/>
    <w:rsid w:val="00DE5CC4"/>
    <w:rsid w:val="00DF053A"/>
    <w:rsid w:val="00DF0DC3"/>
    <w:rsid w:val="00DF4A7C"/>
    <w:rsid w:val="00DF4F01"/>
    <w:rsid w:val="00DF5343"/>
    <w:rsid w:val="00DF5578"/>
    <w:rsid w:val="00DF6134"/>
    <w:rsid w:val="00DF6619"/>
    <w:rsid w:val="00DF7FEC"/>
    <w:rsid w:val="00E01149"/>
    <w:rsid w:val="00E01C0E"/>
    <w:rsid w:val="00E026C3"/>
    <w:rsid w:val="00E03B27"/>
    <w:rsid w:val="00E03BFF"/>
    <w:rsid w:val="00E03E80"/>
    <w:rsid w:val="00E04694"/>
    <w:rsid w:val="00E04A40"/>
    <w:rsid w:val="00E05B2B"/>
    <w:rsid w:val="00E05DDE"/>
    <w:rsid w:val="00E07F05"/>
    <w:rsid w:val="00E10497"/>
    <w:rsid w:val="00E127E1"/>
    <w:rsid w:val="00E13411"/>
    <w:rsid w:val="00E13688"/>
    <w:rsid w:val="00E144D2"/>
    <w:rsid w:val="00E15346"/>
    <w:rsid w:val="00E1629D"/>
    <w:rsid w:val="00E20525"/>
    <w:rsid w:val="00E215EA"/>
    <w:rsid w:val="00E22B14"/>
    <w:rsid w:val="00E22DF1"/>
    <w:rsid w:val="00E244A4"/>
    <w:rsid w:val="00E24619"/>
    <w:rsid w:val="00E25223"/>
    <w:rsid w:val="00E2575A"/>
    <w:rsid w:val="00E2612E"/>
    <w:rsid w:val="00E268AC"/>
    <w:rsid w:val="00E30BEA"/>
    <w:rsid w:val="00E31764"/>
    <w:rsid w:val="00E337D9"/>
    <w:rsid w:val="00E34E4A"/>
    <w:rsid w:val="00E365B3"/>
    <w:rsid w:val="00E37188"/>
    <w:rsid w:val="00E37C45"/>
    <w:rsid w:val="00E40AAA"/>
    <w:rsid w:val="00E40D33"/>
    <w:rsid w:val="00E40FF2"/>
    <w:rsid w:val="00E416D9"/>
    <w:rsid w:val="00E41D90"/>
    <w:rsid w:val="00E41F2B"/>
    <w:rsid w:val="00E438CF"/>
    <w:rsid w:val="00E43C41"/>
    <w:rsid w:val="00E450CE"/>
    <w:rsid w:val="00E459D3"/>
    <w:rsid w:val="00E45A00"/>
    <w:rsid w:val="00E45CE7"/>
    <w:rsid w:val="00E4631F"/>
    <w:rsid w:val="00E47D22"/>
    <w:rsid w:val="00E513F8"/>
    <w:rsid w:val="00E522BB"/>
    <w:rsid w:val="00E571F2"/>
    <w:rsid w:val="00E57429"/>
    <w:rsid w:val="00E577FC"/>
    <w:rsid w:val="00E57D11"/>
    <w:rsid w:val="00E603A8"/>
    <w:rsid w:val="00E607E4"/>
    <w:rsid w:val="00E60B29"/>
    <w:rsid w:val="00E62F7C"/>
    <w:rsid w:val="00E635DD"/>
    <w:rsid w:val="00E648B9"/>
    <w:rsid w:val="00E6711F"/>
    <w:rsid w:val="00E6715B"/>
    <w:rsid w:val="00E70960"/>
    <w:rsid w:val="00E70B7D"/>
    <w:rsid w:val="00E71983"/>
    <w:rsid w:val="00E71A58"/>
    <w:rsid w:val="00E73C92"/>
    <w:rsid w:val="00E744C3"/>
    <w:rsid w:val="00E760AD"/>
    <w:rsid w:val="00E767BA"/>
    <w:rsid w:val="00E7724B"/>
    <w:rsid w:val="00E77B8A"/>
    <w:rsid w:val="00E8216E"/>
    <w:rsid w:val="00E82428"/>
    <w:rsid w:val="00E836A0"/>
    <w:rsid w:val="00E84B50"/>
    <w:rsid w:val="00E84F21"/>
    <w:rsid w:val="00E874D3"/>
    <w:rsid w:val="00E87A29"/>
    <w:rsid w:val="00E900D3"/>
    <w:rsid w:val="00E9077B"/>
    <w:rsid w:val="00E90AD8"/>
    <w:rsid w:val="00E910FB"/>
    <w:rsid w:val="00E921C7"/>
    <w:rsid w:val="00E92995"/>
    <w:rsid w:val="00E9367C"/>
    <w:rsid w:val="00E94612"/>
    <w:rsid w:val="00E94BE9"/>
    <w:rsid w:val="00E94C1F"/>
    <w:rsid w:val="00E94C99"/>
    <w:rsid w:val="00E94D06"/>
    <w:rsid w:val="00E95594"/>
    <w:rsid w:val="00E95797"/>
    <w:rsid w:val="00E9682F"/>
    <w:rsid w:val="00E96A8D"/>
    <w:rsid w:val="00E972BA"/>
    <w:rsid w:val="00E97535"/>
    <w:rsid w:val="00EA06CB"/>
    <w:rsid w:val="00EA0C68"/>
    <w:rsid w:val="00EA3EBE"/>
    <w:rsid w:val="00EA3FAC"/>
    <w:rsid w:val="00EA4153"/>
    <w:rsid w:val="00EA4370"/>
    <w:rsid w:val="00EA5CD6"/>
    <w:rsid w:val="00EA7135"/>
    <w:rsid w:val="00EA77C6"/>
    <w:rsid w:val="00EB0BFB"/>
    <w:rsid w:val="00EB1B8D"/>
    <w:rsid w:val="00EB20A0"/>
    <w:rsid w:val="00EB30B6"/>
    <w:rsid w:val="00EB4FA4"/>
    <w:rsid w:val="00EB5146"/>
    <w:rsid w:val="00EB5466"/>
    <w:rsid w:val="00EB55E9"/>
    <w:rsid w:val="00EB5641"/>
    <w:rsid w:val="00EB5846"/>
    <w:rsid w:val="00EB5CA9"/>
    <w:rsid w:val="00EB5ED4"/>
    <w:rsid w:val="00EB6537"/>
    <w:rsid w:val="00EB6A63"/>
    <w:rsid w:val="00EB6EF5"/>
    <w:rsid w:val="00EB70E1"/>
    <w:rsid w:val="00EB7EB5"/>
    <w:rsid w:val="00EC1F4E"/>
    <w:rsid w:val="00EC454B"/>
    <w:rsid w:val="00EC6153"/>
    <w:rsid w:val="00EC6972"/>
    <w:rsid w:val="00EC7F92"/>
    <w:rsid w:val="00ED0504"/>
    <w:rsid w:val="00ED0A79"/>
    <w:rsid w:val="00ED2CA5"/>
    <w:rsid w:val="00ED336F"/>
    <w:rsid w:val="00ED4F91"/>
    <w:rsid w:val="00ED54D6"/>
    <w:rsid w:val="00ED5726"/>
    <w:rsid w:val="00ED723D"/>
    <w:rsid w:val="00EE0384"/>
    <w:rsid w:val="00EE10AA"/>
    <w:rsid w:val="00EE1637"/>
    <w:rsid w:val="00EE3358"/>
    <w:rsid w:val="00EE3E78"/>
    <w:rsid w:val="00EE4318"/>
    <w:rsid w:val="00EE5E02"/>
    <w:rsid w:val="00EE617D"/>
    <w:rsid w:val="00EE61BF"/>
    <w:rsid w:val="00EE6748"/>
    <w:rsid w:val="00EE747C"/>
    <w:rsid w:val="00EF0E75"/>
    <w:rsid w:val="00EF10E5"/>
    <w:rsid w:val="00EF17BF"/>
    <w:rsid w:val="00EF1F5A"/>
    <w:rsid w:val="00EF385C"/>
    <w:rsid w:val="00EF466D"/>
    <w:rsid w:val="00EF4685"/>
    <w:rsid w:val="00EF4AB0"/>
    <w:rsid w:val="00EF5397"/>
    <w:rsid w:val="00EF623C"/>
    <w:rsid w:val="00F0129D"/>
    <w:rsid w:val="00F02E63"/>
    <w:rsid w:val="00F04811"/>
    <w:rsid w:val="00F0488C"/>
    <w:rsid w:val="00F0496E"/>
    <w:rsid w:val="00F04D10"/>
    <w:rsid w:val="00F058AB"/>
    <w:rsid w:val="00F05CBA"/>
    <w:rsid w:val="00F0625B"/>
    <w:rsid w:val="00F06769"/>
    <w:rsid w:val="00F07939"/>
    <w:rsid w:val="00F101FF"/>
    <w:rsid w:val="00F106E2"/>
    <w:rsid w:val="00F10A33"/>
    <w:rsid w:val="00F130A1"/>
    <w:rsid w:val="00F13374"/>
    <w:rsid w:val="00F15BEF"/>
    <w:rsid w:val="00F15F3F"/>
    <w:rsid w:val="00F16C0C"/>
    <w:rsid w:val="00F172BE"/>
    <w:rsid w:val="00F1776C"/>
    <w:rsid w:val="00F2037E"/>
    <w:rsid w:val="00F20EF6"/>
    <w:rsid w:val="00F2103E"/>
    <w:rsid w:val="00F214FC"/>
    <w:rsid w:val="00F23FFF"/>
    <w:rsid w:val="00F2441D"/>
    <w:rsid w:val="00F24F20"/>
    <w:rsid w:val="00F24FAA"/>
    <w:rsid w:val="00F25456"/>
    <w:rsid w:val="00F25568"/>
    <w:rsid w:val="00F26197"/>
    <w:rsid w:val="00F26426"/>
    <w:rsid w:val="00F26CF5"/>
    <w:rsid w:val="00F31F76"/>
    <w:rsid w:val="00F3364D"/>
    <w:rsid w:val="00F34509"/>
    <w:rsid w:val="00F35395"/>
    <w:rsid w:val="00F35ACD"/>
    <w:rsid w:val="00F36BF8"/>
    <w:rsid w:val="00F37760"/>
    <w:rsid w:val="00F378D9"/>
    <w:rsid w:val="00F37CC8"/>
    <w:rsid w:val="00F40185"/>
    <w:rsid w:val="00F403D1"/>
    <w:rsid w:val="00F4046E"/>
    <w:rsid w:val="00F41C50"/>
    <w:rsid w:val="00F42AF8"/>
    <w:rsid w:val="00F43921"/>
    <w:rsid w:val="00F4591F"/>
    <w:rsid w:val="00F45CB3"/>
    <w:rsid w:val="00F46FD1"/>
    <w:rsid w:val="00F4736B"/>
    <w:rsid w:val="00F47D05"/>
    <w:rsid w:val="00F50030"/>
    <w:rsid w:val="00F506B2"/>
    <w:rsid w:val="00F50854"/>
    <w:rsid w:val="00F51FC9"/>
    <w:rsid w:val="00F52B67"/>
    <w:rsid w:val="00F5435A"/>
    <w:rsid w:val="00F54B31"/>
    <w:rsid w:val="00F54FD3"/>
    <w:rsid w:val="00F55CC2"/>
    <w:rsid w:val="00F56CF5"/>
    <w:rsid w:val="00F56D14"/>
    <w:rsid w:val="00F61083"/>
    <w:rsid w:val="00F62807"/>
    <w:rsid w:val="00F631EA"/>
    <w:rsid w:val="00F636E3"/>
    <w:rsid w:val="00F63DDE"/>
    <w:rsid w:val="00F63FB7"/>
    <w:rsid w:val="00F6441A"/>
    <w:rsid w:val="00F64726"/>
    <w:rsid w:val="00F6561A"/>
    <w:rsid w:val="00F700C5"/>
    <w:rsid w:val="00F71BF5"/>
    <w:rsid w:val="00F727D5"/>
    <w:rsid w:val="00F72F44"/>
    <w:rsid w:val="00F739B6"/>
    <w:rsid w:val="00F73A0C"/>
    <w:rsid w:val="00F73C9E"/>
    <w:rsid w:val="00F771A5"/>
    <w:rsid w:val="00F80280"/>
    <w:rsid w:val="00F80EB9"/>
    <w:rsid w:val="00F81C3A"/>
    <w:rsid w:val="00F822CE"/>
    <w:rsid w:val="00F835FC"/>
    <w:rsid w:val="00F83E21"/>
    <w:rsid w:val="00F844AF"/>
    <w:rsid w:val="00F84E18"/>
    <w:rsid w:val="00F852E5"/>
    <w:rsid w:val="00F90487"/>
    <w:rsid w:val="00F90D12"/>
    <w:rsid w:val="00F90FA0"/>
    <w:rsid w:val="00F9250A"/>
    <w:rsid w:val="00F92B4F"/>
    <w:rsid w:val="00F942F1"/>
    <w:rsid w:val="00F95117"/>
    <w:rsid w:val="00F9668E"/>
    <w:rsid w:val="00FA05D7"/>
    <w:rsid w:val="00FA1C6C"/>
    <w:rsid w:val="00FA1C73"/>
    <w:rsid w:val="00FA309A"/>
    <w:rsid w:val="00FA51AB"/>
    <w:rsid w:val="00FA5557"/>
    <w:rsid w:val="00FA57FD"/>
    <w:rsid w:val="00FA5D63"/>
    <w:rsid w:val="00FA7644"/>
    <w:rsid w:val="00FB1324"/>
    <w:rsid w:val="00FB262B"/>
    <w:rsid w:val="00FB3C00"/>
    <w:rsid w:val="00FB3D7D"/>
    <w:rsid w:val="00FB56F1"/>
    <w:rsid w:val="00FB5FD4"/>
    <w:rsid w:val="00FB67DD"/>
    <w:rsid w:val="00FB67F3"/>
    <w:rsid w:val="00FB6D5D"/>
    <w:rsid w:val="00FC0AF4"/>
    <w:rsid w:val="00FC0D8A"/>
    <w:rsid w:val="00FC0E5F"/>
    <w:rsid w:val="00FC26DB"/>
    <w:rsid w:val="00FC4660"/>
    <w:rsid w:val="00FC5454"/>
    <w:rsid w:val="00FC56DE"/>
    <w:rsid w:val="00FD1627"/>
    <w:rsid w:val="00FD38B4"/>
    <w:rsid w:val="00FD473D"/>
    <w:rsid w:val="00FD4B88"/>
    <w:rsid w:val="00FD57DE"/>
    <w:rsid w:val="00FD61C8"/>
    <w:rsid w:val="00FD63CE"/>
    <w:rsid w:val="00FD647C"/>
    <w:rsid w:val="00FD7D49"/>
    <w:rsid w:val="00FE0BA6"/>
    <w:rsid w:val="00FE11B6"/>
    <w:rsid w:val="00FE1251"/>
    <w:rsid w:val="00FE2A4F"/>
    <w:rsid w:val="00FE2F78"/>
    <w:rsid w:val="00FE375F"/>
    <w:rsid w:val="00FE44B3"/>
    <w:rsid w:val="00FE4FCB"/>
    <w:rsid w:val="00FE694F"/>
    <w:rsid w:val="00FF0B85"/>
    <w:rsid w:val="00FF1044"/>
    <w:rsid w:val="00FF21B9"/>
    <w:rsid w:val="00FF28E0"/>
    <w:rsid w:val="00FF2FB4"/>
    <w:rsid w:val="00FF30B3"/>
    <w:rsid w:val="00FF3DF3"/>
    <w:rsid w:val="00FF4027"/>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71"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
    <w:qFormat/>
    <w:rsid w:val="005E492C"/>
    <w:pPr>
      <w:keepNext/>
      <w:keepLines/>
      <w:outlineLvl w:val="3"/>
    </w:pPr>
    <w:rPr>
      <w:rFonts w:eastAsia="MS Gothic"/>
      <w:b/>
      <w:bCs/>
      <w:iCs/>
    </w:rPr>
  </w:style>
  <w:style w:type="paragraph" w:styleId="Nadpis5">
    <w:name w:val="heading 5"/>
    <w:basedOn w:val="Normln"/>
    <w:next w:val="Normln"/>
    <w:link w:val="Nadpis5Char"/>
    <w:uiPriority w:val="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10"/>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10"/>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11"/>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11"/>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1"/>
    <w:qFormat/>
    <w:rsid w:val="005E492C"/>
    <w:pPr>
      <w:spacing w:line="288" w:lineRule="auto"/>
    </w:pPr>
    <w:rPr>
      <w:rFonts w:ascii="Arial" w:hAnsi="Arial"/>
      <w:sz w:val="22"/>
      <w:szCs w:val="22"/>
    </w:rPr>
  </w:style>
  <w:style w:type="paragraph" w:customStyle="1" w:styleId="Box1">
    <w:name w:val="Box 1"/>
    <w:basedOn w:val="Zkladnodstavec"/>
    <w:next w:val="Normln"/>
    <w:qFormat/>
    <w:rsid w:val="005E492C"/>
    <w:pPr>
      <w:ind w:left="1134"/>
    </w:pPr>
    <w:rPr>
      <w:rFonts w:ascii="Arial" w:hAnsi="Arial" w:cs="Arial"/>
      <w:color w:val="71818C"/>
      <w:sz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qFormat/>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locked/>
    <w:rsid w:val="006710C9"/>
    <w:rPr>
      <w:rFonts w:ascii="Arial" w:hAnsi="Arial"/>
      <w:b/>
      <w:color w:val="000000"/>
      <w:sz w:val="24"/>
      <w:shd w:val="clear" w:color="auto" w:fill="CCC0D9"/>
    </w:rPr>
  </w:style>
  <w:style w:type="character" w:customStyle="1" w:styleId="BoxChar">
    <w:name w:val="Box Char"/>
    <w:link w:val="Box"/>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hAnsi="Arial"/>
      <w:sz w:val="22"/>
      <w:szCs w:val="22"/>
    </w:rPr>
  </w:style>
  <w:style w:type="character" w:customStyle="1" w:styleId="TL-KontaktyChar">
    <w:name w:val="TL - Kontakty Char"/>
    <w:link w:val="TL-Kontakty"/>
    <w:locked/>
    <w:rsid w:val="005E492C"/>
    <w:rPr>
      <w:rFonts w:ascii="Arial" w:hAnsi="Arial"/>
      <w:b/>
      <w:caps/>
      <w:color w:val="BD1B21"/>
      <w:sz w:val="22"/>
      <w:szCs w:val="22"/>
      <w:lang w:bidi="ar-SA"/>
    </w:rPr>
  </w:style>
  <w:style w:type="character" w:customStyle="1" w:styleId="TL-IdentifikaceChar">
    <w:name w:val="TL - Identifikace Char"/>
    <w:link w:val="TL-Identifikace"/>
    <w:locked/>
    <w:rsid w:val="005E492C"/>
    <w:rPr>
      <w:rFonts w:ascii="Arial" w:hAnsi="Arial"/>
      <w:sz w:val="22"/>
      <w:szCs w:val="22"/>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locked/>
    <w:rsid w:val="005E492C"/>
    <w:rPr>
      <w:rFonts w:ascii="Arial" w:hAnsi="Arial"/>
      <w:sz w:val="22"/>
      <w:szCs w:val="22"/>
      <w:lang w:bidi="ar-SA"/>
    </w:rPr>
  </w:style>
  <w:style w:type="paragraph" w:customStyle="1" w:styleId="TL-identifikace-sted">
    <w:name w:val="TL - identifikace - střed"/>
    <w:basedOn w:val="Normln"/>
    <w:link w:val="TL-identifikace-stedChar"/>
    <w:qFormat/>
    <w:rsid w:val="005E492C"/>
    <w:pPr>
      <w:spacing w:after="200"/>
    </w:pPr>
    <w:rPr>
      <w:sz w:val="24"/>
      <w:szCs w:val="20"/>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locked/>
    <w:rsid w:val="005E492C"/>
    <w:rPr>
      <w:rFonts w:ascii="Arial" w:hAnsi="Arial"/>
      <w:sz w:val="24"/>
    </w:rPr>
  </w:style>
  <w:style w:type="character" w:customStyle="1" w:styleId="TL-Identifikace-doleChar">
    <w:name w:val="TL - Identifikace - dole Char"/>
    <w:link w:val="TL-Identifikace-dole"/>
    <w:locked/>
    <w:rsid w:val="005E492C"/>
    <w:rPr>
      <w:rFonts w:ascii="Arial" w:hAnsi="Arial"/>
      <w:lang w:eastAsia="ar-SA" w:bidi="ar-SA"/>
    </w:rPr>
  </w:style>
  <w:style w:type="paragraph" w:styleId="Nadpisobsahu">
    <w:name w:val="TOC Heading"/>
    <w:basedOn w:val="Nadpis1"/>
    <w:next w:val="Normln"/>
    <w:uiPriority w:val="71"/>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rsid w:val="00D142E5"/>
    <w:pPr>
      <w:ind w:left="200"/>
    </w:pPr>
  </w:style>
  <w:style w:type="paragraph" w:styleId="Obsah3">
    <w:name w:val="toc 3"/>
    <w:basedOn w:val="Normln"/>
    <w:next w:val="Normln"/>
    <w:autoRedefine/>
    <w:uiPriority w:val="3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22"/>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locked/>
    <w:rsid w:val="00B313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4465403">
      <w:marLeft w:val="0"/>
      <w:marRight w:val="0"/>
      <w:marTop w:val="0"/>
      <w:marBottom w:val="0"/>
      <w:divBdr>
        <w:top w:val="none" w:sz="0" w:space="0" w:color="auto"/>
        <w:left w:val="none" w:sz="0" w:space="0" w:color="auto"/>
        <w:bottom w:val="none" w:sz="0" w:space="0" w:color="auto"/>
        <w:right w:val="none" w:sz="0" w:space="0" w:color="auto"/>
      </w:divBdr>
    </w:div>
    <w:div w:id="1844465404">
      <w:marLeft w:val="0"/>
      <w:marRight w:val="0"/>
      <w:marTop w:val="0"/>
      <w:marBottom w:val="0"/>
      <w:divBdr>
        <w:top w:val="none" w:sz="0" w:space="0" w:color="auto"/>
        <w:left w:val="none" w:sz="0" w:space="0" w:color="auto"/>
        <w:bottom w:val="none" w:sz="0" w:space="0" w:color="auto"/>
        <w:right w:val="none" w:sz="0" w:space="0" w:color="auto"/>
      </w:divBdr>
    </w:div>
    <w:div w:id="1844465405">
      <w:marLeft w:val="0"/>
      <w:marRight w:val="0"/>
      <w:marTop w:val="0"/>
      <w:marBottom w:val="0"/>
      <w:divBdr>
        <w:top w:val="none" w:sz="0" w:space="0" w:color="auto"/>
        <w:left w:val="none" w:sz="0" w:space="0" w:color="auto"/>
        <w:bottom w:val="none" w:sz="0" w:space="0" w:color="auto"/>
        <w:right w:val="none" w:sz="0" w:space="0" w:color="auto"/>
      </w:divBdr>
    </w:div>
    <w:div w:id="1844465406">
      <w:marLeft w:val="0"/>
      <w:marRight w:val="0"/>
      <w:marTop w:val="0"/>
      <w:marBottom w:val="0"/>
      <w:divBdr>
        <w:top w:val="none" w:sz="0" w:space="0" w:color="auto"/>
        <w:left w:val="none" w:sz="0" w:space="0" w:color="auto"/>
        <w:bottom w:val="none" w:sz="0" w:space="0" w:color="auto"/>
        <w:right w:val="none" w:sz="0" w:space="0" w:color="auto"/>
      </w:divBdr>
    </w:div>
    <w:div w:id="1844465407">
      <w:marLeft w:val="0"/>
      <w:marRight w:val="0"/>
      <w:marTop w:val="0"/>
      <w:marBottom w:val="0"/>
      <w:divBdr>
        <w:top w:val="none" w:sz="0" w:space="0" w:color="auto"/>
        <w:left w:val="none" w:sz="0" w:space="0" w:color="auto"/>
        <w:bottom w:val="none" w:sz="0" w:space="0" w:color="auto"/>
        <w:right w:val="none" w:sz="0" w:space="0" w:color="auto"/>
      </w:divBdr>
    </w:div>
    <w:div w:id="1844465408">
      <w:marLeft w:val="0"/>
      <w:marRight w:val="0"/>
      <w:marTop w:val="0"/>
      <w:marBottom w:val="0"/>
      <w:divBdr>
        <w:top w:val="none" w:sz="0" w:space="0" w:color="auto"/>
        <w:left w:val="none" w:sz="0" w:space="0" w:color="auto"/>
        <w:bottom w:val="none" w:sz="0" w:space="0" w:color="auto"/>
        <w:right w:val="none" w:sz="0" w:space="0" w:color="auto"/>
      </w:divBdr>
    </w:div>
    <w:div w:id="1844465409">
      <w:marLeft w:val="0"/>
      <w:marRight w:val="0"/>
      <w:marTop w:val="0"/>
      <w:marBottom w:val="0"/>
      <w:divBdr>
        <w:top w:val="none" w:sz="0" w:space="0" w:color="auto"/>
        <w:left w:val="none" w:sz="0" w:space="0" w:color="auto"/>
        <w:bottom w:val="none" w:sz="0" w:space="0" w:color="auto"/>
        <w:right w:val="none" w:sz="0" w:space="0" w:color="auto"/>
      </w:divBdr>
    </w:div>
    <w:div w:id="1844465410">
      <w:marLeft w:val="0"/>
      <w:marRight w:val="0"/>
      <w:marTop w:val="0"/>
      <w:marBottom w:val="0"/>
      <w:divBdr>
        <w:top w:val="none" w:sz="0" w:space="0" w:color="auto"/>
        <w:left w:val="none" w:sz="0" w:space="0" w:color="auto"/>
        <w:bottom w:val="none" w:sz="0" w:space="0" w:color="auto"/>
        <w:right w:val="none" w:sz="0" w:space="0" w:color="auto"/>
      </w:divBdr>
    </w:div>
    <w:div w:id="1844465411">
      <w:marLeft w:val="0"/>
      <w:marRight w:val="0"/>
      <w:marTop w:val="0"/>
      <w:marBottom w:val="0"/>
      <w:divBdr>
        <w:top w:val="none" w:sz="0" w:space="0" w:color="auto"/>
        <w:left w:val="none" w:sz="0" w:space="0" w:color="auto"/>
        <w:bottom w:val="none" w:sz="0" w:space="0" w:color="auto"/>
        <w:right w:val="none" w:sz="0" w:space="0" w:color="auto"/>
      </w:divBdr>
    </w:div>
    <w:div w:id="1844465412">
      <w:marLeft w:val="0"/>
      <w:marRight w:val="0"/>
      <w:marTop w:val="0"/>
      <w:marBottom w:val="0"/>
      <w:divBdr>
        <w:top w:val="none" w:sz="0" w:space="0" w:color="auto"/>
        <w:left w:val="none" w:sz="0" w:space="0" w:color="auto"/>
        <w:bottom w:val="none" w:sz="0" w:space="0" w:color="auto"/>
        <w:right w:val="none" w:sz="0" w:space="0" w:color="auto"/>
      </w:divBdr>
    </w:div>
    <w:div w:id="1844465413">
      <w:marLeft w:val="0"/>
      <w:marRight w:val="0"/>
      <w:marTop w:val="0"/>
      <w:marBottom w:val="0"/>
      <w:divBdr>
        <w:top w:val="none" w:sz="0" w:space="0" w:color="auto"/>
        <w:left w:val="none" w:sz="0" w:space="0" w:color="auto"/>
        <w:bottom w:val="none" w:sz="0" w:space="0" w:color="auto"/>
        <w:right w:val="none" w:sz="0" w:space="0" w:color="auto"/>
      </w:divBdr>
    </w:div>
    <w:div w:id="1844465414">
      <w:marLeft w:val="0"/>
      <w:marRight w:val="0"/>
      <w:marTop w:val="0"/>
      <w:marBottom w:val="0"/>
      <w:divBdr>
        <w:top w:val="none" w:sz="0" w:space="0" w:color="auto"/>
        <w:left w:val="none" w:sz="0" w:space="0" w:color="auto"/>
        <w:bottom w:val="none" w:sz="0" w:space="0" w:color="auto"/>
        <w:right w:val="none" w:sz="0" w:space="0" w:color="auto"/>
      </w:divBdr>
    </w:div>
    <w:div w:id="1844465426">
      <w:marLeft w:val="0"/>
      <w:marRight w:val="0"/>
      <w:marTop w:val="0"/>
      <w:marBottom w:val="0"/>
      <w:divBdr>
        <w:top w:val="none" w:sz="0" w:space="0" w:color="auto"/>
        <w:left w:val="none" w:sz="0" w:space="0" w:color="auto"/>
        <w:bottom w:val="none" w:sz="0" w:space="0" w:color="auto"/>
        <w:right w:val="none" w:sz="0" w:space="0" w:color="auto"/>
      </w:divBdr>
      <w:divsChild>
        <w:div w:id="1844465402">
          <w:marLeft w:val="0"/>
          <w:marRight w:val="0"/>
          <w:marTop w:val="0"/>
          <w:marBottom w:val="0"/>
          <w:divBdr>
            <w:top w:val="none" w:sz="0" w:space="0" w:color="auto"/>
            <w:left w:val="none" w:sz="0" w:space="0" w:color="auto"/>
            <w:bottom w:val="none" w:sz="0" w:space="0" w:color="auto"/>
            <w:right w:val="none" w:sz="0" w:space="0" w:color="auto"/>
          </w:divBdr>
          <w:divsChild>
            <w:div w:id="1844465422">
              <w:marLeft w:val="0"/>
              <w:marRight w:val="0"/>
              <w:marTop w:val="0"/>
              <w:marBottom w:val="0"/>
              <w:divBdr>
                <w:top w:val="none" w:sz="0" w:space="0" w:color="auto"/>
                <w:left w:val="none" w:sz="0" w:space="0" w:color="auto"/>
                <w:bottom w:val="none" w:sz="0" w:space="0" w:color="auto"/>
                <w:right w:val="none" w:sz="0" w:space="0" w:color="auto"/>
              </w:divBdr>
              <w:divsChild>
                <w:div w:id="1844465423">
                  <w:marLeft w:val="0"/>
                  <w:marRight w:val="0"/>
                  <w:marTop w:val="0"/>
                  <w:marBottom w:val="0"/>
                  <w:divBdr>
                    <w:top w:val="none" w:sz="0" w:space="0" w:color="auto"/>
                    <w:left w:val="none" w:sz="0" w:space="0" w:color="auto"/>
                    <w:bottom w:val="none" w:sz="0" w:space="0" w:color="auto"/>
                    <w:right w:val="none" w:sz="0" w:space="0" w:color="auto"/>
                  </w:divBdr>
                  <w:divsChild>
                    <w:div w:id="1844465419">
                      <w:marLeft w:val="0"/>
                      <w:marRight w:val="0"/>
                      <w:marTop w:val="0"/>
                      <w:marBottom w:val="0"/>
                      <w:divBdr>
                        <w:top w:val="none" w:sz="0" w:space="0" w:color="auto"/>
                        <w:left w:val="none" w:sz="0" w:space="0" w:color="auto"/>
                        <w:bottom w:val="none" w:sz="0" w:space="0" w:color="auto"/>
                        <w:right w:val="none" w:sz="0" w:space="0" w:color="auto"/>
                      </w:divBdr>
                      <w:divsChild>
                        <w:div w:id="1844465421">
                          <w:marLeft w:val="0"/>
                          <w:marRight w:val="0"/>
                          <w:marTop w:val="0"/>
                          <w:marBottom w:val="0"/>
                          <w:divBdr>
                            <w:top w:val="none" w:sz="0" w:space="0" w:color="auto"/>
                            <w:left w:val="none" w:sz="0" w:space="0" w:color="auto"/>
                            <w:bottom w:val="none" w:sz="0" w:space="0" w:color="auto"/>
                            <w:right w:val="none" w:sz="0" w:space="0" w:color="auto"/>
                          </w:divBdr>
                          <w:divsChild>
                            <w:div w:id="18444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5427">
                  <w:marLeft w:val="0"/>
                  <w:marRight w:val="0"/>
                  <w:marTop w:val="0"/>
                  <w:marBottom w:val="0"/>
                  <w:divBdr>
                    <w:top w:val="none" w:sz="0" w:space="0" w:color="auto"/>
                    <w:left w:val="none" w:sz="0" w:space="0" w:color="auto"/>
                    <w:bottom w:val="none" w:sz="0" w:space="0" w:color="auto"/>
                    <w:right w:val="none" w:sz="0" w:space="0" w:color="auto"/>
                  </w:divBdr>
                  <w:divsChild>
                    <w:div w:id="1844465420">
                      <w:marLeft w:val="0"/>
                      <w:marRight w:val="0"/>
                      <w:marTop w:val="0"/>
                      <w:marBottom w:val="0"/>
                      <w:divBdr>
                        <w:top w:val="none" w:sz="0" w:space="0" w:color="auto"/>
                        <w:left w:val="none" w:sz="0" w:space="0" w:color="auto"/>
                        <w:bottom w:val="none" w:sz="0" w:space="0" w:color="auto"/>
                        <w:right w:val="none" w:sz="0" w:space="0" w:color="auto"/>
                      </w:divBdr>
                      <w:divsChild>
                        <w:div w:id="1844465400">
                          <w:marLeft w:val="0"/>
                          <w:marRight w:val="0"/>
                          <w:marTop w:val="0"/>
                          <w:marBottom w:val="0"/>
                          <w:divBdr>
                            <w:top w:val="none" w:sz="0" w:space="0" w:color="auto"/>
                            <w:left w:val="none" w:sz="0" w:space="0" w:color="auto"/>
                            <w:bottom w:val="none" w:sz="0" w:space="0" w:color="auto"/>
                            <w:right w:val="none" w:sz="0" w:space="0" w:color="auto"/>
                          </w:divBdr>
                          <w:divsChild>
                            <w:div w:id="1844465425">
                              <w:marLeft w:val="0"/>
                              <w:marRight w:val="0"/>
                              <w:marTop w:val="0"/>
                              <w:marBottom w:val="0"/>
                              <w:divBdr>
                                <w:top w:val="none" w:sz="0" w:space="0" w:color="auto"/>
                                <w:left w:val="none" w:sz="0" w:space="0" w:color="auto"/>
                                <w:bottom w:val="none" w:sz="0" w:space="0" w:color="auto"/>
                                <w:right w:val="none" w:sz="0" w:space="0" w:color="auto"/>
                              </w:divBdr>
                              <w:divsChild>
                                <w:div w:id="18444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5416">
                          <w:marLeft w:val="0"/>
                          <w:marRight w:val="0"/>
                          <w:marTop w:val="0"/>
                          <w:marBottom w:val="0"/>
                          <w:divBdr>
                            <w:top w:val="none" w:sz="0" w:space="0" w:color="auto"/>
                            <w:left w:val="none" w:sz="0" w:space="0" w:color="auto"/>
                            <w:bottom w:val="none" w:sz="0" w:space="0" w:color="auto"/>
                            <w:right w:val="none" w:sz="0" w:space="0" w:color="auto"/>
                          </w:divBdr>
                          <w:divsChild>
                            <w:div w:id="1844465401">
                              <w:marLeft w:val="0"/>
                              <w:marRight w:val="0"/>
                              <w:marTop w:val="0"/>
                              <w:marBottom w:val="0"/>
                              <w:divBdr>
                                <w:top w:val="none" w:sz="0" w:space="0" w:color="auto"/>
                                <w:left w:val="none" w:sz="0" w:space="0" w:color="auto"/>
                                <w:bottom w:val="none" w:sz="0" w:space="0" w:color="auto"/>
                                <w:right w:val="none" w:sz="0" w:space="0" w:color="auto"/>
                              </w:divBdr>
                              <w:divsChild>
                                <w:div w:id="1844465415">
                                  <w:marLeft w:val="0"/>
                                  <w:marRight w:val="0"/>
                                  <w:marTop w:val="0"/>
                                  <w:marBottom w:val="0"/>
                                  <w:divBdr>
                                    <w:top w:val="none" w:sz="0" w:space="0" w:color="auto"/>
                                    <w:left w:val="none" w:sz="0" w:space="0" w:color="auto"/>
                                    <w:bottom w:val="none" w:sz="0" w:space="0" w:color="auto"/>
                                    <w:right w:val="none" w:sz="0" w:space="0" w:color="auto"/>
                                  </w:divBdr>
                                  <w:divsChild>
                                    <w:div w:id="18444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3AB7F-CCE2-464A-9FD1-6C3AF701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17</TotalTime>
  <Pages>9</Pages>
  <Words>4846</Words>
  <Characters>24970</Characters>
  <Application>Microsoft Office Word</Application>
  <DocSecurity>0</DocSecurity>
  <Lines>208</Lines>
  <Paragraphs>59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Dubská, Kučera, Kamenický</dc:creator>
  <cp:lastModifiedBy>Ing. Drahomíra Dubská, CSc.</cp:lastModifiedBy>
  <cp:revision>7</cp:revision>
  <cp:lastPrinted>2015-07-30T06:16:00Z</cp:lastPrinted>
  <dcterms:created xsi:type="dcterms:W3CDTF">2015-07-30T08:59:00Z</dcterms:created>
  <dcterms:modified xsi:type="dcterms:W3CDTF">2015-07-30T09:58:00Z</dcterms:modified>
</cp:coreProperties>
</file>