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8B" w:rsidRDefault="00037471" w:rsidP="00037471">
      <w:pPr>
        <w:pStyle w:val="Nadpis1"/>
        <w:jc w:val="both"/>
      </w:pPr>
      <w:bookmarkStart w:id="0" w:name="_Toc426017659"/>
      <w:r>
        <w:t xml:space="preserve">3. </w:t>
      </w:r>
      <w:r w:rsidR="001E4A25">
        <w:t>Výkonnost n</w:t>
      </w:r>
      <w:r w:rsidR="008B0C8B">
        <w:t>efinanční</w:t>
      </w:r>
      <w:r w:rsidR="001E4A25">
        <w:t>ch</w:t>
      </w:r>
      <w:r w:rsidR="008B0C8B">
        <w:t xml:space="preserve"> podnik</w:t>
      </w:r>
      <w:r w:rsidR="001E4A25">
        <w:t>ů</w:t>
      </w:r>
      <w:bookmarkEnd w:id="0"/>
    </w:p>
    <w:tbl>
      <w:tblPr>
        <w:tblW w:w="5000" w:type="pct"/>
        <w:tblCellMar>
          <w:left w:w="28" w:type="dxa"/>
          <w:right w:w="28" w:type="dxa"/>
        </w:tblCellMar>
        <w:tblLook w:val="04A0"/>
      </w:tblPr>
      <w:tblGrid>
        <w:gridCol w:w="2115"/>
        <w:gridCol w:w="283"/>
        <w:gridCol w:w="7296"/>
      </w:tblGrid>
      <w:tr w:rsidR="00A872CE" w:rsidTr="00A872CE">
        <w:tc>
          <w:tcPr>
            <w:tcW w:w="1091" w:type="pct"/>
          </w:tcPr>
          <w:p w:rsidR="00A872CE" w:rsidRDefault="00A872CE" w:rsidP="00A872CE">
            <w:pPr>
              <w:spacing w:line="240" w:lineRule="auto"/>
              <w:rPr>
                <w:color w:val="000000"/>
                <w:sz w:val="16"/>
                <w:szCs w:val="16"/>
              </w:rPr>
            </w:pPr>
            <w:r>
              <w:rPr>
                <w:color w:val="000000"/>
                <w:sz w:val="16"/>
                <w:szCs w:val="16"/>
              </w:rPr>
              <w:t>Detailnější rozbor ekonomického chování nefinančních podniků v ČR umožňují časové řady sektorových účtů</w:t>
            </w:r>
          </w:p>
          <w:p w:rsidR="00A872CE" w:rsidRDefault="00A872CE" w:rsidP="00A872CE">
            <w:pPr>
              <w:spacing w:line="240" w:lineRule="auto"/>
              <w:rPr>
                <w:color w:val="000000"/>
                <w:sz w:val="16"/>
                <w:szCs w:val="16"/>
              </w:rPr>
            </w:pPr>
          </w:p>
        </w:tc>
        <w:tc>
          <w:tcPr>
            <w:tcW w:w="146" w:type="pct"/>
          </w:tcPr>
          <w:p w:rsidR="00A872CE" w:rsidRDefault="00A872CE" w:rsidP="00A872CE">
            <w:pPr>
              <w:pStyle w:val="Textpoznpodarou"/>
              <w:jc w:val="both"/>
              <w:rPr>
                <w:color w:val="000000"/>
              </w:rPr>
            </w:pPr>
          </w:p>
        </w:tc>
        <w:tc>
          <w:tcPr>
            <w:tcW w:w="3763" w:type="pct"/>
          </w:tcPr>
          <w:p w:rsidR="00A872CE" w:rsidRDefault="00A872CE" w:rsidP="00A872CE">
            <w:pPr>
              <w:pStyle w:val="Textpoznpodarou"/>
              <w:jc w:val="both"/>
              <w:rPr>
                <w:color w:val="000000"/>
              </w:rPr>
            </w:pPr>
            <w:r>
              <w:rPr>
                <w:color w:val="000000"/>
              </w:rPr>
              <w:t>Změny ekonomického chování sektoru nefinančních podniků je možno vcelku komplexně charakterizovat sadou základních relativních ukazatelů odvozených ze sestavy tabulek národních účtů. Jejich výhodou je vedle časové srovnatelnosti i mož</w:t>
            </w:r>
            <w:r w:rsidR="00E910FB">
              <w:rPr>
                <w:color w:val="000000"/>
              </w:rPr>
              <w:t>nost porovnání se zeměmi EU, byť</w:t>
            </w:r>
            <w:r>
              <w:rPr>
                <w:color w:val="000000"/>
              </w:rPr>
              <w:t xml:space="preserve"> obvykle</w:t>
            </w:r>
            <w:r w:rsidR="00E910FB">
              <w:rPr>
                <w:color w:val="000000"/>
              </w:rPr>
              <w:t xml:space="preserve"> s</w:t>
            </w:r>
            <w:r>
              <w:rPr>
                <w:color w:val="000000"/>
              </w:rPr>
              <w:t xml:space="preserve"> jistým časovým zpožděním (v detailnějším pohledu proto ne</w:t>
            </w:r>
            <w:r w:rsidR="00E910FB">
              <w:rPr>
                <w:color w:val="000000"/>
              </w:rPr>
              <w:t>bylo</w:t>
            </w:r>
            <w:r>
              <w:rPr>
                <w:color w:val="000000"/>
              </w:rPr>
              <w:t xml:space="preserve"> zatím možné srovnání v roce 2014).</w:t>
            </w:r>
          </w:p>
        </w:tc>
      </w:tr>
    </w:tbl>
    <w:p w:rsidR="00A872CE" w:rsidRPr="00A872CE" w:rsidRDefault="00A872CE" w:rsidP="00A872CE">
      <w:pPr>
        <w:rPr>
          <w:sz w:val="12"/>
          <w:szCs w:val="12"/>
        </w:rPr>
      </w:pPr>
    </w:p>
    <w:tbl>
      <w:tblPr>
        <w:tblW w:w="5007" w:type="pct"/>
        <w:tblLayout w:type="fixed"/>
        <w:tblCellMar>
          <w:left w:w="28" w:type="dxa"/>
          <w:right w:w="28" w:type="dxa"/>
        </w:tblCellMar>
        <w:tblLook w:val="04A0"/>
      </w:tblPr>
      <w:tblGrid>
        <w:gridCol w:w="594"/>
        <w:gridCol w:w="4963"/>
        <w:gridCol w:w="567"/>
        <w:gridCol w:w="3584"/>
      </w:tblGrid>
      <w:tr w:rsidR="00A872CE" w:rsidTr="00A872CE">
        <w:tc>
          <w:tcPr>
            <w:tcW w:w="306" w:type="pct"/>
          </w:tcPr>
          <w:p w:rsidR="00A872CE" w:rsidRPr="0002540B" w:rsidRDefault="00A872CE" w:rsidP="00A872CE">
            <w:pPr>
              <w:pStyle w:val="Textpoznpodarou"/>
              <w:rPr>
                <w:lang w:eastAsia="en-US"/>
              </w:rPr>
            </w:pPr>
            <w:r>
              <w:rPr>
                <w:lang w:eastAsia="en-US"/>
              </w:rPr>
              <w:t>Graf</w:t>
            </w:r>
            <w:r w:rsidR="001E561F">
              <w:rPr>
                <w:lang w:eastAsia="en-US"/>
              </w:rPr>
              <w:t xml:space="preserve"> č. 1</w:t>
            </w:r>
          </w:p>
        </w:tc>
        <w:tc>
          <w:tcPr>
            <w:tcW w:w="2556" w:type="pct"/>
          </w:tcPr>
          <w:p w:rsidR="00A872CE" w:rsidRDefault="00A872CE" w:rsidP="00A872CE">
            <w:pPr>
              <w:spacing w:line="240" w:lineRule="auto"/>
              <w:rPr>
                <w:b/>
                <w:bCs/>
                <w:color w:val="000000"/>
              </w:rPr>
            </w:pPr>
            <w:r>
              <w:rPr>
                <w:b/>
                <w:bCs/>
                <w:color w:val="000000"/>
              </w:rPr>
              <w:t xml:space="preserve">Struktura hrubé přidané hodnoty podle </w:t>
            </w:r>
          </w:p>
          <w:p w:rsidR="00A872CE" w:rsidRDefault="00B60C8D" w:rsidP="00A872CE">
            <w:pPr>
              <w:spacing w:line="240" w:lineRule="auto"/>
              <w:rPr>
                <w:b/>
                <w:bCs/>
                <w:color w:val="000000"/>
              </w:rPr>
            </w:pPr>
            <w:proofErr w:type="spellStart"/>
            <w:r>
              <w:rPr>
                <w:b/>
                <w:bCs/>
                <w:color w:val="000000"/>
              </w:rPr>
              <w:t>sub</w:t>
            </w:r>
            <w:r w:rsidR="00A872CE">
              <w:rPr>
                <w:b/>
                <w:bCs/>
                <w:color w:val="000000"/>
              </w:rPr>
              <w:t>sektorů</w:t>
            </w:r>
            <w:proofErr w:type="spellEnd"/>
            <w:r w:rsidR="00A872CE">
              <w:rPr>
                <w:b/>
                <w:bCs/>
                <w:color w:val="000000"/>
              </w:rPr>
              <w:t xml:space="preserve"> nefinančních podniků v</w:t>
            </w:r>
            <w:r>
              <w:rPr>
                <w:b/>
                <w:bCs/>
                <w:color w:val="000000"/>
              </w:rPr>
              <w:t> </w:t>
            </w:r>
            <w:r w:rsidR="00A872CE">
              <w:rPr>
                <w:b/>
                <w:bCs/>
                <w:color w:val="000000"/>
              </w:rPr>
              <w:t>ČR</w:t>
            </w:r>
            <w:r>
              <w:rPr>
                <w:b/>
                <w:bCs/>
                <w:color w:val="000000"/>
              </w:rPr>
              <w:t xml:space="preserve"> </w:t>
            </w:r>
            <w:r w:rsidRPr="00B60C8D">
              <w:rPr>
                <w:bCs/>
                <w:color w:val="000000"/>
              </w:rPr>
              <w:t>(v %)</w:t>
            </w:r>
          </w:p>
        </w:tc>
        <w:tc>
          <w:tcPr>
            <w:tcW w:w="292" w:type="pct"/>
          </w:tcPr>
          <w:p w:rsidR="00A872CE" w:rsidRDefault="00A872CE" w:rsidP="00A872CE">
            <w:pPr>
              <w:spacing w:line="240" w:lineRule="auto"/>
            </w:pPr>
            <w:r>
              <w:rPr>
                <w:lang w:eastAsia="en-US"/>
              </w:rPr>
              <w:t>Graf</w:t>
            </w:r>
            <w:r w:rsidR="001E561F">
              <w:rPr>
                <w:lang w:eastAsia="en-US"/>
              </w:rPr>
              <w:t xml:space="preserve"> č. 2</w:t>
            </w:r>
          </w:p>
        </w:tc>
        <w:tc>
          <w:tcPr>
            <w:tcW w:w="1846" w:type="pct"/>
          </w:tcPr>
          <w:p w:rsidR="00A872CE" w:rsidRPr="0008082E" w:rsidRDefault="00A872CE" w:rsidP="00A872CE">
            <w:pPr>
              <w:spacing w:line="240" w:lineRule="auto"/>
              <w:rPr>
                <w:b/>
                <w:bCs/>
                <w:color w:val="000000"/>
              </w:rPr>
            </w:pPr>
            <w:r>
              <w:rPr>
                <w:b/>
                <w:bCs/>
                <w:color w:val="000000"/>
              </w:rPr>
              <w:t>Struktura hrubé přidané hodnoty podle všech institucionálních sektorů ekonomiky ČR</w:t>
            </w:r>
            <w:r w:rsidR="00B60C8D">
              <w:rPr>
                <w:b/>
                <w:bCs/>
                <w:color w:val="000000"/>
              </w:rPr>
              <w:t xml:space="preserve"> </w:t>
            </w:r>
            <w:r w:rsidR="00B60C8D" w:rsidRPr="00B60C8D">
              <w:rPr>
                <w:bCs/>
                <w:color w:val="000000"/>
              </w:rPr>
              <w:t>(v %)</w:t>
            </w:r>
          </w:p>
        </w:tc>
      </w:tr>
      <w:tr w:rsidR="00A872CE" w:rsidTr="00A872CE">
        <w:tc>
          <w:tcPr>
            <w:tcW w:w="2862" w:type="pct"/>
            <w:gridSpan w:val="2"/>
          </w:tcPr>
          <w:p w:rsidR="00A872CE" w:rsidRDefault="006D292E" w:rsidP="00A872CE">
            <w:pPr>
              <w:pStyle w:val="Textpoznpodarou"/>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73.75pt;height:181.5pt">
                  <v:imagedata r:id="rId8" o:title=""/>
                </v:shape>
              </w:pict>
            </w:r>
          </w:p>
        </w:tc>
        <w:tc>
          <w:tcPr>
            <w:tcW w:w="2138" w:type="pct"/>
            <w:gridSpan w:val="2"/>
          </w:tcPr>
          <w:p w:rsidR="00A872CE" w:rsidRDefault="006D292E" w:rsidP="00A872CE">
            <w:pPr>
              <w:pStyle w:val="Textpoznpodarou"/>
              <w:jc w:val="both"/>
            </w:pPr>
            <w:r>
              <w:pict>
                <v:shape id="_x0000_i1051" type="#_x0000_t75" style="width:204.75pt;height:181.5pt">
                  <v:imagedata r:id="rId9" o:title=""/>
                </v:shape>
              </w:pict>
            </w:r>
          </w:p>
        </w:tc>
      </w:tr>
      <w:tr w:rsidR="00A872CE" w:rsidTr="00A872CE">
        <w:tc>
          <w:tcPr>
            <w:tcW w:w="2862" w:type="pct"/>
            <w:gridSpan w:val="2"/>
          </w:tcPr>
          <w:p w:rsidR="00A872CE" w:rsidRPr="0020709F" w:rsidRDefault="00A872CE" w:rsidP="00A872CE">
            <w:pPr>
              <w:pStyle w:val="Textpoznpodarou"/>
              <w:jc w:val="right"/>
              <w:rPr>
                <w:sz w:val="16"/>
                <w:szCs w:val="16"/>
              </w:rPr>
            </w:pPr>
            <w:r>
              <w:rPr>
                <w:sz w:val="18"/>
                <w:szCs w:val="18"/>
                <w:lang w:eastAsia="en-US"/>
              </w:rPr>
              <w:t xml:space="preserve">                                 Zdroj: ČSÚ (národní účty)</w:t>
            </w:r>
          </w:p>
        </w:tc>
        <w:tc>
          <w:tcPr>
            <w:tcW w:w="2138" w:type="pct"/>
            <w:gridSpan w:val="2"/>
          </w:tcPr>
          <w:p w:rsidR="00A872CE" w:rsidRPr="00A10AFE" w:rsidRDefault="00A872CE" w:rsidP="00A872CE">
            <w:pPr>
              <w:pStyle w:val="Textpoznpodarou"/>
              <w:jc w:val="right"/>
              <w:rPr>
                <w:rFonts w:cs="Arial"/>
                <w:sz w:val="18"/>
                <w:szCs w:val="18"/>
              </w:rPr>
            </w:pPr>
            <w:r>
              <w:rPr>
                <w:sz w:val="18"/>
                <w:szCs w:val="18"/>
                <w:lang w:eastAsia="en-US"/>
              </w:rPr>
              <w:t>Zdroj: ČSÚ (národní účty)</w:t>
            </w:r>
          </w:p>
        </w:tc>
      </w:tr>
    </w:tbl>
    <w:p w:rsidR="00A872CE" w:rsidRPr="00A872CE" w:rsidRDefault="00A872CE" w:rsidP="00A872CE">
      <w:pPr>
        <w:rPr>
          <w:sz w:val="12"/>
          <w:szCs w:val="12"/>
        </w:rPr>
      </w:pPr>
    </w:p>
    <w:tbl>
      <w:tblPr>
        <w:tblW w:w="5000" w:type="pct"/>
        <w:tblCellMar>
          <w:left w:w="28" w:type="dxa"/>
          <w:right w:w="28" w:type="dxa"/>
        </w:tblCellMar>
        <w:tblLook w:val="04A0"/>
      </w:tblPr>
      <w:tblGrid>
        <w:gridCol w:w="2115"/>
        <w:gridCol w:w="283"/>
        <w:gridCol w:w="7296"/>
      </w:tblGrid>
      <w:tr w:rsidR="00A872CE" w:rsidTr="00A872CE">
        <w:trPr>
          <w:cantSplit/>
          <w:trHeight w:val="295"/>
        </w:trPr>
        <w:tc>
          <w:tcPr>
            <w:tcW w:w="1091" w:type="pct"/>
          </w:tcPr>
          <w:p w:rsidR="00A872CE" w:rsidRDefault="00A872CE" w:rsidP="00A872CE">
            <w:pPr>
              <w:spacing w:line="240" w:lineRule="auto"/>
              <w:rPr>
                <w:color w:val="000000"/>
                <w:sz w:val="16"/>
                <w:szCs w:val="16"/>
              </w:rPr>
            </w:pPr>
            <w:r>
              <w:rPr>
                <w:color w:val="000000"/>
                <w:sz w:val="16"/>
                <w:szCs w:val="16"/>
              </w:rPr>
              <w:t>Saldo hospodaření nefinančních podniků v ČR tradičně dlouhodobě záporné, výjimkou byl rok 2009</w:t>
            </w:r>
          </w:p>
        </w:tc>
        <w:tc>
          <w:tcPr>
            <w:tcW w:w="146" w:type="pct"/>
          </w:tcPr>
          <w:p w:rsidR="00A872CE" w:rsidRDefault="00A872CE" w:rsidP="00A872CE">
            <w:pPr>
              <w:pStyle w:val="Textpoznpodarou"/>
              <w:jc w:val="both"/>
              <w:rPr>
                <w:color w:val="000000"/>
              </w:rPr>
            </w:pPr>
          </w:p>
        </w:tc>
        <w:tc>
          <w:tcPr>
            <w:tcW w:w="3763" w:type="pct"/>
          </w:tcPr>
          <w:p w:rsidR="00A872CE" w:rsidRPr="00A872CE" w:rsidRDefault="00A872CE" w:rsidP="00A872CE">
            <w:pPr>
              <w:pStyle w:val="Textpoznpodarou"/>
              <w:jc w:val="both"/>
              <w:rPr>
                <w:color w:val="000000"/>
                <w:spacing w:val="-6"/>
              </w:rPr>
            </w:pPr>
            <w:r w:rsidRPr="00A872CE">
              <w:rPr>
                <w:color w:val="000000"/>
                <w:spacing w:val="-6"/>
              </w:rPr>
              <w:t xml:space="preserve">Z dlouhodobého pohledu není překvapivé, že nefinanční podniky v ČR podobně jako ve většině vyspělých zemí končí své hospodaření potřebou financování (jejich věřitelem bývá zpravidla finanční sektor). To platilo v tuzemské podnikové sféře především v 90. letech, kdy </w:t>
            </w:r>
            <w:r w:rsidR="00C4549D" w:rsidRPr="00A872CE">
              <w:rPr>
                <w:color w:val="000000"/>
                <w:spacing w:val="-6"/>
              </w:rPr>
              <w:t xml:space="preserve">byly </w:t>
            </w:r>
            <w:r w:rsidRPr="00A872CE">
              <w:rPr>
                <w:color w:val="000000"/>
                <w:spacing w:val="-6"/>
              </w:rPr>
              <w:t>podniky v důsledku potřeby obnovy výrobních zařízení donuceny masivně investovat. Ještě v období 1998-2002 se jejich míra investic pohybovala mezi 36 až 39 % a byla nejvyšší ze všech institucionálních sektorů české ekonomiky (v dřívějším období 90. let ji převyšoval pouze finanční sektor).</w:t>
            </w:r>
          </w:p>
          <w:p w:rsidR="00A872CE" w:rsidRPr="00A872CE" w:rsidRDefault="00A872CE" w:rsidP="00A872CE">
            <w:pPr>
              <w:pStyle w:val="Textpoznpodarou"/>
              <w:jc w:val="both"/>
              <w:rPr>
                <w:color w:val="000000"/>
                <w:sz w:val="12"/>
                <w:szCs w:val="12"/>
              </w:rPr>
            </w:pPr>
          </w:p>
        </w:tc>
      </w:tr>
      <w:tr w:rsidR="00A872CE" w:rsidTr="00A872CE">
        <w:trPr>
          <w:cantSplit/>
          <w:trHeight w:val="272"/>
        </w:trPr>
        <w:tc>
          <w:tcPr>
            <w:tcW w:w="1091" w:type="pct"/>
          </w:tcPr>
          <w:p w:rsidR="00A872CE" w:rsidRDefault="00A872CE" w:rsidP="00A872CE">
            <w:pPr>
              <w:spacing w:line="240" w:lineRule="auto"/>
              <w:rPr>
                <w:color w:val="000000"/>
                <w:sz w:val="16"/>
                <w:szCs w:val="16"/>
              </w:rPr>
            </w:pPr>
            <w:r>
              <w:rPr>
                <w:color w:val="000000"/>
                <w:sz w:val="16"/>
                <w:szCs w:val="16"/>
              </w:rPr>
              <w:t>V druhé polovině 90. let nevytvářely silně zadlužené nefinanční podniky dostatek vlastní zdrojů pro svoji silnou investiční potřebu a musely se dále zadlužovat</w:t>
            </w:r>
            <w:r w:rsidR="00334C45">
              <w:rPr>
                <w:color w:val="000000"/>
                <w:sz w:val="16"/>
                <w:szCs w:val="16"/>
              </w:rPr>
              <w:t>,</w:t>
            </w:r>
            <w:r>
              <w:rPr>
                <w:color w:val="000000"/>
                <w:sz w:val="16"/>
                <w:szCs w:val="16"/>
              </w:rPr>
              <w:t xml:space="preserve"> především formou půjček</w:t>
            </w:r>
          </w:p>
        </w:tc>
        <w:tc>
          <w:tcPr>
            <w:tcW w:w="146" w:type="pct"/>
          </w:tcPr>
          <w:p w:rsidR="00A872CE" w:rsidRDefault="00A872CE" w:rsidP="00A872CE">
            <w:pPr>
              <w:pStyle w:val="Textpoznpodarou"/>
              <w:jc w:val="both"/>
              <w:rPr>
                <w:color w:val="000000"/>
              </w:rPr>
            </w:pPr>
          </w:p>
        </w:tc>
        <w:tc>
          <w:tcPr>
            <w:tcW w:w="3763" w:type="pct"/>
          </w:tcPr>
          <w:p w:rsidR="00A872CE" w:rsidRPr="00A872CE" w:rsidRDefault="00A872CE" w:rsidP="00A872CE">
            <w:pPr>
              <w:pStyle w:val="Textpoznpodarou"/>
              <w:jc w:val="both"/>
              <w:rPr>
                <w:color w:val="000000"/>
                <w:spacing w:val="-6"/>
              </w:rPr>
            </w:pPr>
            <w:r w:rsidRPr="00A872CE">
              <w:rPr>
                <w:color w:val="000000"/>
                <w:spacing w:val="-6"/>
              </w:rPr>
              <w:t>Hluboké deficity hospodaření podniků v počátku druhé poloviny 90. let spočívaly mimo jiné v relativně nižších mírách hrubé marže (mj. v důsledku mělké recese ekonomiky), vysoké zadluženosti (a zní plynoucí vyšší potřeby splátek) a postupném prohlubování salda vlastnických důchodů vlivem většího odtoku dividend zahraničním vlastníkům podniků. Podniky nemohly vytvářet dostatečné zdroje, resp. úspory (míra hrubých úspor klesla v roce 1997 k 23 %) na krytí svých vysokých investičních potřeb (v období 1995-97 tak dokázaly z vlastních zdrojů pokrýt méně než dvě třetin</w:t>
            </w:r>
            <w:r w:rsidR="00C4549D">
              <w:rPr>
                <w:color w:val="000000"/>
                <w:spacing w:val="-6"/>
              </w:rPr>
              <w:t>y</w:t>
            </w:r>
            <w:r w:rsidRPr="00A872CE">
              <w:rPr>
                <w:color w:val="000000"/>
                <w:spacing w:val="-6"/>
              </w:rPr>
              <w:t xml:space="preserve"> investic). </w:t>
            </w:r>
          </w:p>
          <w:p w:rsidR="00A872CE" w:rsidRPr="00A872CE" w:rsidRDefault="00A872CE" w:rsidP="00A872CE">
            <w:pPr>
              <w:pStyle w:val="Textpoznpodarou"/>
              <w:jc w:val="both"/>
              <w:rPr>
                <w:color w:val="000000"/>
                <w:sz w:val="12"/>
                <w:szCs w:val="12"/>
              </w:rPr>
            </w:pPr>
          </w:p>
        </w:tc>
      </w:tr>
      <w:tr w:rsidR="00A872CE" w:rsidTr="00A872CE">
        <w:tc>
          <w:tcPr>
            <w:tcW w:w="1091" w:type="pct"/>
          </w:tcPr>
          <w:p w:rsidR="00A872CE" w:rsidRDefault="00A872CE" w:rsidP="00A872CE">
            <w:pPr>
              <w:spacing w:line="240" w:lineRule="auto"/>
              <w:rPr>
                <w:color w:val="000000"/>
                <w:sz w:val="16"/>
                <w:szCs w:val="16"/>
              </w:rPr>
            </w:pPr>
            <w:r>
              <w:rPr>
                <w:color w:val="000000"/>
                <w:sz w:val="16"/>
                <w:szCs w:val="16"/>
              </w:rPr>
              <w:t>Po měnové krizi se výsledky hospodaření nefinančních podniků na konci 90. let zlepšily, byly ovlivněny i pokračující restrukturalizací podniků</w:t>
            </w:r>
          </w:p>
          <w:p w:rsidR="00A872CE" w:rsidRDefault="00A872CE" w:rsidP="00A872CE">
            <w:pPr>
              <w:spacing w:line="240" w:lineRule="auto"/>
              <w:rPr>
                <w:color w:val="000000"/>
                <w:sz w:val="16"/>
                <w:szCs w:val="16"/>
              </w:rPr>
            </w:pPr>
          </w:p>
          <w:p w:rsidR="00A872CE" w:rsidRDefault="00A872CE" w:rsidP="00A872CE">
            <w:pPr>
              <w:spacing w:line="240" w:lineRule="auto"/>
              <w:rPr>
                <w:color w:val="000000"/>
                <w:sz w:val="16"/>
                <w:szCs w:val="16"/>
              </w:rPr>
            </w:pPr>
            <w:r>
              <w:rPr>
                <w:color w:val="000000"/>
                <w:sz w:val="16"/>
                <w:szCs w:val="16"/>
              </w:rPr>
              <w:t xml:space="preserve"> </w:t>
            </w:r>
          </w:p>
        </w:tc>
        <w:tc>
          <w:tcPr>
            <w:tcW w:w="146" w:type="pct"/>
          </w:tcPr>
          <w:p w:rsidR="00A872CE" w:rsidRDefault="00A872CE" w:rsidP="00A872CE">
            <w:pPr>
              <w:pStyle w:val="Textpoznpodarou"/>
              <w:jc w:val="both"/>
              <w:rPr>
                <w:color w:val="000000"/>
              </w:rPr>
            </w:pPr>
          </w:p>
        </w:tc>
        <w:tc>
          <w:tcPr>
            <w:tcW w:w="3763" w:type="pct"/>
          </w:tcPr>
          <w:p w:rsidR="00A872CE" w:rsidRDefault="00A872CE" w:rsidP="00A872CE">
            <w:pPr>
              <w:pStyle w:val="Textpoznpodarou"/>
              <w:jc w:val="both"/>
              <w:rPr>
                <w:color w:val="000000"/>
                <w:spacing w:val="-6"/>
              </w:rPr>
            </w:pPr>
            <w:r w:rsidRPr="00A872CE">
              <w:rPr>
                <w:color w:val="000000"/>
                <w:spacing w:val="-6"/>
              </w:rPr>
              <w:t>Na sklonku 90. let se saldo hospodaření i míra samofinancování podniků výrazně zlepšily. Obnovení ekonomického růstu, ale i vnitřní strukturální změny v rámci nefinančních podniků se odrazily ve významném růstu míry marže i úspor. Při souběžně vysoké (ale stabilizované) míře investic následně vedly podstatnému snížení deficitu hospodaření podniků (čisté výpůjčky v roce 2000 klesly na 81 mld. korun, proti roku 1996 byly o téměř polovinu nižší). Zároveň probíhaly významné posuny v zaměstnanosti – a to jak v rámci sektoru nefinančních podniků (posilování vlivu podniků pod zahraniční kontrolou), tak i mimo něj (přesun pracovníků ze sektoru nefinančních podniků do finanční sféry a především do oblasti drobného podnikání). Pokračující restrukturalizace podniků udržovala vysokou míru investic. Ta dosáhla svého lokálního maxima (39 %) v roce 2001, kdy byla společně s nefinančními podniky na Slovensku zdaleka nejvyšší ze všech zemí současné EU. Přestože v tomto roce dosahovaly podniky i maximálních měr hrubých marží (nejvyšších v hodnoceném dvacetiletém období) byly to právě zesílené investice do fixního kapitálu, které opětovně zhoršily saldo hospodaření podniků (na úroveň blízkou polovině 90. let).</w:t>
            </w:r>
          </w:p>
          <w:p w:rsidR="00A872CE" w:rsidRPr="00A872CE" w:rsidRDefault="00A872CE" w:rsidP="00A872CE">
            <w:pPr>
              <w:pStyle w:val="Textpoznpodarou"/>
              <w:jc w:val="both"/>
              <w:rPr>
                <w:color w:val="000000"/>
                <w:spacing w:val="-6"/>
                <w:sz w:val="12"/>
                <w:szCs w:val="12"/>
              </w:rPr>
            </w:pPr>
          </w:p>
        </w:tc>
      </w:tr>
      <w:tr w:rsidR="00A872CE" w:rsidTr="00A872CE">
        <w:tc>
          <w:tcPr>
            <w:tcW w:w="1091" w:type="pct"/>
          </w:tcPr>
          <w:p w:rsidR="00A872CE" w:rsidRPr="00B66C89" w:rsidRDefault="00A872CE" w:rsidP="00A872CE">
            <w:pPr>
              <w:spacing w:line="240" w:lineRule="auto"/>
              <w:rPr>
                <w:color w:val="000000"/>
                <w:spacing w:val="-2"/>
                <w:sz w:val="16"/>
                <w:szCs w:val="16"/>
              </w:rPr>
            </w:pPr>
            <w:r w:rsidRPr="00B66C89">
              <w:rPr>
                <w:color w:val="000000"/>
                <w:spacing w:val="-2"/>
                <w:sz w:val="16"/>
                <w:szCs w:val="16"/>
              </w:rPr>
              <w:t>V době konjunktury (po vstupu ČR od EU) rostla míra marží i ziskovosti podniků…</w:t>
            </w:r>
          </w:p>
          <w:p w:rsidR="00A872CE" w:rsidRDefault="00A872CE" w:rsidP="00A872CE">
            <w:pPr>
              <w:rPr>
                <w:color w:val="000000"/>
                <w:sz w:val="16"/>
                <w:szCs w:val="16"/>
              </w:rPr>
            </w:pPr>
          </w:p>
          <w:p w:rsidR="00B66C89" w:rsidRDefault="00B66C89" w:rsidP="00A872CE">
            <w:pPr>
              <w:rPr>
                <w:color w:val="000000"/>
                <w:sz w:val="16"/>
                <w:szCs w:val="16"/>
              </w:rPr>
            </w:pPr>
          </w:p>
          <w:p w:rsidR="00A872CE" w:rsidRPr="000711D7" w:rsidRDefault="00A872CE" w:rsidP="00A872CE">
            <w:pPr>
              <w:spacing w:line="240" w:lineRule="auto"/>
              <w:rPr>
                <w:sz w:val="16"/>
                <w:szCs w:val="16"/>
              </w:rPr>
            </w:pPr>
            <w:r>
              <w:rPr>
                <w:color w:val="000000"/>
                <w:sz w:val="16"/>
                <w:szCs w:val="16"/>
              </w:rPr>
              <w:t>…podniky si ale nadále udržovaly významnou potřebu financování vlivem rostoucího odlivu dividend zahraničním akcionářům a také přispěním rostoucích stavů zásob</w:t>
            </w:r>
          </w:p>
        </w:tc>
        <w:tc>
          <w:tcPr>
            <w:tcW w:w="146" w:type="pct"/>
          </w:tcPr>
          <w:p w:rsidR="00A872CE" w:rsidRDefault="00A872CE" w:rsidP="00A872CE">
            <w:pPr>
              <w:rPr>
                <w:sz w:val="16"/>
                <w:szCs w:val="16"/>
              </w:rPr>
            </w:pPr>
          </w:p>
        </w:tc>
        <w:tc>
          <w:tcPr>
            <w:tcW w:w="3763" w:type="pct"/>
          </w:tcPr>
          <w:p w:rsidR="00A872CE" w:rsidRPr="00A872CE" w:rsidRDefault="00A872CE" w:rsidP="00A872CE">
            <w:pPr>
              <w:pStyle w:val="Textpoznpodarou"/>
              <w:jc w:val="both"/>
              <w:rPr>
                <w:color w:val="000000"/>
                <w:spacing w:val="-4"/>
              </w:rPr>
            </w:pPr>
            <w:r w:rsidRPr="00A872CE">
              <w:rPr>
                <w:color w:val="000000"/>
                <w:spacing w:val="-4"/>
              </w:rPr>
              <w:t xml:space="preserve">Vstup ČR do EU dále rozšířil exportní možnosti v té době již silně otevřené české ekonomiky. Následné konjunkturní období přineslo růst míry hrubých marží i </w:t>
            </w:r>
            <w:r w:rsidRPr="00A872CE">
              <w:rPr>
                <w:color w:val="000000"/>
                <w:spacing w:val="-4"/>
              </w:rPr>
              <w:lastRenderedPageBreak/>
              <w:t>ziskovosti (podíl čistého provozního přebytku na celkové produkci nefinančních podniků se mezi ro</w:t>
            </w:r>
            <w:r w:rsidR="00A74C7F">
              <w:rPr>
                <w:color w:val="000000"/>
                <w:spacing w:val="-4"/>
              </w:rPr>
              <w:t xml:space="preserve">ky 2003 a 2006 navýšil o 1 </w:t>
            </w:r>
            <w:proofErr w:type="spellStart"/>
            <w:proofErr w:type="gramStart"/>
            <w:r w:rsidR="00A74C7F">
              <w:rPr>
                <w:color w:val="000000"/>
                <w:spacing w:val="-4"/>
              </w:rPr>
              <w:t>p.b</w:t>
            </w:r>
            <w:proofErr w:type="spellEnd"/>
            <w:r w:rsidR="00A74C7F">
              <w:rPr>
                <w:color w:val="000000"/>
                <w:spacing w:val="-4"/>
              </w:rPr>
              <w:t>.,</w:t>
            </w:r>
            <w:r w:rsidRPr="00A872CE">
              <w:rPr>
                <w:color w:val="000000"/>
                <w:spacing w:val="-4"/>
              </w:rPr>
              <w:t xml:space="preserve"> tj</w:t>
            </w:r>
            <w:r w:rsidR="00A74C7F">
              <w:rPr>
                <w:color w:val="000000"/>
                <w:spacing w:val="-4"/>
              </w:rPr>
              <w:t>.</w:t>
            </w:r>
            <w:proofErr w:type="gramEnd"/>
            <w:r w:rsidRPr="00A872CE">
              <w:rPr>
                <w:color w:val="000000"/>
                <w:spacing w:val="-4"/>
              </w:rPr>
              <w:t xml:space="preserve"> na 9,3 %). Projevilo se také posílením zaměstnanosti, které bylo patrné ve všech </w:t>
            </w:r>
            <w:proofErr w:type="spellStart"/>
            <w:r w:rsidR="00B60C8D">
              <w:rPr>
                <w:color w:val="000000"/>
                <w:spacing w:val="-4"/>
              </w:rPr>
              <w:t>sub</w:t>
            </w:r>
            <w:r w:rsidRPr="00A872CE">
              <w:rPr>
                <w:color w:val="000000"/>
                <w:spacing w:val="-4"/>
              </w:rPr>
              <w:t>sektorech</w:t>
            </w:r>
            <w:proofErr w:type="spellEnd"/>
            <w:r w:rsidRPr="00A872CE">
              <w:rPr>
                <w:color w:val="000000"/>
                <w:spacing w:val="-4"/>
              </w:rPr>
              <w:t xml:space="preserve"> nefinančních podniků – vyjma veřejných podniků. Podíl podniků pod zahraniční kontrolou na celkové hrubé přidané hodnotě nefinančních podniků se přiblížil </w:t>
            </w:r>
            <w:r w:rsidR="00334C45">
              <w:rPr>
                <w:color w:val="000000"/>
                <w:spacing w:val="-4"/>
              </w:rPr>
              <w:t xml:space="preserve">k </w:t>
            </w:r>
            <w:r w:rsidRPr="00A872CE">
              <w:rPr>
                <w:color w:val="000000"/>
                <w:spacing w:val="-4"/>
              </w:rPr>
              <w:t>46 % a na této úrovni fakticky setrvává až do současnosti. Ukončení hlavní vlny restrukturalizace podniků zčásti snížilo dříve silnou investiční potřebu, míra hrubých investic nefinančních podniků však byla stále druhá nejvyšší ze všech sektorů ekonomiky ČR (po sektoru vládních institucí) a také vyšší oproti všem patnácti starším členům EU.</w:t>
            </w:r>
          </w:p>
          <w:p w:rsidR="00A872CE" w:rsidRPr="00A872CE" w:rsidRDefault="00A872CE" w:rsidP="00A872CE">
            <w:pPr>
              <w:pStyle w:val="Textpoznpodarou"/>
              <w:jc w:val="both"/>
              <w:rPr>
                <w:color w:val="000000"/>
                <w:sz w:val="12"/>
                <w:szCs w:val="12"/>
              </w:rPr>
            </w:pPr>
          </w:p>
        </w:tc>
      </w:tr>
      <w:tr w:rsidR="00A872CE" w:rsidTr="00A872CE">
        <w:trPr>
          <w:trHeight w:val="269"/>
        </w:trPr>
        <w:tc>
          <w:tcPr>
            <w:tcW w:w="1091" w:type="pct"/>
          </w:tcPr>
          <w:p w:rsidR="00A872CE" w:rsidRDefault="00A872CE" w:rsidP="00A872CE">
            <w:pPr>
              <w:spacing w:line="240" w:lineRule="auto"/>
              <w:rPr>
                <w:color w:val="000000"/>
                <w:sz w:val="16"/>
                <w:szCs w:val="16"/>
              </w:rPr>
            </w:pPr>
            <w:r>
              <w:rPr>
                <w:color w:val="000000"/>
                <w:sz w:val="16"/>
                <w:szCs w:val="16"/>
              </w:rPr>
              <w:lastRenderedPageBreak/>
              <w:t>Saldo hospodaření p</w:t>
            </w:r>
            <w:r w:rsidR="00B27737">
              <w:rPr>
                <w:color w:val="000000"/>
                <w:sz w:val="16"/>
                <w:szCs w:val="16"/>
              </w:rPr>
              <w:t>odniků se dostalo do nejhlubšího</w:t>
            </w:r>
            <w:r>
              <w:rPr>
                <w:color w:val="000000"/>
                <w:sz w:val="16"/>
                <w:szCs w:val="16"/>
              </w:rPr>
              <w:t xml:space="preserve"> deficitu na vrcholu konjunktury, který stimuloval investiční aktivity,</w:t>
            </w:r>
            <w:r w:rsidR="00B27737">
              <w:rPr>
                <w:color w:val="000000"/>
                <w:sz w:val="16"/>
                <w:szCs w:val="16"/>
              </w:rPr>
              <w:t xml:space="preserve"> </w:t>
            </w:r>
            <w:r>
              <w:rPr>
                <w:color w:val="000000"/>
                <w:sz w:val="16"/>
                <w:szCs w:val="16"/>
              </w:rPr>
              <w:t xml:space="preserve">ale vedl také k vysokému odlivu vlastnických důchodů, zejména do zahraničí </w:t>
            </w:r>
          </w:p>
        </w:tc>
        <w:tc>
          <w:tcPr>
            <w:tcW w:w="146" w:type="pct"/>
          </w:tcPr>
          <w:p w:rsidR="00A872CE" w:rsidRDefault="00A872CE" w:rsidP="00A872CE">
            <w:pPr>
              <w:pStyle w:val="Textpoznpodarou"/>
              <w:jc w:val="both"/>
              <w:rPr>
                <w:color w:val="000000"/>
              </w:rPr>
            </w:pPr>
          </w:p>
        </w:tc>
        <w:tc>
          <w:tcPr>
            <w:tcW w:w="3763" w:type="pct"/>
          </w:tcPr>
          <w:p w:rsidR="00A872CE" w:rsidRDefault="00A872CE" w:rsidP="00A872CE">
            <w:pPr>
              <w:pStyle w:val="Textpoznpodarou"/>
              <w:jc w:val="both"/>
              <w:rPr>
                <w:color w:val="000000"/>
              </w:rPr>
            </w:pPr>
            <w:r>
              <w:rPr>
                <w:color w:val="000000"/>
              </w:rPr>
              <w:t>V roce vrcholící konjunktury (20</w:t>
            </w:r>
            <w:r w:rsidR="00334C45">
              <w:rPr>
                <w:color w:val="000000"/>
              </w:rPr>
              <w:t>07) dosáhl nefinanční sektor</w:t>
            </w:r>
            <w:r>
              <w:rPr>
                <w:color w:val="000000"/>
              </w:rPr>
              <w:t xml:space="preserve"> hi</w:t>
            </w:r>
            <w:r w:rsidR="00334C45">
              <w:rPr>
                <w:color w:val="000000"/>
              </w:rPr>
              <w:t>storicky dosud nejvyšší míry</w:t>
            </w:r>
            <w:r>
              <w:rPr>
                <w:color w:val="000000"/>
              </w:rPr>
              <w:t xml:space="preserve"> čistého zisku (9,3 %) plynoucí</w:t>
            </w:r>
            <w:r w:rsidR="00334C45">
              <w:rPr>
                <w:color w:val="000000"/>
              </w:rPr>
              <w:t>ho</w:t>
            </w:r>
            <w:r>
              <w:rPr>
                <w:color w:val="000000"/>
              </w:rPr>
              <w:t xml:space="preserve"> zejména z vysoké míry hrubých marží, jež atakovala úroveň z</w:t>
            </w:r>
            <w:r w:rsidR="00B27737">
              <w:rPr>
                <w:color w:val="000000"/>
              </w:rPr>
              <w:t> roku 2001. Rekordní</w:t>
            </w:r>
            <w:r>
              <w:rPr>
                <w:color w:val="000000"/>
              </w:rPr>
              <w:t xml:space="preserve"> byl však také schodek hospodaření, když čisté výpůjčky dosáhly 211 mld. korun. Příčinou zdánlivého nesouladu byl jak hluboký propad salda vlastnických důchodů (odliv dividend, ale i reinvestovaných zisků z přímých </w:t>
            </w:r>
            <w:r w:rsidR="00334C45">
              <w:rPr>
                <w:color w:val="000000"/>
              </w:rPr>
              <w:t>zahraničních investic), tak</w:t>
            </w:r>
            <w:r>
              <w:rPr>
                <w:color w:val="000000"/>
              </w:rPr>
              <w:t xml:space="preserve"> zrychlení investiční aktivity podniků, a to jak do fixního kapitálu, a tak i formou historicky nejvyšší</w:t>
            </w:r>
            <w:r w:rsidR="00334C45">
              <w:rPr>
                <w:color w:val="000000"/>
              </w:rPr>
              <w:t>ho</w:t>
            </w:r>
            <w:r>
              <w:rPr>
                <w:color w:val="000000"/>
              </w:rPr>
              <w:t xml:space="preserve"> přírůstku zásob (meziročně o bezmála 100 mld. korun).</w:t>
            </w:r>
          </w:p>
        </w:tc>
      </w:tr>
    </w:tbl>
    <w:p w:rsidR="00A872CE" w:rsidRPr="00A872CE" w:rsidRDefault="00A872CE" w:rsidP="00A872CE">
      <w:pPr>
        <w:pStyle w:val="Textpoznpodarou"/>
        <w:jc w:val="both"/>
        <w:rPr>
          <w:sz w:val="12"/>
          <w:szCs w:val="12"/>
        </w:rPr>
      </w:pPr>
    </w:p>
    <w:tbl>
      <w:tblPr>
        <w:tblW w:w="5000" w:type="pct"/>
        <w:tblLook w:val="04A0"/>
      </w:tblPr>
      <w:tblGrid>
        <w:gridCol w:w="1056"/>
        <w:gridCol w:w="8798"/>
      </w:tblGrid>
      <w:tr w:rsidR="00A872CE" w:rsidRPr="0002540B" w:rsidTr="00A872CE">
        <w:tc>
          <w:tcPr>
            <w:tcW w:w="536" w:type="pct"/>
          </w:tcPr>
          <w:p w:rsidR="00A872CE" w:rsidRPr="0002540B" w:rsidRDefault="00A872CE" w:rsidP="00A872CE">
            <w:pPr>
              <w:pStyle w:val="Textpoznpodarou"/>
              <w:rPr>
                <w:lang w:eastAsia="en-US"/>
              </w:rPr>
            </w:pPr>
            <w:r>
              <w:rPr>
                <w:lang w:eastAsia="en-US"/>
              </w:rPr>
              <w:t>Graf</w:t>
            </w:r>
            <w:r w:rsidR="001E561F">
              <w:rPr>
                <w:lang w:eastAsia="en-US"/>
              </w:rPr>
              <w:t xml:space="preserve"> č. 3:</w:t>
            </w:r>
          </w:p>
        </w:tc>
        <w:tc>
          <w:tcPr>
            <w:tcW w:w="4464" w:type="pct"/>
          </w:tcPr>
          <w:p w:rsidR="00A872CE" w:rsidRPr="009C460D" w:rsidRDefault="00A872CE" w:rsidP="00A872CE">
            <w:pPr>
              <w:pStyle w:val="Textpoznpodarou"/>
              <w:rPr>
                <w:b/>
                <w:spacing w:val="-2"/>
                <w:lang w:eastAsia="en-US"/>
              </w:rPr>
            </w:pPr>
            <w:r w:rsidRPr="009C460D">
              <w:rPr>
                <w:b/>
                <w:spacing w:val="-2"/>
                <w:lang w:eastAsia="en-US"/>
              </w:rPr>
              <w:t>Vybrané ukazatele hospodaření sektoru nefinančních podniků v ČR</w:t>
            </w:r>
          </w:p>
        </w:tc>
      </w:tr>
      <w:tr w:rsidR="00A872CE" w:rsidRPr="0002540B" w:rsidTr="00A872CE">
        <w:tc>
          <w:tcPr>
            <w:tcW w:w="5000" w:type="pct"/>
            <w:gridSpan w:val="2"/>
          </w:tcPr>
          <w:p w:rsidR="00A872CE" w:rsidRPr="007D4281" w:rsidRDefault="00037471" w:rsidP="00A872CE">
            <w:pPr>
              <w:pStyle w:val="Textpoznpodarou"/>
              <w:jc w:val="right"/>
              <w:rPr>
                <w:sz w:val="18"/>
                <w:szCs w:val="18"/>
                <w:lang w:eastAsia="en-US"/>
              </w:rPr>
            </w:pPr>
            <w:r w:rsidRPr="006D292E">
              <w:rPr>
                <w:sz w:val="18"/>
                <w:szCs w:val="18"/>
                <w:lang w:eastAsia="en-US"/>
              </w:rPr>
              <w:pict>
                <v:shape id="_x0000_i1052" type="#_x0000_t75" style="width:481.5pt;height:215.25pt">
                  <v:imagedata r:id="rId10" o:title=""/>
                </v:shape>
              </w:pict>
            </w:r>
          </w:p>
        </w:tc>
      </w:tr>
      <w:tr w:rsidR="00A872CE" w:rsidRPr="0002540B" w:rsidTr="00A872CE">
        <w:tc>
          <w:tcPr>
            <w:tcW w:w="5000" w:type="pct"/>
            <w:gridSpan w:val="2"/>
          </w:tcPr>
          <w:p w:rsidR="00A872CE" w:rsidRDefault="00A872CE" w:rsidP="00A872CE">
            <w:pPr>
              <w:spacing w:before="60"/>
              <w:rPr>
                <w:sz w:val="16"/>
                <w:szCs w:val="16"/>
              </w:rPr>
            </w:pPr>
            <w:r>
              <w:rPr>
                <w:sz w:val="16"/>
                <w:szCs w:val="16"/>
              </w:rPr>
              <w:t xml:space="preserve">Poznámky k výpočtu relativních ukazatelů: </w:t>
            </w:r>
          </w:p>
          <w:p w:rsidR="00A872CE" w:rsidRDefault="00A872CE" w:rsidP="00A872CE">
            <w:pPr>
              <w:rPr>
                <w:sz w:val="16"/>
                <w:szCs w:val="16"/>
              </w:rPr>
            </w:pPr>
            <w:r>
              <w:rPr>
                <w:sz w:val="16"/>
                <w:szCs w:val="16"/>
              </w:rPr>
              <w:t>Míra hrubé marže = hrubý provozní přebytek / hrubá přidaná hodnota * 100</w:t>
            </w:r>
          </w:p>
          <w:p w:rsidR="00A872CE" w:rsidRDefault="00A872CE" w:rsidP="00A872CE">
            <w:pPr>
              <w:rPr>
                <w:sz w:val="16"/>
                <w:szCs w:val="16"/>
              </w:rPr>
            </w:pPr>
            <w:r>
              <w:rPr>
                <w:sz w:val="16"/>
                <w:szCs w:val="16"/>
              </w:rPr>
              <w:t>Míra hrubých úspor = hrubé úspory / hrubá přidaná hodnota * 100</w:t>
            </w:r>
          </w:p>
          <w:p w:rsidR="00A872CE" w:rsidRDefault="00A872CE" w:rsidP="00A872CE">
            <w:pPr>
              <w:rPr>
                <w:sz w:val="16"/>
                <w:szCs w:val="16"/>
              </w:rPr>
            </w:pPr>
            <w:r>
              <w:rPr>
                <w:sz w:val="16"/>
                <w:szCs w:val="16"/>
              </w:rPr>
              <w:t>Míra hrubých investic = hrubá tvorba fixního kapitálu / hrubá přidaná hodnota * 100</w:t>
            </w:r>
          </w:p>
          <w:p w:rsidR="00A872CE" w:rsidRDefault="00A872CE" w:rsidP="00A872CE">
            <w:pPr>
              <w:rPr>
                <w:sz w:val="16"/>
                <w:szCs w:val="16"/>
              </w:rPr>
            </w:pPr>
            <w:r>
              <w:rPr>
                <w:sz w:val="16"/>
                <w:szCs w:val="16"/>
              </w:rPr>
              <w:t>Míra samofinancování (užší pojetí) = hrubé úspory / hrubá tvorba fixního kapitálu *100</w:t>
            </w:r>
          </w:p>
          <w:p w:rsidR="00A872CE" w:rsidRDefault="00A872CE" w:rsidP="00A872CE">
            <w:pPr>
              <w:rPr>
                <w:sz w:val="16"/>
                <w:szCs w:val="16"/>
              </w:rPr>
            </w:pPr>
            <w:r>
              <w:rPr>
                <w:sz w:val="16"/>
                <w:szCs w:val="16"/>
              </w:rPr>
              <w:t>Míra samofinancování (širší pojetí) = (hrubé úspory + saldo kapitálových transferů) / (hrubá tvorba kapitálu+čisté přírůstky půdy a nehmotných aktiv) * 100</w:t>
            </w:r>
          </w:p>
          <w:p w:rsidR="00A872CE" w:rsidRPr="007D4281" w:rsidRDefault="00A872CE" w:rsidP="00A872CE">
            <w:pPr>
              <w:pStyle w:val="Textpoznpodarou"/>
              <w:rPr>
                <w:sz w:val="18"/>
                <w:szCs w:val="18"/>
                <w:lang w:eastAsia="en-US"/>
              </w:rPr>
            </w:pPr>
            <w:r>
              <w:rPr>
                <w:sz w:val="16"/>
                <w:szCs w:val="16"/>
              </w:rPr>
              <w:t xml:space="preserve">Míra čistého zisku = čistý provozní přebytek / celková produkce * </w:t>
            </w:r>
            <w:proofErr w:type="gramStart"/>
            <w:r>
              <w:rPr>
                <w:sz w:val="16"/>
                <w:szCs w:val="16"/>
              </w:rPr>
              <w:t>100</w:t>
            </w:r>
            <w:r>
              <w:rPr>
                <w:color w:val="000000"/>
                <w:sz w:val="18"/>
              </w:rPr>
              <w:t xml:space="preserve">                            </w:t>
            </w:r>
            <w:r>
              <w:rPr>
                <w:sz w:val="18"/>
                <w:szCs w:val="18"/>
                <w:lang w:eastAsia="en-US"/>
              </w:rPr>
              <w:t>Zdroj</w:t>
            </w:r>
            <w:proofErr w:type="gramEnd"/>
            <w:r>
              <w:rPr>
                <w:sz w:val="18"/>
                <w:szCs w:val="18"/>
                <w:lang w:eastAsia="en-US"/>
              </w:rPr>
              <w:t>: ČSÚ (národní účty), vlastní výpočty</w:t>
            </w:r>
          </w:p>
        </w:tc>
      </w:tr>
    </w:tbl>
    <w:p w:rsidR="00A872CE" w:rsidRPr="00A872CE" w:rsidRDefault="00A872CE" w:rsidP="00A872CE">
      <w:pPr>
        <w:pStyle w:val="Textpoznpodarou"/>
        <w:jc w:val="both"/>
        <w:rPr>
          <w:sz w:val="12"/>
          <w:szCs w:val="12"/>
        </w:rPr>
      </w:pPr>
    </w:p>
    <w:tbl>
      <w:tblPr>
        <w:tblW w:w="5000" w:type="pct"/>
        <w:tblCellMar>
          <w:left w:w="28" w:type="dxa"/>
          <w:right w:w="28" w:type="dxa"/>
        </w:tblCellMar>
        <w:tblLook w:val="04A0"/>
      </w:tblPr>
      <w:tblGrid>
        <w:gridCol w:w="2115"/>
        <w:gridCol w:w="283"/>
        <w:gridCol w:w="7296"/>
      </w:tblGrid>
      <w:tr w:rsidR="00A872CE" w:rsidTr="00A872CE">
        <w:tc>
          <w:tcPr>
            <w:tcW w:w="1091" w:type="pct"/>
          </w:tcPr>
          <w:p w:rsidR="00A872CE" w:rsidRDefault="00A872CE" w:rsidP="00A872CE">
            <w:pPr>
              <w:spacing w:line="240" w:lineRule="auto"/>
              <w:rPr>
                <w:sz w:val="16"/>
                <w:szCs w:val="16"/>
              </w:rPr>
            </w:pPr>
            <w:r>
              <w:rPr>
                <w:color w:val="000000"/>
                <w:sz w:val="16"/>
                <w:szCs w:val="16"/>
              </w:rPr>
              <w:t>Hluboké recese v roce 2009 vedla u nefinančních podniků ke snížení za</w:t>
            </w:r>
            <w:r w:rsidR="00D35A48">
              <w:rPr>
                <w:color w:val="000000"/>
                <w:sz w:val="16"/>
                <w:szCs w:val="16"/>
              </w:rPr>
              <w:t xml:space="preserve">městnanosti, fixních investic a k </w:t>
            </w:r>
            <w:r>
              <w:rPr>
                <w:color w:val="000000"/>
                <w:sz w:val="16"/>
                <w:szCs w:val="16"/>
              </w:rPr>
              <w:t>výraznému meziročnímu poklesu stavu zásob</w:t>
            </w:r>
          </w:p>
        </w:tc>
        <w:tc>
          <w:tcPr>
            <w:tcW w:w="146" w:type="pct"/>
          </w:tcPr>
          <w:p w:rsidR="00A872CE" w:rsidRDefault="00A872CE" w:rsidP="00A872CE">
            <w:pPr>
              <w:pStyle w:val="Textpoznpodarou"/>
              <w:jc w:val="both"/>
            </w:pPr>
          </w:p>
        </w:tc>
        <w:tc>
          <w:tcPr>
            <w:tcW w:w="3763" w:type="pct"/>
          </w:tcPr>
          <w:p w:rsidR="00A872CE" w:rsidRPr="00E577FC" w:rsidRDefault="00A872CE" w:rsidP="00A872CE">
            <w:pPr>
              <w:pStyle w:val="Textpoznpodarou"/>
              <w:jc w:val="both"/>
              <w:rPr>
                <w:color w:val="000000"/>
                <w:spacing w:val="-4"/>
              </w:rPr>
            </w:pPr>
            <w:r w:rsidRPr="00E577FC">
              <w:rPr>
                <w:color w:val="000000"/>
                <w:spacing w:val="-4"/>
              </w:rPr>
              <w:t>Hlub</w:t>
            </w:r>
            <w:r w:rsidR="00E577FC" w:rsidRPr="00E577FC">
              <w:rPr>
                <w:color w:val="000000"/>
                <w:spacing w:val="-4"/>
              </w:rPr>
              <w:t xml:space="preserve">oká recese v roce 2009 se </w:t>
            </w:r>
            <w:r w:rsidR="00E577FC">
              <w:rPr>
                <w:color w:val="000000"/>
                <w:spacing w:val="-4"/>
              </w:rPr>
              <w:t xml:space="preserve">velmi </w:t>
            </w:r>
            <w:r w:rsidRPr="00E577FC">
              <w:rPr>
                <w:color w:val="000000"/>
                <w:spacing w:val="-4"/>
              </w:rPr>
              <w:t xml:space="preserve">výrazně promítla do hospodaření sektoru nefinančních podniků v ČR. Hrubá přidaná hodnota zde meziročně poklesla nejvíce ze všech sektorů (nominálně o 6,4 %, v podnicích s dominancí „tuzemského“ kapitálu o celou desetinu). Tento propad byl z hlediska produktivity částečně kompenzován úbytkem zaměstnanosti (-4 %). Podniky však především omezily investice (tvorba hrubého fixního kapitálu se nominálně snížila o sedminu) a stavy zásob byly meziročně nižší o rekordních 35 mld. korun. Meziroční pokles zásob (ovšem o řád nižší) zaznamenaly nefinanční podniky také </w:t>
            </w:r>
            <w:r w:rsidR="00E577FC">
              <w:rPr>
                <w:color w:val="000000"/>
                <w:spacing w:val="-4"/>
              </w:rPr>
              <w:t xml:space="preserve">v </w:t>
            </w:r>
            <w:r w:rsidRPr="00E577FC">
              <w:rPr>
                <w:color w:val="000000"/>
                <w:spacing w:val="-4"/>
              </w:rPr>
              <w:t xml:space="preserve">období měnové krize </w:t>
            </w:r>
            <w:r w:rsidR="003E41E3">
              <w:rPr>
                <w:color w:val="000000"/>
                <w:spacing w:val="-4"/>
              </w:rPr>
              <w:t>na sklonku</w:t>
            </w:r>
            <w:r w:rsidRPr="00E577FC">
              <w:rPr>
                <w:color w:val="000000"/>
                <w:spacing w:val="-4"/>
              </w:rPr>
              <w:t xml:space="preserve"> 90. l</w:t>
            </w:r>
            <w:r w:rsidR="00E577FC">
              <w:rPr>
                <w:color w:val="000000"/>
                <w:spacing w:val="-4"/>
              </w:rPr>
              <w:t>et a i</w:t>
            </w:r>
            <w:r w:rsidRPr="00E577FC">
              <w:rPr>
                <w:color w:val="000000"/>
                <w:spacing w:val="-4"/>
              </w:rPr>
              <w:t xml:space="preserve"> na konci mělké, ale dlouhé recese v roce 2013. Citelné omezení investic spolu se zastavením prohlubování dlouhodobého odlivu dividend vyústilo v málo vídané</w:t>
            </w:r>
            <w:r w:rsidR="003E41E3">
              <w:rPr>
                <w:color w:val="000000"/>
                <w:spacing w:val="-4"/>
              </w:rPr>
              <w:t xml:space="preserve"> kladné saldo hospodaření, </w:t>
            </w:r>
            <w:r w:rsidRPr="00E577FC">
              <w:rPr>
                <w:color w:val="000000"/>
                <w:spacing w:val="-4"/>
              </w:rPr>
              <w:t>čisté půjčky nefinančních podniků činily 10 mld. korun.</w:t>
            </w:r>
          </w:p>
          <w:p w:rsidR="00A872CE" w:rsidRPr="00A872CE" w:rsidRDefault="00A872CE" w:rsidP="00A872CE">
            <w:pPr>
              <w:pStyle w:val="Textpoznpodarou"/>
              <w:jc w:val="both"/>
              <w:rPr>
                <w:spacing w:val="-4"/>
                <w:sz w:val="12"/>
                <w:szCs w:val="12"/>
              </w:rPr>
            </w:pPr>
          </w:p>
        </w:tc>
      </w:tr>
      <w:tr w:rsidR="00A872CE" w:rsidTr="00A872CE">
        <w:tc>
          <w:tcPr>
            <w:tcW w:w="1091" w:type="pct"/>
          </w:tcPr>
          <w:p w:rsidR="00A872CE" w:rsidRDefault="00A872CE" w:rsidP="00A872CE">
            <w:pPr>
              <w:spacing w:line="240" w:lineRule="auto"/>
              <w:rPr>
                <w:color w:val="000000"/>
                <w:sz w:val="16"/>
                <w:szCs w:val="16"/>
              </w:rPr>
            </w:pPr>
            <w:r>
              <w:rPr>
                <w:color w:val="000000"/>
                <w:sz w:val="16"/>
                <w:szCs w:val="16"/>
              </w:rPr>
              <w:t>V období „</w:t>
            </w:r>
            <w:proofErr w:type="spellStart"/>
            <w:r>
              <w:rPr>
                <w:color w:val="000000"/>
                <w:sz w:val="16"/>
                <w:szCs w:val="16"/>
              </w:rPr>
              <w:t>pokrizové</w:t>
            </w:r>
            <w:proofErr w:type="spellEnd"/>
            <w:r>
              <w:rPr>
                <w:color w:val="000000"/>
                <w:sz w:val="16"/>
                <w:szCs w:val="16"/>
              </w:rPr>
              <w:t xml:space="preserve">“ stabilizace bojovaly podniky s klesající mírou marží, opatrnými náklady na pracovní sílu, jakož </w:t>
            </w:r>
            <w:r>
              <w:rPr>
                <w:color w:val="000000"/>
                <w:sz w:val="16"/>
                <w:szCs w:val="16"/>
              </w:rPr>
              <w:lastRenderedPageBreak/>
              <w:t xml:space="preserve">i v oblasti investic; dařilo se jim </w:t>
            </w:r>
            <w:r w:rsidR="00D35A48">
              <w:rPr>
                <w:color w:val="000000"/>
                <w:sz w:val="16"/>
                <w:szCs w:val="16"/>
              </w:rPr>
              <w:t xml:space="preserve">ale </w:t>
            </w:r>
            <w:r>
              <w:rPr>
                <w:color w:val="000000"/>
                <w:sz w:val="16"/>
                <w:szCs w:val="16"/>
              </w:rPr>
              <w:t>splácet dřívější půjčky</w:t>
            </w:r>
          </w:p>
          <w:p w:rsidR="00A872CE" w:rsidRPr="000A4ACC" w:rsidRDefault="00A872CE" w:rsidP="00A872CE">
            <w:pPr>
              <w:spacing w:line="240" w:lineRule="auto"/>
              <w:rPr>
                <w:spacing w:val="-2"/>
                <w:sz w:val="16"/>
                <w:szCs w:val="16"/>
              </w:rPr>
            </w:pPr>
          </w:p>
        </w:tc>
        <w:tc>
          <w:tcPr>
            <w:tcW w:w="146" w:type="pct"/>
          </w:tcPr>
          <w:p w:rsidR="00A872CE" w:rsidRDefault="00A872CE" w:rsidP="00A872CE">
            <w:pPr>
              <w:pStyle w:val="Textpoznpodarou"/>
              <w:jc w:val="both"/>
            </w:pPr>
          </w:p>
        </w:tc>
        <w:tc>
          <w:tcPr>
            <w:tcW w:w="3763" w:type="pct"/>
          </w:tcPr>
          <w:p w:rsidR="00A872CE" w:rsidRDefault="00A872CE" w:rsidP="00A872CE">
            <w:pPr>
              <w:pStyle w:val="Textpoznpodarou"/>
              <w:jc w:val="both"/>
              <w:rPr>
                <w:color w:val="000000"/>
              </w:rPr>
            </w:pPr>
            <w:r>
              <w:rPr>
                <w:color w:val="000000"/>
              </w:rPr>
              <w:t>V období 2010-2013 se podnikům podařilo obnovit mírný nominální růst hrubé přidané hodnoty (v rozpětí 0,6-3,3 %, v reálném vyjádření však přidaná hodnota v letec</w:t>
            </w:r>
            <w:r w:rsidR="003E41E3">
              <w:rPr>
                <w:color w:val="000000"/>
              </w:rPr>
              <w:t>h 2012 a 2013 zřejmě klesala,</w:t>
            </w:r>
            <w:r>
              <w:rPr>
                <w:color w:val="000000"/>
              </w:rPr>
              <w:t xml:space="preserve"> což lze nepřímo soudit z vývoje v průmyslu či maloobchodu). Došlo ke stabilizaci celkové zaměstnanost</w:t>
            </w:r>
            <w:r w:rsidR="003E41E3">
              <w:rPr>
                <w:color w:val="000000"/>
              </w:rPr>
              <w:t>i</w:t>
            </w:r>
            <w:r>
              <w:rPr>
                <w:color w:val="000000"/>
              </w:rPr>
              <w:t xml:space="preserve"> (tempo meziročního </w:t>
            </w:r>
            <w:r>
              <w:rPr>
                <w:color w:val="000000"/>
              </w:rPr>
              <w:lastRenderedPageBreak/>
              <w:t>růstu nominálních vyplacených náhrad zaměstnancům se snižovalo, z 3,5 % v roce 2011 na pouhých 0,6 % v roce 2013). Nepodařilo se naopak zastavit nepřetržitě klesající míru hrubých marží, která se postupně dostala až na úroveň poloviny 90. let. Ještě citelnější byl propad míry čistého zisku, když čistý provozní přebytek činil v roce 2013 jen 6,8 % hodnoty celkové produkce).</w:t>
            </w:r>
          </w:p>
          <w:p w:rsidR="00A872CE" w:rsidRPr="00A872CE" w:rsidRDefault="00A872CE" w:rsidP="00A872CE">
            <w:pPr>
              <w:pStyle w:val="Textpoznpodarou"/>
              <w:jc w:val="both"/>
              <w:rPr>
                <w:spacing w:val="-4"/>
                <w:sz w:val="12"/>
                <w:szCs w:val="12"/>
              </w:rPr>
            </w:pPr>
          </w:p>
        </w:tc>
      </w:tr>
      <w:tr w:rsidR="00A872CE" w:rsidTr="00A872CE">
        <w:tc>
          <w:tcPr>
            <w:tcW w:w="1091" w:type="pct"/>
          </w:tcPr>
          <w:p w:rsidR="00A872CE" w:rsidRPr="00DA1318" w:rsidRDefault="00A872CE" w:rsidP="00A872CE">
            <w:pPr>
              <w:spacing w:line="240" w:lineRule="auto"/>
              <w:rPr>
                <w:sz w:val="16"/>
                <w:szCs w:val="16"/>
              </w:rPr>
            </w:pPr>
          </w:p>
        </w:tc>
        <w:tc>
          <w:tcPr>
            <w:tcW w:w="146" w:type="pct"/>
          </w:tcPr>
          <w:p w:rsidR="00A872CE" w:rsidRDefault="00A872CE" w:rsidP="00A872CE">
            <w:pPr>
              <w:pStyle w:val="Textpoznpodarou"/>
              <w:jc w:val="both"/>
              <w:rPr>
                <w:spacing w:val="-2"/>
              </w:rPr>
            </w:pPr>
          </w:p>
        </w:tc>
        <w:tc>
          <w:tcPr>
            <w:tcW w:w="3763" w:type="pct"/>
          </w:tcPr>
          <w:p w:rsidR="00A872CE" w:rsidRPr="00B43871" w:rsidRDefault="00A872CE" w:rsidP="00A872CE">
            <w:pPr>
              <w:pStyle w:val="Textpoznpodarou"/>
              <w:jc w:val="both"/>
              <w:rPr>
                <w:color w:val="000000"/>
                <w:spacing w:val="-2"/>
              </w:rPr>
            </w:pPr>
            <w:r w:rsidRPr="00B43871">
              <w:rPr>
                <w:color w:val="000000"/>
                <w:spacing w:val="-2"/>
              </w:rPr>
              <w:t>Do citelného poklesu úrokového salda podniků (z 50 mld. korun v roce 2010 na 33 mld. korun o tři r</w:t>
            </w:r>
            <w:r w:rsidR="00B43871" w:rsidRPr="00B43871">
              <w:rPr>
                <w:color w:val="000000"/>
                <w:spacing w:val="-2"/>
              </w:rPr>
              <w:t>oky později) se promítlo úspěšné</w:t>
            </w:r>
            <w:r w:rsidRPr="00B43871">
              <w:rPr>
                <w:color w:val="000000"/>
                <w:spacing w:val="-2"/>
              </w:rPr>
              <w:t xml:space="preserve"> splácení dřívějších půjček, ale i velmi opatrný přístup k dalšímu zadlužování (u krátkodobých půjček</w:t>
            </w:r>
            <w:r w:rsidR="00B43871" w:rsidRPr="00B43871">
              <w:rPr>
                <w:color w:val="000000"/>
                <w:spacing w:val="-2"/>
              </w:rPr>
              <w:t xml:space="preserve"> u obchodních bank v ČR</w:t>
            </w:r>
            <w:r w:rsidRPr="00B43871">
              <w:rPr>
                <w:color w:val="000000"/>
                <w:spacing w:val="-2"/>
              </w:rPr>
              <w:t xml:space="preserve"> jejich nominální hodnota v průběhu roku 2013 dokonce meziročně klesala). Mělčími deficity skončily v roce 2013 i ostatní složky vlastnických důchodů. Díky opatrnému přístupu k investicím zároveň dosáhly nefinanční podniky vysoké míry samofinancování, jak </w:t>
            </w:r>
            <w:r w:rsidR="00D35A48">
              <w:rPr>
                <w:color w:val="000000"/>
                <w:spacing w:val="-2"/>
              </w:rPr>
              <w:t>z vlastních úspor (kolem 85 %), tak</w:t>
            </w:r>
            <w:r w:rsidRPr="00B43871">
              <w:rPr>
                <w:color w:val="000000"/>
                <w:spacing w:val="-2"/>
              </w:rPr>
              <w:t xml:space="preserve"> ze všech zdrojů akumulace (z více než 90 %) a nízkého deficitu salda hospodaření.</w:t>
            </w:r>
          </w:p>
          <w:p w:rsidR="00A872CE" w:rsidRPr="006D142E" w:rsidRDefault="00A872CE" w:rsidP="00A872CE">
            <w:pPr>
              <w:pStyle w:val="Textpoznpodarou"/>
              <w:jc w:val="both"/>
              <w:rPr>
                <w:spacing w:val="-4"/>
                <w:sz w:val="16"/>
                <w:szCs w:val="16"/>
              </w:rPr>
            </w:pPr>
          </w:p>
        </w:tc>
      </w:tr>
      <w:tr w:rsidR="00A872CE" w:rsidTr="00A872CE">
        <w:tc>
          <w:tcPr>
            <w:tcW w:w="1091" w:type="pct"/>
          </w:tcPr>
          <w:p w:rsidR="00A872CE" w:rsidRDefault="00A872CE" w:rsidP="00A872CE">
            <w:pPr>
              <w:spacing w:line="240" w:lineRule="auto"/>
              <w:rPr>
                <w:color w:val="000000"/>
                <w:sz w:val="16"/>
                <w:szCs w:val="16"/>
              </w:rPr>
            </w:pPr>
            <w:r>
              <w:rPr>
                <w:color w:val="000000"/>
                <w:sz w:val="16"/>
                <w:szCs w:val="16"/>
              </w:rPr>
              <w:t xml:space="preserve">Výsledky hospodaření nefinančních podniků v roce 2014 byly ovlivněny oživením domácí i zahraniční poptávky, ale také cenovými vlivy </w:t>
            </w:r>
          </w:p>
        </w:tc>
        <w:tc>
          <w:tcPr>
            <w:tcW w:w="146" w:type="pct"/>
          </w:tcPr>
          <w:p w:rsidR="00A872CE" w:rsidRDefault="00A872CE" w:rsidP="00A872CE">
            <w:pPr>
              <w:pStyle w:val="Textpoznpodarou"/>
              <w:jc w:val="both"/>
              <w:rPr>
                <w:color w:val="000000"/>
              </w:rPr>
            </w:pPr>
          </w:p>
        </w:tc>
        <w:tc>
          <w:tcPr>
            <w:tcW w:w="3763" w:type="pct"/>
          </w:tcPr>
          <w:p w:rsidR="00A872CE" w:rsidRPr="00A872CE" w:rsidRDefault="00A872CE" w:rsidP="00A872CE">
            <w:pPr>
              <w:pStyle w:val="Textpoznpodarou"/>
              <w:jc w:val="both"/>
              <w:rPr>
                <w:color w:val="000000"/>
                <w:spacing w:val="-2"/>
              </w:rPr>
            </w:pPr>
            <w:r w:rsidRPr="00A872CE">
              <w:rPr>
                <w:color w:val="000000"/>
                <w:spacing w:val="-2"/>
              </w:rPr>
              <w:t>Nefinanční podniky byly v roce 2014 ovlivněny výrazným oživením ekonomiky, které se na rozdíl od druhé poloviny roku 2013 plně přeneslo i do širokého spe</w:t>
            </w:r>
            <w:r w:rsidR="00D35A48">
              <w:rPr>
                <w:color w:val="000000"/>
                <w:spacing w:val="-2"/>
              </w:rPr>
              <w:t>ktra odvětví podniků, zejména do služeb</w:t>
            </w:r>
            <w:r w:rsidRPr="00A872CE">
              <w:rPr>
                <w:color w:val="000000"/>
                <w:spacing w:val="-2"/>
              </w:rPr>
              <w:t>. Významnou roli sehrálo i řízené oslabení koruny (započaté na sklonku roku 2013) a také dopady změn světových cen ropy, které se promítly především do hodnot ukazatelů v nominálním vyjádření (na kterých jsou ukazatele institucionálních sektorů standardně konstruovány). V průmyslu, který se na hrubé přidané hodnotě celého sektoru nefinančních podniků podílí téměř z poloviny, rostla v roce 2014 přidaná hodnota v nominálním vyjádření meziročně o desetinu, reálně však pouze polovičním tempem. Ještě významnější cenový vliv byl patrný ve výrobě motorových vozidel, petrochemickém či tabákovém průmyslu, u služeb pak především v dopravě. Dopady cenových vlivů je možné výrazně eliminovat využitím poměrových ukazatelů.</w:t>
            </w:r>
          </w:p>
          <w:p w:rsidR="00A872CE" w:rsidRPr="00A872CE" w:rsidRDefault="00A872CE" w:rsidP="00A872CE">
            <w:pPr>
              <w:pStyle w:val="Textpoznpodarou"/>
              <w:jc w:val="both"/>
              <w:rPr>
                <w:color w:val="000000"/>
                <w:sz w:val="12"/>
                <w:szCs w:val="12"/>
              </w:rPr>
            </w:pPr>
          </w:p>
        </w:tc>
      </w:tr>
      <w:tr w:rsidR="00A872CE" w:rsidTr="00A872CE">
        <w:trPr>
          <w:cantSplit/>
          <w:trHeight w:val="203"/>
        </w:trPr>
        <w:tc>
          <w:tcPr>
            <w:tcW w:w="1091" w:type="pct"/>
          </w:tcPr>
          <w:p w:rsidR="00A872CE" w:rsidRDefault="00A872CE" w:rsidP="004C3A73">
            <w:pPr>
              <w:spacing w:line="240" w:lineRule="auto"/>
              <w:rPr>
                <w:color w:val="000000"/>
                <w:sz w:val="16"/>
                <w:szCs w:val="16"/>
              </w:rPr>
            </w:pPr>
            <w:r>
              <w:rPr>
                <w:color w:val="000000"/>
                <w:sz w:val="16"/>
                <w:szCs w:val="16"/>
              </w:rPr>
              <w:t>Oživen</w:t>
            </w:r>
            <w:r w:rsidR="004F146A">
              <w:rPr>
                <w:color w:val="000000"/>
                <w:sz w:val="16"/>
                <w:szCs w:val="16"/>
              </w:rPr>
              <w:t>í ekonomiky</w:t>
            </w:r>
            <w:r w:rsidR="004C3A73">
              <w:rPr>
                <w:color w:val="000000"/>
                <w:sz w:val="16"/>
                <w:szCs w:val="16"/>
              </w:rPr>
              <w:t xml:space="preserve"> v roce 2014 pomohlo</w:t>
            </w:r>
            <w:r>
              <w:rPr>
                <w:color w:val="000000"/>
                <w:sz w:val="16"/>
                <w:szCs w:val="16"/>
              </w:rPr>
              <w:t xml:space="preserve"> p</w:t>
            </w:r>
            <w:r w:rsidR="004C3A73">
              <w:rPr>
                <w:color w:val="000000"/>
                <w:sz w:val="16"/>
                <w:szCs w:val="16"/>
              </w:rPr>
              <w:t>řiblížit míru hrubých marží k</w:t>
            </w:r>
            <w:r>
              <w:rPr>
                <w:color w:val="000000"/>
                <w:sz w:val="16"/>
                <w:szCs w:val="16"/>
              </w:rPr>
              <w:t> úrovni roku 2008, vyšší zisky podniků byly doprovázeny prohloubení</w:t>
            </w:r>
            <w:r w:rsidR="004C3A73">
              <w:rPr>
                <w:color w:val="000000"/>
                <w:sz w:val="16"/>
                <w:szCs w:val="16"/>
              </w:rPr>
              <w:t>m</w:t>
            </w:r>
            <w:r>
              <w:rPr>
                <w:color w:val="000000"/>
                <w:sz w:val="16"/>
                <w:szCs w:val="16"/>
              </w:rPr>
              <w:t xml:space="preserve"> vlastnických důchodů</w:t>
            </w:r>
          </w:p>
        </w:tc>
        <w:tc>
          <w:tcPr>
            <w:tcW w:w="146" w:type="pct"/>
          </w:tcPr>
          <w:p w:rsidR="00A872CE" w:rsidRDefault="00A872CE" w:rsidP="00A872CE">
            <w:pPr>
              <w:pStyle w:val="Textpoznpodarou"/>
              <w:jc w:val="both"/>
              <w:rPr>
                <w:color w:val="000000"/>
              </w:rPr>
            </w:pPr>
          </w:p>
        </w:tc>
        <w:tc>
          <w:tcPr>
            <w:tcW w:w="3763" w:type="pct"/>
          </w:tcPr>
          <w:p w:rsidR="00A872CE" w:rsidRPr="00A872CE" w:rsidRDefault="00A872CE" w:rsidP="00B60C8D">
            <w:pPr>
              <w:pStyle w:val="Textpoznpodarou"/>
              <w:jc w:val="both"/>
              <w:rPr>
                <w:color w:val="000000"/>
                <w:spacing w:val="-4"/>
              </w:rPr>
            </w:pPr>
            <w:r w:rsidRPr="00A872CE">
              <w:rPr>
                <w:color w:val="000000"/>
                <w:spacing w:val="-4"/>
              </w:rPr>
              <w:t>Příznivě se v roce 2014 u p</w:t>
            </w:r>
            <w:r w:rsidR="004C3A73">
              <w:rPr>
                <w:color w:val="000000"/>
                <w:spacing w:val="-4"/>
              </w:rPr>
              <w:t>odniků vyvíjely jak míra hrubé</w:t>
            </w:r>
            <w:r w:rsidRPr="00A872CE">
              <w:rPr>
                <w:color w:val="000000"/>
                <w:spacing w:val="-4"/>
              </w:rPr>
              <w:t xml:space="preserve"> marže (dosáhla nejvyšší úrovně po roce 2008), tak i míra čistého zisku (která však za dosud rekordní úrovní z let 2006-2007 stále viditelně zaostávala). Přestože investice do hrubého fixního kapitálu u nefinančních podniků meziročn</w:t>
            </w:r>
            <w:r w:rsidR="004C3A73">
              <w:rPr>
                <w:color w:val="000000"/>
                <w:spacing w:val="-4"/>
              </w:rPr>
              <w:t>ě nominálně o téměř 3 % vzrostly</w:t>
            </w:r>
            <w:r w:rsidRPr="00A872CE">
              <w:rPr>
                <w:color w:val="000000"/>
                <w:spacing w:val="-4"/>
              </w:rPr>
              <w:t>, za dy</w:t>
            </w:r>
            <w:r w:rsidR="0019492D">
              <w:rPr>
                <w:color w:val="000000"/>
                <w:spacing w:val="-4"/>
              </w:rPr>
              <w:t>namikou přidané hodnoty zaostaly</w:t>
            </w:r>
            <w:r w:rsidRPr="00A872CE">
              <w:rPr>
                <w:color w:val="000000"/>
                <w:spacing w:val="-4"/>
              </w:rPr>
              <w:t>. I přesto došlo k významnému prohloubení deficitu hospodaření nefinančních podniků (na druhou nejnižš</w:t>
            </w:r>
            <w:r w:rsidR="004F146A">
              <w:rPr>
                <w:color w:val="000000"/>
                <w:spacing w:val="-4"/>
              </w:rPr>
              <w:t>í hodnotu po roce 2008), na což</w:t>
            </w:r>
            <w:r w:rsidRPr="00A872CE">
              <w:rPr>
                <w:color w:val="000000"/>
                <w:spacing w:val="-4"/>
              </w:rPr>
              <w:t xml:space="preserve"> mělo vliv především výrazné </w:t>
            </w:r>
            <w:r w:rsidR="00E70960">
              <w:rPr>
                <w:color w:val="000000"/>
                <w:spacing w:val="-4"/>
              </w:rPr>
              <w:t>zhoršení</w:t>
            </w:r>
            <w:r w:rsidRPr="00A872CE">
              <w:rPr>
                <w:color w:val="000000"/>
                <w:spacing w:val="-4"/>
              </w:rPr>
              <w:t xml:space="preserve"> d</w:t>
            </w:r>
            <w:r w:rsidR="004F146A">
              <w:rPr>
                <w:color w:val="000000"/>
                <w:spacing w:val="-4"/>
              </w:rPr>
              <w:t>eficitu vlastnických důchodů (v</w:t>
            </w:r>
            <w:r w:rsidR="004F146A" w:rsidRPr="00A872CE">
              <w:rPr>
                <w:color w:val="000000"/>
                <w:spacing w:val="-4"/>
              </w:rPr>
              <w:t> </w:t>
            </w:r>
            <w:r w:rsidRPr="00A872CE">
              <w:rPr>
                <w:color w:val="000000"/>
                <w:spacing w:val="-4"/>
              </w:rPr>
              <w:t xml:space="preserve">součtu za všechny </w:t>
            </w:r>
            <w:proofErr w:type="spellStart"/>
            <w:r w:rsidR="00B60C8D">
              <w:rPr>
                <w:color w:val="000000"/>
                <w:spacing w:val="-4"/>
              </w:rPr>
              <w:t>sub</w:t>
            </w:r>
            <w:r w:rsidRPr="00A872CE">
              <w:rPr>
                <w:color w:val="000000"/>
                <w:spacing w:val="-4"/>
              </w:rPr>
              <w:t>sektory</w:t>
            </w:r>
            <w:proofErr w:type="spellEnd"/>
            <w:r w:rsidRPr="00A872CE">
              <w:rPr>
                <w:color w:val="000000"/>
                <w:spacing w:val="-4"/>
              </w:rPr>
              <w:t xml:space="preserve"> nefinančních podni</w:t>
            </w:r>
            <w:r w:rsidR="004F146A">
              <w:rPr>
                <w:color w:val="000000"/>
                <w:spacing w:val="-4"/>
              </w:rPr>
              <w:t>ků činilo v roce 2014 téměř 475</w:t>
            </w:r>
            <w:r w:rsidR="004F146A" w:rsidRPr="00A872CE">
              <w:rPr>
                <w:color w:val="000000"/>
                <w:spacing w:val="-4"/>
              </w:rPr>
              <w:t> </w:t>
            </w:r>
            <w:r w:rsidRPr="00A872CE">
              <w:rPr>
                <w:color w:val="000000"/>
                <w:spacing w:val="-4"/>
              </w:rPr>
              <w:t xml:space="preserve">mld. korun, meziroční prohloubení o </w:t>
            </w:r>
            <w:r w:rsidR="00E70960">
              <w:rPr>
                <w:color w:val="000000"/>
                <w:spacing w:val="-4"/>
              </w:rPr>
              <w:t>celých 100 mld.) a také výrazné</w:t>
            </w:r>
            <w:r w:rsidRPr="00A872CE">
              <w:rPr>
                <w:color w:val="000000"/>
                <w:spacing w:val="-4"/>
              </w:rPr>
              <w:t xml:space="preserve"> snížení kladného salda u kapitálových transferů. </w:t>
            </w:r>
          </w:p>
        </w:tc>
      </w:tr>
    </w:tbl>
    <w:p w:rsidR="00A872CE" w:rsidRDefault="00A872CE" w:rsidP="00A872CE">
      <w:pPr>
        <w:pStyle w:val="Textpoznpodarou"/>
        <w:jc w:val="both"/>
        <w:rPr>
          <w:sz w:val="16"/>
          <w:szCs w:val="16"/>
        </w:rPr>
      </w:pPr>
    </w:p>
    <w:tbl>
      <w:tblPr>
        <w:tblW w:w="5007" w:type="pct"/>
        <w:tblLayout w:type="fixed"/>
        <w:tblCellMar>
          <w:left w:w="28" w:type="dxa"/>
          <w:right w:w="28" w:type="dxa"/>
        </w:tblCellMar>
        <w:tblLook w:val="04A0"/>
      </w:tblPr>
      <w:tblGrid>
        <w:gridCol w:w="594"/>
        <w:gridCol w:w="1520"/>
        <w:gridCol w:w="283"/>
        <w:gridCol w:w="2489"/>
        <w:gridCol w:w="670"/>
        <w:gridCol w:w="4138"/>
        <w:gridCol w:w="14"/>
      </w:tblGrid>
      <w:tr w:rsidR="00A872CE" w:rsidTr="00A872CE">
        <w:tc>
          <w:tcPr>
            <w:tcW w:w="306" w:type="pct"/>
          </w:tcPr>
          <w:p w:rsidR="00A872CE" w:rsidRPr="0002540B" w:rsidRDefault="00A872CE" w:rsidP="00A872CE">
            <w:pPr>
              <w:pStyle w:val="Textpoznpodarou"/>
              <w:rPr>
                <w:lang w:eastAsia="en-US"/>
              </w:rPr>
            </w:pPr>
            <w:r>
              <w:rPr>
                <w:lang w:eastAsia="en-US"/>
              </w:rPr>
              <w:t>Graf</w:t>
            </w:r>
            <w:r w:rsidR="001E561F">
              <w:rPr>
                <w:lang w:eastAsia="en-US"/>
              </w:rPr>
              <w:t xml:space="preserve"> č. 4</w:t>
            </w:r>
          </w:p>
        </w:tc>
        <w:tc>
          <w:tcPr>
            <w:tcW w:w="2211" w:type="pct"/>
            <w:gridSpan w:val="3"/>
          </w:tcPr>
          <w:p w:rsidR="00A872CE" w:rsidRDefault="00A872CE" w:rsidP="00A872CE">
            <w:pPr>
              <w:spacing w:line="240" w:lineRule="auto"/>
              <w:rPr>
                <w:b/>
                <w:bCs/>
              </w:rPr>
            </w:pPr>
            <w:r>
              <w:rPr>
                <w:b/>
                <w:bCs/>
              </w:rPr>
              <w:t>Náklady práce nefinančních podniků v ČR</w:t>
            </w:r>
          </w:p>
          <w:p w:rsidR="00A872CE" w:rsidRDefault="00A872CE" w:rsidP="00B60C8D">
            <w:pPr>
              <w:spacing w:line="240" w:lineRule="auto"/>
              <w:rPr>
                <w:b/>
                <w:bCs/>
                <w:color w:val="000000"/>
              </w:rPr>
            </w:pPr>
            <w:r>
              <w:t>(</w:t>
            </w:r>
            <w:r>
              <w:rPr>
                <w:sz w:val="18"/>
                <w:szCs w:val="18"/>
              </w:rPr>
              <w:t xml:space="preserve">podíl náhrad zaměstnancům a hrubé přidané hodnoty - v %), </w:t>
            </w:r>
            <w:proofErr w:type="spellStart"/>
            <w:r w:rsidR="00B60C8D">
              <w:rPr>
                <w:sz w:val="18"/>
                <w:szCs w:val="18"/>
              </w:rPr>
              <w:t>sub</w:t>
            </w:r>
            <w:r>
              <w:rPr>
                <w:sz w:val="18"/>
                <w:szCs w:val="18"/>
              </w:rPr>
              <w:t>sektory</w:t>
            </w:r>
            <w:proofErr w:type="spellEnd"/>
            <w:r>
              <w:rPr>
                <w:sz w:val="18"/>
                <w:szCs w:val="18"/>
              </w:rPr>
              <w:t xml:space="preserve"> nefinančních podniků</w:t>
            </w:r>
          </w:p>
        </w:tc>
        <w:tc>
          <w:tcPr>
            <w:tcW w:w="345" w:type="pct"/>
          </w:tcPr>
          <w:p w:rsidR="00A872CE" w:rsidRDefault="00A872CE" w:rsidP="001E561F">
            <w:pPr>
              <w:spacing w:line="240" w:lineRule="auto"/>
            </w:pPr>
            <w:r>
              <w:rPr>
                <w:lang w:eastAsia="en-US"/>
              </w:rPr>
              <w:t>Graf</w:t>
            </w:r>
            <w:r w:rsidR="001E561F">
              <w:rPr>
                <w:lang w:eastAsia="en-US"/>
              </w:rPr>
              <w:t xml:space="preserve"> č. 5</w:t>
            </w:r>
          </w:p>
        </w:tc>
        <w:tc>
          <w:tcPr>
            <w:tcW w:w="2138" w:type="pct"/>
            <w:gridSpan w:val="2"/>
          </w:tcPr>
          <w:p w:rsidR="00A872CE" w:rsidRDefault="00A872CE" w:rsidP="00A872CE">
            <w:pPr>
              <w:spacing w:line="240" w:lineRule="auto"/>
              <w:rPr>
                <w:b/>
                <w:bCs/>
              </w:rPr>
            </w:pPr>
            <w:r>
              <w:rPr>
                <w:b/>
                <w:bCs/>
              </w:rPr>
              <w:t xml:space="preserve">Náklady práce nefinančních podniků </w:t>
            </w:r>
          </w:p>
          <w:p w:rsidR="00A872CE" w:rsidRPr="00306660" w:rsidRDefault="00A872CE" w:rsidP="00A872CE">
            <w:pPr>
              <w:pStyle w:val="Textpoznpodarou"/>
            </w:pPr>
            <w:r w:rsidRPr="00306660">
              <w:t xml:space="preserve"> (v %</w:t>
            </w:r>
            <w:r>
              <w:t xml:space="preserve"> HPH</w:t>
            </w:r>
            <w:r w:rsidRPr="00306660">
              <w:t>)</w:t>
            </w:r>
            <w:r>
              <w:t>*</w:t>
            </w:r>
            <w:r w:rsidR="00F45CB3">
              <w:t xml:space="preserve"> </w:t>
            </w:r>
            <w:r>
              <w:rPr>
                <w:b/>
                <w:lang w:eastAsia="en-US"/>
              </w:rPr>
              <w:t>ve vybraných evropských zemích</w:t>
            </w:r>
          </w:p>
        </w:tc>
      </w:tr>
      <w:tr w:rsidR="00A872CE" w:rsidTr="00A872CE">
        <w:tc>
          <w:tcPr>
            <w:tcW w:w="2517" w:type="pct"/>
            <w:gridSpan w:val="4"/>
          </w:tcPr>
          <w:p w:rsidR="00A872CE" w:rsidRDefault="00037471" w:rsidP="00A872CE">
            <w:pPr>
              <w:pStyle w:val="Textpoznpodarou"/>
              <w:jc w:val="both"/>
            </w:pPr>
            <w:r>
              <w:pict>
                <v:shape id="_x0000_i1053" type="#_x0000_t75" style="width:240.75pt;height:201.75pt">
                  <v:imagedata r:id="rId11" o:title=""/>
                </v:shape>
              </w:pict>
            </w:r>
          </w:p>
        </w:tc>
        <w:tc>
          <w:tcPr>
            <w:tcW w:w="2483" w:type="pct"/>
            <w:gridSpan w:val="3"/>
          </w:tcPr>
          <w:p w:rsidR="00A872CE" w:rsidRDefault="00037471" w:rsidP="00A872CE">
            <w:pPr>
              <w:pStyle w:val="Textpoznpodarou"/>
              <w:jc w:val="both"/>
            </w:pPr>
            <w:r>
              <w:pict>
                <v:shape id="_x0000_i1054" type="#_x0000_t75" style="width:239.25pt;height:201.75pt">
                  <v:imagedata r:id="rId12" o:title=""/>
                </v:shape>
              </w:pict>
            </w:r>
          </w:p>
        </w:tc>
      </w:tr>
      <w:tr w:rsidR="00A872CE" w:rsidTr="00A872CE">
        <w:tc>
          <w:tcPr>
            <w:tcW w:w="2517" w:type="pct"/>
            <w:gridSpan w:val="4"/>
          </w:tcPr>
          <w:p w:rsidR="00A872CE" w:rsidRPr="0020709F" w:rsidRDefault="00A872CE" w:rsidP="00A872CE">
            <w:pPr>
              <w:pStyle w:val="Textpoznpodarou"/>
              <w:jc w:val="center"/>
              <w:rPr>
                <w:sz w:val="16"/>
                <w:szCs w:val="16"/>
              </w:rPr>
            </w:pPr>
            <w:r>
              <w:rPr>
                <w:sz w:val="18"/>
                <w:szCs w:val="18"/>
                <w:lang w:eastAsia="en-US"/>
              </w:rPr>
              <w:t xml:space="preserve">                                 Zdroj: ČSÚ (národní účty)</w:t>
            </w:r>
          </w:p>
        </w:tc>
        <w:tc>
          <w:tcPr>
            <w:tcW w:w="2483" w:type="pct"/>
            <w:gridSpan w:val="3"/>
          </w:tcPr>
          <w:p w:rsidR="00A872CE" w:rsidRDefault="00617F45" w:rsidP="00A872CE">
            <w:pPr>
              <w:pStyle w:val="Textpoznpodarou"/>
              <w:rPr>
                <w:sz w:val="18"/>
                <w:szCs w:val="18"/>
                <w:lang w:eastAsia="en-US"/>
              </w:rPr>
            </w:pPr>
            <w:r>
              <w:rPr>
                <w:sz w:val="18"/>
                <w:szCs w:val="18"/>
                <w:lang w:eastAsia="en-US"/>
              </w:rPr>
              <w:t>*</w:t>
            </w:r>
            <w:r w:rsidR="004F146A">
              <w:rPr>
                <w:sz w:val="18"/>
                <w:szCs w:val="18"/>
                <w:lang w:eastAsia="en-US"/>
              </w:rPr>
              <w:t>Pozn</w:t>
            </w:r>
            <w:r w:rsidR="00403697">
              <w:rPr>
                <w:sz w:val="18"/>
                <w:szCs w:val="18"/>
                <w:lang w:eastAsia="en-US"/>
              </w:rPr>
              <w:t>.</w:t>
            </w:r>
            <w:r w:rsidR="004F146A">
              <w:rPr>
                <w:sz w:val="18"/>
                <w:szCs w:val="18"/>
                <w:lang w:eastAsia="en-US"/>
              </w:rPr>
              <w:t>: Z</w:t>
            </w:r>
            <w:r w:rsidR="00A872CE">
              <w:rPr>
                <w:sz w:val="18"/>
                <w:szCs w:val="18"/>
                <w:lang w:eastAsia="en-US"/>
              </w:rPr>
              <w:t xml:space="preserve">a EU a země </w:t>
            </w:r>
            <w:proofErr w:type="spellStart"/>
            <w:r w:rsidR="00A872CE">
              <w:rPr>
                <w:sz w:val="18"/>
                <w:szCs w:val="18"/>
                <w:lang w:eastAsia="en-US"/>
              </w:rPr>
              <w:t>Eurozóny</w:t>
            </w:r>
            <w:proofErr w:type="spellEnd"/>
            <w:r w:rsidR="00A872CE">
              <w:rPr>
                <w:sz w:val="18"/>
                <w:szCs w:val="18"/>
                <w:lang w:eastAsia="en-US"/>
              </w:rPr>
              <w:t xml:space="preserve"> uvedeny pouze celkové náklady práce (tj. náhrady zaměstnancům), za Portugalsko, Švýcarsko a Rumunsko údaje pouze do roku 2012</w:t>
            </w:r>
            <w:r w:rsidR="004F146A">
              <w:rPr>
                <w:sz w:val="18"/>
                <w:szCs w:val="18"/>
                <w:lang w:eastAsia="en-US"/>
              </w:rPr>
              <w:t>.</w:t>
            </w:r>
          </w:p>
          <w:p w:rsidR="00A872CE" w:rsidRPr="00A10AFE" w:rsidRDefault="00A872CE" w:rsidP="00A872CE">
            <w:pPr>
              <w:pStyle w:val="Textpoznpodarou"/>
              <w:jc w:val="right"/>
              <w:rPr>
                <w:rFonts w:cs="Arial"/>
                <w:sz w:val="18"/>
                <w:szCs w:val="18"/>
              </w:rPr>
            </w:pPr>
            <w:r>
              <w:rPr>
                <w:sz w:val="18"/>
                <w:szCs w:val="18"/>
                <w:lang w:eastAsia="en-US"/>
              </w:rPr>
              <w:t xml:space="preserve">Zdroj: </w:t>
            </w:r>
            <w:proofErr w:type="spellStart"/>
            <w:r>
              <w:rPr>
                <w:sz w:val="18"/>
                <w:szCs w:val="18"/>
                <w:lang w:eastAsia="en-US"/>
              </w:rPr>
              <w:t>Eurostat</w:t>
            </w:r>
            <w:proofErr w:type="spellEnd"/>
            <w:r>
              <w:rPr>
                <w:sz w:val="18"/>
                <w:szCs w:val="18"/>
                <w:lang w:eastAsia="en-US"/>
              </w:rPr>
              <w:t>, vlastní výpočty</w:t>
            </w:r>
          </w:p>
        </w:tc>
      </w:tr>
      <w:tr w:rsidR="00A872CE" w:rsidTr="00A872CE">
        <w:trPr>
          <w:gridAfter w:val="1"/>
          <w:wAfter w:w="7" w:type="pct"/>
        </w:trPr>
        <w:tc>
          <w:tcPr>
            <w:tcW w:w="1089" w:type="pct"/>
            <w:gridSpan w:val="2"/>
          </w:tcPr>
          <w:p w:rsidR="00A872CE" w:rsidRDefault="00A872CE" w:rsidP="00A872CE">
            <w:pPr>
              <w:spacing w:line="240" w:lineRule="auto"/>
              <w:rPr>
                <w:sz w:val="16"/>
                <w:szCs w:val="16"/>
              </w:rPr>
            </w:pPr>
            <w:r>
              <w:rPr>
                <w:sz w:val="16"/>
                <w:szCs w:val="16"/>
              </w:rPr>
              <w:lastRenderedPageBreak/>
              <w:t xml:space="preserve">Podíl náhrad zaměstnanců na přidané hodnotě u nefinančních podniků v roce 2014 klesl, poprvé po roce 2007 </w:t>
            </w:r>
          </w:p>
        </w:tc>
        <w:tc>
          <w:tcPr>
            <w:tcW w:w="146" w:type="pct"/>
          </w:tcPr>
          <w:p w:rsidR="00A872CE" w:rsidRDefault="00A872CE" w:rsidP="00A872CE">
            <w:pPr>
              <w:pStyle w:val="Textpoznpodarou"/>
              <w:jc w:val="both"/>
            </w:pPr>
          </w:p>
        </w:tc>
        <w:tc>
          <w:tcPr>
            <w:tcW w:w="3758" w:type="pct"/>
            <w:gridSpan w:val="3"/>
          </w:tcPr>
          <w:p w:rsidR="00A872CE" w:rsidRDefault="00A872CE" w:rsidP="00A872CE">
            <w:pPr>
              <w:pStyle w:val="Textpoznpodarou"/>
              <w:jc w:val="both"/>
              <w:rPr>
                <w:color w:val="000000"/>
              </w:rPr>
            </w:pPr>
            <w:r>
              <w:rPr>
                <w:color w:val="000000"/>
              </w:rPr>
              <w:t>Čistý provozní přebytek</w:t>
            </w:r>
            <w:r w:rsidR="00CF27AC">
              <w:rPr>
                <w:color w:val="000000"/>
              </w:rPr>
              <w:t xml:space="preserve"> nefinančních podniků</w:t>
            </w:r>
            <w:r>
              <w:rPr>
                <w:color w:val="000000"/>
              </w:rPr>
              <w:t xml:space="preserve"> byl v roce 2014 meziročně v nominálním vyjádření o téměř čtvrtinu vyšší. Vedle vyšších tržeb exportních firem (podpořených slabší korunou)</w:t>
            </w:r>
            <w:r w:rsidR="00CF27AC">
              <w:rPr>
                <w:color w:val="000000"/>
              </w:rPr>
              <w:t xml:space="preserve"> sehrál</w:t>
            </w:r>
            <w:r>
              <w:rPr>
                <w:color w:val="000000"/>
              </w:rPr>
              <w:t xml:space="preserve"> roli i velmi obezřetný přístup ke zvyšování mezd. Objem vyplacených mezd a platů (v konceptu národních účtů) se u nefinančních podniků nominálně zvýšil o skromná 2,2 %, bylo to však stále </w:t>
            </w:r>
            <w:r w:rsidR="004F146A">
              <w:rPr>
                <w:color w:val="000000"/>
              </w:rPr>
              <w:t>více než v celé ekonomice 1,9 %</w:t>
            </w:r>
            <w:r>
              <w:rPr>
                <w:color w:val="000000"/>
              </w:rPr>
              <w:t xml:space="preserve">. To vedlo z pohledu podniků ke snížení nákladů práce (vyjádřených jako </w:t>
            </w:r>
            <w:r w:rsidRPr="003D7588">
              <w:rPr>
                <w:color w:val="000000"/>
              </w:rPr>
              <w:t xml:space="preserve">podíl </w:t>
            </w:r>
            <w:r>
              <w:rPr>
                <w:color w:val="000000"/>
              </w:rPr>
              <w:t xml:space="preserve">celkových </w:t>
            </w:r>
            <w:r w:rsidRPr="003D7588">
              <w:rPr>
                <w:color w:val="000000"/>
              </w:rPr>
              <w:t>náhrad zaměstnancům a hrubé přidané hodnoty</w:t>
            </w:r>
            <w:r>
              <w:rPr>
                <w:color w:val="000000"/>
              </w:rPr>
              <w:t>). Lze to zčásti chápat i jako kompenzaci za dlouhé období poznamenané recesí, kdy se podniky navzdory méně příznivému vývoji poptávky (hrubá přidaná hodnota nefinančních podniků byla v roce 2013 nominálně stále pod úrovní roku 2008) snažil</w:t>
            </w:r>
            <w:r w:rsidR="0059787F">
              <w:rPr>
                <w:color w:val="000000"/>
              </w:rPr>
              <w:t>y</w:t>
            </w:r>
            <w:r>
              <w:rPr>
                <w:color w:val="000000"/>
              </w:rPr>
              <w:t xml:space="preserve"> udržet své klíčové zaměstnance, a to</w:t>
            </w:r>
            <w:r w:rsidR="00E57D11">
              <w:rPr>
                <w:color w:val="000000"/>
              </w:rPr>
              <w:t xml:space="preserve"> i</w:t>
            </w:r>
            <w:r>
              <w:rPr>
                <w:color w:val="000000"/>
              </w:rPr>
              <w:t xml:space="preserve"> za cenu růstu jednotkových nákladů práce.</w:t>
            </w:r>
          </w:p>
          <w:p w:rsidR="00A872CE" w:rsidRPr="007363A9" w:rsidRDefault="00A872CE" w:rsidP="00A872CE">
            <w:pPr>
              <w:pStyle w:val="Textpoznpodarou"/>
              <w:jc w:val="both"/>
              <w:rPr>
                <w:spacing w:val="-4"/>
                <w:sz w:val="22"/>
                <w:szCs w:val="22"/>
              </w:rPr>
            </w:pPr>
          </w:p>
        </w:tc>
      </w:tr>
      <w:tr w:rsidR="00A872CE" w:rsidTr="00A872CE">
        <w:trPr>
          <w:gridAfter w:val="1"/>
          <w:wAfter w:w="7" w:type="pct"/>
        </w:trPr>
        <w:tc>
          <w:tcPr>
            <w:tcW w:w="1089" w:type="pct"/>
            <w:gridSpan w:val="2"/>
          </w:tcPr>
          <w:p w:rsidR="00A872CE" w:rsidRPr="000A4ACC" w:rsidRDefault="00A872CE" w:rsidP="00A872CE">
            <w:pPr>
              <w:spacing w:line="240" w:lineRule="auto"/>
              <w:rPr>
                <w:spacing w:val="-2"/>
                <w:sz w:val="16"/>
                <w:szCs w:val="16"/>
              </w:rPr>
            </w:pPr>
            <w:r>
              <w:rPr>
                <w:spacing w:val="-2"/>
                <w:sz w:val="16"/>
                <w:szCs w:val="16"/>
              </w:rPr>
              <w:t xml:space="preserve">Relativní náklady práce u podniků byly ve většině zemí EU v době recese vyšší než v předchozím konjunkturním období </w:t>
            </w:r>
          </w:p>
        </w:tc>
        <w:tc>
          <w:tcPr>
            <w:tcW w:w="146" w:type="pct"/>
          </w:tcPr>
          <w:p w:rsidR="00A872CE" w:rsidRDefault="00A872CE" w:rsidP="00A872CE">
            <w:pPr>
              <w:pStyle w:val="Textpoznpodarou"/>
              <w:jc w:val="both"/>
            </w:pPr>
          </w:p>
        </w:tc>
        <w:tc>
          <w:tcPr>
            <w:tcW w:w="3758" w:type="pct"/>
            <w:gridSpan w:val="3"/>
          </w:tcPr>
          <w:p w:rsidR="00A872CE" w:rsidRPr="00A872CE" w:rsidRDefault="00A872CE" w:rsidP="004F146A">
            <w:pPr>
              <w:pStyle w:val="Textpoznpodarou"/>
              <w:jc w:val="both"/>
              <w:rPr>
                <w:spacing w:val="-4"/>
              </w:rPr>
            </w:pPr>
            <w:r w:rsidRPr="00CD1F0F">
              <w:rPr>
                <w:color w:val="000000"/>
              </w:rPr>
              <w:t>Ze srovnání nákladů práce (v konceptu národních účtů)</w:t>
            </w:r>
            <w:r w:rsidRPr="00767D23">
              <w:rPr>
                <w:color w:val="000000"/>
              </w:rPr>
              <w:t xml:space="preserve"> mezi státy EU </w:t>
            </w:r>
            <w:r>
              <w:rPr>
                <w:color w:val="000000"/>
              </w:rPr>
              <w:t xml:space="preserve">vyplývá, že v období poznamenaném recesí vyplatily nefinanční podniky ve většině států na zaměstnaneckých náhradách (v relaci k vytvořené přidané hodnotě) více než v období předchozí konjunktury (roky 2005-2008). Z významnějších ekonomik to neplatilo pouze pro Španělsko (podobně jako pro většinu menších států citelněji poznačených recesí) a Polsko (jehož ekonomika recesi odolala a vytvořená přidaná hodnota v podnicích tak </w:t>
            </w:r>
            <w:r w:rsidR="004F146A">
              <w:rPr>
                <w:color w:val="000000"/>
              </w:rPr>
              <w:t xml:space="preserve">zde </w:t>
            </w:r>
            <w:r>
              <w:rPr>
                <w:color w:val="000000"/>
              </w:rPr>
              <w:t xml:space="preserve">mohla vykázat vyšší dynamiku než náklady na zaměstnance). </w:t>
            </w:r>
          </w:p>
        </w:tc>
      </w:tr>
    </w:tbl>
    <w:p w:rsidR="00A872CE" w:rsidRPr="007363A9" w:rsidRDefault="00A872CE" w:rsidP="00A872CE">
      <w:pPr>
        <w:pStyle w:val="Textpoznpodarou"/>
        <w:jc w:val="both"/>
        <w:rPr>
          <w:sz w:val="22"/>
          <w:szCs w:val="22"/>
        </w:rPr>
      </w:pPr>
    </w:p>
    <w:tbl>
      <w:tblPr>
        <w:tblW w:w="5007" w:type="pct"/>
        <w:tblLayout w:type="fixed"/>
        <w:tblCellMar>
          <w:left w:w="28" w:type="dxa"/>
          <w:right w:w="28" w:type="dxa"/>
        </w:tblCellMar>
        <w:tblLook w:val="04A0"/>
      </w:tblPr>
      <w:tblGrid>
        <w:gridCol w:w="594"/>
        <w:gridCol w:w="4293"/>
        <w:gridCol w:w="670"/>
        <w:gridCol w:w="4151"/>
      </w:tblGrid>
      <w:tr w:rsidR="00A872CE" w:rsidTr="00A872CE">
        <w:tc>
          <w:tcPr>
            <w:tcW w:w="306" w:type="pct"/>
          </w:tcPr>
          <w:p w:rsidR="00A872CE" w:rsidRPr="0002540B" w:rsidRDefault="00A872CE" w:rsidP="00A872CE">
            <w:pPr>
              <w:pStyle w:val="Textpoznpodarou"/>
              <w:rPr>
                <w:lang w:eastAsia="en-US"/>
              </w:rPr>
            </w:pPr>
            <w:r>
              <w:rPr>
                <w:lang w:eastAsia="en-US"/>
              </w:rPr>
              <w:t>Graf</w:t>
            </w:r>
            <w:r w:rsidR="001E561F">
              <w:rPr>
                <w:lang w:eastAsia="en-US"/>
              </w:rPr>
              <w:t xml:space="preserve"> č. 6</w:t>
            </w:r>
          </w:p>
        </w:tc>
        <w:tc>
          <w:tcPr>
            <w:tcW w:w="2211" w:type="pct"/>
          </w:tcPr>
          <w:p w:rsidR="00A872CE" w:rsidRPr="0002540B" w:rsidRDefault="00A872CE" w:rsidP="00A872CE">
            <w:pPr>
              <w:pStyle w:val="Textpoznpodarou"/>
              <w:rPr>
                <w:lang w:eastAsia="en-US"/>
              </w:rPr>
            </w:pPr>
            <w:r w:rsidRPr="00C26820">
              <w:rPr>
                <w:b/>
                <w:lang w:eastAsia="en-US"/>
              </w:rPr>
              <w:t>Saldo vlastnických důchodů a jejich hlavních složek</w:t>
            </w:r>
            <w:r>
              <w:rPr>
                <w:b/>
                <w:lang w:eastAsia="en-US"/>
              </w:rPr>
              <w:t xml:space="preserve"> </w:t>
            </w:r>
            <w:r>
              <w:rPr>
                <w:b/>
                <w:bCs/>
              </w:rPr>
              <w:t>v ČR</w:t>
            </w:r>
            <w:r>
              <w:rPr>
                <w:lang w:eastAsia="en-US"/>
              </w:rPr>
              <w:t xml:space="preserve"> (sektor </w:t>
            </w:r>
            <w:proofErr w:type="spellStart"/>
            <w:r>
              <w:rPr>
                <w:lang w:eastAsia="en-US"/>
              </w:rPr>
              <w:t>nefin</w:t>
            </w:r>
            <w:proofErr w:type="spellEnd"/>
            <w:r>
              <w:rPr>
                <w:lang w:eastAsia="en-US"/>
              </w:rPr>
              <w:t>. podniků)*</w:t>
            </w:r>
          </w:p>
        </w:tc>
        <w:tc>
          <w:tcPr>
            <w:tcW w:w="345" w:type="pct"/>
          </w:tcPr>
          <w:p w:rsidR="00A872CE" w:rsidRDefault="00A872CE" w:rsidP="001E561F">
            <w:pPr>
              <w:spacing w:line="240" w:lineRule="auto"/>
            </w:pPr>
            <w:r>
              <w:rPr>
                <w:lang w:eastAsia="en-US"/>
              </w:rPr>
              <w:t>Graf</w:t>
            </w:r>
            <w:r w:rsidR="001E561F">
              <w:rPr>
                <w:lang w:eastAsia="en-US"/>
              </w:rPr>
              <w:t xml:space="preserve"> č. 7</w:t>
            </w:r>
          </w:p>
        </w:tc>
        <w:tc>
          <w:tcPr>
            <w:tcW w:w="2138" w:type="pct"/>
          </w:tcPr>
          <w:p w:rsidR="00A872CE" w:rsidRPr="00EB7A56" w:rsidRDefault="00A872CE" w:rsidP="00A872CE">
            <w:pPr>
              <w:spacing w:line="240" w:lineRule="auto"/>
              <w:rPr>
                <w:b/>
                <w:spacing w:val="-4"/>
                <w:lang w:eastAsia="en-US"/>
              </w:rPr>
            </w:pPr>
            <w:r w:rsidRPr="00EB7A56">
              <w:rPr>
                <w:b/>
                <w:spacing w:val="-4"/>
                <w:lang w:eastAsia="en-US"/>
              </w:rPr>
              <w:t xml:space="preserve">Saldo vlastnic. </w:t>
            </w:r>
            <w:proofErr w:type="gramStart"/>
            <w:r w:rsidRPr="00EB7A56">
              <w:rPr>
                <w:b/>
                <w:spacing w:val="-4"/>
                <w:lang w:eastAsia="en-US"/>
              </w:rPr>
              <w:t>důchodů</w:t>
            </w:r>
            <w:proofErr w:type="gramEnd"/>
            <w:r w:rsidRPr="00EB7A56">
              <w:rPr>
                <w:b/>
                <w:spacing w:val="-4"/>
                <w:lang w:eastAsia="en-US"/>
              </w:rPr>
              <w:t xml:space="preserve"> v </w:t>
            </w:r>
            <w:proofErr w:type="spellStart"/>
            <w:r w:rsidRPr="00EB7A56">
              <w:rPr>
                <w:b/>
                <w:spacing w:val="-4"/>
                <w:lang w:eastAsia="en-US"/>
              </w:rPr>
              <w:t>jednotl</w:t>
            </w:r>
            <w:proofErr w:type="spellEnd"/>
            <w:r w:rsidRPr="00EB7A56">
              <w:rPr>
                <w:b/>
                <w:spacing w:val="-4"/>
                <w:lang w:eastAsia="en-US"/>
              </w:rPr>
              <w:t>. pod</w:t>
            </w:r>
            <w:r>
              <w:rPr>
                <w:b/>
                <w:spacing w:val="-4"/>
                <w:lang w:eastAsia="en-US"/>
              </w:rPr>
              <w:t>-</w:t>
            </w:r>
            <w:r w:rsidRPr="00EB7A56">
              <w:rPr>
                <w:b/>
                <w:spacing w:val="-4"/>
                <w:lang w:eastAsia="en-US"/>
              </w:rPr>
              <w:t xml:space="preserve">sektorech </w:t>
            </w:r>
            <w:proofErr w:type="spellStart"/>
            <w:r w:rsidRPr="00EB7A56">
              <w:rPr>
                <w:b/>
                <w:spacing w:val="-4"/>
                <w:lang w:eastAsia="en-US"/>
              </w:rPr>
              <w:t>nefin</w:t>
            </w:r>
            <w:proofErr w:type="spellEnd"/>
            <w:r w:rsidRPr="00EB7A56">
              <w:rPr>
                <w:b/>
                <w:spacing w:val="-4"/>
                <w:lang w:eastAsia="en-US"/>
              </w:rPr>
              <w:t xml:space="preserve">. podniků </w:t>
            </w:r>
            <w:r w:rsidRPr="00EB7A56">
              <w:rPr>
                <w:b/>
                <w:bCs/>
                <w:spacing w:val="-4"/>
              </w:rPr>
              <w:t>v ČR</w:t>
            </w:r>
            <w:r w:rsidRPr="00EB7A56">
              <w:rPr>
                <w:spacing w:val="-4"/>
                <w:lang w:eastAsia="en-US"/>
              </w:rPr>
              <w:t xml:space="preserve"> (v mld. korun)</w:t>
            </w:r>
          </w:p>
        </w:tc>
      </w:tr>
      <w:tr w:rsidR="00A872CE" w:rsidTr="00A872CE">
        <w:tc>
          <w:tcPr>
            <w:tcW w:w="2517" w:type="pct"/>
            <w:gridSpan w:val="2"/>
          </w:tcPr>
          <w:p w:rsidR="00A872CE" w:rsidRDefault="00037471" w:rsidP="00A872CE">
            <w:pPr>
              <w:pStyle w:val="Textpoznpodarou"/>
              <w:jc w:val="both"/>
            </w:pPr>
            <w:r>
              <w:pict>
                <v:shape id="_x0000_i1055" type="#_x0000_t75" style="width:240.75pt;height:212.25pt">
                  <v:imagedata r:id="rId13" o:title=""/>
                </v:shape>
              </w:pict>
            </w:r>
          </w:p>
        </w:tc>
        <w:tc>
          <w:tcPr>
            <w:tcW w:w="2483" w:type="pct"/>
            <w:gridSpan w:val="2"/>
          </w:tcPr>
          <w:p w:rsidR="00A872CE" w:rsidRDefault="00037471" w:rsidP="00A872CE">
            <w:pPr>
              <w:pStyle w:val="Textpoznpodarou"/>
              <w:jc w:val="both"/>
            </w:pPr>
            <w:r>
              <w:pict>
                <v:shape id="_x0000_i1056" type="#_x0000_t75" style="width:237.75pt;height:212.25pt">
                  <v:imagedata r:id="rId14" o:title=""/>
                </v:shape>
              </w:pict>
            </w:r>
          </w:p>
        </w:tc>
      </w:tr>
      <w:tr w:rsidR="00A872CE" w:rsidTr="00A872CE">
        <w:tc>
          <w:tcPr>
            <w:tcW w:w="2517" w:type="pct"/>
            <w:gridSpan w:val="2"/>
          </w:tcPr>
          <w:p w:rsidR="00A872CE" w:rsidRDefault="00A872CE" w:rsidP="00A872CE">
            <w:pPr>
              <w:pStyle w:val="Textpoznpodarou"/>
              <w:rPr>
                <w:sz w:val="18"/>
                <w:szCs w:val="18"/>
                <w:lang w:eastAsia="en-US"/>
              </w:rPr>
            </w:pPr>
            <w:r>
              <w:rPr>
                <w:sz w:val="18"/>
                <w:szCs w:val="18"/>
                <w:lang w:eastAsia="en-US"/>
              </w:rPr>
              <w:t>*</w:t>
            </w:r>
            <w:r w:rsidR="00AA3855">
              <w:rPr>
                <w:sz w:val="18"/>
                <w:szCs w:val="18"/>
                <w:lang w:eastAsia="en-US"/>
              </w:rPr>
              <w:t xml:space="preserve">Pozn.: Součet za </w:t>
            </w:r>
            <w:proofErr w:type="spellStart"/>
            <w:r w:rsidR="00B60C8D">
              <w:rPr>
                <w:sz w:val="18"/>
                <w:szCs w:val="18"/>
                <w:lang w:eastAsia="en-US"/>
              </w:rPr>
              <w:t>sub</w:t>
            </w:r>
            <w:r>
              <w:rPr>
                <w:sz w:val="18"/>
                <w:szCs w:val="18"/>
                <w:lang w:eastAsia="en-US"/>
              </w:rPr>
              <w:t>sektory</w:t>
            </w:r>
            <w:proofErr w:type="spellEnd"/>
            <w:r>
              <w:rPr>
                <w:sz w:val="18"/>
                <w:szCs w:val="18"/>
                <w:lang w:eastAsia="en-US"/>
              </w:rPr>
              <w:t xml:space="preserve"> nefinančních podniků</w:t>
            </w:r>
          </w:p>
          <w:p w:rsidR="00A872CE" w:rsidRPr="0020709F" w:rsidRDefault="00A872CE" w:rsidP="00A872CE">
            <w:pPr>
              <w:pStyle w:val="Textpoznpodarou"/>
              <w:jc w:val="right"/>
              <w:rPr>
                <w:sz w:val="16"/>
                <w:szCs w:val="16"/>
              </w:rPr>
            </w:pPr>
            <w:r>
              <w:rPr>
                <w:sz w:val="18"/>
                <w:szCs w:val="18"/>
                <w:lang w:eastAsia="en-US"/>
              </w:rPr>
              <w:t>Zdroj: ČSÚ (národní účty)</w:t>
            </w:r>
          </w:p>
        </w:tc>
        <w:tc>
          <w:tcPr>
            <w:tcW w:w="2483" w:type="pct"/>
            <w:gridSpan w:val="2"/>
          </w:tcPr>
          <w:p w:rsidR="00A872CE" w:rsidRPr="00A10AFE" w:rsidRDefault="00A872CE" w:rsidP="00A872CE">
            <w:pPr>
              <w:pStyle w:val="Textpoznpodarou"/>
              <w:jc w:val="right"/>
              <w:rPr>
                <w:rFonts w:cs="Arial"/>
                <w:sz w:val="18"/>
                <w:szCs w:val="18"/>
              </w:rPr>
            </w:pPr>
            <w:r>
              <w:rPr>
                <w:sz w:val="18"/>
                <w:szCs w:val="18"/>
                <w:lang w:eastAsia="en-US"/>
              </w:rPr>
              <w:t>Zdroj: ČSÚ (národní účty)</w:t>
            </w:r>
          </w:p>
        </w:tc>
      </w:tr>
    </w:tbl>
    <w:p w:rsidR="00A872CE" w:rsidRPr="004F146A" w:rsidRDefault="00A872CE" w:rsidP="00A872CE">
      <w:pPr>
        <w:pStyle w:val="Textpoznpodarou"/>
        <w:jc w:val="both"/>
        <w:rPr>
          <w:color w:val="000000"/>
        </w:rPr>
      </w:pPr>
    </w:p>
    <w:tbl>
      <w:tblPr>
        <w:tblW w:w="5000" w:type="pct"/>
        <w:tblCellMar>
          <w:left w:w="28" w:type="dxa"/>
          <w:right w:w="28" w:type="dxa"/>
        </w:tblCellMar>
        <w:tblLook w:val="04A0"/>
      </w:tblPr>
      <w:tblGrid>
        <w:gridCol w:w="2115"/>
        <w:gridCol w:w="283"/>
        <w:gridCol w:w="7296"/>
      </w:tblGrid>
      <w:tr w:rsidR="00A872CE" w:rsidTr="00A872CE">
        <w:tc>
          <w:tcPr>
            <w:tcW w:w="1091" w:type="pct"/>
          </w:tcPr>
          <w:p w:rsidR="00A872CE" w:rsidRDefault="00A872CE" w:rsidP="00A872CE">
            <w:pPr>
              <w:spacing w:line="240" w:lineRule="auto"/>
              <w:rPr>
                <w:color w:val="000000"/>
                <w:sz w:val="16"/>
                <w:szCs w:val="16"/>
              </w:rPr>
            </w:pPr>
            <w:r>
              <w:rPr>
                <w:color w:val="000000"/>
                <w:sz w:val="16"/>
                <w:szCs w:val="16"/>
              </w:rPr>
              <w:t>V 90. letech pokrývaly vysokou investiční potřebu podniků v ČR především půjčky od tuzemských bank, v následující dekádě především zahraniční kapitál</w:t>
            </w:r>
          </w:p>
          <w:p w:rsidR="00A872CE" w:rsidRDefault="00A872CE" w:rsidP="00A872CE">
            <w:pPr>
              <w:spacing w:line="240" w:lineRule="auto"/>
              <w:rPr>
                <w:color w:val="000000"/>
                <w:sz w:val="16"/>
                <w:szCs w:val="16"/>
              </w:rPr>
            </w:pPr>
          </w:p>
          <w:p w:rsidR="00A872CE" w:rsidRDefault="00A872CE" w:rsidP="00A872CE">
            <w:pPr>
              <w:spacing w:line="240" w:lineRule="auto"/>
              <w:rPr>
                <w:color w:val="000000"/>
                <w:sz w:val="16"/>
                <w:szCs w:val="16"/>
              </w:rPr>
            </w:pPr>
          </w:p>
          <w:p w:rsidR="00A872CE" w:rsidRDefault="00A872CE" w:rsidP="00A872CE">
            <w:pPr>
              <w:spacing w:line="240" w:lineRule="auto"/>
              <w:rPr>
                <w:color w:val="000000"/>
                <w:sz w:val="16"/>
                <w:szCs w:val="16"/>
              </w:rPr>
            </w:pPr>
          </w:p>
          <w:p w:rsidR="00A872CE" w:rsidRDefault="00A872CE" w:rsidP="00A872CE">
            <w:pPr>
              <w:spacing w:line="240" w:lineRule="auto"/>
              <w:rPr>
                <w:color w:val="000000"/>
                <w:sz w:val="16"/>
                <w:szCs w:val="16"/>
              </w:rPr>
            </w:pPr>
          </w:p>
          <w:p w:rsidR="00A872CE" w:rsidRDefault="00A872CE" w:rsidP="00A872CE">
            <w:pPr>
              <w:spacing w:line="240" w:lineRule="auto"/>
              <w:rPr>
                <w:color w:val="000000"/>
                <w:sz w:val="16"/>
                <w:szCs w:val="16"/>
              </w:rPr>
            </w:pPr>
          </w:p>
          <w:p w:rsidR="00A872CE" w:rsidRDefault="00A872CE" w:rsidP="00A872CE">
            <w:pPr>
              <w:spacing w:line="240" w:lineRule="auto"/>
              <w:rPr>
                <w:color w:val="000000"/>
                <w:sz w:val="16"/>
                <w:szCs w:val="16"/>
              </w:rPr>
            </w:pPr>
            <w:r>
              <w:rPr>
                <w:color w:val="000000"/>
                <w:sz w:val="16"/>
                <w:szCs w:val="16"/>
              </w:rPr>
              <w:t>Vysoký růst nominálních zisků podniků se promítl do rekordní výše reinvestovaných zisků z přímých zahraničních investic</w:t>
            </w:r>
          </w:p>
          <w:p w:rsidR="00A872CE" w:rsidRDefault="00A872CE" w:rsidP="00A872CE">
            <w:pPr>
              <w:spacing w:line="240" w:lineRule="auto"/>
              <w:rPr>
                <w:sz w:val="16"/>
                <w:szCs w:val="16"/>
              </w:rPr>
            </w:pPr>
          </w:p>
        </w:tc>
        <w:tc>
          <w:tcPr>
            <w:tcW w:w="146" w:type="pct"/>
          </w:tcPr>
          <w:p w:rsidR="00A872CE" w:rsidRDefault="00A872CE" w:rsidP="00A872CE">
            <w:pPr>
              <w:pStyle w:val="Textpoznpodarou"/>
              <w:jc w:val="both"/>
            </w:pPr>
          </w:p>
        </w:tc>
        <w:tc>
          <w:tcPr>
            <w:tcW w:w="3763" w:type="pct"/>
          </w:tcPr>
          <w:p w:rsidR="00A872CE" w:rsidRPr="00DB2CD4" w:rsidRDefault="00A872CE" w:rsidP="00A872CE">
            <w:pPr>
              <w:pStyle w:val="Textpoznpodarou"/>
              <w:jc w:val="both"/>
              <w:rPr>
                <w:color w:val="000000"/>
              </w:rPr>
            </w:pPr>
            <w:r w:rsidRPr="00DB2CD4">
              <w:rPr>
                <w:color w:val="000000"/>
              </w:rPr>
              <w:t>Obnova a modernizace výrobních kapacit nefina</w:t>
            </w:r>
            <w:r>
              <w:rPr>
                <w:color w:val="000000"/>
              </w:rPr>
              <w:t>n</w:t>
            </w:r>
            <w:r w:rsidRPr="00DB2CD4">
              <w:rPr>
                <w:color w:val="000000"/>
              </w:rPr>
              <w:t>čních podniků v</w:t>
            </w:r>
            <w:r>
              <w:rPr>
                <w:color w:val="000000"/>
              </w:rPr>
              <w:t> </w:t>
            </w:r>
            <w:r w:rsidRPr="00DB2CD4">
              <w:rPr>
                <w:color w:val="000000"/>
              </w:rPr>
              <w:t>ČR</w:t>
            </w:r>
            <w:r>
              <w:rPr>
                <w:color w:val="000000"/>
              </w:rPr>
              <w:t xml:space="preserve"> byla podobně jako ve většině ostatních tranzitivních ekon</w:t>
            </w:r>
            <w:r w:rsidR="00B27737">
              <w:rPr>
                <w:color w:val="000000"/>
              </w:rPr>
              <w:t>omik</w:t>
            </w:r>
            <w:r>
              <w:rPr>
                <w:color w:val="000000"/>
              </w:rPr>
              <w:t xml:space="preserve"> silně závislá na přílivu zahraničního kapitálu. Zatímco ještě v 90. letech hledaly </w:t>
            </w:r>
            <w:proofErr w:type="spellStart"/>
            <w:r>
              <w:rPr>
                <w:color w:val="000000"/>
              </w:rPr>
              <w:t>podkapitalizované</w:t>
            </w:r>
            <w:proofErr w:type="spellEnd"/>
            <w:r>
              <w:rPr>
                <w:color w:val="000000"/>
              </w:rPr>
              <w:t xml:space="preserve"> tuzemské podniky zdroje nutných investic především v bankovních půjčkách, v pozdějších letech pramenily především z masivního přílivu přímých zahraničních investic (především z období 1999-2002). Vysoké úrokové míry i zadluženost podniků byly v 90. letech příčinou hlubokého záporného salda z úroků (v období recese let 1997-1998 zaplatily nefinanční podniky na úrocích v průměru ročně o 105 mld. korun více, než činily jejich příjmy z vkladů). Od roku 2001 začalo u podniků převažovat záporné saldo z rozdělených důchodů společností (pře</w:t>
            </w:r>
            <w:r w:rsidR="004F146A">
              <w:rPr>
                <w:color w:val="000000"/>
              </w:rPr>
              <w:t>devším formou dividend) nad výší</w:t>
            </w:r>
            <w:r>
              <w:rPr>
                <w:color w:val="000000"/>
              </w:rPr>
              <w:t xml:space="preserve"> negativního salda plynoucího z úroků. Postupné prohlubování salda všech vlastnických důchodů se u podniků dočasně zastavilo až v roce 2012, když saldo dividend vykazovalo jistou stabilizaci již od roku 2009. K dalšímu citelnému prohloubení pak došlo v roce 2014, a to výhradně vlivem reinvestovaných zisků z přímých zahraničních investic, jejichž saldo (-185 mld. korun) se zc</w:t>
            </w:r>
            <w:r w:rsidR="00B66C89">
              <w:rPr>
                <w:color w:val="000000"/>
              </w:rPr>
              <w:t>ela vymykalo hodnotám dosaženým</w:t>
            </w:r>
            <w:r>
              <w:rPr>
                <w:color w:val="000000"/>
              </w:rPr>
              <w:t xml:space="preserve"> </w:t>
            </w:r>
            <w:r w:rsidR="00B66C89">
              <w:rPr>
                <w:color w:val="000000"/>
              </w:rPr>
              <w:lastRenderedPageBreak/>
              <w:t xml:space="preserve">v </w:t>
            </w:r>
            <w:r>
              <w:rPr>
                <w:color w:val="000000"/>
              </w:rPr>
              <w:t>předchozích letech. Základem pro takto vysoké „zadržené zisky“ byl především vysoký meziroční růst čistého provozního př</w:t>
            </w:r>
            <w:r w:rsidR="004F146A">
              <w:rPr>
                <w:color w:val="000000"/>
              </w:rPr>
              <w:t>ebytku podniků (nominálně o 123 </w:t>
            </w:r>
            <w:r>
              <w:rPr>
                <w:color w:val="000000"/>
              </w:rPr>
              <w:t xml:space="preserve">mld. korun). </w:t>
            </w:r>
          </w:p>
        </w:tc>
      </w:tr>
    </w:tbl>
    <w:p w:rsidR="00A872CE" w:rsidRDefault="00A872CE" w:rsidP="00A872CE">
      <w:pPr>
        <w:pStyle w:val="Textpoznpodarou"/>
        <w:jc w:val="both"/>
        <w:rPr>
          <w:sz w:val="16"/>
          <w:szCs w:val="16"/>
        </w:rPr>
      </w:pPr>
    </w:p>
    <w:tbl>
      <w:tblPr>
        <w:tblW w:w="5007" w:type="pct"/>
        <w:tblLayout w:type="fixed"/>
        <w:tblCellMar>
          <w:left w:w="28" w:type="dxa"/>
          <w:right w:w="28" w:type="dxa"/>
        </w:tblCellMar>
        <w:tblLook w:val="04A0"/>
      </w:tblPr>
      <w:tblGrid>
        <w:gridCol w:w="738"/>
        <w:gridCol w:w="4149"/>
        <w:gridCol w:w="670"/>
        <w:gridCol w:w="4151"/>
      </w:tblGrid>
      <w:tr w:rsidR="00A872CE" w:rsidTr="001E561F">
        <w:tc>
          <w:tcPr>
            <w:tcW w:w="380" w:type="pct"/>
          </w:tcPr>
          <w:p w:rsidR="00A872CE" w:rsidRPr="0002540B" w:rsidRDefault="00A872CE" w:rsidP="001E561F">
            <w:pPr>
              <w:pStyle w:val="Textpoznpodarou"/>
              <w:rPr>
                <w:lang w:eastAsia="en-US"/>
              </w:rPr>
            </w:pPr>
            <w:r>
              <w:rPr>
                <w:lang w:eastAsia="en-US"/>
              </w:rPr>
              <w:t>Graf</w:t>
            </w:r>
            <w:r w:rsidR="001E561F">
              <w:rPr>
                <w:lang w:eastAsia="en-US"/>
              </w:rPr>
              <w:t xml:space="preserve"> č. 8</w:t>
            </w:r>
          </w:p>
        </w:tc>
        <w:tc>
          <w:tcPr>
            <w:tcW w:w="2137" w:type="pct"/>
          </w:tcPr>
          <w:p w:rsidR="00A872CE" w:rsidRDefault="00A872CE" w:rsidP="00A872CE">
            <w:pPr>
              <w:spacing w:line="240" w:lineRule="auto"/>
              <w:rPr>
                <w:b/>
                <w:bCs/>
                <w:color w:val="000000"/>
              </w:rPr>
            </w:pPr>
            <w:r>
              <w:rPr>
                <w:b/>
                <w:bCs/>
                <w:color w:val="000000"/>
              </w:rPr>
              <w:t xml:space="preserve">Rozdíl mezi přijatými a vyplacenými vlastnickými důchody za sektor </w:t>
            </w:r>
            <w:proofErr w:type="spellStart"/>
            <w:r>
              <w:rPr>
                <w:b/>
                <w:bCs/>
                <w:color w:val="000000"/>
              </w:rPr>
              <w:t>nef</w:t>
            </w:r>
            <w:proofErr w:type="spellEnd"/>
            <w:r>
              <w:rPr>
                <w:b/>
                <w:bCs/>
                <w:color w:val="000000"/>
              </w:rPr>
              <w:t xml:space="preserve">. </w:t>
            </w:r>
            <w:proofErr w:type="spellStart"/>
            <w:r>
              <w:rPr>
                <w:b/>
                <w:bCs/>
                <w:color w:val="000000"/>
              </w:rPr>
              <w:t>inst</w:t>
            </w:r>
            <w:proofErr w:type="spellEnd"/>
            <w:r>
              <w:rPr>
                <w:b/>
                <w:bCs/>
                <w:color w:val="000000"/>
              </w:rPr>
              <w:t xml:space="preserve">. </w:t>
            </w:r>
            <w:r w:rsidRPr="00B43C17">
              <w:rPr>
                <w:bCs/>
                <w:color w:val="000000"/>
              </w:rPr>
              <w:t xml:space="preserve">(% čistého </w:t>
            </w:r>
            <w:r>
              <w:rPr>
                <w:bCs/>
                <w:color w:val="000000"/>
              </w:rPr>
              <w:t>provoz.</w:t>
            </w:r>
            <w:r w:rsidRPr="00B43C17">
              <w:rPr>
                <w:bCs/>
                <w:color w:val="000000"/>
              </w:rPr>
              <w:t xml:space="preserve"> </w:t>
            </w:r>
            <w:proofErr w:type="gramStart"/>
            <w:r w:rsidRPr="00B43C17">
              <w:rPr>
                <w:bCs/>
                <w:color w:val="000000"/>
              </w:rPr>
              <w:t>přebytku</w:t>
            </w:r>
            <w:proofErr w:type="gramEnd"/>
            <w:r w:rsidRPr="00B43C17">
              <w:rPr>
                <w:bCs/>
                <w:color w:val="000000"/>
              </w:rPr>
              <w:t xml:space="preserve"> tohoto sektoru</w:t>
            </w:r>
            <w:r>
              <w:rPr>
                <w:bCs/>
                <w:color w:val="000000"/>
              </w:rPr>
              <w:t xml:space="preserve">, </w:t>
            </w:r>
            <w:proofErr w:type="spellStart"/>
            <w:r>
              <w:rPr>
                <w:bCs/>
                <w:color w:val="000000"/>
              </w:rPr>
              <w:t>vybr</w:t>
            </w:r>
            <w:proofErr w:type="spellEnd"/>
            <w:r>
              <w:rPr>
                <w:bCs/>
                <w:color w:val="000000"/>
              </w:rPr>
              <w:t>. evropské státy, průměr let 2009-2013)*</w:t>
            </w:r>
          </w:p>
        </w:tc>
        <w:tc>
          <w:tcPr>
            <w:tcW w:w="345" w:type="pct"/>
          </w:tcPr>
          <w:p w:rsidR="00A872CE" w:rsidRDefault="001E561F" w:rsidP="001E561F">
            <w:pPr>
              <w:spacing w:line="240" w:lineRule="auto"/>
            </w:pPr>
            <w:r>
              <w:t>Graf č. 9</w:t>
            </w:r>
          </w:p>
        </w:tc>
        <w:tc>
          <w:tcPr>
            <w:tcW w:w="2138" w:type="pct"/>
          </w:tcPr>
          <w:p w:rsidR="00A872CE" w:rsidRDefault="00A872CE" w:rsidP="00A872CE">
            <w:pPr>
              <w:pStyle w:val="Textpoznpodarou"/>
              <w:rPr>
                <w:b/>
                <w:bCs/>
                <w:color w:val="000000"/>
              </w:rPr>
            </w:pPr>
            <w:r>
              <w:rPr>
                <w:b/>
                <w:bCs/>
                <w:color w:val="000000"/>
              </w:rPr>
              <w:t xml:space="preserve">Rozdíl mezi přijatými a vyplacenými vlastnickými důchody v sektoru </w:t>
            </w:r>
            <w:proofErr w:type="spellStart"/>
            <w:r>
              <w:rPr>
                <w:b/>
                <w:bCs/>
                <w:color w:val="000000"/>
              </w:rPr>
              <w:t>nef</w:t>
            </w:r>
            <w:proofErr w:type="spellEnd"/>
            <w:r>
              <w:rPr>
                <w:b/>
                <w:bCs/>
                <w:color w:val="000000"/>
              </w:rPr>
              <w:t xml:space="preserve">. </w:t>
            </w:r>
            <w:proofErr w:type="spellStart"/>
            <w:r>
              <w:rPr>
                <w:b/>
                <w:bCs/>
                <w:color w:val="000000"/>
              </w:rPr>
              <w:t>inst</w:t>
            </w:r>
            <w:proofErr w:type="spellEnd"/>
            <w:r>
              <w:rPr>
                <w:b/>
                <w:bCs/>
                <w:color w:val="000000"/>
              </w:rPr>
              <w:t>.</w:t>
            </w:r>
          </w:p>
          <w:p w:rsidR="00A872CE" w:rsidRDefault="00A872CE" w:rsidP="00A872CE">
            <w:pPr>
              <w:pStyle w:val="Textpoznpodarou"/>
              <w:rPr>
                <w:b/>
                <w:bCs/>
                <w:color w:val="000000"/>
              </w:rPr>
            </w:pPr>
            <w:r>
              <w:rPr>
                <w:b/>
                <w:bCs/>
                <w:color w:val="000000"/>
              </w:rPr>
              <w:t>a v celém národním hospodářství)</w:t>
            </w:r>
          </w:p>
          <w:p w:rsidR="00A872CE" w:rsidRPr="00382B0B" w:rsidRDefault="00A872CE" w:rsidP="00A872CE">
            <w:pPr>
              <w:pStyle w:val="Textpoznpodarou"/>
              <w:rPr>
                <w:b/>
                <w:bCs/>
                <w:color w:val="000000"/>
              </w:rPr>
            </w:pPr>
            <w:r w:rsidRPr="00B43C17">
              <w:rPr>
                <w:bCs/>
                <w:color w:val="000000"/>
              </w:rPr>
              <w:t xml:space="preserve">(% čistého provozního </w:t>
            </w:r>
            <w:r>
              <w:rPr>
                <w:bCs/>
                <w:color w:val="000000"/>
              </w:rPr>
              <w:t>přebytku)</w:t>
            </w:r>
            <w:r w:rsidR="00CD4AD9">
              <w:rPr>
                <w:bCs/>
                <w:color w:val="000000"/>
              </w:rPr>
              <w:t>*</w:t>
            </w:r>
          </w:p>
        </w:tc>
      </w:tr>
      <w:tr w:rsidR="00A872CE" w:rsidTr="001E561F">
        <w:tc>
          <w:tcPr>
            <w:tcW w:w="2517" w:type="pct"/>
            <w:gridSpan w:val="2"/>
          </w:tcPr>
          <w:p w:rsidR="00A872CE" w:rsidRDefault="00037471" w:rsidP="00A872CE">
            <w:pPr>
              <w:pStyle w:val="Textpoznpodarou"/>
              <w:jc w:val="both"/>
            </w:pPr>
            <w:r>
              <w:pict>
                <v:shape id="_x0000_i1057" type="#_x0000_t75" style="width:240.75pt;height:202.5pt">
                  <v:imagedata r:id="rId15" o:title=""/>
                </v:shape>
              </w:pict>
            </w:r>
          </w:p>
        </w:tc>
        <w:tc>
          <w:tcPr>
            <w:tcW w:w="2483" w:type="pct"/>
            <w:gridSpan w:val="2"/>
          </w:tcPr>
          <w:p w:rsidR="00A872CE" w:rsidRDefault="00037471" w:rsidP="00A872CE">
            <w:pPr>
              <w:pStyle w:val="Textpoznpodarou"/>
              <w:jc w:val="both"/>
            </w:pPr>
            <w:r>
              <w:pict>
                <v:shape id="_x0000_i1058" type="#_x0000_t75" style="width:238.5pt;height:203.25pt">
                  <v:imagedata r:id="rId16" o:title=""/>
                </v:shape>
              </w:pict>
            </w:r>
          </w:p>
        </w:tc>
      </w:tr>
      <w:tr w:rsidR="00A872CE" w:rsidTr="001E561F">
        <w:tc>
          <w:tcPr>
            <w:tcW w:w="2517" w:type="pct"/>
            <w:gridSpan w:val="2"/>
          </w:tcPr>
          <w:p w:rsidR="00A872CE" w:rsidRPr="00AA3855" w:rsidRDefault="00A872CE" w:rsidP="00A872CE">
            <w:pPr>
              <w:pStyle w:val="Textpoznpodarou"/>
              <w:rPr>
                <w:spacing w:val="-2"/>
                <w:sz w:val="18"/>
                <w:szCs w:val="18"/>
                <w:lang w:eastAsia="en-US"/>
              </w:rPr>
            </w:pPr>
            <w:r w:rsidRPr="00AA3855">
              <w:rPr>
                <w:spacing w:val="-2"/>
                <w:sz w:val="18"/>
                <w:szCs w:val="18"/>
                <w:lang w:eastAsia="en-US"/>
              </w:rPr>
              <w:t>*</w:t>
            </w:r>
            <w:r w:rsidR="00AA3855" w:rsidRPr="00AA3855">
              <w:rPr>
                <w:spacing w:val="-2"/>
                <w:sz w:val="18"/>
                <w:szCs w:val="18"/>
                <w:lang w:eastAsia="en-US"/>
              </w:rPr>
              <w:t xml:space="preserve">Pozn.: </w:t>
            </w:r>
            <w:r w:rsidRPr="00AA3855">
              <w:rPr>
                <w:spacing w:val="-2"/>
                <w:sz w:val="18"/>
                <w:szCs w:val="18"/>
                <w:lang w:eastAsia="en-US"/>
              </w:rPr>
              <w:t xml:space="preserve">Za Švýcarsko a Rumunsko období 2009-2012. Údaje za Maltu nedostupné v celé časové řadě. V uskupeních </w:t>
            </w:r>
          </w:p>
          <w:p w:rsidR="00A872CE" w:rsidRPr="00AA3855" w:rsidRDefault="00A872CE" w:rsidP="00A872CE">
            <w:pPr>
              <w:pStyle w:val="Textpoznpodarou"/>
              <w:rPr>
                <w:spacing w:val="-2"/>
                <w:sz w:val="18"/>
                <w:szCs w:val="18"/>
                <w:lang w:eastAsia="en-US"/>
              </w:rPr>
            </w:pPr>
            <w:r w:rsidRPr="00AA3855">
              <w:rPr>
                <w:spacing w:val="-2"/>
                <w:sz w:val="18"/>
                <w:szCs w:val="18"/>
                <w:lang w:eastAsia="en-US"/>
              </w:rPr>
              <w:t xml:space="preserve">EU28, a </w:t>
            </w:r>
            <w:proofErr w:type="spellStart"/>
            <w:r w:rsidRPr="00AA3855">
              <w:rPr>
                <w:spacing w:val="-2"/>
                <w:sz w:val="18"/>
                <w:szCs w:val="18"/>
                <w:lang w:eastAsia="en-US"/>
              </w:rPr>
              <w:t>eurozóny</w:t>
            </w:r>
            <w:proofErr w:type="spellEnd"/>
            <w:r w:rsidRPr="00AA3855">
              <w:rPr>
                <w:spacing w:val="-2"/>
                <w:sz w:val="18"/>
                <w:szCs w:val="18"/>
                <w:lang w:eastAsia="en-US"/>
              </w:rPr>
              <w:t xml:space="preserve"> nedostupné údaje za dílčí důchody </w:t>
            </w:r>
          </w:p>
          <w:p w:rsidR="00A872CE" w:rsidRPr="00D035CD" w:rsidRDefault="00A872CE" w:rsidP="00A872CE">
            <w:pPr>
              <w:pStyle w:val="Textpoznpodarou"/>
              <w:rPr>
                <w:sz w:val="18"/>
                <w:szCs w:val="18"/>
                <w:lang w:eastAsia="en-US"/>
              </w:rPr>
            </w:pPr>
            <w:proofErr w:type="gramStart"/>
            <w:r w:rsidRPr="00AA3855">
              <w:rPr>
                <w:spacing w:val="-2"/>
                <w:sz w:val="18"/>
                <w:szCs w:val="18"/>
                <w:lang w:eastAsia="en-US"/>
              </w:rPr>
              <w:t>(D.42</w:t>
            </w:r>
            <w:proofErr w:type="gramEnd"/>
            <w:r w:rsidRPr="00AA3855">
              <w:rPr>
                <w:spacing w:val="-2"/>
                <w:sz w:val="18"/>
                <w:szCs w:val="18"/>
                <w:lang w:eastAsia="en-US"/>
              </w:rPr>
              <w:t xml:space="preserve"> a D.43).</w:t>
            </w:r>
            <w:r>
              <w:rPr>
                <w:sz w:val="18"/>
                <w:szCs w:val="18"/>
                <w:lang w:eastAsia="en-US"/>
              </w:rPr>
              <w:t xml:space="preserve">      </w:t>
            </w:r>
            <w:r w:rsidR="00C16198">
              <w:rPr>
                <w:sz w:val="18"/>
                <w:szCs w:val="18"/>
                <w:lang w:eastAsia="en-US"/>
              </w:rPr>
              <w:t xml:space="preserve">               </w:t>
            </w:r>
            <w:r>
              <w:rPr>
                <w:sz w:val="18"/>
                <w:szCs w:val="18"/>
                <w:lang w:eastAsia="en-US"/>
              </w:rPr>
              <w:t xml:space="preserve">  Zdroj: </w:t>
            </w:r>
            <w:proofErr w:type="spellStart"/>
            <w:r>
              <w:rPr>
                <w:sz w:val="18"/>
                <w:szCs w:val="18"/>
                <w:lang w:eastAsia="en-US"/>
              </w:rPr>
              <w:t>Eurostat</w:t>
            </w:r>
            <w:proofErr w:type="spellEnd"/>
            <w:r>
              <w:rPr>
                <w:sz w:val="18"/>
                <w:szCs w:val="18"/>
                <w:lang w:eastAsia="en-US"/>
              </w:rPr>
              <w:t>, vlastní výpočty</w:t>
            </w:r>
          </w:p>
        </w:tc>
        <w:tc>
          <w:tcPr>
            <w:tcW w:w="2483" w:type="pct"/>
            <w:gridSpan w:val="2"/>
          </w:tcPr>
          <w:p w:rsidR="00A872CE" w:rsidRDefault="00A872CE" w:rsidP="00A872CE">
            <w:pPr>
              <w:pStyle w:val="Textpoznpodarou"/>
              <w:rPr>
                <w:sz w:val="18"/>
                <w:szCs w:val="18"/>
                <w:lang w:eastAsia="en-US"/>
              </w:rPr>
            </w:pPr>
            <w:r>
              <w:rPr>
                <w:sz w:val="18"/>
                <w:szCs w:val="18"/>
                <w:lang w:eastAsia="en-US"/>
              </w:rPr>
              <w:t xml:space="preserve">* </w:t>
            </w:r>
            <w:r w:rsidR="00AA3855">
              <w:rPr>
                <w:sz w:val="18"/>
                <w:szCs w:val="18"/>
                <w:lang w:eastAsia="en-US"/>
              </w:rPr>
              <w:t xml:space="preserve">Pozn.: </w:t>
            </w:r>
            <w:r>
              <w:rPr>
                <w:sz w:val="18"/>
                <w:szCs w:val="18"/>
                <w:lang w:eastAsia="en-US"/>
              </w:rPr>
              <w:t>Za Řecko ú</w:t>
            </w:r>
            <w:r w:rsidR="00AA3855">
              <w:rPr>
                <w:sz w:val="18"/>
                <w:szCs w:val="18"/>
                <w:lang w:eastAsia="en-US"/>
              </w:rPr>
              <w:t>daj za první období 2006-2008, z</w:t>
            </w:r>
            <w:r>
              <w:rPr>
                <w:sz w:val="18"/>
                <w:szCs w:val="18"/>
                <w:lang w:eastAsia="en-US"/>
              </w:rPr>
              <w:t>a Švýcarsko a Rumunsko ve druhém období za 2009-2012.</w:t>
            </w:r>
          </w:p>
          <w:p w:rsidR="00A872CE" w:rsidRDefault="00A872CE" w:rsidP="00A872CE">
            <w:pPr>
              <w:pStyle w:val="Textpoznpodarou"/>
              <w:rPr>
                <w:sz w:val="18"/>
                <w:szCs w:val="18"/>
                <w:lang w:eastAsia="en-US"/>
              </w:rPr>
            </w:pPr>
            <w:r>
              <w:rPr>
                <w:sz w:val="18"/>
                <w:szCs w:val="18"/>
                <w:lang w:eastAsia="en-US"/>
              </w:rPr>
              <w:t xml:space="preserve">                                           Zdroj: </w:t>
            </w:r>
            <w:proofErr w:type="spellStart"/>
            <w:r>
              <w:rPr>
                <w:sz w:val="18"/>
                <w:szCs w:val="18"/>
                <w:lang w:eastAsia="en-US"/>
              </w:rPr>
              <w:t>Eurostat</w:t>
            </w:r>
            <w:proofErr w:type="spellEnd"/>
            <w:r>
              <w:rPr>
                <w:sz w:val="18"/>
                <w:szCs w:val="18"/>
                <w:lang w:eastAsia="en-US"/>
              </w:rPr>
              <w:t>, vlastní výpočty</w:t>
            </w:r>
          </w:p>
          <w:p w:rsidR="00A872CE" w:rsidRPr="00A10AFE" w:rsidRDefault="00A872CE" w:rsidP="00A872CE">
            <w:pPr>
              <w:pStyle w:val="Textpoznpodarou"/>
              <w:jc w:val="right"/>
              <w:rPr>
                <w:rFonts w:cs="Arial"/>
                <w:sz w:val="18"/>
                <w:szCs w:val="18"/>
              </w:rPr>
            </w:pPr>
          </w:p>
        </w:tc>
      </w:tr>
    </w:tbl>
    <w:p w:rsidR="00A872CE" w:rsidRPr="00A872CE" w:rsidRDefault="00A872CE" w:rsidP="00A872CE">
      <w:pPr>
        <w:pStyle w:val="Textpoznpodarou"/>
        <w:jc w:val="both"/>
      </w:pPr>
    </w:p>
    <w:tbl>
      <w:tblPr>
        <w:tblW w:w="5000" w:type="pct"/>
        <w:tblCellMar>
          <w:left w:w="28" w:type="dxa"/>
          <w:right w:w="28" w:type="dxa"/>
        </w:tblCellMar>
        <w:tblLook w:val="04A0"/>
      </w:tblPr>
      <w:tblGrid>
        <w:gridCol w:w="2115"/>
        <w:gridCol w:w="283"/>
        <w:gridCol w:w="7296"/>
      </w:tblGrid>
      <w:tr w:rsidR="00A872CE" w:rsidTr="00A872CE">
        <w:tc>
          <w:tcPr>
            <w:tcW w:w="1091" w:type="pct"/>
          </w:tcPr>
          <w:p w:rsidR="00A872CE" w:rsidRDefault="00E20525" w:rsidP="00A872CE">
            <w:pPr>
              <w:spacing w:line="240" w:lineRule="auto"/>
              <w:rPr>
                <w:sz w:val="16"/>
                <w:szCs w:val="16"/>
              </w:rPr>
            </w:pPr>
            <w:r>
              <w:rPr>
                <w:sz w:val="16"/>
                <w:szCs w:val="16"/>
              </w:rPr>
              <w:t>Nejhlubší relativní čistý odtok vlastnických důchodů ze sektoru nefinančních podniků v Itálii, vysoký též v</w:t>
            </w:r>
            <w:r w:rsidR="004F146A">
              <w:rPr>
                <w:sz w:val="16"/>
                <w:szCs w:val="16"/>
              </w:rPr>
              <w:t> </w:t>
            </w:r>
            <w:r>
              <w:rPr>
                <w:sz w:val="16"/>
                <w:szCs w:val="16"/>
              </w:rPr>
              <w:t>Česku</w:t>
            </w:r>
            <w:r w:rsidR="004F146A">
              <w:rPr>
                <w:sz w:val="16"/>
                <w:szCs w:val="16"/>
              </w:rPr>
              <w:t>,</w:t>
            </w:r>
            <w:r>
              <w:rPr>
                <w:sz w:val="16"/>
                <w:szCs w:val="16"/>
              </w:rPr>
              <w:t xml:space="preserve"> ale i v Německu, …</w:t>
            </w:r>
          </w:p>
        </w:tc>
        <w:tc>
          <w:tcPr>
            <w:tcW w:w="146" w:type="pct"/>
          </w:tcPr>
          <w:p w:rsidR="00A872CE" w:rsidRDefault="00A872CE" w:rsidP="00A872CE">
            <w:pPr>
              <w:pStyle w:val="Textpoznpodarou"/>
              <w:jc w:val="both"/>
            </w:pPr>
          </w:p>
        </w:tc>
        <w:tc>
          <w:tcPr>
            <w:tcW w:w="3763" w:type="pct"/>
          </w:tcPr>
          <w:p w:rsidR="00A872CE" w:rsidRDefault="00A872CE" w:rsidP="00A872CE">
            <w:pPr>
              <w:pStyle w:val="Textpoznpodarou"/>
              <w:jc w:val="both"/>
              <w:rPr>
                <w:color w:val="000000"/>
              </w:rPr>
            </w:pPr>
            <w:r w:rsidRPr="007C147D">
              <w:rPr>
                <w:color w:val="000000"/>
              </w:rPr>
              <w:t xml:space="preserve">Záporné saldo vlastnických důchodů </w:t>
            </w:r>
            <w:r>
              <w:rPr>
                <w:color w:val="000000"/>
              </w:rPr>
              <w:t xml:space="preserve">je u nefinančních podniků v zemích EU obvyklým jevem. Nejinak tomu bylo v období recese (2009-2013). Ve vztahu k čistému provoznímu přebytku podniků byla hloubka deficitu vlastnických důchodů v Itálii více než čtyřikrát vyšší než Rumunsku. Česko patřilo k zemím s nejvyšším odlivem vlastnických důchodů mimo sektor nefinančních podniků. Rozhodující složkou tvořící deficit </w:t>
            </w:r>
            <w:r w:rsidR="003723F7">
              <w:rPr>
                <w:color w:val="000000"/>
              </w:rPr>
              <w:t>byly</w:t>
            </w:r>
            <w:r>
              <w:rPr>
                <w:color w:val="000000"/>
              </w:rPr>
              <w:t xml:space="preserve"> ve většině zemí rozdělované důchody společností (především</w:t>
            </w:r>
            <w:r w:rsidR="003723F7">
              <w:rPr>
                <w:color w:val="000000"/>
              </w:rPr>
              <w:t xml:space="preserve"> dividendy). Výjimku představovaly</w:t>
            </w:r>
            <w:r>
              <w:rPr>
                <w:color w:val="000000"/>
              </w:rPr>
              <w:t xml:space="preserve"> Španěl</w:t>
            </w:r>
            <w:r w:rsidR="00B27737">
              <w:rPr>
                <w:color w:val="000000"/>
              </w:rPr>
              <w:t>s</w:t>
            </w:r>
            <w:r>
              <w:rPr>
                <w:color w:val="000000"/>
              </w:rPr>
              <w:t>k</w:t>
            </w:r>
            <w:r w:rsidR="003723F7">
              <w:rPr>
                <w:color w:val="000000"/>
              </w:rPr>
              <w:t>o či Kypr, kde se více projevovalo</w:t>
            </w:r>
            <w:r>
              <w:rPr>
                <w:color w:val="000000"/>
              </w:rPr>
              <w:t xml:space="preserve"> zatížení podniků splátkami úvěrů.</w:t>
            </w:r>
          </w:p>
          <w:p w:rsidR="00A872CE" w:rsidRPr="007C147D" w:rsidRDefault="00A872CE" w:rsidP="00A872CE">
            <w:pPr>
              <w:pStyle w:val="Textpoznpodarou"/>
              <w:jc w:val="both"/>
              <w:rPr>
                <w:color w:val="000000"/>
              </w:rPr>
            </w:pPr>
          </w:p>
        </w:tc>
      </w:tr>
      <w:tr w:rsidR="00A872CE" w:rsidTr="00A872CE">
        <w:tc>
          <w:tcPr>
            <w:tcW w:w="1091" w:type="pct"/>
          </w:tcPr>
          <w:p w:rsidR="00A872CE" w:rsidRPr="000A4ACC" w:rsidRDefault="00E20525" w:rsidP="00E20525">
            <w:pPr>
              <w:spacing w:line="240" w:lineRule="auto"/>
              <w:rPr>
                <w:spacing w:val="-2"/>
                <w:sz w:val="16"/>
                <w:szCs w:val="16"/>
              </w:rPr>
            </w:pPr>
            <w:r>
              <w:rPr>
                <w:spacing w:val="-2"/>
                <w:sz w:val="16"/>
                <w:szCs w:val="16"/>
              </w:rPr>
              <w:t>…z celé ekonomiky pak především v zemích střední a východní Evropy a v Irsku</w:t>
            </w:r>
          </w:p>
        </w:tc>
        <w:tc>
          <w:tcPr>
            <w:tcW w:w="146" w:type="pct"/>
          </w:tcPr>
          <w:p w:rsidR="00A872CE" w:rsidRDefault="00A872CE" w:rsidP="00A872CE">
            <w:pPr>
              <w:pStyle w:val="Textpoznpodarou"/>
              <w:jc w:val="both"/>
            </w:pPr>
          </w:p>
        </w:tc>
        <w:tc>
          <w:tcPr>
            <w:tcW w:w="3763" w:type="pct"/>
          </w:tcPr>
          <w:p w:rsidR="00A872CE" w:rsidRPr="007C147D" w:rsidRDefault="00A872CE" w:rsidP="00B60C8D">
            <w:pPr>
              <w:pStyle w:val="Textpoznpodarou"/>
              <w:jc w:val="both"/>
              <w:rPr>
                <w:color w:val="000000"/>
              </w:rPr>
            </w:pPr>
            <w:r>
              <w:rPr>
                <w:color w:val="000000"/>
              </w:rPr>
              <w:t>Ne všechny odlivy vlastnických důchodů ze sektoru nefinančních podniků musí skončit v zahraničí (u nerezidentů). Pořadí zemí</w:t>
            </w:r>
            <w:r w:rsidR="004F146A">
              <w:rPr>
                <w:color w:val="000000"/>
              </w:rPr>
              <w:t xml:space="preserve"> se významně promění, pokud budeme</w:t>
            </w:r>
            <w:r>
              <w:rPr>
                <w:color w:val="000000"/>
              </w:rPr>
              <w:t xml:space="preserve"> sledovat saldo vlastnických </w:t>
            </w:r>
            <w:r w:rsidR="00B60C8D">
              <w:rPr>
                <w:color w:val="000000"/>
              </w:rPr>
              <w:t xml:space="preserve">důchodů </w:t>
            </w:r>
            <w:r>
              <w:rPr>
                <w:color w:val="000000"/>
              </w:rPr>
              <w:t>za celé národní hos</w:t>
            </w:r>
            <w:r w:rsidR="00B27737">
              <w:rPr>
                <w:color w:val="000000"/>
              </w:rPr>
              <w:t>podářství (resp. na účtu nerezi</w:t>
            </w:r>
            <w:r>
              <w:rPr>
                <w:color w:val="000000"/>
              </w:rPr>
              <w:t>de</w:t>
            </w:r>
            <w:r w:rsidR="00B27737">
              <w:rPr>
                <w:color w:val="000000"/>
              </w:rPr>
              <w:t>n</w:t>
            </w:r>
            <w:r>
              <w:rPr>
                <w:color w:val="000000"/>
              </w:rPr>
              <w:t>tů), do kterého ve většině zemí EU rozhodující měrou promlouvají právě nefinanční podniky (menší měrou i finanční instituce). Mezi státy s největším čistým „odtokem“ vlastnických důchodů</w:t>
            </w:r>
            <w:r w:rsidR="00E20525">
              <w:rPr>
                <w:color w:val="000000"/>
              </w:rPr>
              <w:t xml:space="preserve"> (v relaci k vytvořenému čistému provoznímu přebytku)</w:t>
            </w:r>
            <w:r>
              <w:rPr>
                <w:color w:val="000000"/>
              </w:rPr>
              <w:t xml:space="preserve"> patří zejména ekonomik</w:t>
            </w:r>
            <w:r w:rsidR="00E20525">
              <w:rPr>
                <w:color w:val="000000"/>
              </w:rPr>
              <w:t>y</w:t>
            </w:r>
            <w:r>
              <w:rPr>
                <w:color w:val="000000"/>
              </w:rPr>
              <w:t xml:space="preserve"> střední a východní Evropy, Česku patří třetí místo po Maďarsku a Irsku. Naopak nejvyspělejší státy Evropy z vlastnických důchodů profitují, vedle Švýcarska jde především o severské státy, Německo či Nizozemsko.   </w:t>
            </w:r>
          </w:p>
        </w:tc>
      </w:tr>
    </w:tbl>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p w:rsidR="00A872CE" w:rsidRDefault="00A872CE" w:rsidP="00A872CE">
      <w:pPr>
        <w:pStyle w:val="Textpoznpodarou"/>
        <w:jc w:val="both"/>
        <w:rPr>
          <w:sz w:val="16"/>
          <w:szCs w:val="16"/>
        </w:rPr>
      </w:pPr>
    </w:p>
    <w:tbl>
      <w:tblPr>
        <w:tblW w:w="5007" w:type="pct"/>
        <w:tblLayout w:type="fixed"/>
        <w:tblCellMar>
          <w:left w:w="28" w:type="dxa"/>
          <w:right w:w="28" w:type="dxa"/>
        </w:tblCellMar>
        <w:tblLook w:val="04A0"/>
      </w:tblPr>
      <w:tblGrid>
        <w:gridCol w:w="594"/>
        <w:gridCol w:w="4293"/>
        <w:gridCol w:w="670"/>
        <w:gridCol w:w="4151"/>
      </w:tblGrid>
      <w:tr w:rsidR="00A872CE" w:rsidTr="00A872CE">
        <w:tc>
          <w:tcPr>
            <w:tcW w:w="306" w:type="pct"/>
          </w:tcPr>
          <w:p w:rsidR="00A872CE" w:rsidRPr="0002540B" w:rsidRDefault="00A872CE" w:rsidP="00A872CE">
            <w:pPr>
              <w:pStyle w:val="Textpoznpodarou"/>
              <w:rPr>
                <w:lang w:eastAsia="en-US"/>
              </w:rPr>
            </w:pPr>
            <w:r>
              <w:rPr>
                <w:lang w:eastAsia="en-US"/>
              </w:rPr>
              <w:lastRenderedPageBreak/>
              <w:t>Graf</w:t>
            </w:r>
            <w:r w:rsidR="001E561F">
              <w:rPr>
                <w:lang w:eastAsia="en-US"/>
              </w:rPr>
              <w:t xml:space="preserve"> č. 10</w:t>
            </w:r>
          </w:p>
        </w:tc>
        <w:tc>
          <w:tcPr>
            <w:tcW w:w="2211" w:type="pct"/>
          </w:tcPr>
          <w:p w:rsidR="00A872CE" w:rsidRPr="0002540B" w:rsidRDefault="00A872CE" w:rsidP="00A872CE">
            <w:pPr>
              <w:pStyle w:val="Textpoznpodarou"/>
              <w:rPr>
                <w:lang w:eastAsia="en-US"/>
              </w:rPr>
            </w:pPr>
            <w:r>
              <w:rPr>
                <w:b/>
                <w:lang w:eastAsia="en-US"/>
              </w:rPr>
              <w:t>Míra hrubých investic (v %) v nefinančních podnicích a ostatních institucionálních sektorech ekonomiky ČR</w:t>
            </w:r>
          </w:p>
        </w:tc>
        <w:tc>
          <w:tcPr>
            <w:tcW w:w="345" w:type="pct"/>
          </w:tcPr>
          <w:p w:rsidR="00A872CE" w:rsidRDefault="00A872CE" w:rsidP="001E561F">
            <w:pPr>
              <w:spacing w:line="240" w:lineRule="auto"/>
            </w:pPr>
            <w:r>
              <w:rPr>
                <w:lang w:eastAsia="en-US"/>
              </w:rPr>
              <w:t>Graf</w:t>
            </w:r>
            <w:r w:rsidR="001E561F">
              <w:rPr>
                <w:lang w:eastAsia="en-US"/>
              </w:rPr>
              <w:t xml:space="preserve"> č. 11</w:t>
            </w:r>
          </w:p>
        </w:tc>
        <w:tc>
          <w:tcPr>
            <w:tcW w:w="2138" w:type="pct"/>
          </w:tcPr>
          <w:p w:rsidR="00A872CE" w:rsidRPr="007D366F" w:rsidRDefault="00A872CE" w:rsidP="00A872CE">
            <w:pPr>
              <w:spacing w:line="240" w:lineRule="auto"/>
              <w:rPr>
                <w:rFonts w:cs="Arial"/>
                <w:bCs/>
              </w:rPr>
            </w:pPr>
            <w:r>
              <w:rPr>
                <w:b/>
                <w:lang w:eastAsia="en-US"/>
              </w:rPr>
              <w:t xml:space="preserve">Míra hrubých investic </w:t>
            </w:r>
            <w:r w:rsidRPr="00306660">
              <w:rPr>
                <w:lang w:eastAsia="en-US"/>
              </w:rPr>
              <w:t>(v %)</w:t>
            </w:r>
            <w:r>
              <w:rPr>
                <w:b/>
                <w:lang w:eastAsia="en-US"/>
              </w:rPr>
              <w:t xml:space="preserve"> v nefinančních podnicích ve vybraných evropských zemích</w:t>
            </w:r>
            <w:r w:rsidR="008E517B">
              <w:rPr>
                <w:b/>
                <w:lang w:eastAsia="en-US"/>
              </w:rPr>
              <w:t>*</w:t>
            </w:r>
          </w:p>
        </w:tc>
      </w:tr>
      <w:tr w:rsidR="00A872CE" w:rsidTr="00A872CE">
        <w:tc>
          <w:tcPr>
            <w:tcW w:w="2517" w:type="pct"/>
            <w:gridSpan w:val="2"/>
          </w:tcPr>
          <w:p w:rsidR="00A872CE" w:rsidRDefault="00037471" w:rsidP="00A872CE">
            <w:pPr>
              <w:pStyle w:val="Textpoznpodarou"/>
              <w:jc w:val="both"/>
            </w:pPr>
            <w:r>
              <w:pict>
                <v:shape id="_x0000_i1059" type="#_x0000_t75" style="width:240.75pt;height:203.25pt">
                  <v:imagedata r:id="rId17" o:title=""/>
                </v:shape>
              </w:pict>
            </w:r>
          </w:p>
        </w:tc>
        <w:tc>
          <w:tcPr>
            <w:tcW w:w="2483" w:type="pct"/>
            <w:gridSpan w:val="2"/>
          </w:tcPr>
          <w:p w:rsidR="00A872CE" w:rsidRDefault="00037471" w:rsidP="00A872CE">
            <w:pPr>
              <w:pStyle w:val="Textpoznpodarou"/>
              <w:jc w:val="both"/>
            </w:pPr>
            <w:r>
              <w:pict>
                <v:shape id="_x0000_i1060" type="#_x0000_t75" style="width:237.75pt;height:204pt">
                  <v:imagedata r:id="rId18" o:title=""/>
                </v:shape>
              </w:pict>
            </w:r>
          </w:p>
        </w:tc>
      </w:tr>
      <w:tr w:rsidR="00A872CE" w:rsidTr="00A872CE">
        <w:tc>
          <w:tcPr>
            <w:tcW w:w="2517" w:type="pct"/>
            <w:gridSpan w:val="2"/>
          </w:tcPr>
          <w:p w:rsidR="00A872CE" w:rsidRDefault="00A872CE" w:rsidP="00A872CE">
            <w:pPr>
              <w:pStyle w:val="Textpoznpodarou"/>
              <w:rPr>
                <w:sz w:val="18"/>
                <w:szCs w:val="18"/>
                <w:lang w:eastAsia="en-US"/>
              </w:rPr>
            </w:pPr>
            <w:r>
              <w:rPr>
                <w:sz w:val="18"/>
                <w:szCs w:val="18"/>
                <w:lang w:eastAsia="en-US"/>
              </w:rPr>
              <w:t>*</w:t>
            </w:r>
            <w:r w:rsidR="0062002F">
              <w:rPr>
                <w:sz w:val="18"/>
                <w:szCs w:val="18"/>
                <w:lang w:eastAsia="en-US"/>
              </w:rPr>
              <w:t xml:space="preserve">Pozn.: </w:t>
            </w:r>
            <w:r>
              <w:rPr>
                <w:sz w:val="18"/>
                <w:szCs w:val="18"/>
                <w:lang w:eastAsia="en-US"/>
              </w:rPr>
              <w:t>sloužící domácnostem</w:t>
            </w:r>
          </w:p>
          <w:p w:rsidR="00A872CE" w:rsidRPr="0020709F" w:rsidRDefault="00A872CE" w:rsidP="0016560B">
            <w:pPr>
              <w:pStyle w:val="Textpoznpodarou"/>
              <w:jc w:val="right"/>
              <w:rPr>
                <w:sz w:val="16"/>
                <w:szCs w:val="16"/>
              </w:rPr>
            </w:pPr>
            <w:r>
              <w:rPr>
                <w:sz w:val="18"/>
                <w:szCs w:val="18"/>
                <w:lang w:eastAsia="en-US"/>
              </w:rPr>
              <w:t>Zdroj: ČSÚ</w:t>
            </w:r>
            <w:r w:rsidR="0016560B">
              <w:rPr>
                <w:sz w:val="18"/>
                <w:szCs w:val="18"/>
                <w:lang w:eastAsia="en-US"/>
              </w:rPr>
              <w:t xml:space="preserve"> (národní účty)</w:t>
            </w:r>
            <w:r>
              <w:rPr>
                <w:sz w:val="18"/>
                <w:szCs w:val="18"/>
                <w:lang w:eastAsia="en-US"/>
              </w:rPr>
              <w:t xml:space="preserve">, vlastní výpočty </w:t>
            </w:r>
          </w:p>
        </w:tc>
        <w:tc>
          <w:tcPr>
            <w:tcW w:w="2483" w:type="pct"/>
            <w:gridSpan w:val="2"/>
          </w:tcPr>
          <w:p w:rsidR="00A872CE" w:rsidRPr="007D4885" w:rsidRDefault="0062002F" w:rsidP="00A872CE">
            <w:pPr>
              <w:pStyle w:val="Textpoznpodarou"/>
              <w:rPr>
                <w:spacing w:val="-4"/>
                <w:sz w:val="18"/>
                <w:szCs w:val="18"/>
                <w:lang w:eastAsia="en-US"/>
              </w:rPr>
            </w:pPr>
            <w:r w:rsidRPr="007D4885">
              <w:rPr>
                <w:spacing w:val="-4"/>
                <w:sz w:val="18"/>
                <w:szCs w:val="18"/>
                <w:lang w:eastAsia="en-US"/>
              </w:rPr>
              <w:t>*Pozn.: I</w:t>
            </w:r>
            <w:r w:rsidR="007D4885" w:rsidRPr="007D4885">
              <w:rPr>
                <w:spacing w:val="-4"/>
                <w:sz w:val="18"/>
                <w:szCs w:val="18"/>
                <w:lang w:eastAsia="en-US"/>
              </w:rPr>
              <w:t xml:space="preserve">nvesticemi </w:t>
            </w:r>
            <w:r w:rsidR="00A872CE" w:rsidRPr="007D4885">
              <w:rPr>
                <w:spacing w:val="-4"/>
                <w:sz w:val="18"/>
                <w:szCs w:val="18"/>
                <w:lang w:eastAsia="en-US"/>
              </w:rPr>
              <w:t xml:space="preserve">rozumíme tvorbu hrubého fixního kapitálu </w:t>
            </w:r>
          </w:p>
          <w:p w:rsidR="00A872CE" w:rsidRPr="00A10AFE" w:rsidRDefault="00A872CE" w:rsidP="00A872CE">
            <w:pPr>
              <w:pStyle w:val="Textpoznpodarou"/>
              <w:jc w:val="right"/>
              <w:rPr>
                <w:rFonts w:cs="Arial"/>
                <w:sz w:val="18"/>
                <w:szCs w:val="18"/>
              </w:rPr>
            </w:pPr>
            <w:r>
              <w:rPr>
                <w:sz w:val="18"/>
                <w:szCs w:val="18"/>
                <w:lang w:eastAsia="en-US"/>
              </w:rPr>
              <w:t xml:space="preserve">Zdroj: </w:t>
            </w:r>
            <w:proofErr w:type="spellStart"/>
            <w:r>
              <w:rPr>
                <w:sz w:val="18"/>
                <w:szCs w:val="18"/>
                <w:lang w:eastAsia="en-US"/>
              </w:rPr>
              <w:t>Eurostat</w:t>
            </w:r>
            <w:proofErr w:type="spellEnd"/>
            <w:r>
              <w:rPr>
                <w:sz w:val="18"/>
                <w:szCs w:val="18"/>
                <w:lang w:eastAsia="en-US"/>
              </w:rPr>
              <w:t>, vlastní výpočty</w:t>
            </w:r>
          </w:p>
        </w:tc>
      </w:tr>
    </w:tbl>
    <w:p w:rsidR="00A872CE" w:rsidRDefault="00A872CE" w:rsidP="00A872CE">
      <w:pPr>
        <w:pStyle w:val="Textpoznpodarou"/>
        <w:jc w:val="both"/>
        <w:rPr>
          <w:sz w:val="16"/>
          <w:szCs w:val="16"/>
        </w:rPr>
      </w:pPr>
    </w:p>
    <w:tbl>
      <w:tblPr>
        <w:tblW w:w="5000" w:type="pct"/>
        <w:tblCellMar>
          <w:left w:w="28" w:type="dxa"/>
          <w:right w:w="28" w:type="dxa"/>
        </w:tblCellMar>
        <w:tblLook w:val="04A0"/>
      </w:tblPr>
      <w:tblGrid>
        <w:gridCol w:w="2115"/>
        <w:gridCol w:w="283"/>
        <w:gridCol w:w="7296"/>
      </w:tblGrid>
      <w:tr w:rsidR="00A872CE" w:rsidTr="00A872CE">
        <w:tc>
          <w:tcPr>
            <w:tcW w:w="1091" w:type="pct"/>
          </w:tcPr>
          <w:p w:rsidR="00A872CE" w:rsidRDefault="00A872CE" w:rsidP="00A872CE">
            <w:pPr>
              <w:spacing w:line="240" w:lineRule="auto"/>
              <w:rPr>
                <w:color w:val="000000"/>
                <w:sz w:val="16"/>
                <w:szCs w:val="16"/>
              </w:rPr>
            </w:pPr>
            <w:r w:rsidRPr="00A872CE">
              <w:rPr>
                <w:sz w:val="16"/>
                <w:szCs w:val="16"/>
              </w:rPr>
              <w:t>Rozdíly v míře investic různých druhů nefinančních podniků ve stínu významných rozdílů mezi sektory národního hospodářství</w:t>
            </w:r>
          </w:p>
        </w:tc>
        <w:tc>
          <w:tcPr>
            <w:tcW w:w="146" w:type="pct"/>
          </w:tcPr>
          <w:p w:rsidR="00A872CE" w:rsidRDefault="00A872CE" w:rsidP="00A872CE">
            <w:pPr>
              <w:pStyle w:val="Textpoznpodarou"/>
              <w:jc w:val="both"/>
              <w:rPr>
                <w:color w:val="000000"/>
              </w:rPr>
            </w:pPr>
          </w:p>
        </w:tc>
        <w:tc>
          <w:tcPr>
            <w:tcW w:w="3763" w:type="pct"/>
          </w:tcPr>
          <w:p w:rsidR="00A872CE" w:rsidRDefault="00A872CE" w:rsidP="005718E3">
            <w:pPr>
              <w:pStyle w:val="Textpoznpodarou"/>
              <w:jc w:val="both"/>
              <w:rPr>
                <w:color w:val="000000"/>
              </w:rPr>
            </w:pPr>
            <w:r w:rsidRPr="00A872CE">
              <w:t xml:space="preserve">Rozdíly v míře investic mezi různými </w:t>
            </w:r>
            <w:proofErr w:type="spellStart"/>
            <w:r w:rsidR="00B60C8D">
              <w:t>sub</w:t>
            </w:r>
            <w:r w:rsidRPr="00A872CE">
              <w:t>sektory</w:t>
            </w:r>
            <w:proofErr w:type="spellEnd"/>
            <w:r w:rsidRPr="00A872CE">
              <w:t xml:space="preserve"> podniků jsou v ČR dlouhodobě ve stínu mnohem významnějších rozdílů v investiční aktivitě různých sektorů národního hospodářství. Míra investic v podnikové sféře klesla mírně pod úroveň celé ekonomiky pouze v krátkém období, kdy byly nefinanční podniky v ČR nejvíce zasaže</w:t>
            </w:r>
            <w:r w:rsidR="005718E3">
              <w:t>ny dopady recese. Naopak po celá</w:t>
            </w:r>
            <w:r w:rsidRPr="00A872CE">
              <w:t xml:space="preserve"> 90. léta a také polovinu následující dekády patřily k sektorům s nejvyšší investiční aktivitou. Významně k tomu přispěly silný příliv přímých zahraničních investic a také procesy ekonomické integrace. V letech konjunktury dosahoval nejvyšší míry investic vládní sektor, jeho investiční aktivita však byla významně omezena úspornými opatřeními v letech 2010-2012. V roce 2014 však investice vládního sektoru výrazně ožily (i vlivem intenzivního dočerpávání prostředků z rozpočtu EU na konci programovacího období) a opět </w:t>
            </w:r>
            <w:r w:rsidR="005718E3" w:rsidRPr="00A872CE">
              <w:t xml:space="preserve">mírně </w:t>
            </w:r>
            <w:r w:rsidRPr="00A872CE">
              <w:t>předstihly míru investic u nefinančních podniků.</w:t>
            </w:r>
          </w:p>
        </w:tc>
      </w:tr>
    </w:tbl>
    <w:p w:rsidR="00A872CE" w:rsidRDefault="00A872CE" w:rsidP="00A872CE">
      <w:pPr>
        <w:pStyle w:val="Textpoznpodarou"/>
        <w:jc w:val="both"/>
        <w:rPr>
          <w:sz w:val="16"/>
          <w:szCs w:val="16"/>
        </w:rPr>
      </w:pPr>
    </w:p>
    <w:tbl>
      <w:tblPr>
        <w:tblW w:w="5007" w:type="pct"/>
        <w:tblLayout w:type="fixed"/>
        <w:tblCellMar>
          <w:left w:w="28" w:type="dxa"/>
          <w:right w:w="28" w:type="dxa"/>
        </w:tblCellMar>
        <w:tblLook w:val="04A0"/>
      </w:tblPr>
      <w:tblGrid>
        <w:gridCol w:w="594"/>
        <w:gridCol w:w="4293"/>
        <w:gridCol w:w="670"/>
        <w:gridCol w:w="4151"/>
      </w:tblGrid>
      <w:tr w:rsidR="00A872CE" w:rsidTr="00A872CE">
        <w:tc>
          <w:tcPr>
            <w:tcW w:w="306" w:type="pct"/>
          </w:tcPr>
          <w:p w:rsidR="00A872CE" w:rsidRPr="0002540B" w:rsidRDefault="00A872CE" w:rsidP="00A872CE">
            <w:pPr>
              <w:pStyle w:val="Textpoznpodarou"/>
              <w:rPr>
                <w:lang w:eastAsia="en-US"/>
              </w:rPr>
            </w:pPr>
            <w:r>
              <w:rPr>
                <w:lang w:eastAsia="en-US"/>
              </w:rPr>
              <w:t>Graf</w:t>
            </w:r>
            <w:r w:rsidR="001E561F">
              <w:rPr>
                <w:lang w:eastAsia="en-US"/>
              </w:rPr>
              <w:t xml:space="preserve"> č. 12</w:t>
            </w:r>
          </w:p>
        </w:tc>
        <w:tc>
          <w:tcPr>
            <w:tcW w:w="2211" w:type="pct"/>
          </w:tcPr>
          <w:p w:rsidR="00A872CE" w:rsidRDefault="00A872CE" w:rsidP="00A872CE">
            <w:pPr>
              <w:pStyle w:val="Textpoznpodarou"/>
              <w:rPr>
                <w:b/>
                <w:lang w:eastAsia="en-US"/>
              </w:rPr>
            </w:pPr>
            <w:r>
              <w:rPr>
                <w:b/>
                <w:lang w:eastAsia="en-US"/>
              </w:rPr>
              <w:t xml:space="preserve">Míra zadlužení nefinančních podniků </w:t>
            </w:r>
            <w:r>
              <w:rPr>
                <w:b/>
                <w:bCs/>
              </w:rPr>
              <w:t>v ČR</w:t>
            </w:r>
          </w:p>
          <w:p w:rsidR="00A872CE" w:rsidRPr="0002540B" w:rsidRDefault="00A872CE" w:rsidP="00A872CE">
            <w:pPr>
              <w:pStyle w:val="Textpoznpodarou"/>
              <w:rPr>
                <w:lang w:eastAsia="en-US"/>
              </w:rPr>
            </w:pPr>
            <w:r w:rsidRPr="00EF3BAE">
              <w:rPr>
                <w:lang w:eastAsia="en-US"/>
              </w:rPr>
              <w:t>(podíl vybraných závazků</w:t>
            </w:r>
            <w:r>
              <w:rPr>
                <w:lang w:eastAsia="en-US"/>
              </w:rPr>
              <w:t>*</w:t>
            </w:r>
            <w:r w:rsidRPr="00EF3BAE">
              <w:rPr>
                <w:lang w:eastAsia="en-US"/>
              </w:rPr>
              <w:t xml:space="preserve"> na celkových finančních i nefinančních aktivech)</w:t>
            </w:r>
          </w:p>
        </w:tc>
        <w:tc>
          <w:tcPr>
            <w:tcW w:w="345" w:type="pct"/>
          </w:tcPr>
          <w:p w:rsidR="00A872CE" w:rsidRDefault="00A872CE" w:rsidP="001E561F">
            <w:pPr>
              <w:spacing w:line="240" w:lineRule="auto"/>
            </w:pPr>
            <w:r>
              <w:rPr>
                <w:lang w:eastAsia="en-US"/>
              </w:rPr>
              <w:t>Graf</w:t>
            </w:r>
            <w:r w:rsidR="001E561F">
              <w:rPr>
                <w:lang w:eastAsia="en-US"/>
              </w:rPr>
              <w:t xml:space="preserve"> č. 13</w:t>
            </w:r>
          </w:p>
        </w:tc>
        <w:tc>
          <w:tcPr>
            <w:tcW w:w="2138" w:type="pct"/>
          </w:tcPr>
          <w:p w:rsidR="00A872CE" w:rsidRDefault="00A872CE" w:rsidP="00A872CE">
            <w:pPr>
              <w:pStyle w:val="Textpoznpodarou"/>
              <w:rPr>
                <w:b/>
                <w:lang w:eastAsia="en-US"/>
              </w:rPr>
            </w:pPr>
            <w:r>
              <w:rPr>
                <w:b/>
                <w:lang w:eastAsia="en-US"/>
              </w:rPr>
              <w:t xml:space="preserve">Konsolidovaný dluh nefinančních podniků* ve vybraných evropských zemích </w:t>
            </w:r>
          </w:p>
          <w:p w:rsidR="00A872CE" w:rsidRPr="00EF3BAE" w:rsidRDefault="00A872CE" w:rsidP="00A872CE">
            <w:pPr>
              <w:pStyle w:val="Textpoznpodarou"/>
              <w:rPr>
                <w:b/>
                <w:lang w:eastAsia="en-US"/>
              </w:rPr>
            </w:pPr>
            <w:r>
              <w:rPr>
                <w:lang w:eastAsia="en-US"/>
              </w:rPr>
              <w:t>(v %</w:t>
            </w:r>
            <w:r w:rsidRPr="008A4447">
              <w:rPr>
                <w:lang w:eastAsia="en-US"/>
              </w:rPr>
              <w:t xml:space="preserve"> HDP)</w:t>
            </w:r>
          </w:p>
        </w:tc>
      </w:tr>
      <w:tr w:rsidR="00A872CE" w:rsidTr="00A872CE">
        <w:tc>
          <w:tcPr>
            <w:tcW w:w="2517" w:type="pct"/>
            <w:gridSpan w:val="2"/>
          </w:tcPr>
          <w:p w:rsidR="00A872CE" w:rsidRDefault="00037471" w:rsidP="00A872CE">
            <w:pPr>
              <w:pStyle w:val="Textpoznpodarou"/>
              <w:jc w:val="both"/>
            </w:pPr>
            <w:r>
              <w:pict>
                <v:shape id="_x0000_i1061" type="#_x0000_t75" style="width:240pt;height:200.25pt">
                  <v:imagedata r:id="rId19" o:title=""/>
                </v:shape>
              </w:pict>
            </w:r>
          </w:p>
        </w:tc>
        <w:tc>
          <w:tcPr>
            <w:tcW w:w="2483" w:type="pct"/>
            <w:gridSpan w:val="2"/>
          </w:tcPr>
          <w:p w:rsidR="00A872CE" w:rsidRDefault="00037471" w:rsidP="00A872CE">
            <w:pPr>
              <w:pStyle w:val="Textpoznpodarou"/>
              <w:jc w:val="both"/>
            </w:pPr>
            <w:r>
              <w:pict>
                <v:shape id="_x0000_i1062" type="#_x0000_t75" style="width:237.75pt;height:200.25pt">
                  <v:imagedata r:id="rId20" o:title=""/>
                </v:shape>
              </w:pict>
            </w:r>
          </w:p>
        </w:tc>
      </w:tr>
      <w:tr w:rsidR="00A872CE" w:rsidTr="00A872CE">
        <w:tc>
          <w:tcPr>
            <w:tcW w:w="5000" w:type="pct"/>
            <w:gridSpan w:val="4"/>
          </w:tcPr>
          <w:p w:rsidR="00A872CE" w:rsidRPr="005378BB" w:rsidRDefault="00A872CE" w:rsidP="005378BB">
            <w:pPr>
              <w:pStyle w:val="Textpoznpodarou"/>
              <w:jc w:val="both"/>
              <w:rPr>
                <w:sz w:val="18"/>
                <w:szCs w:val="18"/>
                <w:lang w:eastAsia="en-US"/>
              </w:rPr>
            </w:pPr>
            <w:r w:rsidRPr="005378BB">
              <w:rPr>
                <w:sz w:val="18"/>
                <w:szCs w:val="18"/>
                <w:lang w:eastAsia="en-US"/>
              </w:rPr>
              <w:t>*</w:t>
            </w:r>
            <w:r w:rsidR="005378BB" w:rsidRPr="005378BB">
              <w:rPr>
                <w:sz w:val="18"/>
                <w:szCs w:val="18"/>
                <w:lang w:eastAsia="en-US"/>
              </w:rPr>
              <w:t>Pozn.: S</w:t>
            </w:r>
            <w:r w:rsidRPr="005378BB">
              <w:rPr>
                <w:sz w:val="18"/>
                <w:szCs w:val="18"/>
                <w:lang w:eastAsia="en-US"/>
              </w:rPr>
              <w:t>oučet vybraných finančních pasív v konečné rozvaze: Dluhové cenné papíry (</w:t>
            </w:r>
            <w:proofErr w:type="gramStart"/>
            <w:r w:rsidRPr="005378BB">
              <w:rPr>
                <w:sz w:val="18"/>
                <w:szCs w:val="18"/>
                <w:lang w:eastAsia="en-US"/>
              </w:rPr>
              <w:t>AF.3),</w:t>
            </w:r>
            <w:r w:rsidR="005378BB" w:rsidRPr="005378BB">
              <w:rPr>
                <w:sz w:val="18"/>
                <w:szCs w:val="18"/>
                <w:lang w:eastAsia="en-US"/>
              </w:rPr>
              <w:t xml:space="preserve"> </w:t>
            </w:r>
            <w:r w:rsidRPr="005378BB">
              <w:rPr>
                <w:sz w:val="18"/>
                <w:szCs w:val="18"/>
                <w:lang w:eastAsia="en-US"/>
              </w:rPr>
              <w:t>Půjčky</w:t>
            </w:r>
            <w:proofErr w:type="gramEnd"/>
            <w:r w:rsidRPr="005378BB">
              <w:rPr>
                <w:sz w:val="18"/>
                <w:szCs w:val="18"/>
                <w:lang w:eastAsia="en-US"/>
              </w:rPr>
              <w:t xml:space="preserve"> (AF.4), Ostatní závazky (AF.8)</w:t>
            </w:r>
          </w:p>
          <w:p w:rsidR="00A872CE" w:rsidRPr="008A4447" w:rsidRDefault="00A872CE" w:rsidP="00403697">
            <w:pPr>
              <w:pStyle w:val="Textpoznpodarou"/>
              <w:jc w:val="right"/>
              <w:rPr>
                <w:sz w:val="16"/>
                <w:szCs w:val="16"/>
              </w:rPr>
            </w:pPr>
            <w:r>
              <w:rPr>
                <w:sz w:val="18"/>
                <w:szCs w:val="18"/>
                <w:lang w:eastAsia="en-US"/>
              </w:rPr>
              <w:t>Zdroj: ČSÚ</w:t>
            </w:r>
            <w:r w:rsidR="00403697">
              <w:rPr>
                <w:sz w:val="18"/>
                <w:szCs w:val="18"/>
                <w:lang w:eastAsia="en-US"/>
              </w:rPr>
              <w:t xml:space="preserve"> (národní účty)</w:t>
            </w:r>
            <w:r>
              <w:rPr>
                <w:sz w:val="18"/>
                <w:szCs w:val="18"/>
                <w:lang w:eastAsia="en-US"/>
              </w:rPr>
              <w:t xml:space="preserve">, vlastní výpočty </w:t>
            </w:r>
          </w:p>
        </w:tc>
      </w:tr>
    </w:tbl>
    <w:p w:rsidR="008B0C8B" w:rsidRDefault="008B0C8B" w:rsidP="00D34225"/>
    <w:sectPr w:rsidR="008B0C8B" w:rsidSect="00037471">
      <w:headerReference w:type="even" r:id="rId21"/>
      <w:headerReference w:type="default" r:id="rId22"/>
      <w:footerReference w:type="even" r:id="rId23"/>
      <w:footerReference w:type="default" r:id="rId24"/>
      <w:type w:val="continuous"/>
      <w:pgSz w:w="11906" w:h="16838" w:code="9"/>
      <w:pgMar w:top="1134" w:right="1134" w:bottom="1418" w:left="1134" w:header="680" w:footer="680"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34" w:rsidRDefault="00333234" w:rsidP="00E71A58">
      <w:r>
        <w:separator/>
      </w:r>
    </w:p>
  </w:endnote>
  <w:endnote w:type="continuationSeparator" w:id="0">
    <w:p w:rsidR="00333234" w:rsidRDefault="0033323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Default="006D292E"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333234" w:rsidRPr="005A21E0">
      <w:rPr>
        <w:rFonts w:ascii="Arial" w:hAnsi="Arial" w:cs="Arial"/>
        <w:sz w:val="16"/>
        <w:szCs w:val="16"/>
      </w:rPr>
      <w:instrText>PAGE   \* MERGEFORMAT</w:instrText>
    </w:r>
    <w:r w:rsidRPr="005A21E0">
      <w:rPr>
        <w:rFonts w:ascii="Arial" w:hAnsi="Arial" w:cs="Arial"/>
        <w:sz w:val="16"/>
        <w:szCs w:val="16"/>
      </w:rPr>
      <w:fldChar w:fldCharType="separate"/>
    </w:r>
    <w:r w:rsidR="00037471">
      <w:rPr>
        <w:rFonts w:ascii="Arial" w:hAnsi="Arial" w:cs="Arial"/>
        <w:noProof/>
        <w:sz w:val="16"/>
        <w:szCs w:val="16"/>
      </w:rPr>
      <w:t>24</w:t>
    </w:r>
    <w:r w:rsidRPr="005A21E0">
      <w:rPr>
        <w:rFonts w:ascii="Arial" w:hAnsi="Arial" w:cs="Arial"/>
        <w:sz w:val="16"/>
        <w:szCs w:val="16"/>
      </w:rPr>
      <w:fldChar w:fldCharType="end"/>
    </w:r>
    <w:r w:rsidR="00333234">
      <w:rPr>
        <w:rFonts w:ascii="Arial" w:hAnsi="Arial" w:cs="Arial"/>
        <w:sz w:val="16"/>
        <w:szCs w:val="16"/>
      </w:rPr>
      <w:tab/>
      <w:t>2014</w:t>
    </w:r>
    <w:r w:rsidR="00333234">
      <w:tab/>
    </w:r>
    <w:r w:rsidR="00333234">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Default="006D292E"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333234">
      <w:tab/>
    </w:r>
    <w:r w:rsidR="00333234">
      <w:tab/>
    </w:r>
    <w:r w:rsidR="00333234" w:rsidRPr="00DC5B3B">
      <w:t xml:space="preserve">                              </w:t>
    </w:r>
  </w:p>
  <w:p w:rsidR="00333234" w:rsidRPr="00223E00" w:rsidRDefault="00333234"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6D292E"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6D292E" w:rsidRPr="00223E00">
      <w:rPr>
        <w:rFonts w:ascii="Arial" w:hAnsi="Arial" w:cs="Arial"/>
        <w:sz w:val="16"/>
        <w:szCs w:val="16"/>
      </w:rPr>
      <w:fldChar w:fldCharType="separate"/>
    </w:r>
    <w:r w:rsidR="00037471">
      <w:rPr>
        <w:rFonts w:ascii="Arial" w:hAnsi="Arial" w:cs="Arial"/>
        <w:noProof/>
        <w:sz w:val="16"/>
        <w:szCs w:val="16"/>
      </w:rPr>
      <w:t>25</w:t>
    </w:r>
    <w:r w:rsidR="006D292E"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34" w:rsidRDefault="00333234" w:rsidP="00E71A58">
      <w:r>
        <w:separator/>
      </w:r>
    </w:p>
  </w:footnote>
  <w:footnote w:type="continuationSeparator" w:id="0">
    <w:p w:rsidR="00333234" w:rsidRDefault="0033323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Pr="00F5435A" w:rsidRDefault="00333234" w:rsidP="00F5435A">
    <w:pPr>
      <w:pStyle w:val="Zhlav"/>
      <w:tabs>
        <w:tab w:val="clear" w:pos="4536"/>
        <w:tab w:val="clear" w:pos="9072"/>
        <w:tab w:val="left" w:pos="-6379"/>
        <w:tab w:val="center" w:pos="4820"/>
        <w:tab w:val="right" w:pos="9639"/>
      </w:tabs>
      <w:rPr>
        <w:szCs w:val="16"/>
      </w:rPr>
    </w:pPr>
    <w:r>
      <w:rPr>
        <w:rFonts w:ascii="Arial" w:hAnsi="Arial" w:cs="Arial"/>
        <w:sz w:val="16"/>
        <w:szCs w:val="16"/>
      </w:rPr>
      <w:t>Tendence makroekonomického vývoje a kvality života v České republice v roce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34" w:rsidRPr="00F5435A" w:rsidRDefault="00333234" w:rsidP="00F5435A">
    <w:pPr>
      <w:pStyle w:val="Zhlav"/>
      <w:tabs>
        <w:tab w:val="clear" w:pos="4536"/>
        <w:tab w:val="clear" w:pos="9072"/>
        <w:tab w:val="left" w:pos="-6379"/>
        <w:tab w:val="center" w:pos="4820"/>
        <w:tab w:val="right" w:pos="9639"/>
      </w:tabs>
      <w:rPr>
        <w:szCs w:val="16"/>
      </w:rPr>
    </w:pPr>
    <w:r>
      <w:rPr>
        <w:rFonts w:ascii="Arial" w:hAnsi="Arial" w:cs="Arial"/>
        <w:sz w:val="16"/>
        <w:szCs w:val="16"/>
      </w:rPr>
      <w:t>Tendence makroekonomického vývoje a kvality života v České republice v roce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BEF"/>
    <w:multiLevelType w:val="hybridMultilevel"/>
    <w:tmpl w:val="3B360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9A62B8"/>
    <w:multiLevelType w:val="multilevel"/>
    <w:tmpl w:val="DBE6868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EA7172B"/>
    <w:multiLevelType w:val="multilevel"/>
    <w:tmpl w:val="DE863A6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0BB57F8"/>
    <w:multiLevelType w:val="multilevel"/>
    <w:tmpl w:val="2074470E"/>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696F0669"/>
    <w:multiLevelType w:val="hybridMultilevel"/>
    <w:tmpl w:val="6B98091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42A32BF"/>
    <w:multiLevelType w:val="multilevel"/>
    <w:tmpl w:val="2C7C09C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E94"/>
    <w:rsid w:val="00003687"/>
    <w:rsid w:val="00003A9E"/>
    <w:rsid w:val="00003C43"/>
    <w:rsid w:val="000047B7"/>
    <w:rsid w:val="00004BDD"/>
    <w:rsid w:val="00006CF8"/>
    <w:rsid w:val="00007498"/>
    <w:rsid w:val="0000767A"/>
    <w:rsid w:val="000104B9"/>
    <w:rsid w:val="00010702"/>
    <w:rsid w:val="0001159B"/>
    <w:rsid w:val="000118F0"/>
    <w:rsid w:val="00011ABE"/>
    <w:rsid w:val="00014DB4"/>
    <w:rsid w:val="0001573E"/>
    <w:rsid w:val="00017315"/>
    <w:rsid w:val="000173CC"/>
    <w:rsid w:val="000178A6"/>
    <w:rsid w:val="00017F05"/>
    <w:rsid w:val="0002016D"/>
    <w:rsid w:val="000202B9"/>
    <w:rsid w:val="000202C6"/>
    <w:rsid w:val="00020946"/>
    <w:rsid w:val="000217F1"/>
    <w:rsid w:val="0002366A"/>
    <w:rsid w:val="00023777"/>
    <w:rsid w:val="00024887"/>
    <w:rsid w:val="00024CBA"/>
    <w:rsid w:val="000264DE"/>
    <w:rsid w:val="00026998"/>
    <w:rsid w:val="0003066A"/>
    <w:rsid w:val="00032838"/>
    <w:rsid w:val="00032879"/>
    <w:rsid w:val="00032C12"/>
    <w:rsid w:val="00034B90"/>
    <w:rsid w:val="000353D4"/>
    <w:rsid w:val="00035FC6"/>
    <w:rsid w:val="00036889"/>
    <w:rsid w:val="00037471"/>
    <w:rsid w:val="00037667"/>
    <w:rsid w:val="000411E1"/>
    <w:rsid w:val="000441DE"/>
    <w:rsid w:val="00045541"/>
    <w:rsid w:val="000458C6"/>
    <w:rsid w:val="0004694F"/>
    <w:rsid w:val="0004735A"/>
    <w:rsid w:val="0005077D"/>
    <w:rsid w:val="00050C11"/>
    <w:rsid w:val="00052172"/>
    <w:rsid w:val="000548AB"/>
    <w:rsid w:val="00054B1C"/>
    <w:rsid w:val="00055059"/>
    <w:rsid w:val="000553E4"/>
    <w:rsid w:val="00060A26"/>
    <w:rsid w:val="00061443"/>
    <w:rsid w:val="00062EC5"/>
    <w:rsid w:val="00063BCF"/>
    <w:rsid w:val="00064256"/>
    <w:rsid w:val="00064D80"/>
    <w:rsid w:val="000666E0"/>
    <w:rsid w:val="000706A4"/>
    <w:rsid w:val="000708EE"/>
    <w:rsid w:val="00072118"/>
    <w:rsid w:val="000727C7"/>
    <w:rsid w:val="00072F46"/>
    <w:rsid w:val="00073039"/>
    <w:rsid w:val="00073173"/>
    <w:rsid w:val="0007406D"/>
    <w:rsid w:val="0007602A"/>
    <w:rsid w:val="00076196"/>
    <w:rsid w:val="00076B48"/>
    <w:rsid w:val="000774C1"/>
    <w:rsid w:val="000779AC"/>
    <w:rsid w:val="0008193E"/>
    <w:rsid w:val="000821A7"/>
    <w:rsid w:val="00083803"/>
    <w:rsid w:val="000848F4"/>
    <w:rsid w:val="0008716A"/>
    <w:rsid w:val="00087634"/>
    <w:rsid w:val="00090F47"/>
    <w:rsid w:val="00091237"/>
    <w:rsid w:val="000920EC"/>
    <w:rsid w:val="00092505"/>
    <w:rsid w:val="00095ACB"/>
    <w:rsid w:val="00096B97"/>
    <w:rsid w:val="000A0F46"/>
    <w:rsid w:val="000A1183"/>
    <w:rsid w:val="000A13D1"/>
    <w:rsid w:val="000A2121"/>
    <w:rsid w:val="000A3D94"/>
    <w:rsid w:val="000A4B3E"/>
    <w:rsid w:val="000B1398"/>
    <w:rsid w:val="000B1CFE"/>
    <w:rsid w:val="000B210A"/>
    <w:rsid w:val="000B249B"/>
    <w:rsid w:val="000B3DB9"/>
    <w:rsid w:val="000B3F02"/>
    <w:rsid w:val="000B48E7"/>
    <w:rsid w:val="000B7663"/>
    <w:rsid w:val="000C0E2B"/>
    <w:rsid w:val="000C11D3"/>
    <w:rsid w:val="000C12F5"/>
    <w:rsid w:val="000C152B"/>
    <w:rsid w:val="000C3408"/>
    <w:rsid w:val="000C776C"/>
    <w:rsid w:val="000D2E41"/>
    <w:rsid w:val="000D5E7A"/>
    <w:rsid w:val="000D5FAA"/>
    <w:rsid w:val="000D65A4"/>
    <w:rsid w:val="000D6946"/>
    <w:rsid w:val="000D6AEF"/>
    <w:rsid w:val="000E0F3D"/>
    <w:rsid w:val="000E19A8"/>
    <w:rsid w:val="000E2776"/>
    <w:rsid w:val="000E2A8A"/>
    <w:rsid w:val="000E51B0"/>
    <w:rsid w:val="000E78D2"/>
    <w:rsid w:val="000F0029"/>
    <w:rsid w:val="000F2D72"/>
    <w:rsid w:val="000F3332"/>
    <w:rsid w:val="000F33EE"/>
    <w:rsid w:val="000F401E"/>
    <w:rsid w:val="000F5445"/>
    <w:rsid w:val="000F5E7A"/>
    <w:rsid w:val="000F67B2"/>
    <w:rsid w:val="00100014"/>
    <w:rsid w:val="00102756"/>
    <w:rsid w:val="00102D79"/>
    <w:rsid w:val="00102F02"/>
    <w:rsid w:val="00103834"/>
    <w:rsid w:val="001041B6"/>
    <w:rsid w:val="001070EA"/>
    <w:rsid w:val="0011002A"/>
    <w:rsid w:val="0011110A"/>
    <w:rsid w:val="001118AF"/>
    <w:rsid w:val="0011256E"/>
    <w:rsid w:val="001157D5"/>
    <w:rsid w:val="00116DB9"/>
    <w:rsid w:val="00121167"/>
    <w:rsid w:val="001214CE"/>
    <w:rsid w:val="00121C39"/>
    <w:rsid w:val="00123255"/>
    <w:rsid w:val="001242CF"/>
    <w:rsid w:val="001247F5"/>
    <w:rsid w:val="00124D2D"/>
    <w:rsid w:val="00126F9E"/>
    <w:rsid w:val="001306B1"/>
    <w:rsid w:val="001307BE"/>
    <w:rsid w:val="00130C8F"/>
    <w:rsid w:val="001314F2"/>
    <w:rsid w:val="001317DA"/>
    <w:rsid w:val="00131B66"/>
    <w:rsid w:val="0013254D"/>
    <w:rsid w:val="00132665"/>
    <w:rsid w:val="00132CF6"/>
    <w:rsid w:val="00133A3B"/>
    <w:rsid w:val="00133AAC"/>
    <w:rsid w:val="00136561"/>
    <w:rsid w:val="00136CE4"/>
    <w:rsid w:val="001400E1"/>
    <w:rsid w:val="001405FA"/>
    <w:rsid w:val="001425C3"/>
    <w:rsid w:val="00142F16"/>
    <w:rsid w:val="00143B81"/>
    <w:rsid w:val="00143E03"/>
    <w:rsid w:val="00143E93"/>
    <w:rsid w:val="00150943"/>
    <w:rsid w:val="00151AC0"/>
    <w:rsid w:val="00152046"/>
    <w:rsid w:val="0015232F"/>
    <w:rsid w:val="00154059"/>
    <w:rsid w:val="00156318"/>
    <w:rsid w:val="0015639A"/>
    <w:rsid w:val="00157931"/>
    <w:rsid w:val="00157990"/>
    <w:rsid w:val="0016081D"/>
    <w:rsid w:val="00161312"/>
    <w:rsid w:val="00161EDA"/>
    <w:rsid w:val="001620D2"/>
    <w:rsid w:val="001620FA"/>
    <w:rsid w:val="00162853"/>
    <w:rsid w:val="00162EB2"/>
    <w:rsid w:val="00163793"/>
    <w:rsid w:val="0016545C"/>
    <w:rsid w:val="0016560B"/>
    <w:rsid w:val="00165A85"/>
    <w:rsid w:val="001707DE"/>
    <w:rsid w:val="00170B04"/>
    <w:rsid w:val="00170F47"/>
    <w:rsid w:val="001714F2"/>
    <w:rsid w:val="00171672"/>
    <w:rsid w:val="00171D29"/>
    <w:rsid w:val="00171D2A"/>
    <w:rsid w:val="00173485"/>
    <w:rsid w:val="00173642"/>
    <w:rsid w:val="00174CE8"/>
    <w:rsid w:val="00174FFB"/>
    <w:rsid w:val="001764D8"/>
    <w:rsid w:val="00176A8F"/>
    <w:rsid w:val="0017789F"/>
    <w:rsid w:val="001779F0"/>
    <w:rsid w:val="001804ED"/>
    <w:rsid w:val="00181338"/>
    <w:rsid w:val="00181893"/>
    <w:rsid w:val="0018225A"/>
    <w:rsid w:val="00182981"/>
    <w:rsid w:val="00184CF9"/>
    <w:rsid w:val="00185010"/>
    <w:rsid w:val="00186164"/>
    <w:rsid w:val="00186915"/>
    <w:rsid w:val="0018724F"/>
    <w:rsid w:val="001874CF"/>
    <w:rsid w:val="00187C76"/>
    <w:rsid w:val="00190D9B"/>
    <w:rsid w:val="00194331"/>
    <w:rsid w:val="0019492D"/>
    <w:rsid w:val="0019505A"/>
    <w:rsid w:val="00195444"/>
    <w:rsid w:val="001962A3"/>
    <w:rsid w:val="001971D0"/>
    <w:rsid w:val="0019731C"/>
    <w:rsid w:val="001A0075"/>
    <w:rsid w:val="001A250D"/>
    <w:rsid w:val="001A2BDB"/>
    <w:rsid w:val="001A2D19"/>
    <w:rsid w:val="001A443A"/>
    <w:rsid w:val="001A511C"/>
    <w:rsid w:val="001A552F"/>
    <w:rsid w:val="001A5DA4"/>
    <w:rsid w:val="001A7C15"/>
    <w:rsid w:val="001A7CD1"/>
    <w:rsid w:val="001B0AF0"/>
    <w:rsid w:val="001B1D89"/>
    <w:rsid w:val="001B2964"/>
    <w:rsid w:val="001B3110"/>
    <w:rsid w:val="001B44BC"/>
    <w:rsid w:val="001B4721"/>
    <w:rsid w:val="001B51F8"/>
    <w:rsid w:val="001B6545"/>
    <w:rsid w:val="001B666A"/>
    <w:rsid w:val="001B681B"/>
    <w:rsid w:val="001B74FB"/>
    <w:rsid w:val="001B77A1"/>
    <w:rsid w:val="001B7C99"/>
    <w:rsid w:val="001C0422"/>
    <w:rsid w:val="001C0E0E"/>
    <w:rsid w:val="001C1219"/>
    <w:rsid w:val="001C3178"/>
    <w:rsid w:val="001C357A"/>
    <w:rsid w:val="001C38BC"/>
    <w:rsid w:val="001C3A37"/>
    <w:rsid w:val="001C4384"/>
    <w:rsid w:val="001C573E"/>
    <w:rsid w:val="001C65FF"/>
    <w:rsid w:val="001C6B05"/>
    <w:rsid w:val="001C6E5E"/>
    <w:rsid w:val="001C70BF"/>
    <w:rsid w:val="001D234F"/>
    <w:rsid w:val="001D3651"/>
    <w:rsid w:val="001D47E5"/>
    <w:rsid w:val="001D5088"/>
    <w:rsid w:val="001D54E7"/>
    <w:rsid w:val="001D584C"/>
    <w:rsid w:val="001D66C1"/>
    <w:rsid w:val="001D77D5"/>
    <w:rsid w:val="001E03A3"/>
    <w:rsid w:val="001E0533"/>
    <w:rsid w:val="001E0BE1"/>
    <w:rsid w:val="001E0C65"/>
    <w:rsid w:val="001E23E3"/>
    <w:rsid w:val="001E33B9"/>
    <w:rsid w:val="001E387A"/>
    <w:rsid w:val="001E3DA4"/>
    <w:rsid w:val="001E48E5"/>
    <w:rsid w:val="001E4A25"/>
    <w:rsid w:val="001E561F"/>
    <w:rsid w:val="001E684C"/>
    <w:rsid w:val="001E701C"/>
    <w:rsid w:val="001E7C03"/>
    <w:rsid w:val="001F02AF"/>
    <w:rsid w:val="001F037F"/>
    <w:rsid w:val="001F0406"/>
    <w:rsid w:val="001F0EC9"/>
    <w:rsid w:val="001F274B"/>
    <w:rsid w:val="001F28F4"/>
    <w:rsid w:val="001F3C55"/>
    <w:rsid w:val="001F3C79"/>
    <w:rsid w:val="001F3E68"/>
    <w:rsid w:val="001F3E96"/>
    <w:rsid w:val="001F4597"/>
    <w:rsid w:val="001F55D7"/>
    <w:rsid w:val="001F7A31"/>
    <w:rsid w:val="00200D15"/>
    <w:rsid w:val="002029EF"/>
    <w:rsid w:val="00203074"/>
    <w:rsid w:val="00205103"/>
    <w:rsid w:val="00207730"/>
    <w:rsid w:val="00210400"/>
    <w:rsid w:val="00210CC2"/>
    <w:rsid w:val="00210F5B"/>
    <w:rsid w:val="00211036"/>
    <w:rsid w:val="00211262"/>
    <w:rsid w:val="002113A7"/>
    <w:rsid w:val="00211636"/>
    <w:rsid w:val="00211AC9"/>
    <w:rsid w:val="00212A98"/>
    <w:rsid w:val="0021355B"/>
    <w:rsid w:val="00214ED2"/>
    <w:rsid w:val="002155A9"/>
    <w:rsid w:val="002156B9"/>
    <w:rsid w:val="002200D8"/>
    <w:rsid w:val="002205F2"/>
    <w:rsid w:val="0022080E"/>
    <w:rsid w:val="0022139E"/>
    <w:rsid w:val="0022160A"/>
    <w:rsid w:val="0022272B"/>
    <w:rsid w:val="00222A99"/>
    <w:rsid w:val="00223667"/>
    <w:rsid w:val="00223678"/>
    <w:rsid w:val="00223E00"/>
    <w:rsid w:val="00223F33"/>
    <w:rsid w:val="00224911"/>
    <w:rsid w:val="002252E0"/>
    <w:rsid w:val="002255F6"/>
    <w:rsid w:val="00226466"/>
    <w:rsid w:val="00227993"/>
    <w:rsid w:val="0023229C"/>
    <w:rsid w:val="00232351"/>
    <w:rsid w:val="002329C3"/>
    <w:rsid w:val="00233472"/>
    <w:rsid w:val="00234111"/>
    <w:rsid w:val="00234280"/>
    <w:rsid w:val="002350E3"/>
    <w:rsid w:val="00235AFB"/>
    <w:rsid w:val="00236443"/>
    <w:rsid w:val="00237819"/>
    <w:rsid w:val="00240A5B"/>
    <w:rsid w:val="00241C02"/>
    <w:rsid w:val="00242569"/>
    <w:rsid w:val="0024261F"/>
    <w:rsid w:val="002436BA"/>
    <w:rsid w:val="00243E3B"/>
    <w:rsid w:val="002441B6"/>
    <w:rsid w:val="002444ED"/>
    <w:rsid w:val="00244A15"/>
    <w:rsid w:val="00244D40"/>
    <w:rsid w:val="0024620F"/>
    <w:rsid w:val="00246AE9"/>
    <w:rsid w:val="0024799E"/>
    <w:rsid w:val="0025186A"/>
    <w:rsid w:val="00251879"/>
    <w:rsid w:val="00251D59"/>
    <w:rsid w:val="00252FDC"/>
    <w:rsid w:val="00253719"/>
    <w:rsid w:val="002544F5"/>
    <w:rsid w:val="002547A6"/>
    <w:rsid w:val="0025540B"/>
    <w:rsid w:val="002555ED"/>
    <w:rsid w:val="002601FC"/>
    <w:rsid w:val="00260FA6"/>
    <w:rsid w:val="00261E29"/>
    <w:rsid w:val="00261E5B"/>
    <w:rsid w:val="00263470"/>
    <w:rsid w:val="00263733"/>
    <w:rsid w:val="002641A7"/>
    <w:rsid w:val="002650C1"/>
    <w:rsid w:val="00265536"/>
    <w:rsid w:val="00266591"/>
    <w:rsid w:val="00266F3E"/>
    <w:rsid w:val="0027227B"/>
    <w:rsid w:val="00272464"/>
    <w:rsid w:val="002727EA"/>
    <w:rsid w:val="00273DCD"/>
    <w:rsid w:val="00274291"/>
    <w:rsid w:val="00276CFE"/>
    <w:rsid w:val="00277071"/>
    <w:rsid w:val="0027786C"/>
    <w:rsid w:val="00281416"/>
    <w:rsid w:val="00283D2E"/>
    <w:rsid w:val="00284F79"/>
    <w:rsid w:val="002852C6"/>
    <w:rsid w:val="00285CD3"/>
    <w:rsid w:val="0028686A"/>
    <w:rsid w:val="00286E66"/>
    <w:rsid w:val="00290910"/>
    <w:rsid w:val="002911C8"/>
    <w:rsid w:val="002919B5"/>
    <w:rsid w:val="00293441"/>
    <w:rsid w:val="00293FEA"/>
    <w:rsid w:val="0029493E"/>
    <w:rsid w:val="00296C2E"/>
    <w:rsid w:val="002A1B05"/>
    <w:rsid w:val="002A2083"/>
    <w:rsid w:val="002A3BD5"/>
    <w:rsid w:val="002A4277"/>
    <w:rsid w:val="002A43A2"/>
    <w:rsid w:val="002A4612"/>
    <w:rsid w:val="002A4FBE"/>
    <w:rsid w:val="002A5263"/>
    <w:rsid w:val="002A659A"/>
    <w:rsid w:val="002A6821"/>
    <w:rsid w:val="002A6841"/>
    <w:rsid w:val="002A74D2"/>
    <w:rsid w:val="002B28A4"/>
    <w:rsid w:val="002B342C"/>
    <w:rsid w:val="002B36C8"/>
    <w:rsid w:val="002B3DAF"/>
    <w:rsid w:val="002B7240"/>
    <w:rsid w:val="002B798E"/>
    <w:rsid w:val="002B79A0"/>
    <w:rsid w:val="002B7EC1"/>
    <w:rsid w:val="002C055E"/>
    <w:rsid w:val="002C43BD"/>
    <w:rsid w:val="002C5261"/>
    <w:rsid w:val="002C6091"/>
    <w:rsid w:val="002C69FA"/>
    <w:rsid w:val="002D0562"/>
    <w:rsid w:val="002D1B5A"/>
    <w:rsid w:val="002D22B5"/>
    <w:rsid w:val="002D3EE3"/>
    <w:rsid w:val="002D5E94"/>
    <w:rsid w:val="002D632D"/>
    <w:rsid w:val="002D7CA9"/>
    <w:rsid w:val="002E02A1"/>
    <w:rsid w:val="002E1C6A"/>
    <w:rsid w:val="002E1DE4"/>
    <w:rsid w:val="002E2CE4"/>
    <w:rsid w:val="002E7C20"/>
    <w:rsid w:val="002F1DB9"/>
    <w:rsid w:val="002F33F7"/>
    <w:rsid w:val="002F33FB"/>
    <w:rsid w:val="002F3C26"/>
    <w:rsid w:val="002F46A9"/>
    <w:rsid w:val="002F47F3"/>
    <w:rsid w:val="002F7C73"/>
    <w:rsid w:val="00300B28"/>
    <w:rsid w:val="00300E9F"/>
    <w:rsid w:val="00301357"/>
    <w:rsid w:val="003016B0"/>
    <w:rsid w:val="00301D04"/>
    <w:rsid w:val="00303FCA"/>
    <w:rsid w:val="003046B3"/>
    <w:rsid w:val="00304771"/>
    <w:rsid w:val="003048B8"/>
    <w:rsid w:val="00305736"/>
    <w:rsid w:val="00306C5B"/>
    <w:rsid w:val="0030780B"/>
    <w:rsid w:val="003078E0"/>
    <w:rsid w:val="003103DA"/>
    <w:rsid w:val="0031223A"/>
    <w:rsid w:val="00312C3D"/>
    <w:rsid w:val="00314331"/>
    <w:rsid w:val="00316C55"/>
    <w:rsid w:val="00317C76"/>
    <w:rsid w:val="00320214"/>
    <w:rsid w:val="003209D6"/>
    <w:rsid w:val="0032109A"/>
    <w:rsid w:val="0032214F"/>
    <w:rsid w:val="00322164"/>
    <w:rsid w:val="003229E0"/>
    <w:rsid w:val="003247BB"/>
    <w:rsid w:val="00324F61"/>
    <w:rsid w:val="0032513D"/>
    <w:rsid w:val="00326251"/>
    <w:rsid w:val="0032697E"/>
    <w:rsid w:val="00327290"/>
    <w:rsid w:val="00327DEE"/>
    <w:rsid w:val="00331BAC"/>
    <w:rsid w:val="003329CF"/>
    <w:rsid w:val="003329F3"/>
    <w:rsid w:val="00332E05"/>
    <w:rsid w:val="00333234"/>
    <w:rsid w:val="0033352E"/>
    <w:rsid w:val="00333690"/>
    <w:rsid w:val="00333D20"/>
    <w:rsid w:val="003340EF"/>
    <w:rsid w:val="00334A49"/>
    <w:rsid w:val="00334C45"/>
    <w:rsid w:val="00335BB0"/>
    <w:rsid w:val="0033627B"/>
    <w:rsid w:val="00336EAA"/>
    <w:rsid w:val="003406BD"/>
    <w:rsid w:val="00343D5B"/>
    <w:rsid w:val="00343F84"/>
    <w:rsid w:val="00344135"/>
    <w:rsid w:val="00347DF6"/>
    <w:rsid w:val="00350B0A"/>
    <w:rsid w:val="00350DED"/>
    <w:rsid w:val="00351A67"/>
    <w:rsid w:val="00351B63"/>
    <w:rsid w:val="00352B72"/>
    <w:rsid w:val="00352D04"/>
    <w:rsid w:val="00352E57"/>
    <w:rsid w:val="00353A57"/>
    <w:rsid w:val="00353E12"/>
    <w:rsid w:val="003541B0"/>
    <w:rsid w:val="00354366"/>
    <w:rsid w:val="00355885"/>
    <w:rsid w:val="0035605E"/>
    <w:rsid w:val="00357449"/>
    <w:rsid w:val="00360712"/>
    <w:rsid w:val="00361918"/>
    <w:rsid w:val="0036238B"/>
    <w:rsid w:val="0036282B"/>
    <w:rsid w:val="00365680"/>
    <w:rsid w:val="003657F3"/>
    <w:rsid w:val="00365A32"/>
    <w:rsid w:val="00370362"/>
    <w:rsid w:val="00370C57"/>
    <w:rsid w:val="003723F7"/>
    <w:rsid w:val="00374B10"/>
    <w:rsid w:val="00374F1E"/>
    <w:rsid w:val="00375F77"/>
    <w:rsid w:val="00376DEC"/>
    <w:rsid w:val="00377A5A"/>
    <w:rsid w:val="00380E04"/>
    <w:rsid w:val="00382658"/>
    <w:rsid w:val="00384D8F"/>
    <w:rsid w:val="00385D98"/>
    <w:rsid w:val="00385EC5"/>
    <w:rsid w:val="0038634F"/>
    <w:rsid w:val="00386BD0"/>
    <w:rsid w:val="0039066E"/>
    <w:rsid w:val="0039073D"/>
    <w:rsid w:val="00391689"/>
    <w:rsid w:val="00391C95"/>
    <w:rsid w:val="0039268B"/>
    <w:rsid w:val="00393241"/>
    <w:rsid w:val="00394659"/>
    <w:rsid w:val="00395378"/>
    <w:rsid w:val="00396593"/>
    <w:rsid w:val="00396DAC"/>
    <w:rsid w:val="003A0214"/>
    <w:rsid w:val="003A098C"/>
    <w:rsid w:val="003A0D5B"/>
    <w:rsid w:val="003A180C"/>
    <w:rsid w:val="003A1D17"/>
    <w:rsid w:val="003A1D74"/>
    <w:rsid w:val="003A2708"/>
    <w:rsid w:val="003A2B4D"/>
    <w:rsid w:val="003A2D2B"/>
    <w:rsid w:val="003A30EF"/>
    <w:rsid w:val="003A3B1C"/>
    <w:rsid w:val="003A478C"/>
    <w:rsid w:val="003A49F1"/>
    <w:rsid w:val="003A4F82"/>
    <w:rsid w:val="003A5525"/>
    <w:rsid w:val="003A6B38"/>
    <w:rsid w:val="003B0002"/>
    <w:rsid w:val="003B1109"/>
    <w:rsid w:val="003B1454"/>
    <w:rsid w:val="003B2E63"/>
    <w:rsid w:val="003B3189"/>
    <w:rsid w:val="003B3932"/>
    <w:rsid w:val="003B39C4"/>
    <w:rsid w:val="003B3A9D"/>
    <w:rsid w:val="003B4102"/>
    <w:rsid w:val="003B4442"/>
    <w:rsid w:val="003B5031"/>
    <w:rsid w:val="003B50F0"/>
    <w:rsid w:val="003B5A32"/>
    <w:rsid w:val="003B6105"/>
    <w:rsid w:val="003B6C43"/>
    <w:rsid w:val="003B7F51"/>
    <w:rsid w:val="003C03C7"/>
    <w:rsid w:val="003C04C4"/>
    <w:rsid w:val="003C0CB8"/>
    <w:rsid w:val="003C20E8"/>
    <w:rsid w:val="003C26F4"/>
    <w:rsid w:val="003C383F"/>
    <w:rsid w:val="003C4852"/>
    <w:rsid w:val="003C6715"/>
    <w:rsid w:val="003C6F0F"/>
    <w:rsid w:val="003C7D80"/>
    <w:rsid w:val="003D030B"/>
    <w:rsid w:val="003D34B4"/>
    <w:rsid w:val="003D3600"/>
    <w:rsid w:val="003D3825"/>
    <w:rsid w:val="003D4760"/>
    <w:rsid w:val="003D4E62"/>
    <w:rsid w:val="003E0663"/>
    <w:rsid w:val="003E133F"/>
    <w:rsid w:val="003E193E"/>
    <w:rsid w:val="003E31B2"/>
    <w:rsid w:val="003E41E3"/>
    <w:rsid w:val="003E59FD"/>
    <w:rsid w:val="003E68BC"/>
    <w:rsid w:val="003E699C"/>
    <w:rsid w:val="003E69F3"/>
    <w:rsid w:val="003E7136"/>
    <w:rsid w:val="003E782E"/>
    <w:rsid w:val="003E7A0B"/>
    <w:rsid w:val="003E7B05"/>
    <w:rsid w:val="003F2B0A"/>
    <w:rsid w:val="003F313C"/>
    <w:rsid w:val="003F37FC"/>
    <w:rsid w:val="003F3FC2"/>
    <w:rsid w:val="003F49A6"/>
    <w:rsid w:val="003F4E1F"/>
    <w:rsid w:val="003F5098"/>
    <w:rsid w:val="003F5568"/>
    <w:rsid w:val="003F5A95"/>
    <w:rsid w:val="003F6D19"/>
    <w:rsid w:val="004000D5"/>
    <w:rsid w:val="00401716"/>
    <w:rsid w:val="00401B7F"/>
    <w:rsid w:val="00401CA8"/>
    <w:rsid w:val="00402C25"/>
    <w:rsid w:val="00403598"/>
    <w:rsid w:val="00403697"/>
    <w:rsid w:val="004050D7"/>
    <w:rsid w:val="00405E1A"/>
    <w:rsid w:val="00407373"/>
    <w:rsid w:val="004078BD"/>
    <w:rsid w:val="00410132"/>
    <w:rsid w:val="004109BF"/>
    <w:rsid w:val="0041187E"/>
    <w:rsid w:val="004123BE"/>
    <w:rsid w:val="00414CE5"/>
    <w:rsid w:val="00416673"/>
    <w:rsid w:val="004168FC"/>
    <w:rsid w:val="004170FE"/>
    <w:rsid w:val="00417C5B"/>
    <w:rsid w:val="00420A35"/>
    <w:rsid w:val="0042160D"/>
    <w:rsid w:val="004223D7"/>
    <w:rsid w:val="00422776"/>
    <w:rsid w:val="0042681B"/>
    <w:rsid w:val="00426CEE"/>
    <w:rsid w:val="004274DD"/>
    <w:rsid w:val="0043068A"/>
    <w:rsid w:val="004306E0"/>
    <w:rsid w:val="00431862"/>
    <w:rsid w:val="004329BE"/>
    <w:rsid w:val="00434FA3"/>
    <w:rsid w:val="00435D30"/>
    <w:rsid w:val="004360E1"/>
    <w:rsid w:val="00436125"/>
    <w:rsid w:val="0043752B"/>
    <w:rsid w:val="00437C76"/>
    <w:rsid w:val="00442AAC"/>
    <w:rsid w:val="004441A0"/>
    <w:rsid w:val="004443BF"/>
    <w:rsid w:val="00446892"/>
    <w:rsid w:val="00450C30"/>
    <w:rsid w:val="00451A03"/>
    <w:rsid w:val="00455ECA"/>
    <w:rsid w:val="00460164"/>
    <w:rsid w:val="004601C1"/>
    <w:rsid w:val="0046039A"/>
    <w:rsid w:val="00461977"/>
    <w:rsid w:val="00461A44"/>
    <w:rsid w:val="004629FD"/>
    <w:rsid w:val="00463F4D"/>
    <w:rsid w:val="004643C6"/>
    <w:rsid w:val="00465019"/>
    <w:rsid w:val="0046613F"/>
    <w:rsid w:val="0046655D"/>
    <w:rsid w:val="00466B34"/>
    <w:rsid w:val="00467606"/>
    <w:rsid w:val="0046765E"/>
    <w:rsid w:val="004676E2"/>
    <w:rsid w:val="004701B6"/>
    <w:rsid w:val="00470CC7"/>
    <w:rsid w:val="00470CCA"/>
    <w:rsid w:val="00470F69"/>
    <w:rsid w:val="00471EDD"/>
    <w:rsid w:val="0047400C"/>
    <w:rsid w:val="004749D9"/>
    <w:rsid w:val="00476D29"/>
    <w:rsid w:val="00477A06"/>
    <w:rsid w:val="00477EAF"/>
    <w:rsid w:val="00477EE0"/>
    <w:rsid w:val="004801DD"/>
    <w:rsid w:val="00480FAB"/>
    <w:rsid w:val="0048139F"/>
    <w:rsid w:val="004827FE"/>
    <w:rsid w:val="00483ABA"/>
    <w:rsid w:val="00486283"/>
    <w:rsid w:val="004879E9"/>
    <w:rsid w:val="004902E2"/>
    <w:rsid w:val="00490988"/>
    <w:rsid w:val="00491218"/>
    <w:rsid w:val="00493362"/>
    <w:rsid w:val="00493907"/>
    <w:rsid w:val="00494D91"/>
    <w:rsid w:val="00494FA0"/>
    <w:rsid w:val="00495C38"/>
    <w:rsid w:val="00495D8B"/>
    <w:rsid w:val="00496C2F"/>
    <w:rsid w:val="0049740D"/>
    <w:rsid w:val="004A269A"/>
    <w:rsid w:val="004A29F2"/>
    <w:rsid w:val="004A30FB"/>
    <w:rsid w:val="004A35DD"/>
    <w:rsid w:val="004A37D3"/>
    <w:rsid w:val="004A48EE"/>
    <w:rsid w:val="004A5864"/>
    <w:rsid w:val="004A5865"/>
    <w:rsid w:val="004A5972"/>
    <w:rsid w:val="004A6C74"/>
    <w:rsid w:val="004A77DF"/>
    <w:rsid w:val="004B0295"/>
    <w:rsid w:val="004B040D"/>
    <w:rsid w:val="004B3CB7"/>
    <w:rsid w:val="004B3D55"/>
    <w:rsid w:val="004B55B7"/>
    <w:rsid w:val="004B6337"/>
    <w:rsid w:val="004B7046"/>
    <w:rsid w:val="004C00A6"/>
    <w:rsid w:val="004C0BBB"/>
    <w:rsid w:val="004C3867"/>
    <w:rsid w:val="004C3A73"/>
    <w:rsid w:val="004C4CD0"/>
    <w:rsid w:val="004C57B5"/>
    <w:rsid w:val="004C5C25"/>
    <w:rsid w:val="004C5EFF"/>
    <w:rsid w:val="004C6CFF"/>
    <w:rsid w:val="004C6ED6"/>
    <w:rsid w:val="004C70DC"/>
    <w:rsid w:val="004C7268"/>
    <w:rsid w:val="004D0211"/>
    <w:rsid w:val="004D1AEF"/>
    <w:rsid w:val="004D1C9C"/>
    <w:rsid w:val="004D504B"/>
    <w:rsid w:val="004D536E"/>
    <w:rsid w:val="004D5A97"/>
    <w:rsid w:val="004D726E"/>
    <w:rsid w:val="004E0040"/>
    <w:rsid w:val="004E1494"/>
    <w:rsid w:val="004E18BB"/>
    <w:rsid w:val="004E4116"/>
    <w:rsid w:val="004E4A75"/>
    <w:rsid w:val="004E4AC0"/>
    <w:rsid w:val="004E541A"/>
    <w:rsid w:val="004E5A5C"/>
    <w:rsid w:val="004E5B4E"/>
    <w:rsid w:val="004E5FE8"/>
    <w:rsid w:val="004E762E"/>
    <w:rsid w:val="004E76D6"/>
    <w:rsid w:val="004E7AF6"/>
    <w:rsid w:val="004F03A7"/>
    <w:rsid w:val="004F06F5"/>
    <w:rsid w:val="004F146A"/>
    <w:rsid w:val="004F191F"/>
    <w:rsid w:val="004F2A73"/>
    <w:rsid w:val="004F2D3A"/>
    <w:rsid w:val="004F33A0"/>
    <w:rsid w:val="004F447D"/>
    <w:rsid w:val="004F4C28"/>
    <w:rsid w:val="004F5CC5"/>
    <w:rsid w:val="004F7D36"/>
    <w:rsid w:val="005016AC"/>
    <w:rsid w:val="00501ABE"/>
    <w:rsid w:val="0050286E"/>
    <w:rsid w:val="00504FF6"/>
    <w:rsid w:val="005058A8"/>
    <w:rsid w:val="00505923"/>
    <w:rsid w:val="00510189"/>
    <w:rsid w:val="005108C0"/>
    <w:rsid w:val="00511873"/>
    <w:rsid w:val="0051266C"/>
    <w:rsid w:val="00512F27"/>
    <w:rsid w:val="00513818"/>
    <w:rsid w:val="00513B7E"/>
    <w:rsid w:val="00513C6F"/>
    <w:rsid w:val="00514474"/>
    <w:rsid w:val="005172F4"/>
    <w:rsid w:val="005202E0"/>
    <w:rsid w:val="005215EF"/>
    <w:rsid w:val="00521CC7"/>
    <w:rsid w:val="00522CB5"/>
    <w:rsid w:val="005231C6"/>
    <w:rsid w:val="00525137"/>
    <w:rsid w:val="005251DD"/>
    <w:rsid w:val="0053017A"/>
    <w:rsid w:val="00530492"/>
    <w:rsid w:val="00530FEF"/>
    <w:rsid w:val="00532AB1"/>
    <w:rsid w:val="00532C18"/>
    <w:rsid w:val="005339BC"/>
    <w:rsid w:val="00534675"/>
    <w:rsid w:val="00535359"/>
    <w:rsid w:val="005357A2"/>
    <w:rsid w:val="00535A51"/>
    <w:rsid w:val="00535BCB"/>
    <w:rsid w:val="00535EF0"/>
    <w:rsid w:val="00537171"/>
    <w:rsid w:val="0053734B"/>
    <w:rsid w:val="005378BB"/>
    <w:rsid w:val="00537AFD"/>
    <w:rsid w:val="00537CB4"/>
    <w:rsid w:val="00540A0C"/>
    <w:rsid w:val="00540BBC"/>
    <w:rsid w:val="005426C1"/>
    <w:rsid w:val="005431DC"/>
    <w:rsid w:val="00544EA1"/>
    <w:rsid w:val="00544EBB"/>
    <w:rsid w:val="005513D5"/>
    <w:rsid w:val="005523B9"/>
    <w:rsid w:val="00552887"/>
    <w:rsid w:val="00553225"/>
    <w:rsid w:val="00553D09"/>
    <w:rsid w:val="005545E0"/>
    <w:rsid w:val="00554865"/>
    <w:rsid w:val="00554E57"/>
    <w:rsid w:val="005550E9"/>
    <w:rsid w:val="00555182"/>
    <w:rsid w:val="00561CBF"/>
    <w:rsid w:val="00562749"/>
    <w:rsid w:val="00562DE9"/>
    <w:rsid w:val="005638A5"/>
    <w:rsid w:val="00566381"/>
    <w:rsid w:val="0056667C"/>
    <w:rsid w:val="00566A03"/>
    <w:rsid w:val="00566C62"/>
    <w:rsid w:val="005718E3"/>
    <w:rsid w:val="00572DA2"/>
    <w:rsid w:val="00572EA7"/>
    <w:rsid w:val="00574240"/>
    <w:rsid w:val="0057459E"/>
    <w:rsid w:val="00574F14"/>
    <w:rsid w:val="00575CDC"/>
    <w:rsid w:val="0058053D"/>
    <w:rsid w:val="00580E2E"/>
    <w:rsid w:val="00582178"/>
    <w:rsid w:val="00582677"/>
    <w:rsid w:val="00583078"/>
    <w:rsid w:val="00583D5B"/>
    <w:rsid w:val="00583FFD"/>
    <w:rsid w:val="00587CCD"/>
    <w:rsid w:val="00590528"/>
    <w:rsid w:val="005908AE"/>
    <w:rsid w:val="0059176E"/>
    <w:rsid w:val="00591A22"/>
    <w:rsid w:val="005925A8"/>
    <w:rsid w:val="00593152"/>
    <w:rsid w:val="00593CA3"/>
    <w:rsid w:val="00594161"/>
    <w:rsid w:val="005947A6"/>
    <w:rsid w:val="00594969"/>
    <w:rsid w:val="00594EAA"/>
    <w:rsid w:val="00596A83"/>
    <w:rsid w:val="00596C5E"/>
    <w:rsid w:val="005977BA"/>
    <w:rsid w:val="00597827"/>
    <w:rsid w:val="0059787F"/>
    <w:rsid w:val="00597C5E"/>
    <w:rsid w:val="005A08BD"/>
    <w:rsid w:val="005A1CEC"/>
    <w:rsid w:val="005A21E0"/>
    <w:rsid w:val="005A33A1"/>
    <w:rsid w:val="005A54EE"/>
    <w:rsid w:val="005A5884"/>
    <w:rsid w:val="005A6E4A"/>
    <w:rsid w:val="005A7500"/>
    <w:rsid w:val="005B1BDB"/>
    <w:rsid w:val="005B310D"/>
    <w:rsid w:val="005B3247"/>
    <w:rsid w:val="005B3409"/>
    <w:rsid w:val="005B34D1"/>
    <w:rsid w:val="005B4A14"/>
    <w:rsid w:val="005B55C6"/>
    <w:rsid w:val="005B6AFE"/>
    <w:rsid w:val="005B7B12"/>
    <w:rsid w:val="005C1D5E"/>
    <w:rsid w:val="005C2412"/>
    <w:rsid w:val="005C3F9F"/>
    <w:rsid w:val="005C4A94"/>
    <w:rsid w:val="005C53CB"/>
    <w:rsid w:val="005C59F6"/>
    <w:rsid w:val="005C760A"/>
    <w:rsid w:val="005C7F1E"/>
    <w:rsid w:val="005D1508"/>
    <w:rsid w:val="005D1AF2"/>
    <w:rsid w:val="005D4067"/>
    <w:rsid w:val="005D5802"/>
    <w:rsid w:val="005D5A35"/>
    <w:rsid w:val="005D5B8F"/>
    <w:rsid w:val="005D5D32"/>
    <w:rsid w:val="005D6CFC"/>
    <w:rsid w:val="005D73E2"/>
    <w:rsid w:val="005E0D10"/>
    <w:rsid w:val="005E1E4B"/>
    <w:rsid w:val="005E24EF"/>
    <w:rsid w:val="005E362D"/>
    <w:rsid w:val="005E492C"/>
    <w:rsid w:val="005E4BAA"/>
    <w:rsid w:val="005E5B56"/>
    <w:rsid w:val="005E6B78"/>
    <w:rsid w:val="005F2F28"/>
    <w:rsid w:val="005F4057"/>
    <w:rsid w:val="005F4088"/>
    <w:rsid w:val="005F4CFA"/>
    <w:rsid w:val="005F6119"/>
    <w:rsid w:val="00600A3D"/>
    <w:rsid w:val="0060107A"/>
    <w:rsid w:val="0060154D"/>
    <w:rsid w:val="00601AFF"/>
    <w:rsid w:val="00602D1D"/>
    <w:rsid w:val="006038F7"/>
    <w:rsid w:val="00604307"/>
    <w:rsid w:val="0060487F"/>
    <w:rsid w:val="006059EB"/>
    <w:rsid w:val="00606B93"/>
    <w:rsid w:val="006118AA"/>
    <w:rsid w:val="00612CCA"/>
    <w:rsid w:val="00614460"/>
    <w:rsid w:val="006148B8"/>
    <w:rsid w:val="006153E3"/>
    <w:rsid w:val="006158DF"/>
    <w:rsid w:val="00616CD8"/>
    <w:rsid w:val="00617D2D"/>
    <w:rsid w:val="00617D83"/>
    <w:rsid w:val="00617F45"/>
    <w:rsid w:val="0062002F"/>
    <w:rsid w:val="00620AC5"/>
    <w:rsid w:val="00621575"/>
    <w:rsid w:val="006215FC"/>
    <w:rsid w:val="0062290D"/>
    <w:rsid w:val="00624093"/>
    <w:rsid w:val="00626CE6"/>
    <w:rsid w:val="00627CE0"/>
    <w:rsid w:val="00630F66"/>
    <w:rsid w:val="0063332A"/>
    <w:rsid w:val="006347F9"/>
    <w:rsid w:val="00634C90"/>
    <w:rsid w:val="00635E79"/>
    <w:rsid w:val="0063756F"/>
    <w:rsid w:val="006404A7"/>
    <w:rsid w:val="006407F3"/>
    <w:rsid w:val="00640C2B"/>
    <w:rsid w:val="00642977"/>
    <w:rsid w:val="00643175"/>
    <w:rsid w:val="00644C5B"/>
    <w:rsid w:val="006451E4"/>
    <w:rsid w:val="006460B8"/>
    <w:rsid w:val="00651D5D"/>
    <w:rsid w:val="006520C7"/>
    <w:rsid w:val="006530B8"/>
    <w:rsid w:val="006535D6"/>
    <w:rsid w:val="00655F7D"/>
    <w:rsid w:val="00657E87"/>
    <w:rsid w:val="00660206"/>
    <w:rsid w:val="00660265"/>
    <w:rsid w:val="00660457"/>
    <w:rsid w:val="00660E1E"/>
    <w:rsid w:val="00663662"/>
    <w:rsid w:val="006637B1"/>
    <w:rsid w:val="00664C40"/>
    <w:rsid w:val="00665D67"/>
    <w:rsid w:val="00665D77"/>
    <w:rsid w:val="006660CD"/>
    <w:rsid w:val="00667556"/>
    <w:rsid w:val="006676D0"/>
    <w:rsid w:val="00667C83"/>
    <w:rsid w:val="00670300"/>
    <w:rsid w:val="006710C9"/>
    <w:rsid w:val="00671437"/>
    <w:rsid w:val="00675120"/>
    <w:rsid w:val="00675E37"/>
    <w:rsid w:val="00676E82"/>
    <w:rsid w:val="00680292"/>
    <w:rsid w:val="0068260E"/>
    <w:rsid w:val="0068373D"/>
    <w:rsid w:val="00683BFE"/>
    <w:rsid w:val="0068416C"/>
    <w:rsid w:val="00685E66"/>
    <w:rsid w:val="0068672C"/>
    <w:rsid w:val="00686B72"/>
    <w:rsid w:val="00686D87"/>
    <w:rsid w:val="00690A09"/>
    <w:rsid w:val="00693FEA"/>
    <w:rsid w:val="006945DF"/>
    <w:rsid w:val="00694B93"/>
    <w:rsid w:val="00695170"/>
    <w:rsid w:val="00695BEF"/>
    <w:rsid w:val="006960D6"/>
    <w:rsid w:val="00696AA5"/>
    <w:rsid w:val="006977F6"/>
    <w:rsid w:val="00697A13"/>
    <w:rsid w:val="006A0436"/>
    <w:rsid w:val="006A109C"/>
    <w:rsid w:val="006A23BA"/>
    <w:rsid w:val="006A2B36"/>
    <w:rsid w:val="006A3B4D"/>
    <w:rsid w:val="006A456E"/>
    <w:rsid w:val="006A672B"/>
    <w:rsid w:val="006B05C6"/>
    <w:rsid w:val="006B0BC1"/>
    <w:rsid w:val="006B2EE3"/>
    <w:rsid w:val="006B3F8A"/>
    <w:rsid w:val="006B5CA3"/>
    <w:rsid w:val="006B6A7E"/>
    <w:rsid w:val="006B78D8"/>
    <w:rsid w:val="006C090F"/>
    <w:rsid w:val="006C113F"/>
    <w:rsid w:val="006C2A26"/>
    <w:rsid w:val="006C38DD"/>
    <w:rsid w:val="006C4BB5"/>
    <w:rsid w:val="006C5561"/>
    <w:rsid w:val="006C5577"/>
    <w:rsid w:val="006C559A"/>
    <w:rsid w:val="006C58FA"/>
    <w:rsid w:val="006D042D"/>
    <w:rsid w:val="006D06EF"/>
    <w:rsid w:val="006D090F"/>
    <w:rsid w:val="006D15EB"/>
    <w:rsid w:val="006D1D8E"/>
    <w:rsid w:val="006D292E"/>
    <w:rsid w:val="006D41A6"/>
    <w:rsid w:val="006D61F6"/>
    <w:rsid w:val="006D6AF7"/>
    <w:rsid w:val="006E157B"/>
    <w:rsid w:val="006E15CB"/>
    <w:rsid w:val="006E1F4C"/>
    <w:rsid w:val="006E279A"/>
    <w:rsid w:val="006E2964"/>
    <w:rsid w:val="006E2F3F"/>
    <w:rsid w:val="006E313B"/>
    <w:rsid w:val="006E32B9"/>
    <w:rsid w:val="006E442A"/>
    <w:rsid w:val="006E5875"/>
    <w:rsid w:val="006E5CFD"/>
    <w:rsid w:val="006E5F51"/>
    <w:rsid w:val="006E6701"/>
    <w:rsid w:val="006E73B9"/>
    <w:rsid w:val="006F1E27"/>
    <w:rsid w:val="006F2BEE"/>
    <w:rsid w:val="006F3708"/>
    <w:rsid w:val="006F38BB"/>
    <w:rsid w:val="006F3E6B"/>
    <w:rsid w:val="006F4A59"/>
    <w:rsid w:val="006F4D1E"/>
    <w:rsid w:val="006F756C"/>
    <w:rsid w:val="006F75D2"/>
    <w:rsid w:val="007004E0"/>
    <w:rsid w:val="00700C69"/>
    <w:rsid w:val="007014C7"/>
    <w:rsid w:val="00701F7D"/>
    <w:rsid w:val="00702D6F"/>
    <w:rsid w:val="007054B9"/>
    <w:rsid w:val="007058F0"/>
    <w:rsid w:val="00705D98"/>
    <w:rsid w:val="00706E5E"/>
    <w:rsid w:val="00707891"/>
    <w:rsid w:val="007115E4"/>
    <w:rsid w:val="00711EF1"/>
    <w:rsid w:val="0071229A"/>
    <w:rsid w:val="007146CC"/>
    <w:rsid w:val="00720FA2"/>
    <w:rsid w:val="007211F5"/>
    <w:rsid w:val="0072459F"/>
    <w:rsid w:val="00724666"/>
    <w:rsid w:val="007253C1"/>
    <w:rsid w:val="00725534"/>
    <w:rsid w:val="00726043"/>
    <w:rsid w:val="0072704A"/>
    <w:rsid w:val="00730AE8"/>
    <w:rsid w:val="00734321"/>
    <w:rsid w:val="007351BA"/>
    <w:rsid w:val="007363A9"/>
    <w:rsid w:val="00736EB6"/>
    <w:rsid w:val="00740652"/>
    <w:rsid w:val="00740F02"/>
    <w:rsid w:val="00740FEC"/>
    <w:rsid w:val="00741493"/>
    <w:rsid w:val="007426B3"/>
    <w:rsid w:val="007426FD"/>
    <w:rsid w:val="00744376"/>
    <w:rsid w:val="007449EA"/>
    <w:rsid w:val="007457CF"/>
    <w:rsid w:val="00746DD9"/>
    <w:rsid w:val="00750310"/>
    <w:rsid w:val="0075057A"/>
    <w:rsid w:val="00751771"/>
    <w:rsid w:val="00751EA2"/>
    <w:rsid w:val="00752180"/>
    <w:rsid w:val="007521A1"/>
    <w:rsid w:val="0075245C"/>
    <w:rsid w:val="0075315D"/>
    <w:rsid w:val="00754253"/>
    <w:rsid w:val="007558D3"/>
    <w:rsid w:val="00755D3A"/>
    <w:rsid w:val="00755E71"/>
    <w:rsid w:val="007563E7"/>
    <w:rsid w:val="00756B64"/>
    <w:rsid w:val="00760141"/>
    <w:rsid w:val="007609C6"/>
    <w:rsid w:val="007610A0"/>
    <w:rsid w:val="007620F2"/>
    <w:rsid w:val="00764561"/>
    <w:rsid w:val="00764664"/>
    <w:rsid w:val="007655B1"/>
    <w:rsid w:val="007657B9"/>
    <w:rsid w:val="00765CCE"/>
    <w:rsid w:val="007674C6"/>
    <w:rsid w:val="00771236"/>
    <w:rsid w:val="00772F26"/>
    <w:rsid w:val="00774665"/>
    <w:rsid w:val="00774782"/>
    <w:rsid w:val="00776527"/>
    <w:rsid w:val="00780B8F"/>
    <w:rsid w:val="00781834"/>
    <w:rsid w:val="00781FA0"/>
    <w:rsid w:val="007821DB"/>
    <w:rsid w:val="00782818"/>
    <w:rsid w:val="007835F2"/>
    <w:rsid w:val="00784C4A"/>
    <w:rsid w:val="0078561F"/>
    <w:rsid w:val="00786303"/>
    <w:rsid w:val="00786DA5"/>
    <w:rsid w:val="00787432"/>
    <w:rsid w:val="007879F2"/>
    <w:rsid w:val="007910AE"/>
    <w:rsid w:val="00791CF8"/>
    <w:rsid w:val="00793BAE"/>
    <w:rsid w:val="00794E0A"/>
    <w:rsid w:val="00796187"/>
    <w:rsid w:val="00796642"/>
    <w:rsid w:val="007977D7"/>
    <w:rsid w:val="00797AD0"/>
    <w:rsid w:val="007A0F38"/>
    <w:rsid w:val="007A155D"/>
    <w:rsid w:val="007A2C57"/>
    <w:rsid w:val="007A327B"/>
    <w:rsid w:val="007A4606"/>
    <w:rsid w:val="007A69E3"/>
    <w:rsid w:val="007A7353"/>
    <w:rsid w:val="007B3DCC"/>
    <w:rsid w:val="007B4518"/>
    <w:rsid w:val="007B5031"/>
    <w:rsid w:val="007B5182"/>
    <w:rsid w:val="007B573F"/>
    <w:rsid w:val="007B6FDA"/>
    <w:rsid w:val="007B7A79"/>
    <w:rsid w:val="007C4691"/>
    <w:rsid w:val="007C471B"/>
    <w:rsid w:val="007C55AE"/>
    <w:rsid w:val="007C6BAA"/>
    <w:rsid w:val="007C7BEA"/>
    <w:rsid w:val="007D2051"/>
    <w:rsid w:val="007D2AD8"/>
    <w:rsid w:val="007D2C47"/>
    <w:rsid w:val="007D44C3"/>
    <w:rsid w:val="007D4885"/>
    <w:rsid w:val="007D7588"/>
    <w:rsid w:val="007E0F4B"/>
    <w:rsid w:val="007E1E50"/>
    <w:rsid w:val="007E386C"/>
    <w:rsid w:val="007E6455"/>
    <w:rsid w:val="007E770F"/>
    <w:rsid w:val="007E7E61"/>
    <w:rsid w:val="007F0845"/>
    <w:rsid w:val="007F141A"/>
    <w:rsid w:val="007F16F9"/>
    <w:rsid w:val="007F5F14"/>
    <w:rsid w:val="007F7B54"/>
    <w:rsid w:val="008005D7"/>
    <w:rsid w:val="00801FDD"/>
    <w:rsid w:val="0080255C"/>
    <w:rsid w:val="00803424"/>
    <w:rsid w:val="00804DDA"/>
    <w:rsid w:val="008056F7"/>
    <w:rsid w:val="008059A4"/>
    <w:rsid w:val="008064E9"/>
    <w:rsid w:val="0080798B"/>
    <w:rsid w:val="00807A2C"/>
    <w:rsid w:val="00810A52"/>
    <w:rsid w:val="00811257"/>
    <w:rsid w:val="0081187C"/>
    <w:rsid w:val="00811E24"/>
    <w:rsid w:val="00812E2B"/>
    <w:rsid w:val="00813A70"/>
    <w:rsid w:val="008155EA"/>
    <w:rsid w:val="00816259"/>
    <w:rsid w:val="0081645F"/>
    <w:rsid w:val="008178C2"/>
    <w:rsid w:val="008178CF"/>
    <w:rsid w:val="00817AE0"/>
    <w:rsid w:val="00817C98"/>
    <w:rsid w:val="00820C9F"/>
    <w:rsid w:val="00821FF6"/>
    <w:rsid w:val="00822495"/>
    <w:rsid w:val="0082409A"/>
    <w:rsid w:val="008241C2"/>
    <w:rsid w:val="008263CD"/>
    <w:rsid w:val="00827181"/>
    <w:rsid w:val="00827746"/>
    <w:rsid w:val="0083143E"/>
    <w:rsid w:val="0083159D"/>
    <w:rsid w:val="008334C5"/>
    <w:rsid w:val="008336D8"/>
    <w:rsid w:val="008339C4"/>
    <w:rsid w:val="008341A6"/>
    <w:rsid w:val="00834996"/>
    <w:rsid w:val="00834F0A"/>
    <w:rsid w:val="00834FAA"/>
    <w:rsid w:val="00835E23"/>
    <w:rsid w:val="00836086"/>
    <w:rsid w:val="008362FF"/>
    <w:rsid w:val="00841D9F"/>
    <w:rsid w:val="00842604"/>
    <w:rsid w:val="00843B81"/>
    <w:rsid w:val="00843D95"/>
    <w:rsid w:val="00843ECF"/>
    <w:rsid w:val="00846673"/>
    <w:rsid w:val="00846BD7"/>
    <w:rsid w:val="008518B7"/>
    <w:rsid w:val="0085281A"/>
    <w:rsid w:val="00853794"/>
    <w:rsid w:val="00853DA2"/>
    <w:rsid w:val="00853EAB"/>
    <w:rsid w:val="00853F4C"/>
    <w:rsid w:val="008545A1"/>
    <w:rsid w:val="00854865"/>
    <w:rsid w:val="008559FE"/>
    <w:rsid w:val="00855A99"/>
    <w:rsid w:val="00857339"/>
    <w:rsid w:val="00860288"/>
    <w:rsid w:val="008615C3"/>
    <w:rsid w:val="00862A7A"/>
    <w:rsid w:val="00863374"/>
    <w:rsid w:val="00863D9E"/>
    <w:rsid w:val="008665C1"/>
    <w:rsid w:val="008666C3"/>
    <w:rsid w:val="00867C4F"/>
    <w:rsid w:val="00867E29"/>
    <w:rsid w:val="008705E3"/>
    <w:rsid w:val="00870F2B"/>
    <w:rsid w:val="00871002"/>
    <w:rsid w:val="0087129A"/>
    <w:rsid w:val="008712FB"/>
    <w:rsid w:val="008715FE"/>
    <w:rsid w:val="00871782"/>
    <w:rsid w:val="008746E6"/>
    <w:rsid w:val="008752D2"/>
    <w:rsid w:val="00876086"/>
    <w:rsid w:val="008768D6"/>
    <w:rsid w:val="00876C5B"/>
    <w:rsid w:val="00877329"/>
    <w:rsid w:val="008775D1"/>
    <w:rsid w:val="008777BB"/>
    <w:rsid w:val="008852B1"/>
    <w:rsid w:val="0088555A"/>
    <w:rsid w:val="008866C2"/>
    <w:rsid w:val="0088733A"/>
    <w:rsid w:val="00887AEB"/>
    <w:rsid w:val="00891BE0"/>
    <w:rsid w:val="008945A1"/>
    <w:rsid w:val="00894A63"/>
    <w:rsid w:val="00895F20"/>
    <w:rsid w:val="0089668D"/>
    <w:rsid w:val="00896BDE"/>
    <w:rsid w:val="00897C0E"/>
    <w:rsid w:val="008A03E6"/>
    <w:rsid w:val="008A0861"/>
    <w:rsid w:val="008A0BB2"/>
    <w:rsid w:val="008A133B"/>
    <w:rsid w:val="008A1A90"/>
    <w:rsid w:val="008A1AB3"/>
    <w:rsid w:val="008A1D5C"/>
    <w:rsid w:val="008A3292"/>
    <w:rsid w:val="008A3A85"/>
    <w:rsid w:val="008A43E9"/>
    <w:rsid w:val="008A4CB1"/>
    <w:rsid w:val="008A5942"/>
    <w:rsid w:val="008A615E"/>
    <w:rsid w:val="008A632B"/>
    <w:rsid w:val="008A6BFE"/>
    <w:rsid w:val="008A7CE6"/>
    <w:rsid w:val="008B0683"/>
    <w:rsid w:val="008B06EF"/>
    <w:rsid w:val="008B0C8B"/>
    <w:rsid w:val="008B190E"/>
    <w:rsid w:val="008B1A8A"/>
    <w:rsid w:val="008B2CB6"/>
    <w:rsid w:val="008B7306"/>
    <w:rsid w:val="008B775F"/>
    <w:rsid w:val="008B7C02"/>
    <w:rsid w:val="008B7EF5"/>
    <w:rsid w:val="008B7F9E"/>
    <w:rsid w:val="008C0E88"/>
    <w:rsid w:val="008C1AA8"/>
    <w:rsid w:val="008C2717"/>
    <w:rsid w:val="008C2E5B"/>
    <w:rsid w:val="008C41F7"/>
    <w:rsid w:val="008C5FBF"/>
    <w:rsid w:val="008C6CB8"/>
    <w:rsid w:val="008C7815"/>
    <w:rsid w:val="008D0171"/>
    <w:rsid w:val="008D0FEC"/>
    <w:rsid w:val="008D0FF8"/>
    <w:rsid w:val="008D2811"/>
    <w:rsid w:val="008D2A16"/>
    <w:rsid w:val="008D2ECF"/>
    <w:rsid w:val="008D39A6"/>
    <w:rsid w:val="008D3F3D"/>
    <w:rsid w:val="008D49DC"/>
    <w:rsid w:val="008D53E3"/>
    <w:rsid w:val="008E30AD"/>
    <w:rsid w:val="008E31FF"/>
    <w:rsid w:val="008E33DD"/>
    <w:rsid w:val="008E517B"/>
    <w:rsid w:val="008E6113"/>
    <w:rsid w:val="008E6AB3"/>
    <w:rsid w:val="008E6AD3"/>
    <w:rsid w:val="008E71A6"/>
    <w:rsid w:val="008E77B6"/>
    <w:rsid w:val="008F032E"/>
    <w:rsid w:val="008F0F14"/>
    <w:rsid w:val="008F2B5D"/>
    <w:rsid w:val="008F371B"/>
    <w:rsid w:val="008F3A22"/>
    <w:rsid w:val="008F3CAE"/>
    <w:rsid w:val="008F41F7"/>
    <w:rsid w:val="008F471F"/>
    <w:rsid w:val="008F4FCE"/>
    <w:rsid w:val="008F79E1"/>
    <w:rsid w:val="008F7D28"/>
    <w:rsid w:val="009003A8"/>
    <w:rsid w:val="00900873"/>
    <w:rsid w:val="00901236"/>
    <w:rsid w:val="00902CBE"/>
    <w:rsid w:val="00902EFF"/>
    <w:rsid w:val="00903E06"/>
    <w:rsid w:val="00905425"/>
    <w:rsid w:val="009065B1"/>
    <w:rsid w:val="00910824"/>
    <w:rsid w:val="00910F93"/>
    <w:rsid w:val="00911F2B"/>
    <w:rsid w:val="00914426"/>
    <w:rsid w:val="00914EE3"/>
    <w:rsid w:val="00915DFE"/>
    <w:rsid w:val="00915F5B"/>
    <w:rsid w:val="0091675F"/>
    <w:rsid w:val="00917709"/>
    <w:rsid w:val="00917918"/>
    <w:rsid w:val="00917FD4"/>
    <w:rsid w:val="00920AC4"/>
    <w:rsid w:val="00921F14"/>
    <w:rsid w:val="009233EB"/>
    <w:rsid w:val="00923BAB"/>
    <w:rsid w:val="00923F10"/>
    <w:rsid w:val="009243A5"/>
    <w:rsid w:val="00925217"/>
    <w:rsid w:val="00925FDB"/>
    <w:rsid w:val="00926283"/>
    <w:rsid w:val="0093181C"/>
    <w:rsid w:val="009329C5"/>
    <w:rsid w:val="00932A93"/>
    <w:rsid w:val="009348E3"/>
    <w:rsid w:val="00934AE3"/>
    <w:rsid w:val="00935835"/>
    <w:rsid w:val="00935B60"/>
    <w:rsid w:val="009362AF"/>
    <w:rsid w:val="00937B11"/>
    <w:rsid w:val="00940F1F"/>
    <w:rsid w:val="00941250"/>
    <w:rsid w:val="00942629"/>
    <w:rsid w:val="0094427A"/>
    <w:rsid w:val="00945578"/>
    <w:rsid w:val="009459C5"/>
    <w:rsid w:val="00946D52"/>
    <w:rsid w:val="0094750F"/>
    <w:rsid w:val="0094760E"/>
    <w:rsid w:val="0095013A"/>
    <w:rsid w:val="00953AEF"/>
    <w:rsid w:val="009551E2"/>
    <w:rsid w:val="00955783"/>
    <w:rsid w:val="00955F37"/>
    <w:rsid w:val="009560B0"/>
    <w:rsid w:val="00957164"/>
    <w:rsid w:val="00957871"/>
    <w:rsid w:val="00960239"/>
    <w:rsid w:val="00964498"/>
    <w:rsid w:val="00965F36"/>
    <w:rsid w:val="0096650F"/>
    <w:rsid w:val="00967184"/>
    <w:rsid w:val="009700DB"/>
    <w:rsid w:val="009704BD"/>
    <w:rsid w:val="009712F3"/>
    <w:rsid w:val="00971C65"/>
    <w:rsid w:val="00972263"/>
    <w:rsid w:val="00972D8D"/>
    <w:rsid w:val="00973AAE"/>
    <w:rsid w:val="00974923"/>
    <w:rsid w:val="00974D48"/>
    <w:rsid w:val="00975655"/>
    <w:rsid w:val="009759B5"/>
    <w:rsid w:val="009773AE"/>
    <w:rsid w:val="00980621"/>
    <w:rsid w:val="00981EC7"/>
    <w:rsid w:val="00982072"/>
    <w:rsid w:val="0098358E"/>
    <w:rsid w:val="00983CBF"/>
    <w:rsid w:val="00983ECF"/>
    <w:rsid w:val="00984A20"/>
    <w:rsid w:val="00986485"/>
    <w:rsid w:val="00986745"/>
    <w:rsid w:val="00987109"/>
    <w:rsid w:val="0099012D"/>
    <w:rsid w:val="00996355"/>
    <w:rsid w:val="00996B72"/>
    <w:rsid w:val="00996E07"/>
    <w:rsid w:val="00997EEB"/>
    <w:rsid w:val="009A3909"/>
    <w:rsid w:val="009A4E12"/>
    <w:rsid w:val="009A4E89"/>
    <w:rsid w:val="009B052C"/>
    <w:rsid w:val="009B06E8"/>
    <w:rsid w:val="009B0EF2"/>
    <w:rsid w:val="009B1FDF"/>
    <w:rsid w:val="009B23A3"/>
    <w:rsid w:val="009B61D0"/>
    <w:rsid w:val="009B6FD3"/>
    <w:rsid w:val="009B70BD"/>
    <w:rsid w:val="009C2524"/>
    <w:rsid w:val="009C42CD"/>
    <w:rsid w:val="009C4DA1"/>
    <w:rsid w:val="009C7388"/>
    <w:rsid w:val="009C764D"/>
    <w:rsid w:val="009C7AE1"/>
    <w:rsid w:val="009D0355"/>
    <w:rsid w:val="009D0F98"/>
    <w:rsid w:val="009D1551"/>
    <w:rsid w:val="009D2859"/>
    <w:rsid w:val="009D3B5E"/>
    <w:rsid w:val="009D4173"/>
    <w:rsid w:val="009D5354"/>
    <w:rsid w:val="009D6095"/>
    <w:rsid w:val="009D6306"/>
    <w:rsid w:val="009D7385"/>
    <w:rsid w:val="009E0015"/>
    <w:rsid w:val="009E048A"/>
    <w:rsid w:val="009E16D0"/>
    <w:rsid w:val="009E1FBA"/>
    <w:rsid w:val="009E2C54"/>
    <w:rsid w:val="009E3710"/>
    <w:rsid w:val="009E3EB9"/>
    <w:rsid w:val="009E577B"/>
    <w:rsid w:val="009E7B1F"/>
    <w:rsid w:val="009F0A68"/>
    <w:rsid w:val="009F1131"/>
    <w:rsid w:val="009F18F2"/>
    <w:rsid w:val="009F19BA"/>
    <w:rsid w:val="009F3FD0"/>
    <w:rsid w:val="009F408C"/>
    <w:rsid w:val="009F41C4"/>
    <w:rsid w:val="009F4792"/>
    <w:rsid w:val="009F5846"/>
    <w:rsid w:val="009F7D77"/>
    <w:rsid w:val="00A0259C"/>
    <w:rsid w:val="00A030BD"/>
    <w:rsid w:val="00A0348B"/>
    <w:rsid w:val="00A10D66"/>
    <w:rsid w:val="00A117C1"/>
    <w:rsid w:val="00A11838"/>
    <w:rsid w:val="00A11C9D"/>
    <w:rsid w:val="00A127F7"/>
    <w:rsid w:val="00A13714"/>
    <w:rsid w:val="00A1420C"/>
    <w:rsid w:val="00A15AB6"/>
    <w:rsid w:val="00A2055B"/>
    <w:rsid w:val="00A2253C"/>
    <w:rsid w:val="00A23545"/>
    <w:rsid w:val="00A23A55"/>
    <w:rsid w:val="00A23E43"/>
    <w:rsid w:val="00A24F8C"/>
    <w:rsid w:val="00A25E57"/>
    <w:rsid w:val="00A262BF"/>
    <w:rsid w:val="00A271AD"/>
    <w:rsid w:val="00A276D5"/>
    <w:rsid w:val="00A30336"/>
    <w:rsid w:val="00A30529"/>
    <w:rsid w:val="00A30BB5"/>
    <w:rsid w:val="00A30E88"/>
    <w:rsid w:val="00A3128F"/>
    <w:rsid w:val="00A326D0"/>
    <w:rsid w:val="00A35287"/>
    <w:rsid w:val="00A35CB9"/>
    <w:rsid w:val="00A37441"/>
    <w:rsid w:val="00A378F8"/>
    <w:rsid w:val="00A40530"/>
    <w:rsid w:val="00A40B19"/>
    <w:rsid w:val="00A41F2C"/>
    <w:rsid w:val="00A424F8"/>
    <w:rsid w:val="00A44B0D"/>
    <w:rsid w:val="00A46826"/>
    <w:rsid w:val="00A46DE0"/>
    <w:rsid w:val="00A4778A"/>
    <w:rsid w:val="00A5067F"/>
    <w:rsid w:val="00A5104A"/>
    <w:rsid w:val="00A53936"/>
    <w:rsid w:val="00A55301"/>
    <w:rsid w:val="00A57B3C"/>
    <w:rsid w:val="00A602D9"/>
    <w:rsid w:val="00A6128E"/>
    <w:rsid w:val="00A62CE1"/>
    <w:rsid w:val="00A631FA"/>
    <w:rsid w:val="00A64143"/>
    <w:rsid w:val="00A64203"/>
    <w:rsid w:val="00A64348"/>
    <w:rsid w:val="00A651DB"/>
    <w:rsid w:val="00A66976"/>
    <w:rsid w:val="00A674E1"/>
    <w:rsid w:val="00A70FBC"/>
    <w:rsid w:val="00A721FB"/>
    <w:rsid w:val="00A72671"/>
    <w:rsid w:val="00A727BA"/>
    <w:rsid w:val="00A72D4B"/>
    <w:rsid w:val="00A732AE"/>
    <w:rsid w:val="00A74C7F"/>
    <w:rsid w:val="00A75744"/>
    <w:rsid w:val="00A75E40"/>
    <w:rsid w:val="00A77EB2"/>
    <w:rsid w:val="00A823B7"/>
    <w:rsid w:val="00A82A03"/>
    <w:rsid w:val="00A82B66"/>
    <w:rsid w:val="00A83B58"/>
    <w:rsid w:val="00A841AC"/>
    <w:rsid w:val="00A851B6"/>
    <w:rsid w:val="00A85332"/>
    <w:rsid w:val="00A85729"/>
    <w:rsid w:val="00A8574B"/>
    <w:rsid w:val="00A857C0"/>
    <w:rsid w:val="00A86068"/>
    <w:rsid w:val="00A872CE"/>
    <w:rsid w:val="00A90368"/>
    <w:rsid w:val="00A906AC"/>
    <w:rsid w:val="00A91893"/>
    <w:rsid w:val="00A96463"/>
    <w:rsid w:val="00A97E3F"/>
    <w:rsid w:val="00A97F75"/>
    <w:rsid w:val="00AA0A14"/>
    <w:rsid w:val="00AA23FB"/>
    <w:rsid w:val="00AA3855"/>
    <w:rsid w:val="00AA42AB"/>
    <w:rsid w:val="00AA559A"/>
    <w:rsid w:val="00AA7B05"/>
    <w:rsid w:val="00AB11AB"/>
    <w:rsid w:val="00AB2AF1"/>
    <w:rsid w:val="00AB440B"/>
    <w:rsid w:val="00AB5082"/>
    <w:rsid w:val="00AB50D4"/>
    <w:rsid w:val="00AB7037"/>
    <w:rsid w:val="00AB74C5"/>
    <w:rsid w:val="00AB76C0"/>
    <w:rsid w:val="00AB7DF2"/>
    <w:rsid w:val="00AC1E3F"/>
    <w:rsid w:val="00AC44CA"/>
    <w:rsid w:val="00AC4F18"/>
    <w:rsid w:val="00AC5926"/>
    <w:rsid w:val="00AD0B46"/>
    <w:rsid w:val="00AD186B"/>
    <w:rsid w:val="00AD2565"/>
    <w:rsid w:val="00AD27F2"/>
    <w:rsid w:val="00AD306C"/>
    <w:rsid w:val="00AD3424"/>
    <w:rsid w:val="00AD460D"/>
    <w:rsid w:val="00AD4F85"/>
    <w:rsid w:val="00AD59BB"/>
    <w:rsid w:val="00AD5D3A"/>
    <w:rsid w:val="00AD5D68"/>
    <w:rsid w:val="00AD6C73"/>
    <w:rsid w:val="00AD6D14"/>
    <w:rsid w:val="00AD7314"/>
    <w:rsid w:val="00AD799D"/>
    <w:rsid w:val="00AE06D0"/>
    <w:rsid w:val="00AE39DC"/>
    <w:rsid w:val="00AE6D73"/>
    <w:rsid w:val="00AE721E"/>
    <w:rsid w:val="00AE7968"/>
    <w:rsid w:val="00AF128B"/>
    <w:rsid w:val="00AF14DC"/>
    <w:rsid w:val="00AF2852"/>
    <w:rsid w:val="00AF2E94"/>
    <w:rsid w:val="00AF3225"/>
    <w:rsid w:val="00AF518B"/>
    <w:rsid w:val="00AF5275"/>
    <w:rsid w:val="00AF5F15"/>
    <w:rsid w:val="00AF6367"/>
    <w:rsid w:val="00AF648D"/>
    <w:rsid w:val="00AF659A"/>
    <w:rsid w:val="00AF6A79"/>
    <w:rsid w:val="00AF6F70"/>
    <w:rsid w:val="00AF724E"/>
    <w:rsid w:val="00AF73A9"/>
    <w:rsid w:val="00AF74FD"/>
    <w:rsid w:val="00AF7C2D"/>
    <w:rsid w:val="00B01C2C"/>
    <w:rsid w:val="00B0231C"/>
    <w:rsid w:val="00B04828"/>
    <w:rsid w:val="00B06DC2"/>
    <w:rsid w:val="00B06EE6"/>
    <w:rsid w:val="00B07952"/>
    <w:rsid w:val="00B07F24"/>
    <w:rsid w:val="00B106D8"/>
    <w:rsid w:val="00B12609"/>
    <w:rsid w:val="00B13134"/>
    <w:rsid w:val="00B133F1"/>
    <w:rsid w:val="00B13619"/>
    <w:rsid w:val="00B155A3"/>
    <w:rsid w:val="00B15DCD"/>
    <w:rsid w:val="00B160A4"/>
    <w:rsid w:val="00B16102"/>
    <w:rsid w:val="00B174DD"/>
    <w:rsid w:val="00B17567"/>
    <w:rsid w:val="00B17E71"/>
    <w:rsid w:val="00B17FCE"/>
    <w:rsid w:val="00B17FDE"/>
    <w:rsid w:val="00B208FC"/>
    <w:rsid w:val="00B20C65"/>
    <w:rsid w:val="00B23632"/>
    <w:rsid w:val="00B2424E"/>
    <w:rsid w:val="00B24707"/>
    <w:rsid w:val="00B24E42"/>
    <w:rsid w:val="00B27293"/>
    <w:rsid w:val="00B274E0"/>
    <w:rsid w:val="00B27737"/>
    <w:rsid w:val="00B31336"/>
    <w:rsid w:val="00B3229E"/>
    <w:rsid w:val="00B326B3"/>
    <w:rsid w:val="00B32DDB"/>
    <w:rsid w:val="00B35BEA"/>
    <w:rsid w:val="00B37A71"/>
    <w:rsid w:val="00B41BE6"/>
    <w:rsid w:val="00B41D75"/>
    <w:rsid w:val="00B435EF"/>
    <w:rsid w:val="00B43871"/>
    <w:rsid w:val="00B457E7"/>
    <w:rsid w:val="00B47430"/>
    <w:rsid w:val="00B47436"/>
    <w:rsid w:val="00B47FCC"/>
    <w:rsid w:val="00B51604"/>
    <w:rsid w:val="00B52D2D"/>
    <w:rsid w:val="00B53BC1"/>
    <w:rsid w:val="00B56082"/>
    <w:rsid w:val="00B561A6"/>
    <w:rsid w:val="00B60C8D"/>
    <w:rsid w:val="00B61046"/>
    <w:rsid w:val="00B61F2D"/>
    <w:rsid w:val="00B62960"/>
    <w:rsid w:val="00B63A11"/>
    <w:rsid w:val="00B63FD0"/>
    <w:rsid w:val="00B64D5A"/>
    <w:rsid w:val="00B65845"/>
    <w:rsid w:val="00B65C84"/>
    <w:rsid w:val="00B6608F"/>
    <w:rsid w:val="00B662E3"/>
    <w:rsid w:val="00B66C89"/>
    <w:rsid w:val="00B71C2D"/>
    <w:rsid w:val="00B737C7"/>
    <w:rsid w:val="00B74317"/>
    <w:rsid w:val="00B7638C"/>
    <w:rsid w:val="00B765F3"/>
    <w:rsid w:val="00B76D1E"/>
    <w:rsid w:val="00B812F0"/>
    <w:rsid w:val="00B822D2"/>
    <w:rsid w:val="00B832DF"/>
    <w:rsid w:val="00B83DDF"/>
    <w:rsid w:val="00B848B8"/>
    <w:rsid w:val="00B84A41"/>
    <w:rsid w:val="00B84D57"/>
    <w:rsid w:val="00B856A2"/>
    <w:rsid w:val="00B85E2C"/>
    <w:rsid w:val="00B86748"/>
    <w:rsid w:val="00B87EDC"/>
    <w:rsid w:val="00B91EC9"/>
    <w:rsid w:val="00B924CA"/>
    <w:rsid w:val="00B93384"/>
    <w:rsid w:val="00B93A86"/>
    <w:rsid w:val="00B94417"/>
    <w:rsid w:val="00B95940"/>
    <w:rsid w:val="00B95EF8"/>
    <w:rsid w:val="00B95F50"/>
    <w:rsid w:val="00B96BD9"/>
    <w:rsid w:val="00B978CD"/>
    <w:rsid w:val="00BA00BE"/>
    <w:rsid w:val="00BA4B2A"/>
    <w:rsid w:val="00BB19EC"/>
    <w:rsid w:val="00BB2116"/>
    <w:rsid w:val="00BB2C53"/>
    <w:rsid w:val="00BB32DA"/>
    <w:rsid w:val="00BB3972"/>
    <w:rsid w:val="00BB3A54"/>
    <w:rsid w:val="00BB4E21"/>
    <w:rsid w:val="00BB5CEB"/>
    <w:rsid w:val="00BC1728"/>
    <w:rsid w:val="00BC2AB7"/>
    <w:rsid w:val="00BC4CE0"/>
    <w:rsid w:val="00BC5111"/>
    <w:rsid w:val="00BC54E1"/>
    <w:rsid w:val="00BC682B"/>
    <w:rsid w:val="00BC6A12"/>
    <w:rsid w:val="00BC6B04"/>
    <w:rsid w:val="00BD053B"/>
    <w:rsid w:val="00BD0B9B"/>
    <w:rsid w:val="00BD1F94"/>
    <w:rsid w:val="00BD3428"/>
    <w:rsid w:val="00BD366B"/>
    <w:rsid w:val="00BD3915"/>
    <w:rsid w:val="00BD56BC"/>
    <w:rsid w:val="00BD59D1"/>
    <w:rsid w:val="00BD5D91"/>
    <w:rsid w:val="00BD64E1"/>
    <w:rsid w:val="00BD6615"/>
    <w:rsid w:val="00BD6D50"/>
    <w:rsid w:val="00BE0261"/>
    <w:rsid w:val="00BE09E4"/>
    <w:rsid w:val="00BE0DB0"/>
    <w:rsid w:val="00BE1C59"/>
    <w:rsid w:val="00BE3F09"/>
    <w:rsid w:val="00BE572B"/>
    <w:rsid w:val="00BE670A"/>
    <w:rsid w:val="00BE6906"/>
    <w:rsid w:val="00BE6AAB"/>
    <w:rsid w:val="00BE795E"/>
    <w:rsid w:val="00BF18F4"/>
    <w:rsid w:val="00BF1A69"/>
    <w:rsid w:val="00BF1B37"/>
    <w:rsid w:val="00BF1D58"/>
    <w:rsid w:val="00BF36F6"/>
    <w:rsid w:val="00BF3BC8"/>
    <w:rsid w:val="00BF3DF1"/>
    <w:rsid w:val="00BF4C31"/>
    <w:rsid w:val="00BF59A0"/>
    <w:rsid w:val="00BF6C56"/>
    <w:rsid w:val="00BF6DE7"/>
    <w:rsid w:val="00C00F20"/>
    <w:rsid w:val="00C0165A"/>
    <w:rsid w:val="00C020FE"/>
    <w:rsid w:val="00C03388"/>
    <w:rsid w:val="00C034E6"/>
    <w:rsid w:val="00C0353A"/>
    <w:rsid w:val="00C0784A"/>
    <w:rsid w:val="00C104F3"/>
    <w:rsid w:val="00C10982"/>
    <w:rsid w:val="00C10FAE"/>
    <w:rsid w:val="00C12A69"/>
    <w:rsid w:val="00C12B35"/>
    <w:rsid w:val="00C150BE"/>
    <w:rsid w:val="00C15A0C"/>
    <w:rsid w:val="00C15DCB"/>
    <w:rsid w:val="00C16198"/>
    <w:rsid w:val="00C20744"/>
    <w:rsid w:val="00C20C4D"/>
    <w:rsid w:val="00C21937"/>
    <w:rsid w:val="00C21D46"/>
    <w:rsid w:val="00C21F94"/>
    <w:rsid w:val="00C222A1"/>
    <w:rsid w:val="00C2250A"/>
    <w:rsid w:val="00C23D22"/>
    <w:rsid w:val="00C243B5"/>
    <w:rsid w:val="00C24E77"/>
    <w:rsid w:val="00C25608"/>
    <w:rsid w:val="00C2732D"/>
    <w:rsid w:val="00C273C6"/>
    <w:rsid w:val="00C27913"/>
    <w:rsid w:val="00C300C6"/>
    <w:rsid w:val="00C30530"/>
    <w:rsid w:val="00C3252C"/>
    <w:rsid w:val="00C336F4"/>
    <w:rsid w:val="00C34FDE"/>
    <w:rsid w:val="00C35C16"/>
    <w:rsid w:val="00C408C3"/>
    <w:rsid w:val="00C41233"/>
    <w:rsid w:val="00C41463"/>
    <w:rsid w:val="00C417ED"/>
    <w:rsid w:val="00C41A72"/>
    <w:rsid w:val="00C42294"/>
    <w:rsid w:val="00C4365E"/>
    <w:rsid w:val="00C4549D"/>
    <w:rsid w:val="00C45C2B"/>
    <w:rsid w:val="00C476C5"/>
    <w:rsid w:val="00C503B0"/>
    <w:rsid w:val="00C511C2"/>
    <w:rsid w:val="00C53D82"/>
    <w:rsid w:val="00C53F31"/>
    <w:rsid w:val="00C540C9"/>
    <w:rsid w:val="00C553F5"/>
    <w:rsid w:val="00C559DD"/>
    <w:rsid w:val="00C57FA7"/>
    <w:rsid w:val="00C60696"/>
    <w:rsid w:val="00C615F1"/>
    <w:rsid w:val="00C61627"/>
    <w:rsid w:val="00C640C6"/>
    <w:rsid w:val="00C64E60"/>
    <w:rsid w:val="00C657A4"/>
    <w:rsid w:val="00C662C1"/>
    <w:rsid w:val="00C6736C"/>
    <w:rsid w:val="00C67B02"/>
    <w:rsid w:val="00C708C0"/>
    <w:rsid w:val="00C71247"/>
    <w:rsid w:val="00C72261"/>
    <w:rsid w:val="00C72CFC"/>
    <w:rsid w:val="00C7315B"/>
    <w:rsid w:val="00C732D0"/>
    <w:rsid w:val="00C74002"/>
    <w:rsid w:val="00C7548A"/>
    <w:rsid w:val="00C75C7E"/>
    <w:rsid w:val="00C76D8E"/>
    <w:rsid w:val="00C77833"/>
    <w:rsid w:val="00C80C9B"/>
    <w:rsid w:val="00C8335E"/>
    <w:rsid w:val="00C84605"/>
    <w:rsid w:val="00C84CE3"/>
    <w:rsid w:val="00C84FE8"/>
    <w:rsid w:val="00C85705"/>
    <w:rsid w:val="00C860F2"/>
    <w:rsid w:val="00C86F05"/>
    <w:rsid w:val="00C87626"/>
    <w:rsid w:val="00C90CF4"/>
    <w:rsid w:val="00C91C19"/>
    <w:rsid w:val="00C929A0"/>
    <w:rsid w:val="00C93389"/>
    <w:rsid w:val="00C93679"/>
    <w:rsid w:val="00C937DB"/>
    <w:rsid w:val="00C93A94"/>
    <w:rsid w:val="00C94519"/>
    <w:rsid w:val="00C94E83"/>
    <w:rsid w:val="00C9531C"/>
    <w:rsid w:val="00C97768"/>
    <w:rsid w:val="00CA0CDD"/>
    <w:rsid w:val="00CA140F"/>
    <w:rsid w:val="00CA37CA"/>
    <w:rsid w:val="00CA3CB2"/>
    <w:rsid w:val="00CA3D39"/>
    <w:rsid w:val="00CA4232"/>
    <w:rsid w:val="00CA6BA1"/>
    <w:rsid w:val="00CA6CD5"/>
    <w:rsid w:val="00CB0414"/>
    <w:rsid w:val="00CB0C6E"/>
    <w:rsid w:val="00CB2150"/>
    <w:rsid w:val="00CB28EE"/>
    <w:rsid w:val="00CB3ACB"/>
    <w:rsid w:val="00CB3ECF"/>
    <w:rsid w:val="00CB43A7"/>
    <w:rsid w:val="00CB43BC"/>
    <w:rsid w:val="00CB5996"/>
    <w:rsid w:val="00CB5B25"/>
    <w:rsid w:val="00CB7452"/>
    <w:rsid w:val="00CB7A5E"/>
    <w:rsid w:val="00CB7D09"/>
    <w:rsid w:val="00CC2642"/>
    <w:rsid w:val="00CC2E15"/>
    <w:rsid w:val="00CC30FE"/>
    <w:rsid w:val="00CC3908"/>
    <w:rsid w:val="00CC3C77"/>
    <w:rsid w:val="00CC4DDF"/>
    <w:rsid w:val="00CC52A7"/>
    <w:rsid w:val="00CC62AD"/>
    <w:rsid w:val="00CD2B3C"/>
    <w:rsid w:val="00CD30F6"/>
    <w:rsid w:val="00CD4823"/>
    <w:rsid w:val="00CD4AD9"/>
    <w:rsid w:val="00CD4B29"/>
    <w:rsid w:val="00CD5242"/>
    <w:rsid w:val="00CD6EF1"/>
    <w:rsid w:val="00CD6FC4"/>
    <w:rsid w:val="00CE090E"/>
    <w:rsid w:val="00CE21C7"/>
    <w:rsid w:val="00CE57D8"/>
    <w:rsid w:val="00CE617A"/>
    <w:rsid w:val="00CE7E17"/>
    <w:rsid w:val="00CF1152"/>
    <w:rsid w:val="00CF27AC"/>
    <w:rsid w:val="00CF28C2"/>
    <w:rsid w:val="00CF316F"/>
    <w:rsid w:val="00CF3E37"/>
    <w:rsid w:val="00CF42BD"/>
    <w:rsid w:val="00CF50FC"/>
    <w:rsid w:val="00CF51EC"/>
    <w:rsid w:val="00CF6CD7"/>
    <w:rsid w:val="00D0037A"/>
    <w:rsid w:val="00D00DAF"/>
    <w:rsid w:val="00D00F76"/>
    <w:rsid w:val="00D017EC"/>
    <w:rsid w:val="00D01CDA"/>
    <w:rsid w:val="00D02200"/>
    <w:rsid w:val="00D02924"/>
    <w:rsid w:val="00D036AB"/>
    <w:rsid w:val="00D040DD"/>
    <w:rsid w:val="00D04A11"/>
    <w:rsid w:val="00D04E1B"/>
    <w:rsid w:val="00D05207"/>
    <w:rsid w:val="00D06438"/>
    <w:rsid w:val="00D06FB4"/>
    <w:rsid w:val="00D1067C"/>
    <w:rsid w:val="00D136D4"/>
    <w:rsid w:val="00D1391B"/>
    <w:rsid w:val="00D13ECF"/>
    <w:rsid w:val="00D14148"/>
    <w:rsid w:val="00D142E5"/>
    <w:rsid w:val="00D1611E"/>
    <w:rsid w:val="00D16E69"/>
    <w:rsid w:val="00D17F4F"/>
    <w:rsid w:val="00D205A9"/>
    <w:rsid w:val="00D217EE"/>
    <w:rsid w:val="00D22468"/>
    <w:rsid w:val="00D2282B"/>
    <w:rsid w:val="00D24DA0"/>
    <w:rsid w:val="00D25220"/>
    <w:rsid w:val="00D2620E"/>
    <w:rsid w:val="00D26579"/>
    <w:rsid w:val="00D26923"/>
    <w:rsid w:val="00D26B20"/>
    <w:rsid w:val="00D27856"/>
    <w:rsid w:val="00D279D3"/>
    <w:rsid w:val="00D30740"/>
    <w:rsid w:val="00D30788"/>
    <w:rsid w:val="00D309A7"/>
    <w:rsid w:val="00D309E7"/>
    <w:rsid w:val="00D31075"/>
    <w:rsid w:val="00D31311"/>
    <w:rsid w:val="00D31445"/>
    <w:rsid w:val="00D31932"/>
    <w:rsid w:val="00D32D31"/>
    <w:rsid w:val="00D34225"/>
    <w:rsid w:val="00D35A48"/>
    <w:rsid w:val="00D378CC"/>
    <w:rsid w:val="00D4042C"/>
    <w:rsid w:val="00D42312"/>
    <w:rsid w:val="00D43998"/>
    <w:rsid w:val="00D45046"/>
    <w:rsid w:val="00D45EEE"/>
    <w:rsid w:val="00D4615E"/>
    <w:rsid w:val="00D478E2"/>
    <w:rsid w:val="00D47948"/>
    <w:rsid w:val="00D52401"/>
    <w:rsid w:val="00D5264C"/>
    <w:rsid w:val="00D52EC9"/>
    <w:rsid w:val="00D547BA"/>
    <w:rsid w:val="00D54BC4"/>
    <w:rsid w:val="00D5561E"/>
    <w:rsid w:val="00D55626"/>
    <w:rsid w:val="00D556BC"/>
    <w:rsid w:val="00D5626D"/>
    <w:rsid w:val="00D56C22"/>
    <w:rsid w:val="00D5718D"/>
    <w:rsid w:val="00D57C38"/>
    <w:rsid w:val="00D60277"/>
    <w:rsid w:val="00D62536"/>
    <w:rsid w:val="00D62901"/>
    <w:rsid w:val="00D6470C"/>
    <w:rsid w:val="00D64853"/>
    <w:rsid w:val="00D64B04"/>
    <w:rsid w:val="00D64CB5"/>
    <w:rsid w:val="00D64E9A"/>
    <w:rsid w:val="00D6524A"/>
    <w:rsid w:val="00D65B29"/>
    <w:rsid w:val="00D65C09"/>
    <w:rsid w:val="00D66CBA"/>
    <w:rsid w:val="00D66D48"/>
    <w:rsid w:val="00D70E41"/>
    <w:rsid w:val="00D712E0"/>
    <w:rsid w:val="00D72379"/>
    <w:rsid w:val="00D73256"/>
    <w:rsid w:val="00D73A30"/>
    <w:rsid w:val="00D74A6A"/>
    <w:rsid w:val="00D74C65"/>
    <w:rsid w:val="00D74E76"/>
    <w:rsid w:val="00D75DC2"/>
    <w:rsid w:val="00D76F27"/>
    <w:rsid w:val="00D81703"/>
    <w:rsid w:val="00D82462"/>
    <w:rsid w:val="00D85A88"/>
    <w:rsid w:val="00D868CE"/>
    <w:rsid w:val="00D87D8D"/>
    <w:rsid w:val="00D90C1E"/>
    <w:rsid w:val="00D922B8"/>
    <w:rsid w:val="00D93A51"/>
    <w:rsid w:val="00D93F09"/>
    <w:rsid w:val="00D97BB8"/>
    <w:rsid w:val="00DA0C01"/>
    <w:rsid w:val="00DA24BD"/>
    <w:rsid w:val="00DA3FF9"/>
    <w:rsid w:val="00DA4AF6"/>
    <w:rsid w:val="00DA5CAB"/>
    <w:rsid w:val="00DA7613"/>
    <w:rsid w:val="00DB016E"/>
    <w:rsid w:val="00DB01A2"/>
    <w:rsid w:val="00DB06E9"/>
    <w:rsid w:val="00DB0BA5"/>
    <w:rsid w:val="00DB31DE"/>
    <w:rsid w:val="00DB378E"/>
    <w:rsid w:val="00DB3CFB"/>
    <w:rsid w:val="00DB3E9D"/>
    <w:rsid w:val="00DB47B9"/>
    <w:rsid w:val="00DB4FB8"/>
    <w:rsid w:val="00DB4FEB"/>
    <w:rsid w:val="00DB5104"/>
    <w:rsid w:val="00DB53CE"/>
    <w:rsid w:val="00DB549D"/>
    <w:rsid w:val="00DB7969"/>
    <w:rsid w:val="00DC00D7"/>
    <w:rsid w:val="00DC0BB4"/>
    <w:rsid w:val="00DC257F"/>
    <w:rsid w:val="00DC344C"/>
    <w:rsid w:val="00DC408A"/>
    <w:rsid w:val="00DC5B3B"/>
    <w:rsid w:val="00DC5B54"/>
    <w:rsid w:val="00DC6796"/>
    <w:rsid w:val="00DC78DF"/>
    <w:rsid w:val="00DD0821"/>
    <w:rsid w:val="00DD0E32"/>
    <w:rsid w:val="00DD1A36"/>
    <w:rsid w:val="00DD2130"/>
    <w:rsid w:val="00DD28A1"/>
    <w:rsid w:val="00DD3532"/>
    <w:rsid w:val="00DD373E"/>
    <w:rsid w:val="00DD57AD"/>
    <w:rsid w:val="00DE009B"/>
    <w:rsid w:val="00DE200E"/>
    <w:rsid w:val="00DE2084"/>
    <w:rsid w:val="00DE2ED9"/>
    <w:rsid w:val="00DE319A"/>
    <w:rsid w:val="00DE4D6E"/>
    <w:rsid w:val="00DE5CC4"/>
    <w:rsid w:val="00DF053A"/>
    <w:rsid w:val="00DF0DC3"/>
    <w:rsid w:val="00DF4A7C"/>
    <w:rsid w:val="00DF4F01"/>
    <w:rsid w:val="00DF5343"/>
    <w:rsid w:val="00DF5578"/>
    <w:rsid w:val="00DF6134"/>
    <w:rsid w:val="00DF6619"/>
    <w:rsid w:val="00DF7FEC"/>
    <w:rsid w:val="00E01149"/>
    <w:rsid w:val="00E01C0E"/>
    <w:rsid w:val="00E026C3"/>
    <w:rsid w:val="00E03B27"/>
    <w:rsid w:val="00E03BFF"/>
    <w:rsid w:val="00E03E80"/>
    <w:rsid w:val="00E04694"/>
    <w:rsid w:val="00E04A40"/>
    <w:rsid w:val="00E05B2B"/>
    <w:rsid w:val="00E05DDE"/>
    <w:rsid w:val="00E07F05"/>
    <w:rsid w:val="00E10497"/>
    <w:rsid w:val="00E127E1"/>
    <w:rsid w:val="00E13411"/>
    <w:rsid w:val="00E13688"/>
    <w:rsid w:val="00E144D2"/>
    <w:rsid w:val="00E15346"/>
    <w:rsid w:val="00E1629D"/>
    <w:rsid w:val="00E20525"/>
    <w:rsid w:val="00E215EA"/>
    <w:rsid w:val="00E22B14"/>
    <w:rsid w:val="00E22DF1"/>
    <w:rsid w:val="00E244A4"/>
    <w:rsid w:val="00E24619"/>
    <w:rsid w:val="00E25223"/>
    <w:rsid w:val="00E2575A"/>
    <w:rsid w:val="00E2612E"/>
    <w:rsid w:val="00E268AC"/>
    <w:rsid w:val="00E30BEA"/>
    <w:rsid w:val="00E31764"/>
    <w:rsid w:val="00E337D9"/>
    <w:rsid w:val="00E34E4A"/>
    <w:rsid w:val="00E365B3"/>
    <w:rsid w:val="00E37188"/>
    <w:rsid w:val="00E37C45"/>
    <w:rsid w:val="00E40AAA"/>
    <w:rsid w:val="00E40D33"/>
    <w:rsid w:val="00E40FF2"/>
    <w:rsid w:val="00E416D9"/>
    <w:rsid w:val="00E41D90"/>
    <w:rsid w:val="00E41F2B"/>
    <w:rsid w:val="00E438CF"/>
    <w:rsid w:val="00E43C41"/>
    <w:rsid w:val="00E450CE"/>
    <w:rsid w:val="00E459D3"/>
    <w:rsid w:val="00E45A00"/>
    <w:rsid w:val="00E45CE7"/>
    <w:rsid w:val="00E4631F"/>
    <w:rsid w:val="00E47D22"/>
    <w:rsid w:val="00E513F8"/>
    <w:rsid w:val="00E522BB"/>
    <w:rsid w:val="00E571F2"/>
    <w:rsid w:val="00E57429"/>
    <w:rsid w:val="00E577FC"/>
    <w:rsid w:val="00E57D11"/>
    <w:rsid w:val="00E603A8"/>
    <w:rsid w:val="00E607E4"/>
    <w:rsid w:val="00E60B29"/>
    <w:rsid w:val="00E62F7C"/>
    <w:rsid w:val="00E635DD"/>
    <w:rsid w:val="00E648B9"/>
    <w:rsid w:val="00E6711F"/>
    <w:rsid w:val="00E6715B"/>
    <w:rsid w:val="00E70960"/>
    <w:rsid w:val="00E71983"/>
    <w:rsid w:val="00E71A58"/>
    <w:rsid w:val="00E73C92"/>
    <w:rsid w:val="00E744C3"/>
    <w:rsid w:val="00E760AD"/>
    <w:rsid w:val="00E767BA"/>
    <w:rsid w:val="00E7724B"/>
    <w:rsid w:val="00E77B8A"/>
    <w:rsid w:val="00E8216E"/>
    <w:rsid w:val="00E82428"/>
    <w:rsid w:val="00E836A0"/>
    <w:rsid w:val="00E84B50"/>
    <w:rsid w:val="00E84F21"/>
    <w:rsid w:val="00E874D3"/>
    <w:rsid w:val="00E87A29"/>
    <w:rsid w:val="00E900D3"/>
    <w:rsid w:val="00E9077B"/>
    <w:rsid w:val="00E90AD8"/>
    <w:rsid w:val="00E910FB"/>
    <w:rsid w:val="00E921C7"/>
    <w:rsid w:val="00E92995"/>
    <w:rsid w:val="00E94612"/>
    <w:rsid w:val="00E94BE9"/>
    <w:rsid w:val="00E94C1F"/>
    <w:rsid w:val="00E94C99"/>
    <w:rsid w:val="00E94D06"/>
    <w:rsid w:val="00E95594"/>
    <w:rsid w:val="00E95797"/>
    <w:rsid w:val="00E9682F"/>
    <w:rsid w:val="00E96A8D"/>
    <w:rsid w:val="00E972BA"/>
    <w:rsid w:val="00E97535"/>
    <w:rsid w:val="00EA06CB"/>
    <w:rsid w:val="00EA0C68"/>
    <w:rsid w:val="00EA3EBE"/>
    <w:rsid w:val="00EA3FAC"/>
    <w:rsid w:val="00EA4153"/>
    <w:rsid w:val="00EA4370"/>
    <w:rsid w:val="00EA5CD6"/>
    <w:rsid w:val="00EA7135"/>
    <w:rsid w:val="00EA77C6"/>
    <w:rsid w:val="00EB0BFB"/>
    <w:rsid w:val="00EB1B8D"/>
    <w:rsid w:val="00EB20A0"/>
    <w:rsid w:val="00EB30B6"/>
    <w:rsid w:val="00EB4FA4"/>
    <w:rsid w:val="00EB5146"/>
    <w:rsid w:val="00EB5466"/>
    <w:rsid w:val="00EB55E9"/>
    <w:rsid w:val="00EB5641"/>
    <w:rsid w:val="00EB5846"/>
    <w:rsid w:val="00EB5CA9"/>
    <w:rsid w:val="00EB5ED4"/>
    <w:rsid w:val="00EB6537"/>
    <w:rsid w:val="00EB6A63"/>
    <w:rsid w:val="00EB6EF5"/>
    <w:rsid w:val="00EB70E1"/>
    <w:rsid w:val="00EB7EB5"/>
    <w:rsid w:val="00EC1F4E"/>
    <w:rsid w:val="00EC454B"/>
    <w:rsid w:val="00EC6153"/>
    <w:rsid w:val="00EC6972"/>
    <w:rsid w:val="00EC7F92"/>
    <w:rsid w:val="00ED0504"/>
    <w:rsid w:val="00ED0A79"/>
    <w:rsid w:val="00ED2CA5"/>
    <w:rsid w:val="00ED336F"/>
    <w:rsid w:val="00ED4F91"/>
    <w:rsid w:val="00ED54D6"/>
    <w:rsid w:val="00ED5726"/>
    <w:rsid w:val="00ED723D"/>
    <w:rsid w:val="00EE0384"/>
    <w:rsid w:val="00EE10AA"/>
    <w:rsid w:val="00EE1637"/>
    <w:rsid w:val="00EE3358"/>
    <w:rsid w:val="00EE3E78"/>
    <w:rsid w:val="00EE4318"/>
    <w:rsid w:val="00EE5E02"/>
    <w:rsid w:val="00EE617D"/>
    <w:rsid w:val="00EE61BF"/>
    <w:rsid w:val="00EE6748"/>
    <w:rsid w:val="00EE747C"/>
    <w:rsid w:val="00EF0E75"/>
    <w:rsid w:val="00EF10E5"/>
    <w:rsid w:val="00EF17BF"/>
    <w:rsid w:val="00EF1F5A"/>
    <w:rsid w:val="00EF385C"/>
    <w:rsid w:val="00EF466D"/>
    <w:rsid w:val="00EF4685"/>
    <w:rsid w:val="00EF4AB0"/>
    <w:rsid w:val="00EF5397"/>
    <w:rsid w:val="00EF623C"/>
    <w:rsid w:val="00F0129D"/>
    <w:rsid w:val="00F02E63"/>
    <w:rsid w:val="00F04811"/>
    <w:rsid w:val="00F0488C"/>
    <w:rsid w:val="00F0496E"/>
    <w:rsid w:val="00F04D10"/>
    <w:rsid w:val="00F058AB"/>
    <w:rsid w:val="00F05CBA"/>
    <w:rsid w:val="00F0625B"/>
    <w:rsid w:val="00F06769"/>
    <w:rsid w:val="00F07939"/>
    <w:rsid w:val="00F101FF"/>
    <w:rsid w:val="00F106E2"/>
    <w:rsid w:val="00F10A33"/>
    <w:rsid w:val="00F130A1"/>
    <w:rsid w:val="00F13374"/>
    <w:rsid w:val="00F15BEF"/>
    <w:rsid w:val="00F15F3F"/>
    <w:rsid w:val="00F16C0C"/>
    <w:rsid w:val="00F172BE"/>
    <w:rsid w:val="00F1776C"/>
    <w:rsid w:val="00F2037E"/>
    <w:rsid w:val="00F20EF6"/>
    <w:rsid w:val="00F2103E"/>
    <w:rsid w:val="00F214FC"/>
    <w:rsid w:val="00F23FFF"/>
    <w:rsid w:val="00F2441D"/>
    <w:rsid w:val="00F24F20"/>
    <w:rsid w:val="00F24FAA"/>
    <w:rsid w:val="00F25456"/>
    <w:rsid w:val="00F25568"/>
    <w:rsid w:val="00F26197"/>
    <w:rsid w:val="00F26426"/>
    <w:rsid w:val="00F26CF5"/>
    <w:rsid w:val="00F31F76"/>
    <w:rsid w:val="00F3364D"/>
    <w:rsid w:val="00F34509"/>
    <w:rsid w:val="00F35395"/>
    <w:rsid w:val="00F35ACD"/>
    <w:rsid w:val="00F36BF8"/>
    <w:rsid w:val="00F37760"/>
    <w:rsid w:val="00F378D9"/>
    <w:rsid w:val="00F37CC8"/>
    <w:rsid w:val="00F40185"/>
    <w:rsid w:val="00F403D1"/>
    <w:rsid w:val="00F4046E"/>
    <w:rsid w:val="00F41C50"/>
    <w:rsid w:val="00F42AF8"/>
    <w:rsid w:val="00F43921"/>
    <w:rsid w:val="00F4591F"/>
    <w:rsid w:val="00F45CB3"/>
    <w:rsid w:val="00F46FD1"/>
    <w:rsid w:val="00F4736B"/>
    <w:rsid w:val="00F47D05"/>
    <w:rsid w:val="00F50030"/>
    <w:rsid w:val="00F506B2"/>
    <w:rsid w:val="00F50854"/>
    <w:rsid w:val="00F51FC9"/>
    <w:rsid w:val="00F52B67"/>
    <w:rsid w:val="00F5435A"/>
    <w:rsid w:val="00F54B31"/>
    <w:rsid w:val="00F54FD3"/>
    <w:rsid w:val="00F55CC2"/>
    <w:rsid w:val="00F56CF5"/>
    <w:rsid w:val="00F56D14"/>
    <w:rsid w:val="00F61083"/>
    <w:rsid w:val="00F62807"/>
    <w:rsid w:val="00F631EA"/>
    <w:rsid w:val="00F636E3"/>
    <w:rsid w:val="00F63DDE"/>
    <w:rsid w:val="00F63FB7"/>
    <w:rsid w:val="00F6441A"/>
    <w:rsid w:val="00F64726"/>
    <w:rsid w:val="00F6561A"/>
    <w:rsid w:val="00F700C5"/>
    <w:rsid w:val="00F71BF5"/>
    <w:rsid w:val="00F727D5"/>
    <w:rsid w:val="00F72F44"/>
    <w:rsid w:val="00F739B6"/>
    <w:rsid w:val="00F73A0C"/>
    <w:rsid w:val="00F73C9E"/>
    <w:rsid w:val="00F771A5"/>
    <w:rsid w:val="00F80280"/>
    <w:rsid w:val="00F80EB9"/>
    <w:rsid w:val="00F81C3A"/>
    <w:rsid w:val="00F822CE"/>
    <w:rsid w:val="00F835FC"/>
    <w:rsid w:val="00F83E21"/>
    <w:rsid w:val="00F844AF"/>
    <w:rsid w:val="00F84E18"/>
    <w:rsid w:val="00F852E5"/>
    <w:rsid w:val="00F90487"/>
    <w:rsid w:val="00F90D12"/>
    <w:rsid w:val="00F90FA0"/>
    <w:rsid w:val="00F9250A"/>
    <w:rsid w:val="00F92B4F"/>
    <w:rsid w:val="00F942F1"/>
    <w:rsid w:val="00F95117"/>
    <w:rsid w:val="00F9668E"/>
    <w:rsid w:val="00FA05D7"/>
    <w:rsid w:val="00FA1C6C"/>
    <w:rsid w:val="00FA1C73"/>
    <w:rsid w:val="00FA309A"/>
    <w:rsid w:val="00FA51AB"/>
    <w:rsid w:val="00FA5557"/>
    <w:rsid w:val="00FA57FD"/>
    <w:rsid w:val="00FA5D63"/>
    <w:rsid w:val="00FA7644"/>
    <w:rsid w:val="00FB1324"/>
    <w:rsid w:val="00FB262B"/>
    <w:rsid w:val="00FB3C00"/>
    <w:rsid w:val="00FB3D7D"/>
    <w:rsid w:val="00FB56F1"/>
    <w:rsid w:val="00FB5FD4"/>
    <w:rsid w:val="00FB67DD"/>
    <w:rsid w:val="00FB67F3"/>
    <w:rsid w:val="00FB6D5D"/>
    <w:rsid w:val="00FC0AF4"/>
    <w:rsid w:val="00FC0D8A"/>
    <w:rsid w:val="00FC0E5F"/>
    <w:rsid w:val="00FC26DB"/>
    <w:rsid w:val="00FC4660"/>
    <w:rsid w:val="00FC5454"/>
    <w:rsid w:val="00FC56DE"/>
    <w:rsid w:val="00FD1627"/>
    <w:rsid w:val="00FD38B4"/>
    <w:rsid w:val="00FD473D"/>
    <w:rsid w:val="00FD4B88"/>
    <w:rsid w:val="00FD57DE"/>
    <w:rsid w:val="00FD61C8"/>
    <w:rsid w:val="00FD63CE"/>
    <w:rsid w:val="00FD647C"/>
    <w:rsid w:val="00FD7D49"/>
    <w:rsid w:val="00FE0BA6"/>
    <w:rsid w:val="00FE11B6"/>
    <w:rsid w:val="00FE1251"/>
    <w:rsid w:val="00FE2A4F"/>
    <w:rsid w:val="00FE2F78"/>
    <w:rsid w:val="00FE375F"/>
    <w:rsid w:val="00FE44B3"/>
    <w:rsid w:val="00FE4FCB"/>
    <w:rsid w:val="00FE694F"/>
    <w:rsid w:val="00FF0B85"/>
    <w:rsid w:val="00FF1044"/>
    <w:rsid w:val="00FF21B9"/>
    <w:rsid w:val="00FF28E0"/>
    <w:rsid w:val="00FF2FB4"/>
    <w:rsid w:val="00FF30B3"/>
    <w:rsid w:val="00FF3DF3"/>
    <w:rsid w:val="00FF4027"/>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71"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
    <w:qFormat/>
    <w:rsid w:val="005E492C"/>
    <w:pPr>
      <w:keepNext/>
      <w:keepLines/>
      <w:outlineLvl w:val="3"/>
    </w:pPr>
    <w:rPr>
      <w:rFonts w:eastAsia="MS Gothic"/>
      <w:b/>
      <w:bCs/>
      <w:iCs/>
    </w:rPr>
  </w:style>
  <w:style w:type="paragraph" w:styleId="Nadpis5">
    <w:name w:val="heading 5"/>
    <w:basedOn w:val="Normln"/>
    <w:next w:val="Normln"/>
    <w:link w:val="Nadpis5Char"/>
    <w:uiPriority w:val="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10"/>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10"/>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11"/>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11"/>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1"/>
    <w:qFormat/>
    <w:rsid w:val="005E492C"/>
    <w:pPr>
      <w:spacing w:line="288" w:lineRule="auto"/>
    </w:pPr>
    <w:rPr>
      <w:rFonts w:ascii="Arial" w:hAnsi="Arial"/>
      <w:sz w:val="22"/>
      <w:szCs w:val="22"/>
    </w:rPr>
  </w:style>
  <w:style w:type="paragraph" w:customStyle="1" w:styleId="Box1">
    <w:name w:val="Box 1"/>
    <w:basedOn w:val="Zkladnodstavec"/>
    <w:next w:val="Normln"/>
    <w:qFormat/>
    <w:rsid w:val="005E492C"/>
    <w:pPr>
      <w:ind w:left="1134"/>
    </w:pPr>
    <w:rPr>
      <w:rFonts w:ascii="Arial" w:hAnsi="Arial" w:cs="Arial"/>
      <w:color w:val="71818C"/>
      <w:sz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qFormat/>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locked/>
    <w:rsid w:val="006710C9"/>
    <w:rPr>
      <w:rFonts w:ascii="Arial" w:hAnsi="Arial"/>
      <w:b/>
      <w:color w:val="000000"/>
      <w:sz w:val="24"/>
      <w:shd w:val="clear" w:color="auto" w:fill="CCC0D9"/>
    </w:rPr>
  </w:style>
  <w:style w:type="character" w:customStyle="1" w:styleId="BoxChar">
    <w:name w:val="Box Char"/>
    <w:link w:val="Box"/>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hAnsi="Arial"/>
      <w:sz w:val="22"/>
      <w:szCs w:val="22"/>
    </w:rPr>
  </w:style>
  <w:style w:type="character" w:customStyle="1" w:styleId="TL-KontaktyChar">
    <w:name w:val="TL - Kontakty Char"/>
    <w:link w:val="TL-Kontakty"/>
    <w:locked/>
    <w:rsid w:val="005E492C"/>
    <w:rPr>
      <w:rFonts w:ascii="Arial" w:hAnsi="Arial"/>
      <w:b/>
      <w:caps/>
      <w:color w:val="BD1B21"/>
      <w:sz w:val="22"/>
      <w:szCs w:val="22"/>
      <w:lang w:bidi="ar-SA"/>
    </w:rPr>
  </w:style>
  <w:style w:type="character" w:customStyle="1" w:styleId="TL-IdentifikaceChar">
    <w:name w:val="TL - Identifikace Char"/>
    <w:link w:val="TL-Identifikace"/>
    <w:locked/>
    <w:rsid w:val="005E492C"/>
    <w:rPr>
      <w:rFonts w:ascii="Arial" w:hAnsi="Arial"/>
      <w:sz w:val="22"/>
      <w:szCs w:val="22"/>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locked/>
    <w:rsid w:val="005E492C"/>
    <w:rPr>
      <w:rFonts w:ascii="Arial" w:hAnsi="Arial"/>
      <w:sz w:val="22"/>
      <w:szCs w:val="22"/>
      <w:lang w:bidi="ar-SA"/>
    </w:rPr>
  </w:style>
  <w:style w:type="paragraph" w:customStyle="1" w:styleId="TL-identifikace-sted">
    <w:name w:val="TL - identifikace - střed"/>
    <w:basedOn w:val="Normln"/>
    <w:link w:val="TL-identifikace-stedChar"/>
    <w:qFormat/>
    <w:rsid w:val="005E492C"/>
    <w:pPr>
      <w:spacing w:after="200"/>
    </w:pPr>
    <w:rPr>
      <w:sz w:val="24"/>
      <w:szCs w:val="20"/>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locked/>
    <w:rsid w:val="005E492C"/>
    <w:rPr>
      <w:rFonts w:ascii="Arial" w:hAnsi="Arial"/>
      <w:sz w:val="24"/>
    </w:rPr>
  </w:style>
  <w:style w:type="character" w:customStyle="1" w:styleId="TL-Identifikace-doleChar">
    <w:name w:val="TL - Identifikace - dole Char"/>
    <w:link w:val="TL-Identifikace-dole"/>
    <w:locked/>
    <w:rsid w:val="005E492C"/>
    <w:rPr>
      <w:rFonts w:ascii="Arial" w:hAnsi="Arial"/>
      <w:lang w:eastAsia="ar-SA" w:bidi="ar-SA"/>
    </w:rPr>
  </w:style>
  <w:style w:type="paragraph" w:styleId="Nadpisobsahu">
    <w:name w:val="TOC Heading"/>
    <w:basedOn w:val="Nadpis1"/>
    <w:next w:val="Normln"/>
    <w:uiPriority w:val="71"/>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rsid w:val="00D142E5"/>
    <w:pPr>
      <w:ind w:left="200"/>
    </w:pPr>
  </w:style>
  <w:style w:type="paragraph" w:styleId="Obsah3">
    <w:name w:val="toc 3"/>
    <w:basedOn w:val="Normln"/>
    <w:next w:val="Normln"/>
    <w:autoRedefine/>
    <w:uiPriority w:val="3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22"/>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locked/>
    <w:rsid w:val="00B313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4465403">
      <w:marLeft w:val="0"/>
      <w:marRight w:val="0"/>
      <w:marTop w:val="0"/>
      <w:marBottom w:val="0"/>
      <w:divBdr>
        <w:top w:val="none" w:sz="0" w:space="0" w:color="auto"/>
        <w:left w:val="none" w:sz="0" w:space="0" w:color="auto"/>
        <w:bottom w:val="none" w:sz="0" w:space="0" w:color="auto"/>
        <w:right w:val="none" w:sz="0" w:space="0" w:color="auto"/>
      </w:divBdr>
    </w:div>
    <w:div w:id="1844465404">
      <w:marLeft w:val="0"/>
      <w:marRight w:val="0"/>
      <w:marTop w:val="0"/>
      <w:marBottom w:val="0"/>
      <w:divBdr>
        <w:top w:val="none" w:sz="0" w:space="0" w:color="auto"/>
        <w:left w:val="none" w:sz="0" w:space="0" w:color="auto"/>
        <w:bottom w:val="none" w:sz="0" w:space="0" w:color="auto"/>
        <w:right w:val="none" w:sz="0" w:space="0" w:color="auto"/>
      </w:divBdr>
    </w:div>
    <w:div w:id="1844465405">
      <w:marLeft w:val="0"/>
      <w:marRight w:val="0"/>
      <w:marTop w:val="0"/>
      <w:marBottom w:val="0"/>
      <w:divBdr>
        <w:top w:val="none" w:sz="0" w:space="0" w:color="auto"/>
        <w:left w:val="none" w:sz="0" w:space="0" w:color="auto"/>
        <w:bottom w:val="none" w:sz="0" w:space="0" w:color="auto"/>
        <w:right w:val="none" w:sz="0" w:space="0" w:color="auto"/>
      </w:divBdr>
    </w:div>
    <w:div w:id="1844465406">
      <w:marLeft w:val="0"/>
      <w:marRight w:val="0"/>
      <w:marTop w:val="0"/>
      <w:marBottom w:val="0"/>
      <w:divBdr>
        <w:top w:val="none" w:sz="0" w:space="0" w:color="auto"/>
        <w:left w:val="none" w:sz="0" w:space="0" w:color="auto"/>
        <w:bottom w:val="none" w:sz="0" w:space="0" w:color="auto"/>
        <w:right w:val="none" w:sz="0" w:space="0" w:color="auto"/>
      </w:divBdr>
    </w:div>
    <w:div w:id="1844465407">
      <w:marLeft w:val="0"/>
      <w:marRight w:val="0"/>
      <w:marTop w:val="0"/>
      <w:marBottom w:val="0"/>
      <w:divBdr>
        <w:top w:val="none" w:sz="0" w:space="0" w:color="auto"/>
        <w:left w:val="none" w:sz="0" w:space="0" w:color="auto"/>
        <w:bottom w:val="none" w:sz="0" w:space="0" w:color="auto"/>
        <w:right w:val="none" w:sz="0" w:space="0" w:color="auto"/>
      </w:divBdr>
    </w:div>
    <w:div w:id="1844465408">
      <w:marLeft w:val="0"/>
      <w:marRight w:val="0"/>
      <w:marTop w:val="0"/>
      <w:marBottom w:val="0"/>
      <w:divBdr>
        <w:top w:val="none" w:sz="0" w:space="0" w:color="auto"/>
        <w:left w:val="none" w:sz="0" w:space="0" w:color="auto"/>
        <w:bottom w:val="none" w:sz="0" w:space="0" w:color="auto"/>
        <w:right w:val="none" w:sz="0" w:space="0" w:color="auto"/>
      </w:divBdr>
    </w:div>
    <w:div w:id="1844465409">
      <w:marLeft w:val="0"/>
      <w:marRight w:val="0"/>
      <w:marTop w:val="0"/>
      <w:marBottom w:val="0"/>
      <w:divBdr>
        <w:top w:val="none" w:sz="0" w:space="0" w:color="auto"/>
        <w:left w:val="none" w:sz="0" w:space="0" w:color="auto"/>
        <w:bottom w:val="none" w:sz="0" w:space="0" w:color="auto"/>
        <w:right w:val="none" w:sz="0" w:space="0" w:color="auto"/>
      </w:divBdr>
    </w:div>
    <w:div w:id="1844465410">
      <w:marLeft w:val="0"/>
      <w:marRight w:val="0"/>
      <w:marTop w:val="0"/>
      <w:marBottom w:val="0"/>
      <w:divBdr>
        <w:top w:val="none" w:sz="0" w:space="0" w:color="auto"/>
        <w:left w:val="none" w:sz="0" w:space="0" w:color="auto"/>
        <w:bottom w:val="none" w:sz="0" w:space="0" w:color="auto"/>
        <w:right w:val="none" w:sz="0" w:space="0" w:color="auto"/>
      </w:divBdr>
    </w:div>
    <w:div w:id="1844465411">
      <w:marLeft w:val="0"/>
      <w:marRight w:val="0"/>
      <w:marTop w:val="0"/>
      <w:marBottom w:val="0"/>
      <w:divBdr>
        <w:top w:val="none" w:sz="0" w:space="0" w:color="auto"/>
        <w:left w:val="none" w:sz="0" w:space="0" w:color="auto"/>
        <w:bottom w:val="none" w:sz="0" w:space="0" w:color="auto"/>
        <w:right w:val="none" w:sz="0" w:space="0" w:color="auto"/>
      </w:divBdr>
    </w:div>
    <w:div w:id="1844465412">
      <w:marLeft w:val="0"/>
      <w:marRight w:val="0"/>
      <w:marTop w:val="0"/>
      <w:marBottom w:val="0"/>
      <w:divBdr>
        <w:top w:val="none" w:sz="0" w:space="0" w:color="auto"/>
        <w:left w:val="none" w:sz="0" w:space="0" w:color="auto"/>
        <w:bottom w:val="none" w:sz="0" w:space="0" w:color="auto"/>
        <w:right w:val="none" w:sz="0" w:space="0" w:color="auto"/>
      </w:divBdr>
    </w:div>
    <w:div w:id="1844465413">
      <w:marLeft w:val="0"/>
      <w:marRight w:val="0"/>
      <w:marTop w:val="0"/>
      <w:marBottom w:val="0"/>
      <w:divBdr>
        <w:top w:val="none" w:sz="0" w:space="0" w:color="auto"/>
        <w:left w:val="none" w:sz="0" w:space="0" w:color="auto"/>
        <w:bottom w:val="none" w:sz="0" w:space="0" w:color="auto"/>
        <w:right w:val="none" w:sz="0" w:space="0" w:color="auto"/>
      </w:divBdr>
    </w:div>
    <w:div w:id="1844465414">
      <w:marLeft w:val="0"/>
      <w:marRight w:val="0"/>
      <w:marTop w:val="0"/>
      <w:marBottom w:val="0"/>
      <w:divBdr>
        <w:top w:val="none" w:sz="0" w:space="0" w:color="auto"/>
        <w:left w:val="none" w:sz="0" w:space="0" w:color="auto"/>
        <w:bottom w:val="none" w:sz="0" w:space="0" w:color="auto"/>
        <w:right w:val="none" w:sz="0" w:space="0" w:color="auto"/>
      </w:divBdr>
    </w:div>
    <w:div w:id="1844465426">
      <w:marLeft w:val="0"/>
      <w:marRight w:val="0"/>
      <w:marTop w:val="0"/>
      <w:marBottom w:val="0"/>
      <w:divBdr>
        <w:top w:val="none" w:sz="0" w:space="0" w:color="auto"/>
        <w:left w:val="none" w:sz="0" w:space="0" w:color="auto"/>
        <w:bottom w:val="none" w:sz="0" w:space="0" w:color="auto"/>
        <w:right w:val="none" w:sz="0" w:space="0" w:color="auto"/>
      </w:divBdr>
      <w:divsChild>
        <w:div w:id="1844465402">
          <w:marLeft w:val="0"/>
          <w:marRight w:val="0"/>
          <w:marTop w:val="0"/>
          <w:marBottom w:val="0"/>
          <w:divBdr>
            <w:top w:val="none" w:sz="0" w:space="0" w:color="auto"/>
            <w:left w:val="none" w:sz="0" w:space="0" w:color="auto"/>
            <w:bottom w:val="none" w:sz="0" w:space="0" w:color="auto"/>
            <w:right w:val="none" w:sz="0" w:space="0" w:color="auto"/>
          </w:divBdr>
          <w:divsChild>
            <w:div w:id="1844465422">
              <w:marLeft w:val="0"/>
              <w:marRight w:val="0"/>
              <w:marTop w:val="0"/>
              <w:marBottom w:val="0"/>
              <w:divBdr>
                <w:top w:val="none" w:sz="0" w:space="0" w:color="auto"/>
                <w:left w:val="none" w:sz="0" w:space="0" w:color="auto"/>
                <w:bottom w:val="none" w:sz="0" w:space="0" w:color="auto"/>
                <w:right w:val="none" w:sz="0" w:space="0" w:color="auto"/>
              </w:divBdr>
              <w:divsChild>
                <w:div w:id="1844465423">
                  <w:marLeft w:val="0"/>
                  <w:marRight w:val="0"/>
                  <w:marTop w:val="0"/>
                  <w:marBottom w:val="0"/>
                  <w:divBdr>
                    <w:top w:val="none" w:sz="0" w:space="0" w:color="auto"/>
                    <w:left w:val="none" w:sz="0" w:space="0" w:color="auto"/>
                    <w:bottom w:val="none" w:sz="0" w:space="0" w:color="auto"/>
                    <w:right w:val="none" w:sz="0" w:space="0" w:color="auto"/>
                  </w:divBdr>
                  <w:divsChild>
                    <w:div w:id="1844465419">
                      <w:marLeft w:val="0"/>
                      <w:marRight w:val="0"/>
                      <w:marTop w:val="0"/>
                      <w:marBottom w:val="0"/>
                      <w:divBdr>
                        <w:top w:val="none" w:sz="0" w:space="0" w:color="auto"/>
                        <w:left w:val="none" w:sz="0" w:space="0" w:color="auto"/>
                        <w:bottom w:val="none" w:sz="0" w:space="0" w:color="auto"/>
                        <w:right w:val="none" w:sz="0" w:space="0" w:color="auto"/>
                      </w:divBdr>
                      <w:divsChild>
                        <w:div w:id="1844465421">
                          <w:marLeft w:val="0"/>
                          <w:marRight w:val="0"/>
                          <w:marTop w:val="0"/>
                          <w:marBottom w:val="0"/>
                          <w:divBdr>
                            <w:top w:val="none" w:sz="0" w:space="0" w:color="auto"/>
                            <w:left w:val="none" w:sz="0" w:space="0" w:color="auto"/>
                            <w:bottom w:val="none" w:sz="0" w:space="0" w:color="auto"/>
                            <w:right w:val="none" w:sz="0" w:space="0" w:color="auto"/>
                          </w:divBdr>
                          <w:divsChild>
                            <w:div w:id="18444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5427">
                  <w:marLeft w:val="0"/>
                  <w:marRight w:val="0"/>
                  <w:marTop w:val="0"/>
                  <w:marBottom w:val="0"/>
                  <w:divBdr>
                    <w:top w:val="none" w:sz="0" w:space="0" w:color="auto"/>
                    <w:left w:val="none" w:sz="0" w:space="0" w:color="auto"/>
                    <w:bottom w:val="none" w:sz="0" w:space="0" w:color="auto"/>
                    <w:right w:val="none" w:sz="0" w:space="0" w:color="auto"/>
                  </w:divBdr>
                  <w:divsChild>
                    <w:div w:id="1844465420">
                      <w:marLeft w:val="0"/>
                      <w:marRight w:val="0"/>
                      <w:marTop w:val="0"/>
                      <w:marBottom w:val="0"/>
                      <w:divBdr>
                        <w:top w:val="none" w:sz="0" w:space="0" w:color="auto"/>
                        <w:left w:val="none" w:sz="0" w:space="0" w:color="auto"/>
                        <w:bottom w:val="none" w:sz="0" w:space="0" w:color="auto"/>
                        <w:right w:val="none" w:sz="0" w:space="0" w:color="auto"/>
                      </w:divBdr>
                      <w:divsChild>
                        <w:div w:id="1844465400">
                          <w:marLeft w:val="0"/>
                          <w:marRight w:val="0"/>
                          <w:marTop w:val="0"/>
                          <w:marBottom w:val="0"/>
                          <w:divBdr>
                            <w:top w:val="none" w:sz="0" w:space="0" w:color="auto"/>
                            <w:left w:val="none" w:sz="0" w:space="0" w:color="auto"/>
                            <w:bottom w:val="none" w:sz="0" w:space="0" w:color="auto"/>
                            <w:right w:val="none" w:sz="0" w:space="0" w:color="auto"/>
                          </w:divBdr>
                          <w:divsChild>
                            <w:div w:id="1844465425">
                              <w:marLeft w:val="0"/>
                              <w:marRight w:val="0"/>
                              <w:marTop w:val="0"/>
                              <w:marBottom w:val="0"/>
                              <w:divBdr>
                                <w:top w:val="none" w:sz="0" w:space="0" w:color="auto"/>
                                <w:left w:val="none" w:sz="0" w:space="0" w:color="auto"/>
                                <w:bottom w:val="none" w:sz="0" w:space="0" w:color="auto"/>
                                <w:right w:val="none" w:sz="0" w:space="0" w:color="auto"/>
                              </w:divBdr>
                              <w:divsChild>
                                <w:div w:id="18444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5416">
                          <w:marLeft w:val="0"/>
                          <w:marRight w:val="0"/>
                          <w:marTop w:val="0"/>
                          <w:marBottom w:val="0"/>
                          <w:divBdr>
                            <w:top w:val="none" w:sz="0" w:space="0" w:color="auto"/>
                            <w:left w:val="none" w:sz="0" w:space="0" w:color="auto"/>
                            <w:bottom w:val="none" w:sz="0" w:space="0" w:color="auto"/>
                            <w:right w:val="none" w:sz="0" w:space="0" w:color="auto"/>
                          </w:divBdr>
                          <w:divsChild>
                            <w:div w:id="1844465401">
                              <w:marLeft w:val="0"/>
                              <w:marRight w:val="0"/>
                              <w:marTop w:val="0"/>
                              <w:marBottom w:val="0"/>
                              <w:divBdr>
                                <w:top w:val="none" w:sz="0" w:space="0" w:color="auto"/>
                                <w:left w:val="none" w:sz="0" w:space="0" w:color="auto"/>
                                <w:bottom w:val="none" w:sz="0" w:space="0" w:color="auto"/>
                                <w:right w:val="none" w:sz="0" w:space="0" w:color="auto"/>
                              </w:divBdr>
                              <w:divsChild>
                                <w:div w:id="1844465415">
                                  <w:marLeft w:val="0"/>
                                  <w:marRight w:val="0"/>
                                  <w:marTop w:val="0"/>
                                  <w:marBottom w:val="0"/>
                                  <w:divBdr>
                                    <w:top w:val="none" w:sz="0" w:space="0" w:color="auto"/>
                                    <w:left w:val="none" w:sz="0" w:space="0" w:color="auto"/>
                                    <w:bottom w:val="none" w:sz="0" w:space="0" w:color="auto"/>
                                    <w:right w:val="none" w:sz="0" w:space="0" w:color="auto"/>
                                  </w:divBdr>
                                  <w:divsChild>
                                    <w:div w:id="18444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B52B4-1DAE-4742-9E29-C9F9EEE4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17</TotalTime>
  <Pages>6</Pages>
  <Words>2714</Words>
  <Characters>16271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Dubská, Kučera, Kamenický</dc:creator>
  <cp:lastModifiedBy>Ing. Drahomíra Dubská, CSc.</cp:lastModifiedBy>
  <cp:revision>7</cp:revision>
  <cp:lastPrinted>2015-07-30T06:16:00Z</cp:lastPrinted>
  <dcterms:created xsi:type="dcterms:W3CDTF">2015-07-30T08:59:00Z</dcterms:created>
  <dcterms:modified xsi:type="dcterms:W3CDTF">2015-07-30T09:56:00Z</dcterms:modified>
</cp:coreProperties>
</file>