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C" w:rsidRDefault="0025565C" w:rsidP="0025565C">
      <w:pPr>
        <w:spacing w:after="0"/>
        <w:jc w:val="center"/>
        <w:rPr>
          <w:rFonts w:ascii="Arial" w:eastAsia="Times New Roman" w:hAnsi="Arial" w:cs="Arial"/>
          <w:b/>
          <w:szCs w:val="20"/>
          <w:lang w:eastAsia="cs-CZ"/>
        </w:rPr>
      </w:pPr>
      <w:r w:rsidRPr="00F0725B">
        <w:rPr>
          <w:rFonts w:ascii="Arial" w:eastAsia="Times New Roman" w:hAnsi="Arial" w:cs="Arial"/>
          <w:b/>
          <w:szCs w:val="20"/>
          <w:lang w:eastAsia="cs-CZ"/>
        </w:rPr>
        <w:t xml:space="preserve">Vývoj cen tržních služeb v produkční sféře </w:t>
      </w:r>
      <w:r>
        <w:rPr>
          <w:rFonts w:ascii="Arial" w:eastAsia="Times New Roman" w:hAnsi="Arial" w:cs="Arial"/>
          <w:b/>
          <w:szCs w:val="20"/>
          <w:lang w:eastAsia="cs-CZ"/>
        </w:rPr>
        <w:br/>
      </w:r>
      <w:r w:rsidRPr="00F0725B">
        <w:rPr>
          <w:rFonts w:ascii="Arial" w:eastAsia="Times New Roman" w:hAnsi="Arial" w:cs="Arial"/>
          <w:b/>
          <w:szCs w:val="20"/>
          <w:lang w:eastAsia="cs-CZ"/>
        </w:rPr>
        <w:t xml:space="preserve">v prosinci 2015 </w:t>
      </w:r>
      <w:r>
        <w:rPr>
          <w:rFonts w:ascii="Arial" w:eastAsia="Times New Roman" w:hAnsi="Arial" w:cs="Arial"/>
          <w:b/>
          <w:szCs w:val="20"/>
          <w:lang w:eastAsia="cs-CZ"/>
        </w:rPr>
        <w:t>a v celém roce 2015</w:t>
      </w:r>
    </w:p>
    <w:p w:rsidR="0025565C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5565C" w:rsidRPr="00E3230D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5565C" w:rsidRPr="00E3230D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2897">
        <w:rPr>
          <w:rFonts w:ascii="Arial" w:eastAsia="Times New Roman" w:hAnsi="Arial" w:cs="Arial"/>
          <w:b/>
          <w:sz w:val="20"/>
          <w:szCs w:val="20"/>
          <w:lang w:eastAsia="cs-CZ"/>
        </w:rPr>
        <w:t>Index cen tržních služeb v podnikatelské sféře</w:t>
      </w:r>
      <w:r w:rsidRPr="00E3230D">
        <w:rPr>
          <w:rFonts w:ascii="Arial" w:eastAsia="Times New Roman" w:hAnsi="Arial" w:cs="Arial"/>
          <w:sz w:val="20"/>
          <w:szCs w:val="20"/>
          <w:lang w:eastAsia="cs-CZ"/>
        </w:rPr>
        <w:t>, zahrnující všechny statisticky sledované okruhy cen tržních služeb podle Klasifikace produkce CZ-CPA, se v p</w:t>
      </w:r>
      <w:bookmarkStart w:id="0" w:name="_GoBack"/>
      <w:bookmarkEnd w:id="0"/>
      <w:r w:rsidRPr="00E3230D">
        <w:rPr>
          <w:rFonts w:ascii="Arial" w:eastAsia="Times New Roman" w:hAnsi="Arial" w:cs="Arial"/>
          <w:sz w:val="20"/>
          <w:szCs w:val="20"/>
          <w:lang w:eastAsia="cs-CZ"/>
        </w:rPr>
        <w:t xml:space="preserve">rosinci </w:t>
      </w:r>
      <w:r w:rsidRPr="00562897">
        <w:rPr>
          <w:rFonts w:ascii="Arial" w:eastAsia="Times New Roman" w:hAnsi="Arial" w:cs="Arial"/>
          <w:b/>
          <w:sz w:val="20"/>
          <w:szCs w:val="20"/>
          <w:lang w:eastAsia="cs-CZ"/>
        </w:rPr>
        <w:t>ve srovnání s minulým měsícem</w:t>
      </w:r>
      <w:r w:rsidRPr="00E3230D">
        <w:rPr>
          <w:rFonts w:ascii="Arial" w:eastAsia="Times New Roman" w:hAnsi="Arial" w:cs="Arial"/>
          <w:sz w:val="20"/>
          <w:szCs w:val="20"/>
          <w:lang w:eastAsia="cs-CZ"/>
        </w:rPr>
        <w:t xml:space="preserve"> snížil o 0,8 %. Klesly ceny reklamních služeb a průzkumu trhu o 9,8 % a ceny pozemní dopravy o 0,2 %. Vzrostly ceny architektonických a inženýrských služeb o 0,1 % a ceny služeb v oblasti programování a poradenství také o 0,1 %.</w:t>
      </w:r>
    </w:p>
    <w:p w:rsidR="0025565C" w:rsidRPr="00E3230D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5565C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230D">
        <w:rPr>
          <w:rFonts w:ascii="Arial" w:eastAsia="Times New Roman" w:hAnsi="Arial" w:cs="Arial"/>
          <w:sz w:val="20"/>
          <w:szCs w:val="20"/>
          <w:lang w:eastAsia="cs-CZ"/>
        </w:rPr>
        <w:t xml:space="preserve">Ve srovnání se </w:t>
      </w:r>
      <w:r w:rsidRPr="00562897">
        <w:rPr>
          <w:rFonts w:ascii="Arial" w:eastAsia="Times New Roman" w:hAnsi="Arial" w:cs="Arial"/>
          <w:b/>
          <w:sz w:val="20"/>
          <w:szCs w:val="20"/>
          <w:lang w:eastAsia="cs-CZ"/>
        </w:rPr>
        <w:t>stejným obdobím předchozího roku ceny tržních služeb</w:t>
      </w:r>
      <w:r w:rsidRPr="00E3230D">
        <w:rPr>
          <w:rFonts w:ascii="Arial" w:eastAsia="Times New Roman" w:hAnsi="Arial" w:cs="Arial"/>
          <w:sz w:val="20"/>
          <w:szCs w:val="20"/>
          <w:lang w:eastAsia="cs-CZ"/>
        </w:rPr>
        <w:t xml:space="preserve"> v prosinci klesly o 0,3 %. Snížily se ceny pozemní dopravy o 2,1 %, ceny služeb v oblasti nemovitostí o 1,1 % a ceny pojištění o 0,9 %. Zvýšily se ceny architektonických a inženýrských služeb o 1,0 %, ceny služeb v oblasti programování a poradenství o 0,6 % a ceny reklamních služeb a průzkumu trhu o 0,1 %.</w:t>
      </w:r>
    </w:p>
    <w:p w:rsidR="0025565C" w:rsidRPr="00DB6110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5565C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12DEE">
        <w:rPr>
          <w:rFonts w:ascii="Arial" w:eastAsia="Times New Roman" w:hAnsi="Arial" w:cs="Arial"/>
          <w:b/>
          <w:sz w:val="20"/>
          <w:szCs w:val="20"/>
          <w:lang w:eastAsia="cs-CZ"/>
        </w:rPr>
        <w:t>Meziročně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v roce 2015 c</w:t>
      </w:r>
      <w:r w:rsidRPr="00DB6110">
        <w:rPr>
          <w:rFonts w:ascii="Arial" w:eastAsia="Times New Roman" w:hAnsi="Arial" w:cs="Arial"/>
          <w:sz w:val="20"/>
          <w:szCs w:val="20"/>
          <w:lang w:eastAsia="cs-CZ"/>
        </w:rPr>
        <w:t>eny tržních služeb v podnikatelské sféře v průměru nezměnily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B6110">
        <w:rPr>
          <w:rFonts w:ascii="Arial" w:eastAsia="Times New Roman" w:hAnsi="Arial" w:cs="Arial"/>
          <w:sz w:val="20"/>
          <w:szCs w:val="20"/>
          <w:lang w:eastAsia="cs-CZ"/>
        </w:rPr>
        <w:t>Vyšší byly ceny za poštovní a kurýrní služby o 6,4</w:t>
      </w:r>
      <w:r>
        <w:rPr>
          <w:rFonts w:ascii="Arial" w:eastAsia="Times New Roman" w:hAnsi="Arial" w:cs="Arial"/>
          <w:sz w:val="20"/>
          <w:szCs w:val="20"/>
          <w:lang w:eastAsia="cs-CZ"/>
        </w:rPr>
        <w:t> %,</w:t>
      </w:r>
      <w:r w:rsidRPr="00DB6110">
        <w:rPr>
          <w:rFonts w:ascii="Arial" w:eastAsia="Times New Roman" w:hAnsi="Arial" w:cs="Arial"/>
          <w:sz w:val="20"/>
          <w:szCs w:val="20"/>
          <w:lang w:eastAsia="cs-CZ"/>
        </w:rPr>
        <w:t xml:space="preserve"> za finanční služby, kromě pojišťovnictví a penzijního financování, o 3,0 %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za reklamní služby a průzkum trhu o 1,1 %</w:t>
      </w:r>
      <w:r w:rsidRPr="00DB611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Nižší byly ceny za služby v pozemní dopravě </w:t>
      </w:r>
      <w:r w:rsidRPr="00DB6110">
        <w:rPr>
          <w:rFonts w:ascii="Arial" w:eastAsia="Times New Roman" w:hAnsi="Arial" w:cs="Arial"/>
          <w:sz w:val="20"/>
          <w:szCs w:val="20"/>
          <w:lang w:eastAsia="cs-CZ"/>
        </w:rPr>
        <w:t>o 1,4 %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B6110">
        <w:rPr>
          <w:rFonts w:ascii="Arial" w:eastAsia="Times New Roman" w:hAnsi="Arial" w:cs="Arial"/>
          <w:sz w:val="20"/>
          <w:szCs w:val="20"/>
          <w:lang w:eastAsia="cs-CZ"/>
        </w:rPr>
        <w:t xml:space="preserve"> za informační služby o 1,7 %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za služby v oblasti nemovitostí o 0,9 %.</w:t>
      </w:r>
    </w:p>
    <w:p w:rsidR="0025565C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5565C" w:rsidRPr="00DB6110" w:rsidRDefault="0025565C" w:rsidP="0025565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44E3F" w:rsidRPr="0025565C" w:rsidRDefault="0025565C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C57AFF3" wp14:editId="3B05BCE4">
            <wp:extent cx="5749290" cy="3706495"/>
            <wp:effectExtent l="0" t="0" r="22860" b="27305"/>
            <wp:docPr id="75" name="Graf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44E3F" w:rsidRPr="002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5C"/>
    <w:rsid w:val="0025565C"/>
    <w:rsid w:val="004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Publikace\2015\1215podklady\Grafy%20publikace%202015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cs-CZ" sz="1200"/>
              <a:t>Meziměsíční</a:t>
            </a:r>
            <a:r>
              <a:rPr lang="cs-CZ" sz="1200" baseline="0"/>
              <a:t> změny </a:t>
            </a:r>
            <a:r>
              <a:rPr lang="cs-CZ" sz="1200"/>
              <a:t>cen tržních služeb </a:t>
            </a:r>
            <a:r>
              <a:rPr lang="cs-CZ" sz="1200" baseline="0"/>
              <a:t> </a:t>
            </a:r>
          </a:p>
          <a:p>
            <a:pPr>
              <a:defRPr sz="1200"/>
            </a:pPr>
            <a:r>
              <a:rPr lang="cs-CZ" sz="1200" b="0" baseline="0"/>
              <a:t>(v %)</a:t>
            </a:r>
            <a:endParaRPr lang="en-US" sz="12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85352336304417"/>
          <c:y val="0.13117818972121822"/>
          <c:w val="0.75741466857226658"/>
          <c:h val="0.6832904816861773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'TSt-1'!$A$6</c:f>
              <c:strCache>
                <c:ptCount val="1"/>
                <c:pt idx="0">
                  <c:v>Meziměsíční změny v %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'TSt-1'!$AL$3:$BI$4</c:f>
              <c:multiLvlStrCache>
                <c:ptCount val="24"/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7.</c:v>
                  </c:pt>
                  <c:pt idx="7">
                    <c:v>8.</c:v>
                  </c:pt>
                  <c:pt idx="8">
                    <c:v>9.</c:v>
                  </c:pt>
                  <c:pt idx="9">
                    <c:v>10.</c:v>
                  </c:pt>
                  <c:pt idx="10">
                    <c:v>11.</c:v>
                  </c:pt>
                  <c:pt idx="11">
                    <c:v>12.</c:v>
                  </c:pt>
                  <c:pt idx="12">
                    <c:v>1.</c:v>
                  </c:pt>
                  <c:pt idx="13">
                    <c:v>2.</c:v>
                  </c:pt>
                  <c:pt idx="14">
                    <c:v>3.</c:v>
                  </c:pt>
                  <c:pt idx="15">
                    <c:v>4.</c:v>
                  </c:pt>
                  <c:pt idx="16">
                    <c:v>5.</c:v>
                  </c:pt>
                  <c:pt idx="17">
                    <c:v>6.</c:v>
                  </c:pt>
                  <c:pt idx="18">
                    <c:v>7.</c:v>
                  </c:pt>
                  <c:pt idx="19">
                    <c:v>8.</c:v>
                  </c:pt>
                  <c:pt idx="20">
                    <c:v>9.</c:v>
                  </c:pt>
                  <c:pt idx="21">
                    <c:v>10.</c:v>
                  </c:pt>
                  <c:pt idx="22">
                    <c:v>11.</c:v>
                  </c:pt>
                  <c:pt idx="23">
                    <c:v>12.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'TSt-1'!$AL$6:$BI$6</c:f>
              <c:numCache>
                <c:formatCode>0.0</c:formatCode>
                <c:ptCount val="24"/>
                <c:pt idx="0">
                  <c:v>-0.5</c:v>
                </c:pt>
                <c:pt idx="1">
                  <c:v>0.70000000000000284</c:v>
                </c:pt>
                <c:pt idx="2">
                  <c:v>0.59999999999999432</c:v>
                </c:pt>
                <c:pt idx="3">
                  <c:v>0.40000000000000568</c:v>
                </c:pt>
                <c:pt idx="4">
                  <c:v>0</c:v>
                </c:pt>
                <c:pt idx="5">
                  <c:v>-0.40000000000000568</c:v>
                </c:pt>
                <c:pt idx="6">
                  <c:v>-0.59999999999999432</c:v>
                </c:pt>
                <c:pt idx="7">
                  <c:v>9.9999999999994316E-2</c:v>
                </c:pt>
                <c:pt idx="8">
                  <c:v>0.90000000000000568</c:v>
                </c:pt>
                <c:pt idx="9">
                  <c:v>0.20000000000000284</c:v>
                </c:pt>
                <c:pt idx="10">
                  <c:v>0</c:v>
                </c:pt>
                <c:pt idx="11">
                  <c:v>-0.59999999999999432</c:v>
                </c:pt>
                <c:pt idx="12">
                  <c:v>-0.59999999999999432</c:v>
                </c:pt>
                <c:pt idx="13">
                  <c:v>0</c:v>
                </c:pt>
                <c:pt idx="14">
                  <c:v>0.59999999999999432</c:v>
                </c:pt>
                <c:pt idx="15">
                  <c:v>0.5</c:v>
                </c:pt>
                <c:pt idx="16">
                  <c:v>9.9999999999994316E-2</c:v>
                </c:pt>
                <c:pt idx="17">
                  <c:v>-0.40000000000000568</c:v>
                </c:pt>
                <c:pt idx="18">
                  <c:v>-1</c:v>
                </c:pt>
                <c:pt idx="19">
                  <c:v>9.9999999999994316E-2</c:v>
                </c:pt>
                <c:pt idx="20">
                  <c:v>0.90000000000000568</c:v>
                </c:pt>
                <c:pt idx="21">
                  <c:v>0.29999999999999716</c:v>
                </c:pt>
                <c:pt idx="22">
                  <c:v>9.9999999999994316E-2</c:v>
                </c:pt>
                <c:pt idx="23">
                  <c:v>-0.79999999999999716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35220864"/>
        <c:axId val="49576576"/>
      </c:barChart>
      <c:catAx>
        <c:axId val="35220864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Období</a:t>
                </a:r>
              </a:p>
            </c:rich>
          </c:tx>
          <c:layout>
            <c:manualLayout>
              <c:xMode val="edge"/>
              <c:yMode val="edge"/>
              <c:x val="0.50097958538678977"/>
              <c:y val="0.95318112562331214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49576576"/>
        <c:crosses val="autoZero"/>
        <c:auto val="1"/>
        <c:lblAlgn val="ctr"/>
        <c:lblOffset val="100"/>
        <c:noMultiLvlLbl val="0"/>
      </c:catAx>
      <c:valAx>
        <c:axId val="49576576"/>
        <c:scaling>
          <c:orientation val="minMax"/>
          <c:max val="2"/>
        </c:scaling>
        <c:delete val="0"/>
        <c:axPos val="l"/>
        <c:majorGridlines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/>
                </a:pPr>
                <a:r>
                  <a:rPr lang="cs-CZ" sz="1000"/>
                  <a:t>% </a:t>
                </a:r>
                <a:r>
                  <a:rPr lang="cs-CZ" sz="1000" baseline="0"/>
                  <a:t> změny</a:t>
                </a:r>
                <a:endParaRPr lang="cs-CZ" sz="1000"/>
              </a:p>
            </c:rich>
          </c:tx>
          <c:layout>
            <c:manualLayout>
              <c:xMode val="edge"/>
              <c:yMode val="edge"/>
              <c:x val="9.3725224820894112E-3"/>
              <c:y val="0.456772251171814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5220864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0.04074</cdr:x>
      <cdr:y>0.03276</cdr:y>
    </cdr:from>
    <cdr:to>
      <cdr:x>0.17385</cdr:x>
      <cdr:y>0.08588</cdr:y>
    </cdr:to>
    <cdr:pic>
      <cdr:nvPicPr>
        <cdr:cNvPr id="2" name="Obrázek 1" descr="3.1 barevna verze logotypu zkratka cz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8352" y="196281"/>
          <a:ext cx="1236176" cy="31825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Šťastná</dc:creator>
  <cp:lastModifiedBy>Andrea Šťastná</cp:lastModifiedBy>
  <cp:revision>1</cp:revision>
  <dcterms:created xsi:type="dcterms:W3CDTF">2016-01-20T09:25:00Z</dcterms:created>
  <dcterms:modified xsi:type="dcterms:W3CDTF">2016-01-20T09:26:00Z</dcterms:modified>
</cp:coreProperties>
</file>