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035BE7">
        <w:rPr>
          <w:rFonts w:ascii="Arial" w:hAnsi="Arial"/>
          <w:sz w:val="32"/>
        </w:rPr>
        <w:t>listopadu</w:t>
      </w:r>
      <w:r>
        <w:rPr>
          <w:rFonts w:ascii="Arial" w:hAnsi="Arial"/>
          <w:sz w:val="32"/>
        </w:rPr>
        <w:t xml:space="preserve"> 201</w:t>
      </w:r>
      <w:r w:rsidR="00D525D0">
        <w:rPr>
          <w:rFonts w:ascii="Arial" w:hAnsi="Arial"/>
          <w:sz w:val="32"/>
        </w:rPr>
        <w:t>3</w:t>
      </w:r>
    </w:p>
    <w:p w:rsidR="00D47C05" w:rsidRDefault="00D47C05">
      <w:pPr>
        <w:jc w:val="center"/>
        <w:rPr>
          <w:rFonts w:ascii="Arial" w:hAnsi="Arial"/>
          <w:sz w:val="32"/>
        </w:rPr>
      </w:pPr>
    </w:p>
    <w:p w:rsidR="00FC60A0" w:rsidRDefault="000873A6" w:rsidP="00122A6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873A6">
        <w:rPr>
          <w:rFonts w:ascii="Arial" w:hAnsi="Arial" w:cs="Arial"/>
          <w:b/>
          <w:sz w:val="20"/>
          <w:szCs w:val="20"/>
        </w:rPr>
        <w:t>Meziměsíční srovnání:</w:t>
      </w:r>
    </w:p>
    <w:p w:rsidR="000873A6" w:rsidRPr="000873A6" w:rsidRDefault="000873A6" w:rsidP="00122A6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873A6" w:rsidRDefault="000B0045" w:rsidP="008E294B">
      <w:pPr>
        <w:spacing w:line="276" w:lineRule="auto"/>
        <w:rPr>
          <w:rFonts w:ascii="Arial" w:hAnsi="Arial" w:cs="Arial"/>
          <w:sz w:val="20"/>
          <w:szCs w:val="20"/>
        </w:rPr>
      </w:pPr>
      <w:r w:rsidRPr="000B0045">
        <w:rPr>
          <w:rFonts w:ascii="Arial" w:hAnsi="Arial" w:cs="Arial"/>
          <w:sz w:val="20"/>
          <w:szCs w:val="20"/>
        </w:rPr>
        <w:t xml:space="preserve">Ceny </w:t>
      </w:r>
      <w:r w:rsidRPr="000B0045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0B0045">
        <w:rPr>
          <w:rFonts w:ascii="Arial" w:hAnsi="Arial" w:cs="Arial"/>
          <w:sz w:val="20"/>
          <w:szCs w:val="20"/>
        </w:rPr>
        <w:t xml:space="preserve"> se meziměsíčně zvýšily o 0,8 %.</w:t>
      </w:r>
    </w:p>
    <w:p w:rsidR="000873A6" w:rsidRDefault="000873A6" w:rsidP="008E294B">
      <w:pPr>
        <w:spacing w:line="276" w:lineRule="auto"/>
        <w:rPr>
          <w:rFonts w:ascii="Arial" w:hAnsi="Arial" w:cs="Arial"/>
          <w:sz w:val="20"/>
          <w:szCs w:val="20"/>
        </w:rPr>
      </w:pPr>
    </w:p>
    <w:p w:rsidR="000873A6" w:rsidRDefault="000873A6" w:rsidP="000873A6">
      <w:pPr>
        <w:spacing w:line="276" w:lineRule="auto"/>
        <w:jc w:val="center"/>
        <w:rPr>
          <w:szCs w:val="20"/>
        </w:rPr>
      </w:pPr>
      <w:r w:rsidRPr="000873A6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75pt;height:262.5pt">
            <v:imagedata r:id="rId5" o:title=""/>
          </v:shape>
        </w:pict>
      </w:r>
    </w:p>
    <w:p w:rsidR="000873A6" w:rsidRDefault="000873A6" w:rsidP="008E294B">
      <w:pPr>
        <w:spacing w:line="276" w:lineRule="auto"/>
        <w:rPr>
          <w:rFonts w:ascii="Arial" w:hAnsi="Arial" w:cs="Arial"/>
          <w:sz w:val="20"/>
          <w:szCs w:val="20"/>
        </w:rPr>
      </w:pPr>
    </w:p>
    <w:p w:rsidR="000873A6" w:rsidRDefault="000873A6" w:rsidP="008E294B">
      <w:pPr>
        <w:spacing w:line="276" w:lineRule="auto"/>
        <w:rPr>
          <w:rFonts w:ascii="Arial" w:hAnsi="Arial" w:cs="Arial"/>
          <w:sz w:val="20"/>
          <w:szCs w:val="20"/>
        </w:rPr>
      </w:pPr>
    </w:p>
    <w:p w:rsidR="00122A60" w:rsidRPr="000B0045" w:rsidRDefault="000B0045" w:rsidP="008E294B">
      <w:pPr>
        <w:spacing w:line="276" w:lineRule="auto"/>
        <w:rPr>
          <w:rFonts w:ascii="Arial" w:hAnsi="Arial" w:cs="Arial"/>
          <w:sz w:val="20"/>
          <w:szCs w:val="20"/>
        </w:rPr>
      </w:pPr>
      <w:r w:rsidRPr="000B0045">
        <w:rPr>
          <w:rFonts w:ascii="Arial" w:hAnsi="Arial" w:cs="Arial"/>
          <w:sz w:val="20"/>
          <w:szCs w:val="20"/>
        </w:rPr>
        <w:t>Z důvodu oslabení koruny proti euru ve výši 4,7 %</w:t>
      </w:r>
      <w:r w:rsidRPr="000B0045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0045">
        <w:rPr>
          <w:rFonts w:ascii="Arial" w:hAnsi="Arial" w:cs="Arial"/>
          <w:sz w:val="20"/>
          <w:szCs w:val="20"/>
        </w:rPr>
        <w:t>vzrostly zejména ceny produktů, které se do značné míry v euru obchodují. Zvýšily se zejména ceny dopravních prostředků o 3,0 %, z toho ceny dílů a příslušenství pro motorová vozidla o 4,1 %. Ceny motorových vozidel se nezměnily. Ceny obecných kovů a kovodělných výrobků a ceny v oddílu koksu a rafinovaných ropných produktů se zvýšily shodně o 1,6 %. Snížily se ceny chemických látek a výrobků o 0,7 %, potravinářských výrobků, nápojů a tabáku o 0,3 % a těžby a dobývání o 0,2 %.</w:t>
      </w:r>
    </w:p>
    <w:p w:rsidR="00585E7D" w:rsidRPr="00585E7D" w:rsidRDefault="00585E7D" w:rsidP="00585E7D">
      <w:pPr>
        <w:rPr>
          <w:rFonts w:ascii="Arial" w:hAnsi="Arial" w:cs="Arial"/>
          <w:sz w:val="20"/>
          <w:szCs w:val="20"/>
        </w:rPr>
      </w:pPr>
    </w:p>
    <w:p w:rsidR="00513D80" w:rsidRPr="002234D6" w:rsidRDefault="00513D80">
      <w:pPr>
        <w:rPr>
          <w:rFonts w:ascii="Arial" w:hAnsi="Arial" w:cs="Arial"/>
          <w:sz w:val="20"/>
          <w:szCs w:val="20"/>
        </w:rPr>
      </w:pPr>
    </w:p>
    <w:p w:rsidR="005937E4" w:rsidRDefault="005937E4" w:rsidP="000873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5937E4" w:rsidRDefault="000873A6">
      <w:pPr>
        <w:jc w:val="both"/>
      </w:pPr>
      <w:r w:rsidRPr="008E7C34">
        <w:pict>
          <v:shape id="_x0000_i1025" type="#_x0000_t75" style="width:362.25pt;height:96.75pt">
            <v:imagedata r:id="rId6" o:title=""/>
          </v:shape>
        </w:pict>
      </w:r>
      <w:r w:rsidR="00086E5E">
        <w:rPr>
          <w:rFonts w:ascii="Arial" w:hAnsi="Arial" w:cs="Arial"/>
          <w:sz w:val="20"/>
        </w:rPr>
        <w:t xml:space="preserve">  </w:t>
      </w:r>
      <w:r w:rsidR="00CE690E">
        <w:rPr>
          <w:rFonts w:ascii="Arial" w:hAnsi="Arial" w:cs="Arial"/>
          <w:sz w:val="20"/>
        </w:rPr>
        <w:t xml:space="preserve">             </w:t>
      </w:r>
    </w:p>
    <w:p w:rsidR="005617F2" w:rsidRDefault="005617F2">
      <w:pPr>
        <w:jc w:val="both"/>
      </w:pPr>
    </w:p>
    <w:p w:rsidR="00122A60" w:rsidRDefault="00122A60">
      <w:pPr>
        <w:jc w:val="both"/>
      </w:pPr>
    </w:p>
    <w:p w:rsidR="000873A6" w:rsidRDefault="000873A6" w:rsidP="00FC60A0">
      <w:pPr>
        <w:rPr>
          <w:rFonts w:ascii="Arial" w:hAnsi="Arial" w:cs="Arial"/>
          <w:b/>
          <w:sz w:val="20"/>
          <w:szCs w:val="20"/>
        </w:rPr>
      </w:pPr>
    </w:p>
    <w:p w:rsidR="000873A6" w:rsidRDefault="000873A6" w:rsidP="00FC60A0">
      <w:pPr>
        <w:rPr>
          <w:rFonts w:ascii="Arial" w:hAnsi="Arial" w:cs="Arial"/>
          <w:b/>
          <w:sz w:val="20"/>
          <w:szCs w:val="20"/>
        </w:rPr>
      </w:pPr>
    </w:p>
    <w:p w:rsidR="000873A6" w:rsidRDefault="000873A6" w:rsidP="00FC60A0">
      <w:pPr>
        <w:rPr>
          <w:rFonts w:ascii="Arial" w:hAnsi="Arial" w:cs="Arial"/>
          <w:b/>
          <w:sz w:val="20"/>
          <w:szCs w:val="20"/>
        </w:rPr>
      </w:pPr>
    </w:p>
    <w:p w:rsidR="000873A6" w:rsidRDefault="000873A6" w:rsidP="00FC60A0">
      <w:pPr>
        <w:rPr>
          <w:rFonts w:ascii="Arial" w:hAnsi="Arial" w:cs="Arial"/>
          <w:b/>
          <w:sz w:val="20"/>
          <w:szCs w:val="20"/>
        </w:rPr>
      </w:pPr>
    </w:p>
    <w:p w:rsidR="000873A6" w:rsidRDefault="000873A6" w:rsidP="00FC60A0">
      <w:pPr>
        <w:rPr>
          <w:rFonts w:ascii="Arial" w:hAnsi="Arial" w:cs="Arial"/>
          <w:b/>
          <w:sz w:val="20"/>
          <w:szCs w:val="20"/>
        </w:rPr>
      </w:pPr>
    </w:p>
    <w:p w:rsidR="000873A6" w:rsidRDefault="000873A6" w:rsidP="00FC60A0">
      <w:pPr>
        <w:rPr>
          <w:rFonts w:ascii="Arial" w:hAnsi="Arial" w:cs="Arial"/>
          <w:b/>
          <w:sz w:val="20"/>
          <w:szCs w:val="20"/>
        </w:rPr>
      </w:pPr>
    </w:p>
    <w:p w:rsidR="000873A6" w:rsidRDefault="000873A6" w:rsidP="00FC60A0">
      <w:pPr>
        <w:rPr>
          <w:rFonts w:ascii="Arial" w:hAnsi="Arial" w:cs="Arial"/>
          <w:b/>
          <w:sz w:val="20"/>
          <w:szCs w:val="20"/>
        </w:rPr>
      </w:pPr>
      <w:r w:rsidRPr="000873A6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0873A6" w:rsidRPr="000873A6" w:rsidRDefault="000873A6" w:rsidP="00FC60A0">
      <w:pPr>
        <w:rPr>
          <w:rFonts w:ascii="Arial" w:hAnsi="Arial" w:cs="Arial"/>
          <w:b/>
          <w:sz w:val="20"/>
          <w:szCs w:val="20"/>
        </w:rPr>
      </w:pPr>
    </w:p>
    <w:p w:rsidR="000873A6" w:rsidRDefault="00FC60A0" w:rsidP="00FC60A0">
      <w:pPr>
        <w:rPr>
          <w:rFonts w:ascii="Arial" w:hAnsi="Arial" w:cs="Arial"/>
          <w:sz w:val="20"/>
          <w:szCs w:val="20"/>
        </w:rPr>
      </w:pPr>
      <w:r w:rsidRPr="00FC60A0">
        <w:rPr>
          <w:rFonts w:ascii="Arial" w:hAnsi="Arial" w:cs="Arial"/>
          <w:sz w:val="20"/>
          <w:szCs w:val="20"/>
        </w:rPr>
        <w:t xml:space="preserve">Ceny </w:t>
      </w:r>
      <w:r w:rsidRPr="00FC60A0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FC60A0">
        <w:rPr>
          <w:rFonts w:ascii="Arial" w:hAnsi="Arial" w:cs="Arial"/>
          <w:sz w:val="20"/>
          <w:szCs w:val="20"/>
        </w:rPr>
        <w:t xml:space="preserve"> vzrostly o 0,7 % (v říjnu se nezměnily).</w:t>
      </w:r>
    </w:p>
    <w:p w:rsidR="000873A6" w:rsidRDefault="000873A6" w:rsidP="00FC60A0">
      <w:pPr>
        <w:rPr>
          <w:rFonts w:ascii="Arial" w:hAnsi="Arial" w:cs="Arial"/>
          <w:sz w:val="20"/>
          <w:szCs w:val="20"/>
        </w:rPr>
      </w:pPr>
    </w:p>
    <w:p w:rsidR="000873A6" w:rsidRDefault="000873A6" w:rsidP="00FC60A0">
      <w:pPr>
        <w:rPr>
          <w:szCs w:val="20"/>
        </w:rPr>
      </w:pPr>
      <w:r w:rsidRPr="000873A6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0873A6" w:rsidRDefault="000873A6" w:rsidP="00FC60A0">
      <w:pPr>
        <w:rPr>
          <w:szCs w:val="20"/>
        </w:rPr>
      </w:pPr>
    </w:p>
    <w:p w:rsidR="000873A6" w:rsidRDefault="000873A6" w:rsidP="00FC60A0">
      <w:pPr>
        <w:rPr>
          <w:rFonts w:ascii="Arial" w:hAnsi="Arial" w:cs="Arial"/>
          <w:sz w:val="20"/>
          <w:szCs w:val="20"/>
        </w:rPr>
      </w:pPr>
      <w:r w:rsidRPr="000873A6">
        <w:rPr>
          <w:szCs w:val="20"/>
        </w:rPr>
        <w:pict>
          <v:shape id="_x0000_i1029" type="#_x0000_t75" style="width:453.75pt;height:278.25pt">
            <v:imagedata r:id="rId8" o:title=""/>
          </v:shape>
        </w:pict>
      </w:r>
    </w:p>
    <w:p w:rsidR="000873A6" w:rsidRDefault="000873A6" w:rsidP="00FC60A0">
      <w:pPr>
        <w:rPr>
          <w:rFonts w:ascii="Arial" w:hAnsi="Arial" w:cs="Arial"/>
          <w:sz w:val="20"/>
          <w:szCs w:val="20"/>
        </w:rPr>
      </w:pPr>
    </w:p>
    <w:p w:rsidR="000873A6" w:rsidRDefault="00FC60A0" w:rsidP="00FC60A0">
      <w:pPr>
        <w:rPr>
          <w:rFonts w:ascii="Arial" w:hAnsi="Arial" w:cs="Arial"/>
          <w:sz w:val="20"/>
          <w:szCs w:val="20"/>
        </w:rPr>
      </w:pPr>
      <w:r w:rsidRPr="00FC60A0">
        <w:rPr>
          <w:rFonts w:ascii="Arial" w:hAnsi="Arial" w:cs="Arial"/>
          <w:sz w:val="20"/>
          <w:szCs w:val="20"/>
        </w:rPr>
        <w:t xml:space="preserve">Na výši meziročního indexu mělo vliv zvýšení cen elektřiny, plynu a páry o 3,8 % a dopravních prostředků o 3,7 %. Zvýšily se především ceny dílů a příslušenství pro motorová vozidla o 5,3 % (při oslabení koruny proti euru o 5,8 %). Ceny motorových vozidel se naopak snížily o 0,6 %. </w:t>
      </w:r>
    </w:p>
    <w:p w:rsidR="000873A6" w:rsidRDefault="000873A6" w:rsidP="00FC60A0">
      <w:pPr>
        <w:rPr>
          <w:rFonts w:ascii="Arial" w:hAnsi="Arial" w:cs="Arial"/>
          <w:sz w:val="20"/>
          <w:szCs w:val="20"/>
        </w:rPr>
      </w:pPr>
    </w:p>
    <w:p w:rsidR="000873A6" w:rsidRDefault="000873A6" w:rsidP="00FC6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C60A0" w:rsidRPr="00FC60A0">
        <w:rPr>
          <w:rFonts w:ascii="Arial" w:hAnsi="Arial" w:cs="Arial"/>
          <w:sz w:val="20"/>
          <w:szCs w:val="20"/>
        </w:rPr>
        <w:t xml:space="preserve">lesly především ceny v oddílu koksu a rafinovaných ropných produktů o 5,6 %, chemických látek a výrobků o 4,1 %, obecných kovů a kovodělných výrobků a potravinářských výrobků shodně o 0,2 %. </w:t>
      </w:r>
    </w:p>
    <w:p w:rsidR="000873A6" w:rsidRDefault="000873A6" w:rsidP="00FC60A0">
      <w:pPr>
        <w:rPr>
          <w:rFonts w:ascii="Arial" w:hAnsi="Arial" w:cs="Arial"/>
          <w:sz w:val="20"/>
          <w:szCs w:val="20"/>
        </w:rPr>
      </w:pPr>
    </w:p>
    <w:p w:rsidR="00FC60A0" w:rsidRPr="00FC60A0" w:rsidRDefault="00FC60A0" w:rsidP="00FC60A0">
      <w:pPr>
        <w:rPr>
          <w:rFonts w:ascii="Arial" w:hAnsi="Arial" w:cs="Arial"/>
          <w:sz w:val="20"/>
          <w:szCs w:val="20"/>
        </w:rPr>
      </w:pPr>
      <w:r w:rsidRPr="00FC60A0">
        <w:rPr>
          <w:rFonts w:ascii="Arial" w:hAnsi="Arial" w:cs="Arial"/>
          <w:sz w:val="20"/>
          <w:szCs w:val="20"/>
        </w:rPr>
        <w:t xml:space="preserve">Z cen potravinářských výrobků, nápojů a tabáku se snížily zejména ceny rostlinných a živočišných olejů a tuků o 23,2 % a  průmyslových krmiv o 8,7 %, výrazněji vzrostly ceny mléčných výrobků o 11,2 %. </w:t>
      </w:r>
    </w:p>
    <w:p w:rsidR="000C08CA" w:rsidRDefault="000C08CA">
      <w:pPr>
        <w:jc w:val="both"/>
      </w:pPr>
    </w:p>
    <w:p w:rsidR="005F56CE" w:rsidRDefault="005F56CE" w:rsidP="006E6DEF">
      <w:pPr>
        <w:rPr>
          <w:rFonts w:ascii="Arial" w:hAnsi="Arial" w:cs="Arial"/>
          <w:sz w:val="20"/>
          <w:szCs w:val="20"/>
        </w:rPr>
      </w:pPr>
    </w:p>
    <w:p w:rsidR="000873A6" w:rsidRDefault="000873A6" w:rsidP="006E6DEF">
      <w:pPr>
        <w:rPr>
          <w:rFonts w:ascii="Arial" w:hAnsi="Arial" w:cs="Arial"/>
          <w:sz w:val="20"/>
          <w:szCs w:val="20"/>
        </w:rPr>
      </w:pPr>
    </w:p>
    <w:p w:rsidR="000873A6" w:rsidRPr="006E6DEF" w:rsidRDefault="000873A6" w:rsidP="006E6DEF">
      <w:pPr>
        <w:rPr>
          <w:rFonts w:ascii="Arial" w:hAnsi="Arial" w:cs="Arial"/>
          <w:sz w:val="20"/>
          <w:szCs w:val="20"/>
        </w:rPr>
      </w:pPr>
    </w:p>
    <w:p w:rsidR="005937E4" w:rsidRDefault="000873A6" w:rsidP="000873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</w:t>
      </w:r>
      <w:r w:rsidR="005937E4">
        <w:rPr>
          <w:rFonts w:ascii="Arial" w:hAnsi="Arial" w:cs="Arial"/>
          <w:sz w:val="20"/>
        </w:rPr>
        <w:t>ybraná odvětví, která nejvíce ovlivnila výši celkového meziročního indexu:</w:t>
      </w:r>
    </w:p>
    <w:p w:rsidR="000873A6" w:rsidRDefault="000873A6" w:rsidP="000873A6">
      <w:pPr>
        <w:rPr>
          <w:rFonts w:ascii="Arial" w:hAnsi="Arial" w:cs="Arial"/>
          <w:sz w:val="20"/>
        </w:rPr>
      </w:pPr>
    </w:p>
    <w:p w:rsidR="000873A6" w:rsidRDefault="000873A6" w:rsidP="000873A6">
      <w:r w:rsidRPr="000873A6">
        <w:pict>
          <v:shape id="_x0000_i1026" type="#_x0000_t75" style="width:362.25pt;height:96.75pt">
            <v:imagedata r:id="rId9" o:title=""/>
          </v:shape>
        </w:pict>
      </w:r>
    </w:p>
    <w:p w:rsidR="000873A6" w:rsidRDefault="000873A6" w:rsidP="000873A6">
      <w:pPr>
        <w:rPr>
          <w:rFonts w:ascii="Arial" w:hAnsi="Arial" w:cs="Arial"/>
          <w:sz w:val="20"/>
        </w:rPr>
      </w:pPr>
    </w:p>
    <w:p w:rsidR="000873A6" w:rsidRDefault="000873A6" w:rsidP="000873A6">
      <w:pPr>
        <w:rPr>
          <w:rFonts w:ascii="Arial" w:hAnsi="Arial" w:cs="Arial"/>
          <w:sz w:val="20"/>
        </w:rPr>
      </w:pPr>
    </w:p>
    <w:p w:rsidR="005937E4" w:rsidRDefault="005937E4">
      <w:pPr>
        <w:rPr>
          <w:rFonts w:ascii="Arial" w:hAnsi="Arial" w:cs="Arial"/>
          <w:sz w:val="20"/>
        </w:rPr>
      </w:pPr>
    </w:p>
    <w:p w:rsidR="00447BA3" w:rsidRPr="00FC60A0" w:rsidRDefault="00447BA3" w:rsidP="00447BA3">
      <w:pPr>
        <w:rPr>
          <w:rFonts w:ascii="Arial" w:hAnsi="Arial" w:cs="Arial"/>
          <w:sz w:val="20"/>
          <w:szCs w:val="20"/>
        </w:rPr>
      </w:pPr>
      <w:r w:rsidRPr="00FC60A0">
        <w:rPr>
          <w:rFonts w:ascii="Arial" w:hAnsi="Arial" w:cs="Arial"/>
          <w:sz w:val="20"/>
          <w:szCs w:val="20"/>
        </w:rPr>
        <w:t>Při hodnocení podle hlavních průmyslových skupin se meziročně nejvíce zvýšily ceny výrobků investiční povahy o 1,8 % a ceny zboží dlouhodobé spotřeby o 1,7 %.</w:t>
      </w:r>
    </w:p>
    <w:p w:rsidR="00122A60" w:rsidRPr="00AD5145" w:rsidRDefault="00122A60">
      <w:pPr>
        <w:rPr>
          <w:rFonts w:ascii="Arial" w:hAnsi="Arial" w:cs="Arial"/>
          <w:b/>
          <w:sz w:val="20"/>
          <w:szCs w:val="20"/>
        </w:rPr>
      </w:pPr>
    </w:p>
    <w:p w:rsidR="000873A6" w:rsidRDefault="000873A6">
      <w:pPr>
        <w:rPr>
          <w:rFonts w:ascii="Arial" w:hAnsi="Arial" w:cs="Arial"/>
          <w:sz w:val="20"/>
          <w:szCs w:val="20"/>
        </w:rPr>
      </w:pPr>
    </w:p>
    <w:p w:rsidR="005937E4" w:rsidRDefault="005937E4">
      <w:pPr>
        <w:rPr>
          <w:rFonts w:ascii="Arial" w:hAnsi="Arial" w:cs="Arial"/>
          <w:sz w:val="20"/>
          <w:szCs w:val="20"/>
        </w:rPr>
      </w:pPr>
      <w:r w:rsidRPr="00CF43B4">
        <w:rPr>
          <w:rFonts w:ascii="Arial" w:hAnsi="Arial" w:cs="Arial"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 předchozím 12 měsícům) byl 10</w:t>
      </w:r>
      <w:r w:rsidR="000C08CA">
        <w:rPr>
          <w:rFonts w:ascii="Arial" w:hAnsi="Arial" w:cs="Arial"/>
          <w:sz w:val="20"/>
          <w:szCs w:val="20"/>
        </w:rPr>
        <w:t>0</w:t>
      </w:r>
      <w:r w:rsidRPr="00C31D50">
        <w:rPr>
          <w:rFonts w:ascii="Arial" w:hAnsi="Arial" w:cs="Arial"/>
          <w:sz w:val="20"/>
          <w:szCs w:val="20"/>
        </w:rPr>
        <w:t>,</w:t>
      </w:r>
      <w:r w:rsidR="000C08CA">
        <w:rPr>
          <w:rFonts w:ascii="Arial" w:hAnsi="Arial" w:cs="Arial"/>
          <w:sz w:val="20"/>
          <w:szCs w:val="20"/>
        </w:rPr>
        <w:t>8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5E5135" w:rsidRDefault="005E5135" w:rsidP="005E5135">
      <w:pPr>
        <w:spacing w:line="276" w:lineRule="auto"/>
        <w:jc w:val="both"/>
        <w:rPr>
          <w:rFonts w:cs="Arial"/>
          <w:b/>
          <w:szCs w:val="18"/>
        </w:rPr>
      </w:pPr>
    </w:p>
    <w:sectPr w:rsidR="005E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3058"/>
    <w:rsid w:val="00035BE7"/>
    <w:rsid w:val="0007002B"/>
    <w:rsid w:val="00074098"/>
    <w:rsid w:val="00086E5E"/>
    <w:rsid w:val="000873A6"/>
    <w:rsid w:val="000A3B03"/>
    <w:rsid w:val="000B0045"/>
    <w:rsid w:val="000B2012"/>
    <w:rsid w:val="000C08CA"/>
    <w:rsid w:val="000D28E7"/>
    <w:rsid w:val="000D380B"/>
    <w:rsid w:val="000E66A8"/>
    <w:rsid w:val="001024B5"/>
    <w:rsid w:val="00105D75"/>
    <w:rsid w:val="00117E2E"/>
    <w:rsid w:val="0012169E"/>
    <w:rsid w:val="00122A60"/>
    <w:rsid w:val="00136357"/>
    <w:rsid w:val="00175755"/>
    <w:rsid w:val="00176980"/>
    <w:rsid w:val="001B5D34"/>
    <w:rsid w:val="001C097E"/>
    <w:rsid w:val="001F102A"/>
    <w:rsid w:val="001F12D2"/>
    <w:rsid w:val="0020233F"/>
    <w:rsid w:val="002033EA"/>
    <w:rsid w:val="002234D6"/>
    <w:rsid w:val="002442A3"/>
    <w:rsid w:val="00277979"/>
    <w:rsid w:val="002A6B83"/>
    <w:rsid w:val="002B1A4A"/>
    <w:rsid w:val="002B34C4"/>
    <w:rsid w:val="002C0A0E"/>
    <w:rsid w:val="002C52BA"/>
    <w:rsid w:val="003118A9"/>
    <w:rsid w:val="0033347F"/>
    <w:rsid w:val="00375C47"/>
    <w:rsid w:val="0038697C"/>
    <w:rsid w:val="00396D4D"/>
    <w:rsid w:val="003E6128"/>
    <w:rsid w:val="00411AE0"/>
    <w:rsid w:val="00412275"/>
    <w:rsid w:val="004175FF"/>
    <w:rsid w:val="004260D7"/>
    <w:rsid w:val="00434D42"/>
    <w:rsid w:val="00436FA9"/>
    <w:rsid w:val="00444463"/>
    <w:rsid w:val="00445652"/>
    <w:rsid w:val="00447BA3"/>
    <w:rsid w:val="004704DD"/>
    <w:rsid w:val="00497183"/>
    <w:rsid w:val="004A0AE2"/>
    <w:rsid w:val="004D7DFF"/>
    <w:rsid w:val="00513D80"/>
    <w:rsid w:val="00535B4A"/>
    <w:rsid w:val="00557407"/>
    <w:rsid w:val="00560F0A"/>
    <w:rsid w:val="005617F2"/>
    <w:rsid w:val="005745D1"/>
    <w:rsid w:val="00585E7D"/>
    <w:rsid w:val="005937E4"/>
    <w:rsid w:val="005A29CC"/>
    <w:rsid w:val="005A78DB"/>
    <w:rsid w:val="005E5135"/>
    <w:rsid w:val="005F56CE"/>
    <w:rsid w:val="00602E58"/>
    <w:rsid w:val="0062686C"/>
    <w:rsid w:val="00635BF4"/>
    <w:rsid w:val="00636F9A"/>
    <w:rsid w:val="00666FF6"/>
    <w:rsid w:val="006A48C6"/>
    <w:rsid w:val="006B1973"/>
    <w:rsid w:val="006C1DCC"/>
    <w:rsid w:val="006C759F"/>
    <w:rsid w:val="006E3CE5"/>
    <w:rsid w:val="006E6DEF"/>
    <w:rsid w:val="00700E93"/>
    <w:rsid w:val="00714746"/>
    <w:rsid w:val="00737FA4"/>
    <w:rsid w:val="00771866"/>
    <w:rsid w:val="0077335E"/>
    <w:rsid w:val="007A484F"/>
    <w:rsid w:val="007B13E2"/>
    <w:rsid w:val="007B65F1"/>
    <w:rsid w:val="007B78FC"/>
    <w:rsid w:val="007E49A7"/>
    <w:rsid w:val="00823A8F"/>
    <w:rsid w:val="00875BF6"/>
    <w:rsid w:val="008C4046"/>
    <w:rsid w:val="008D76EA"/>
    <w:rsid w:val="008E294B"/>
    <w:rsid w:val="008E7298"/>
    <w:rsid w:val="008E7C34"/>
    <w:rsid w:val="008F03D0"/>
    <w:rsid w:val="00901376"/>
    <w:rsid w:val="00911F43"/>
    <w:rsid w:val="009472DD"/>
    <w:rsid w:val="00955638"/>
    <w:rsid w:val="00973751"/>
    <w:rsid w:val="009A6510"/>
    <w:rsid w:val="009F5717"/>
    <w:rsid w:val="00A13216"/>
    <w:rsid w:val="00A42F43"/>
    <w:rsid w:val="00A44295"/>
    <w:rsid w:val="00A611E1"/>
    <w:rsid w:val="00A6363C"/>
    <w:rsid w:val="00A70E0C"/>
    <w:rsid w:val="00A76FFE"/>
    <w:rsid w:val="00A80423"/>
    <w:rsid w:val="00AB3D5B"/>
    <w:rsid w:val="00AD0D15"/>
    <w:rsid w:val="00AD5145"/>
    <w:rsid w:val="00B074D1"/>
    <w:rsid w:val="00B13906"/>
    <w:rsid w:val="00B32C37"/>
    <w:rsid w:val="00B3603E"/>
    <w:rsid w:val="00B545A0"/>
    <w:rsid w:val="00B77F7D"/>
    <w:rsid w:val="00B83258"/>
    <w:rsid w:val="00B9071F"/>
    <w:rsid w:val="00B934B4"/>
    <w:rsid w:val="00B95718"/>
    <w:rsid w:val="00BA4875"/>
    <w:rsid w:val="00BC1C9D"/>
    <w:rsid w:val="00BD74E2"/>
    <w:rsid w:val="00C12D15"/>
    <w:rsid w:val="00C26498"/>
    <w:rsid w:val="00C31D50"/>
    <w:rsid w:val="00C5587C"/>
    <w:rsid w:val="00C969A6"/>
    <w:rsid w:val="00CA4712"/>
    <w:rsid w:val="00CB1C2D"/>
    <w:rsid w:val="00CE4FC6"/>
    <w:rsid w:val="00CE606A"/>
    <w:rsid w:val="00CE690E"/>
    <w:rsid w:val="00CF43B4"/>
    <w:rsid w:val="00D04096"/>
    <w:rsid w:val="00D1395E"/>
    <w:rsid w:val="00D327C5"/>
    <w:rsid w:val="00D44441"/>
    <w:rsid w:val="00D47C05"/>
    <w:rsid w:val="00D51BB8"/>
    <w:rsid w:val="00D525D0"/>
    <w:rsid w:val="00DE5C41"/>
    <w:rsid w:val="00E01B84"/>
    <w:rsid w:val="00E21485"/>
    <w:rsid w:val="00E25741"/>
    <w:rsid w:val="00E35289"/>
    <w:rsid w:val="00E43A05"/>
    <w:rsid w:val="00E50CD7"/>
    <w:rsid w:val="00E51712"/>
    <w:rsid w:val="00E85E0D"/>
    <w:rsid w:val="00ED55D0"/>
    <w:rsid w:val="00FC60A0"/>
    <w:rsid w:val="00FD6627"/>
    <w:rsid w:val="00FE089C"/>
    <w:rsid w:val="00F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3">
    <w:name w:val="Body Text 3"/>
    <w:basedOn w:val="Normln"/>
    <w:semiHidden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682D-AFC5-48BA-BED3-8FC63D3E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beranek426</cp:lastModifiedBy>
  <cp:revision>2</cp:revision>
  <cp:lastPrinted>2011-06-10T07:57:00Z</cp:lastPrinted>
  <dcterms:created xsi:type="dcterms:W3CDTF">2013-12-13T13:17:00Z</dcterms:created>
  <dcterms:modified xsi:type="dcterms:W3CDTF">2013-12-13T13:17:00Z</dcterms:modified>
</cp:coreProperties>
</file>