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1" w:rsidRDefault="00FB46B1">
      <w:pPr>
        <w:jc w:val="both"/>
        <w:rPr>
          <w:rFonts w:ascii="Arial" w:hAnsi="Arial"/>
          <w:szCs w:val="18"/>
        </w:rPr>
      </w:pPr>
      <w:bookmarkStart w:id="0" w:name="_GoBack"/>
      <w:bookmarkEnd w:id="0"/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</w:p>
    <w:p w:rsidR="00FB46B1" w:rsidRDefault="00FB46B1">
      <w:pPr>
        <w:jc w:val="both"/>
        <w:rPr>
          <w:rFonts w:ascii="Arial" w:hAnsi="Arial"/>
          <w:bCs/>
          <w:szCs w:val="28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4837B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meziročně </w:t>
      </w:r>
      <w:r w:rsidR="004837BA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ly v běžných cenách o </w:t>
      </w:r>
      <w:r w:rsidR="004837BA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</w:t>
      </w:r>
      <w:r w:rsidR="004837BA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 na 2 </w:t>
      </w:r>
      <w:r w:rsidR="004837BA">
        <w:rPr>
          <w:rFonts w:ascii="Arial" w:hAnsi="Arial"/>
          <w:szCs w:val="22"/>
        </w:rPr>
        <w:t>470</w:t>
      </w:r>
      <w:r>
        <w:rPr>
          <w:rFonts w:ascii="Arial" w:hAnsi="Arial"/>
          <w:szCs w:val="22"/>
        </w:rPr>
        <w:t>,</w:t>
      </w:r>
      <w:r w:rsidR="004837B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 mld. Kč.  </w:t>
      </w:r>
      <w:r>
        <w:rPr>
          <w:rFonts w:ascii="Arial" w:hAnsi="Arial"/>
          <w:b/>
          <w:bCs/>
          <w:szCs w:val="22"/>
        </w:rPr>
        <w:t>Výkonová spotřeba</w:t>
      </w:r>
      <w:r>
        <w:rPr>
          <w:rFonts w:ascii="Arial" w:hAnsi="Arial"/>
          <w:szCs w:val="22"/>
        </w:rPr>
        <w:t xml:space="preserve"> v 1. pololetí 201</w:t>
      </w:r>
      <w:r w:rsidR="004837B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byla meziročně </w:t>
      </w:r>
      <w:r w:rsidR="004837BA">
        <w:rPr>
          <w:rFonts w:ascii="Arial" w:hAnsi="Arial"/>
          <w:szCs w:val="22"/>
        </w:rPr>
        <w:t>vyšší</w:t>
      </w:r>
      <w:r>
        <w:rPr>
          <w:rFonts w:ascii="Arial" w:hAnsi="Arial"/>
          <w:szCs w:val="22"/>
        </w:rPr>
        <w:t xml:space="preserve"> o </w:t>
      </w:r>
      <w:r w:rsidR="004837BA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4837BA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 a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</w:t>
      </w:r>
      <w:r w:rsidR="004837BA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la o</w:t>
      </w:r>
      <w:r w:rsidR="004837BA">
        <w:rPr>
          <w:rFonts w:ascii="Arial" w:hAnsi="Arial"/>
          <w:szCs w:val="22"/>
        </w:rPr>
        <w:t> 11</w:t>
      </w:r>
      <w:r>
        <w:rPr>
          <w:rFonts w:ascii="Arial" w:hAnsi="Arial"/>
          <w:szCs w:val="22"/>
        </w:rPr>
        <w:t>,</w:t>
      </w:r>
      <w:r w:rsidR="004837BA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%. </w:t>
      </w:r>
      <w:r w:rsidR="008354EC">
        <w:rPr>
          <w:rFonts w:ascii="Arial" w:hAnsi="Arial"/>
          <w:szCs w:val="22"/>
        </w:rPr>
        <w:t>Nejvyšší růst přidané hodnoty byl zaznamenán ve zpracovatelském průmyslu, a to o 16,9 % (z objemově významných odvětví zpracovatelského průmyslu</w:t>
      </w:r>
      <w:r w:rsidR="004F05C2">
        <w:rPr>
          <w:rFonts w:ascii="Arial" w:hAnsi="Arial"/>
          <w:szCs w:val="22"/>
        </w:rPr>
        <w:t xml:space="preserve"> </w:t>
      </w:r>
      <w:r w:rsidR="00975324">
        <w:rPr>
          <w:rFonts w:ascii="Arial" w:hAnsi="Arial"/>
          <w:szCs w:val="22"/>
        </w:rPr>
        <w:t>v</w:t>
      </w:r>
      <w:r w:rsidR="004F05C2">
        <w:rPr>
          <w:rFonts w:ascii="Arial" w:hAnsi="Arial"/>
          <w:szCs w:val="22"/>
        </w:rPr>
        <w:t>e výrobě motorových vozidel, základních kovů a hutním zpracování kovů i výrobě pryžových a plastových výrobků meziroční růst přesáhl 25 %). V těžbě a dobývání se přidaná hodnota zvýšila o 7,2 % a v zásobování vodou a činnostech souvisejících s odpadními vodami, odpady a sanacemi o 6,8 %.</w:t>
      </w:r>
      <w:r w:rsidR="00F6003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</w:t>
      </w:r>
      <w:r w:rsidR="00F60031">
        <w:rPr>
          <w:rFonts w:ascii="Arial" w:hAnsi="Arial"/>
          <w:szCs w:val="22"/>
        </w:rPr>
        <w:t>elký</w:t>
      </w:r>
      <w:r>
        <w:rPr>
          <w:rFonts w:ascii="Arial" w:hAnsi="Arial"/>
          <w:szCs w:val="22"/>
        </w:rPr>
        <w:t xml:space="preserve"> pokles přidané hodnoty byl </w:t>
      </w:r>
      <w:r w:rsidR="001B7EFA">
        <w:rPr>
          <w:rFonts w:ascii="Arial" w:hAnsi="Arial"/>
          <w:szCs w:val="22"/>
        </w:rPr>
        <w:t xml:space="preserve">naopak </w:t>
      </w:r>
      <w:r>
        <w:rPr>
          <w:rFonts w:ascii="Arial" w:hAnsi="Arial"/>
          <w:szCs w:val="22"/>
        </w:rPr>
        <w:t xml:space="preserve">zaznamenán ve výrobě a rozvodu elektřiny, plynu, tepla a klimatizovaného vzduchu  </w:t>
      </w:r>
      <w:r w:rsidR="00DC5979">
        <w:rPr>
          <w:rFonts w:ascii="Arial" w:hAnsi="Arial"/>
          <w:szCs w:val="22"/>
        </w:rPr>
        <w:t>-</w:t>
      </w:r>
      <w:r w:rsidR="001B7EFA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meziročně o</w:t>
      </w:r>
      <w:r w:rsidR="00DC5979">
        <w:rPr>
          <w:rFonts w:ascii="Arial" w:hAnsi="Arial"/>
          <w:szCs w:val="22"/>
        </w:rPr>
        <w:t> 10</w:t>
      </w:r>
      <w:r>
        <w:rPr>
          <w:rFonts w:ascii="Arial" w:hAnsi="Arial"/>
          <w:szCs w:val="22"/>
        </w:rPr>
        <w:t>,</w:t>
      </w:r>
      <w:r w:rsidR="00DC5979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 (v</w:t>
      </w:r>
      <w:r w:rsidR="00DC5979">
        <w:rPr>
          <w:rFonts w:ascii="Arial" w:hAnsi="Arial"/>
          <w:szCs w:val="22"/>
        </w:rPr>
        <w:t>liv poklesu cen energií, nižší poptávky v důsledku teplejší zimy i jara</w:t>
      </w:r>
      <w:r w:rsidR="001B7EFA">
        <w:rPr>
          <w:rFonts w:ascii="Arial" w:hAnsi="Arial"/>
          <w:szCs w:val="22"/>
        </w:rPr>
        <w:t>; do porovnatelného období přetrvávající dopad</w:t>
      </w:r>
      <w:r w:rsidR="002665F8">
        <w:rPr>
          <w:rStyle w:val="Zvraznn"/>
          <w:rFonts w:ascii="Arial" w:hAnsi="Arial"/>
          <w:i w:val="0"/>
          <w:iCs w:val="0"/>
          <w:szCs w:val="22"/>
        </w:rPr>
        <w:t xml:space="preserve"> </w:t>
      </w:r>
      <w:r w:rsidR="00A561AB">
        <w:rPr>
          <w:rStyle w:val="Zvraznn"/>
          <w:rFonts w:ascii="Arial" w:hAnsi="Arial"/>
          <w:i w:val="0"/>
          <w:iCs w:val="0"/>
          <w:szCs w:val="22"/>
        </w:rPr>
        <w:t>korekčních faktorů pro vyrovnání nákladů na obnovitelné zdroje energie</w:t>
      </w:r>
      <w:r>
        <w:rPr>
          <w:rFonts w:ascii="Arial" w:hAnsi="Arial"/>
          <w:szCs w:val="22"/>
        </w:rPr>
        <w:t>). Vzhledem k</w:t>
      </w:r>
      <w:r w:rsidR="001B7EFA">
        <w:rPr>
          <w:rFonts w:ascii="Arial" w:hAnsi="Arial"/>
          <w:szCs w:val="22"/>
        </w:rPr>
        <w:t> vyššímu růstu</w:t>
      </w:r>
      <w:r>
        <w:rPr>
          <w:rFonts w:ascii="Arial" w:hAnsi="Arial"/>
          <w:szCs w:val="22"/>
        </w:rPr>
        <w:t xml:space="preserve"> přidané hodnoty než výkonů v průmyslu celkem se podíl přidané hodnoty na výkonech zvýšil, a to o 0,</w:t>
      </w:r>
      <w:r w:rsidR="001B7EFA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 bodu na 2</w:t>
      </w:r>
      <w:r w:rsidR="001B7EFA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,7 % v 1. pololetí 201</w:t>
      </w:r>
      <w:r w:rsidR="001B7EF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. 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Výkonová spotřeba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A9247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A9247B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3E2220">
              <w:rPr>
                <w:rFonts w:ascii="Arial" w:hAnsi="Arial"/>
                <w:szCs w:val="24"/>
              </w:rPr>
              <w:t>235</w:t>
            </w:r>
            <w:r>
              <w:rPr>
                <w:rFonts w:ascii="Arial" w:hAnsi="Arial"/>
                <w:szCs w:val="24"/>
              </w:rPr>
              <w:t>,</w:t>
            </w:r>
            <w:r w:rsidR="003E222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943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3E2220">
              <w:rPr>
                <w:rFonts w:ascii="Arial" w:hAnsi="Arial"/>
              </w:rPr>
              <w:t>91</w:t>
            </w:r>
            <w:r>
              <w:rPr>
                <w:rFonts w:ascii="Arial" w:hAnsi="Arial"/>
              </w:rPr>
              <w:t>,</w:t>
            </w:r>
            <w:r w:rsidR="003E2220">
              <w:rPr>
                <w:rFonts w:ascii="Arial" w:hAnsi="Arial"/>
              </w:rPr>
              <w:t>4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A9247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A9247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A9247B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105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114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A9247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A9247B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3E2220">
              <w:rPr>
                <w:rFonts w:ascii="Arial" w:hAnsi="Arial"/>
              </w:rPr>
              <w:t>235</w:t>
            </w:r>
            <w:r>
              <w:rPr>
                <w:rFonts w:ascii="Arial" w:hAnsi="Arial"/>
              </w:rPr>
              <w:t>,</w:t>
            </w:r>
            <w:r w:rsidR="003E2220">
              <w:rPr>
                <w:rFonts w:ascii="Arial" w:hAnsi="Arial"/>
              </w:rPr>
              <w:t>1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941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3E2220">
              <w:rPr>
                <w:rFonts w:ascii="Arial" w:hAnsi="Arial"/>
              </w:rPr>
              <w:t>93</w:t>
            </w:r>
            <w:r>
              <w:rPr>
                <w:rFonts w:ascii="Arial" w:hAnsi="Arial"/>
              </w:rPr>
              <w:t>,</w:t>
            </w:r>
            <w:r w:rsidR="003E2220">
              <w:rPr>
                <w:rFonts w:ascii="Arial" w:hAnsi="Arial"/>
              </w:rPr>
              <w:t>4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A9247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A9247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A9247B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3E2220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,6</w:t>
            </w:r>
          </w:p>
        </w:tc>
      </w:tr>
      <w:tr w:rsidR="00FB46B1" w:rsidRP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A9247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A9247B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2 </w:t>
            </w:r>
            <w:r w:rsidR="003E2220">
              <w:rPr>
                <w:rFonts w:ascii="Arial" w:hAnsi="Arial"/>
              </w:rPr>
              <w:t>470</w:t>
            </w:r>
            <w:r>
              <w:rPr>
                <w:rFonts w:ascii="Arial" w:hAnsi="Arial"/>
              </w:rPr>
              <w:t>,</w:t>
            </w:r>
            <w:r w:rsidR="003E2220">
              <w:rPr>
                <w:rFonts w:ascii="Arial" w:hAnsi="Arial"/>
              </w:rPr>
              <w:t>4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3E2220">
              <w:rPr>
                <w:rFonts w:ascii="Arial" w:hAnsi="Arial"/>
              </w:rPr>
              <w:t>885</w:t>
            </w:r>
            <w:r>
              <w:rPr>
                <w:rFonts w:ascii="Arial" w:hAnsi="Arial"/>
              </w:rPr>
              <w:t>,</w:t>
            </w:r>
            <w:r w:rsidR="003E2220">
              <w:rPr>
                <w:rFonts w:ascii="Arial" w:hAnsi="Arial"/>
              </w:rPr>
              <w:t>6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5</w:t>
            </w:r>
            <w:r w:rsidR="003E2220">
              <w:rPr>
                <w:rFonts w:ascii="Arial" w:hAnsi="Arial"/>
              </w:rPr>
              <w:t>84</w:t>
            </w:r>
            <w:r>
              <w:rPr>
                <w:rFonts w:ascii="Arial" w:hAnsi="Arial"/>
              </w:rPr>
              <w:t>,</w:t>
            </w:r>
            <w:r w:rsidR="003E2220">
              <w:rPr>
                <w:rFonts w:ascii="Arial" w:hAnsi="Arial"/>
              </w:rPr>
              <w:t>8</w:t>
            </w:r>
          </w:p>
        </w:tc>
      </w:tr>
      <w:tr w:rsidR="00FB46B1" w:rsidRP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</w:tcPr>
          <w:p w:rsidR="00FB46B1" w:rsidRDefault="00FB46B1" w:rsidP="00A9247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A9247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A9247B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3E2220" w:rsidP="003E222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 xml:space="preserve">dosáhly v průmyslu celkem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E96A56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hodnoty 2</w:t>
      </w:r>
      <w:r w:rsidR="00E96A56">
        <w:rPr>
          <w:rFonts w:ascii="Arial" w:hAnsi="Arial"/>
          <w:szCs w:val="22"/>
        </w:rPr>
        <w:t> 668</w:t>
      </w:r>
      <w:r>
        <w:rPr>
          <w:rFonts w:ascii="Arial" w:hAnsi="Arial"/>
          <w:szCs w:val="22"/>
        </w:rPr>
        <w:t>,</w:t>
      </w:r>
      <w:r w:rsidR="00E96A56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 xml:space="preserve"> mld. Kč. Meziročně tak </w:t>
      </w:r>
      <w:r w:rsidR="00E96A56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ly v běžných cenách o </w:t>
      </w:r>
      <w:r w:rsidR="00E96A56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E96A56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 %. Přitom k jejich největšímu </w:t>
      </w:r>
      <w:r w:rsidR="00E96A56">
        <w:rPr>
          <w:rFonts w:ascii="Arial" w:hAnsi="Arial"/>
          <w:szCs w:val="22"/>
        </w:rPr>
        <w:t>růstu</w:t>
      </w:r>
      <w:r>
        <w:rPr>
          <w:rFonts w:ascii="Arial" w:hAnsi="Arial"/>
          <w:szCs w:val="22"/>
        </w:rPr>
        <w:t xml:space="preserve"> došlo </w:t>
      </w:r>
      <w:r w:rsidR="00E96A56">
        <w:rPr>
          <w:rFonts w:ascii="Arial" w:hAnsi="Arial"/>
          <w:szCs w:val="22"/>
        </w:rPr>
        <w:t>ve zpracovatelském průmyslu (o 12,4 %)</w:t>
      </w:r>
      <w:r>
        <w:rPr>
          <w:rFonts w:ascii="Arial" w:hAnsi="Arial"/>
          <w:szCs w:val="22"/>
        </w:rPr>
        <w:t xml:space="preserve">; v zásobování vodou a činnostech souvisejících s odpadními vodami, odpady a sanacemi </w:t>
      </w:r>
      <w:r w:rsidR="00A51DA3">
        <w:rPr>
          <w:rFonts w:ascii="Arial" w:hAnsi="Arial"/>
          <w:szCs w:val="22"/>
        </w:rPr>
        <w:t>se zvýšily</w:t>
      </w:r>
      <w:r>
        <w:rPr>
          <w:rFonts w:ascii="Arial" w:hAnsi="Arial"/>
          <w:szCs w:val="22"/>
        </w:rPr>
        <w:t xml:space="preserve"> o 6,</w:t>
      </w:r>
      <w:r w:rsidR="00A51DA3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</w:t>
      </w:r>
      <w:r w:rsidR="00A51DA3">
        <w:rPr>
          <w:rFonts w:ascii="Arial" w:hAnsi="Arial"/>
          <w:szCs w:val="22"/>
        </w:rPr>
        <w:t>. Pokles tržeb byl naopak zaznamenán</w:t>
      </w:r>
      <w:r>
        <w:rPr>
          <w:rFonts w:ascii="Arial" w:hAnsi="Arial"/>
          <w:szCs w:val="22"/>
        </w:rPr>
        <w:t xml:space="preserve"> ve výrobě a rozvodu elektřiny, plynu, tepla a klimatizovaného vzduchu </w:t>
      </w:r>
      <w:r w:rsidR="00A51DA3">
        <w:rPr>
          <w:rFonts w:ascii="Arial" w:hAnsi="Arial"/>
          <w:szCs w:val="22"/>
        </w:rPr>
        <w:t>(</w:t>
      </w:r>
      <w:r>
        <w:rPr>
          <w:rFonts w:ascii="Arial" w:hAnsi="Arial"/>
          <w:szCs w:val="22"/>
        </w:rPr>
        <w:t>o </w:t>
      </w:r>
      <w:r w:rsidR="00A51DA3">
        <w:rPr>
          <w:rFonts w:ascii="Arial" w:hAnsi="Arial"/>
          <w:szCs w:val="22"/>
        </w:rPr>
        <w:t>10</w:t>
      </w:r>
      <w:r>
        <w:rPr>
          <w:rFonts w:ascii="Arial" w:hAnsi="Arial"/>
          <w:szCs w:val="22"/>
        </w:rPr>
        <w:t>,</w:t>
      </w:r>
      <w:r w:rsidR="00A51DA3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 %</w:t>
      </w:r>
      <w:r w:rsidR="00A51DA3">
        <w:rPr>
          <w:rFonts w:ascii="Arial" w:hAnsi="Arial"/>
          <w:szCs w:val="22"/>
        </w:rPr>
        <w:t>) i v těžbě a dobývání (o 7,1 %)</w:t>
      </w:r>
      <w:r>
        <w:rPr>
          <w:rFonts w:ascii="Arial" w:hAnsi="Arial"/>
          <w:szCs w:val="22"/>
        </w:rPr>
        <w:t>.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Rozhodující váhu v průmyslu si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1. pololetí 201</w:t>
      </w:r>
      <w:r w:rsidR="00433DBE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podílely na celkových tržbách za prodej vlastních </w:t>
      </w:r>
      <w:r>
        <w:rPr>
          <w:rFonts w:ascii="Arial" w:hAnsi="Arial"/>
          <w:szCs w:val="22"/>
        </w:rPr>
        <w:lastRenderedPageBreak/>
        <w:t>výrobků a služeb  6</w:t>
      </w:r>
      <w:r w:rsidR="00433DBE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433DBE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%, na celkových výkonech v průmyslu 6</w:t>
      </w:r>
      <w:r w:rsidR="00433DBE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433DBE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%; podíl na přidané hodnotě činil 6</w:t>
      </w:r>
      <w:r w:rsidR="00433DBE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,3 %.</w:t>
      </w:r>
    </w:p>
    <w:p w:rsidR="00FB46B1" w:rsidRDefault="00FB46B1">
      <w:pPr>
        <w:pStyle w:val="Nadpis2"/>
      </w:pPr>
    </w:p>
    <w:p w:rsidR="00FB46B1" w:rsidRDefault="00FB46B1">
      <w:pPr>
        <w:pStyle w:val="Nadpis2"/>
      </w:pPr>
      <w:r>
        <w:t xml:space="preserve">Ukazatele finančního hospodaření </w:t>
      </w:r>
    </w:p>
    <w:p w:rsidR="00FB46B1" w:rsidRDefault="00FB46B1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FB46B1" w:rsidRDefault="00FB46B1">
      <w:pPr>
        <w:jc w:val="both"/>
        <w:rPr>
          <w:rFonts w:ascii="Arial CE obyèejné" w:hAnsi="Arial CE obyèejné"/>
          <w:szCs w:val="22"/>
        </w:rPr>
      </w:pP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900"/>
        <w:gridCol w:w="1701"/>
        <w:gridCol w:w="1559"/>
        <w:gridCol w:w="1560"/>
        <w:gridCol w:w="1559"/>
      </w:tblGrid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za prodej vlast. výrobků a služeb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Výkonová spotřeba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433DB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33DBE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433DBE">
              <w:rPr>
                <w:rFonts w:ascii="Arial" w:hAnsi="Arial"/>
              </w:rPr>
              <w:t>91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817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639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433DBE">
              <w:rPr>
                <w:rFonts w:ascii="Arial" w:hAnsi="Arial"/>
              </w:rPr>
              <w:t>78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3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433DB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33DB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33DBE"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114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433DB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33DBE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433DBE">
              <w:rPr>
                <w:rFonts w:ascii="Arial" w:hAnsi="Arial"/>
              </w:rPr>
              <w:t>99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821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641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433DBE">
              <w:rPr>
                <w:rFonts w:ascii="Arial" w:hAnsi="Arial"/>
              </w:rPr>
              <w:t>80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4</w:t>
            </w:r>
          </w:p>
        </w:tc>
      </w:tr>
      <w:tr w:rsid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433DB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33DB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33DBE"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111,0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FB46B1">
              <w:rPr>
                <w:rFonts w:ascii="Arial" w:hAnsi="Arial"/>
              </w:rPr>
              <w:t>,3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,9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433DBE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0</w:t>
            </w:r>
          </w:p>
        </w:tc>
      </w:tr>
      <w:tr w:rsidR="00FB46B1" w:rsidRP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433DB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33DBE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433DBE">
              <w:rPr>
                <w:rFonts w:ascii="Arial" w:hAnsi="Arial"/>
              </w:rPr>
              <w:t>591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433DBE">
              <w:rPr>
                <w:rFonts w:ascii="Arial" w:hAnsi="Arial"/>
              </w:rPr>
              <w:t>639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433DBE">
              <w:rPr>
                <w:rFonts w:ascii="Arial" w:hAnsi="Arial"/>
              </w:rPr>
              <w:t>280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433DBE">
              <w:rPr>
                <w:rFonts w:ascii="Arial" w:hAnsi="Arial"/>
              </w:rPr>
              <w:t>58</w:t>
            </w:r>
            <w:r>
              <w:rPr>
                <w:rFonts w:ascii="Arial" w:hAnsi="Arial"/>
              </w:rPr>
              <w:t>,</w:t>
            </w:r>
            <w:r w:rsidR="00433DBE">
              <w:rPr>
                <w:rFonts w:ascii="Arial" w:hAnsi="Arial"/>
              </w:rPr>
              <w:t>7</w:t>
            </w:r>
          </w:p>
        </w:tc>
      </w:tr>
      <w:tr w:rsidR="00FB46B1" w:rsidRPr="00FB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 w:rsidP="00433DB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33DB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33DBE"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433DBE" w:rsidP="00433DB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114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sectPr w:rsidR="00FB46B1">
      <w:footerReference w:type="even" r:id="rId7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B8" w:rsidRDefault="000D5EB8">
      <w:r>
        <w:separator/>
      </w:r>
    </w:p>
  </w:endnote>
  <w:endnote w:type="continuationSeparator" w:id="0">
    <w:p w:rsidR="000D5EB8" w:rsidRDefault="000D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B1" w:rsidRDefault="00FB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46B1" w:rsidRDefault="00FB4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B8" w:rsidRDefault="000D5EB8">
      <w:r>
        <w:separator/>
      </w:r>
    </w:p>
  </w:footnote>
  <w:footnote w:type="continuationSeparator" w:id="0">
    <w:p w:rsidR="000D5EB8" w:rsidRDefault="000D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BA"/>
    <w:rsid w:val="00085586"/>
    <w:rsid w:val="000D5EB8"/>
    <w:rsid w:val="001B7EFA"/>
    <w:rsid w:val="002665F8"/>
    <w:rsid w:val="002800B2"/>
    <w:rsid w:val="003E2220"/>
    <w:rsid w:val="00433DBE"/>
    <w:rsid w:val="004837BA"/>
    <w:rsid w:val="004F05C2"/>
    <w:rsid w:val="00573477"/>
    <w:rsid w:val="005F0FB2"/>
    <w:rsid w:val="0067564C"/>
    <w:rsid w:val="007E3AC8"/>
    <w:rsid w:val="008354EC"/>
    <w:rsid w:val="00975324"/>
    <w:rsid w:val="00A51DA3"/>
    <w:rsid w:val="00A561AB"/>
    <w:rsid w:val="00A9247B"/>
    <w:rsid w:val="00DB17F3"/>
    <w:rsid w:val="00DC5979"/>
    <w:rsid w:val="00DC7B0E"/>
    <w:rsid w:val="00E96A56"/>
    <w:rsid w:val="00ED75F4"/>
    <w:rsid w:val="00F34AD8"/>
    <w:rsid w:val="00F60031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66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1E53-6A7F-4704-9B31-FF1C3EA7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2</cp:revision>
  <cp:lastPrinted>2007-10-15T11:59:00Z</cp:lastPrinted>
  <dcterms:created xsi:type="dcterms:W3CDTF">2014-09-30T13:57:00Z</dcterms:created>
  <dcterms:modified xsi:type="dcterms:W3CDTF">2014-09-30T13:57:00Z</dcterms:modified>
</cp:coreProperties>
</file>