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  <w:bookmarkStart w:id="0" w:name="_GoBack"/>
      <w:bookmarkEnd w:id="0"/>
    </w:p>
    <w:p w:rsidR="00034CC9" w:rsidRPr="00A81EB3" w:rsidRDefault="00A120AF" w:rsidP="00034CC9">
      <w:pPr>
        <w:pStyle w:val="datum0"/>
      </w:pPr>
      <w:r>
        <w:t>7</w:t>
      </w:r>
      <w:r w:rsidR="006A63C5">
        <w:t xml:space="preserve">. </w:t>
      </w:r>
      <w:r>
        <w:t>4</w:t>
      </w:r>
      <w:r w:rsidR="00034CC9">
        <w:t>.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A120AF">
        <w:t>únor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A120AF">
        <w:rPr>
          <w:rFonts w:cs="Arial"/>
          <w:b/>
          <w:szCs w:val="18"/>
        </w:rPr>
        <w:t>únoru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 přebytkem</w:t>
      </w:r>
      <w:r w:rsidRPr="00017FCB">
        <w:rPr>
          <w:rFonts w:cs="Arial"/>
          <w:b/>
          <w:szCs w:val="18"/>
        </w:rPr>
        <w:t xml:space="preserve"> </w:t>
      </w:r>
      <w:r w:rsidR="003035B9">
        <w:rPr>
          <w:rFonts w:cs="Arial"/>
          <w:b/>
          <w:szCs w:val="18"/>
        </w:rPr>
        <w:t>13,6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což představovalo meziroční </w:t>
      </w:r>
      <w:r w:rsidR="003035B9">
        <w:rPr>
          <w:rFonts w:cs="Arial"/>
          <w:b/>
          <w:szCs w:val="18"/>
        </w:rPr>
        <w:t>pokles</w:t>
      </w:r>
      <w:r>
        <w:rPr>
          <w:rFonts w:cs="Arial"/>
          <w:b/>
          <w:szCs w:val="18"/>
        </w:rPr>
        <w:t xml:space="preserve"> o </w:t>
      </w:r>
      <w:r w:rsidR="003035B9">
        <w:rPr>
          <w:rFonts w:cs="Arial"/>
          <w:b/>
          <w:szCs w:val="18"/>
        </w:rPr>
        <w:t>2,8</w:t>
      </w:r>
      <w:r>
        <w:rPr>
          <w:rFonts w:cs="Arial"/>
          <w:b/>
          <w:szCs w:val="18"/>
        </w:rPr>
        <w:t xml:space="preserve"> mld. Kč. </w:t>
      </w:r>
    </w:p>
    <w:p w:rsidR="00EB0FFB" w:rsidRDefault="00EB0FFB" w:rsidP="00034CC9">
      <w:pPr>
        <w:spacing w:after="240"/>
      </w:pPr>
      <w:r>
        <w:t>C</w:t>
      </w:r>
      <w:r w:rsidR="00034CC9" w:rsidRPr="007D6FD5">
        <w:t>elkovou bilanci v národním pojetí</w:t>
      </w:r>
      <w:r>
        <w:t xml:space="preserve"> negativně ovlivnilo </w:t>
      </w:r>
      <w:r w:rsidR="00034CC9" w:rsidRPr="007D6FD5">
        <w:t xml:space="preserve">meziroční </w:t>
      </w:r>
      <w:r>
        <w:t>navýšení</w:t>
      </w:r>
      <w:r w:rsidR="00034CC9">
        <w:t xml:space="preserve"> </w:t>
      </w:r>
      <w:r>
        <w:t>schodku</w:t>
      </w:r>
      <w:r w:rsidR="007823FD">
        <w:t xml:space="preserve"> </w:t>
      </w:r>
      <w:r>
        <w:t xml:space="preserve">minerálních paliv </w:t>
      </w:r>
      <w:r w:rsidR="00034CC9" w:rsidRPr="007D6FD5">
        <w:t>(o </w:t>
      </w:r>
      <w:r>
        <w:t>3</w:t>
      </w:r>
      <w:r w:rsidR="00C11525">
        <w:t>,</w:t>
      </w:r>
      <w:r w:rsidR="00F36B9D">
        <w:t>0</w:t>
      </w:r>
      <w:r w:rsidR="00034CC9" w:rsidRPr="007D6FD5">
        <w:t> mld. Kč)</w:t>
      </w:r>
      <w:r>
        <w:t xml:space="preserve"> a chemických výrobků (o 1,7 mld. Kč) a sn</w:t>
      </w:r>
      <w:r w:rsidR="0079304F">
        <w:t>ížení kladného salda u strojů a </w:t>
      </w:r>
      <w:r>
        <w:t>dopravních prostředků (o 0,6 mld. Kč). Příznivý vliv na celkovou</w:t>
      </w:r>
      <w:r w:rsidR="0079304F">
        <w:t xml:space="preserve"> bilanci měl přírůstek aktiva u </w:t>
      </w:r>
      <w:r>
        <w:t>polotovarů a materiálů (o 1,0 mld. Kč).</w:t>
      </w:r>
    </w:p>
    <w:p w:rsidR="00034CC9" w:rsidRDefault="00034CC9" w:rsidP="00034CC9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E66F9C">
        <w:rPr>
          <w:rFonts w:cs="Arial"/>
          <w:szCs w:val="18"/>
        </w:rPr>
        <w:t>50,3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</w:t>
      </w:r>
      <w:r w:rsidR="00D477FD">
        <w:rPr>
          <w:rFonts w:cs="Arial"/>
          <w:szCs w:val="18"/>
        </w:rPr>
        <w:t>byla</w:t>
      </w:r>
      <w:r>
        <w:rPr>
          <w:rFonts w:cs="Arial"/>
          <w:szCs w:val="18"/>
        </w:rPr>
        <w:t xml:space="preserve"> tak meziročně o</w:t>
      </w:r>
      <w:r w:rsidR="008475ED">
        <w:rPr>
          <w:rFonts w:cs="Arial"/>
          <w:szCs w:val="18"/>
        </w:rPr>
        <w:t xml:space="preserve"> </w:t>
      </w:r>
      <w:r w:rsidR="00E66F9C">
        <w:rPr>
          <w:rFonts w:cs="Arial"/>
          <w:szCs w:val="18"/>
        </w:rPr>
        <w:t>8,5</w:t>
      </w:r>
      <w:r w:rsidR="008475E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 Kč</w:t>
      </w:r>
      <w:r w:rsidR="00D477FD">
        <w:rPr>
          <w:rFonts w:cs="Arial"/>
          <w:szCs w:val="18"/>
        </w:rPr>
        <w:t xml:space="preserve"> vyšší.</w:t>
      </w:r>
      <w:r>
        <w:rPr>
          <w:rFonts w:cs="Arial"/>
          <w:szCs w:val="18"/>
        </w:rPr>
        <w:t xml:space="preserve"> Schodek obchodu se státy mimo EU se </w:t>
      </w:r>
      <w:r w:rsidR="004C637D">
        <w:rPr>
          <w:rFonts w:cs="Arial"/>
          <w:szCs w:val="18"/>
        </w:rPr>
        <w:t>prohloubil</w:t>
      </w:r>
      <w:r w:rsidR="00554469">
        <w:rPr>
          <w:rFonts w:cs="Arial"/>
          <w:szCs w:val="18"/>
        </w:rPr>
        <w:t xml:space="preserve"> o </w:t>
      </w:r>
      <w:r w:rsidR="00E66F9C">
        <w:rPr>
          <w:rFonts w:cs="Arial"/>
          <w:szCs w:val="18"/>
        </w:rPr>
        <w:t>11,3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E66F9C">
        <w:rPr>
          <w:rFonts w:cs="Arial"/>
          <w:szCs w:val="18"/>
        </w:rPr>
        <w:t>3</w:t>
      </w:r>
      <w:r w:rsidR="00852D0E">
        <w:rPr>
          <w:rFonts w:cs="Arial"/>
          <w:szCs w:val="18"/>
        </w:rPr>
        <w:t>5</w:t>
      </w:r>
      <w:r w:rsidR="00E66F9C">
        <w:rPr>
          <w:rFonts w:cs="Arial"/>
          <w:szCs w:val="18"/>
        </w:rPr>
        <w:t>,4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034CC9" w:rsidRDefault="00034CC9" w:rsidP="00034CC9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A05AF0">
        <w:rPr>
          <w:rFonts w:cs="Arial"/>
          <w:szCs w:val="18"/>
        </w:rPr>
        <w:t>únoru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A05AF0">
        <w:rPr>
          <w:rFonts w:cs="Arial"/>
          <w:szCs w:val="18"/>
        </w:rPr>
        <w:t>15,3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A05AF0">
        <w:rPr>
          <w:rFonts w:cs="Arial"/>
          <w:szCs w:val="18"/>
        </w:rPr>
        <w:t>252,5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 w:rsidR="00A852DD">
        <w:rPr>
          <w:rFonts w:cs="Arial"/>
          <w:szCs w:val="18"/>
        </w:rPr>
        <w:t>o</w:t>
      </w:r>
      <w:r w:rsidR="00554469">
        <w:rPr>
          <w:rFonts w:cs="Arial"/>
          <w:szCs w:val="18"/>
        </w:rPr>
        <w:t> </w:t>
      </w:r>
      <w:r w:rsidR="00A05AF0">
        <w:rPr>
          <w:rFonts w:cs="Arial"/>
          <w:szCs w:val="18"/>
        </w:rPr>
        <w:t>17,9</w:t>
      </w:r>
      <w:r w:rsidR="00A852DD">
        <w:rPr>
          <w:rFonts w:cs="Arial"/>
          <w:szCs w:val="18"/>
        </w:rPr>
        <w:t xml:space="preserve"> % (na</w:t>
      </w:r>
      <w:r w:rsidR="00810DD0">
        <w:rPr>
          <w:rFonts w:cs="Arial"/>
          <w:szCs w:val="18"/>
        </w:rPr>
        <w:t xml:space="preserve"> </w:t>
      </w:r>
      <w:r w:rsidR="00A852DD">
        <w:rPr>
          <w:rFonts w:cs="Arial"/>
          <w:szCs w:val="18"/>
        </w:rPr>
        <w:t>238,</w:t>
      </w:r>
      <w:r w:rsidR="00A05AF0">
        <w:rPr>
          <w:rFonts w:cs="Arial"/>
          <w:szCs w:val="18"/>
        </w:rPr>
        <w:t>9</w:t>
      </w:r>
      <w:r>
        <w:rPr>
          <w:rFonts w:cs="Arial"/>
          <w:szCs w:val="18"/>
        </w:rPr>
        <w:t xml:space="preserve"> mld. Kč</w:t>
      </w:r>
      <w:r w:rsidR="00A852DD">
        <w:rPr>
          <w:rFonts w:cs="Arial"/>
          <w:szCs w:val="18"/>
        </w:rPr>
        <w:t>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6618D1">
        <w:rPr>
          <w:rFonts w:cs="Arial"/>
          <w:b/>
          <w:szCs w:val="18"/>
        </w:rPr>
        <w:t>únoru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66003">
        <w:rPr>
          <w:rFonts w:cs="Arial"/>
          <w:szCs w:val="18"/>
        </w:rPr>
        <w:t>27,7</w:t>
      </w:r>
      <w:r w:rsidRPr="009C16B8">
        <w:rPr>
          <w:rFonts w:cs="Arial"/>
          <w:szCs w:val="18"/>
        </w:rPr>
        <w:t xml:space="preserve"> mld. Kč, což představovalo meziroční zvýšení o </w:t>
      </w:r>
      <w:r w:rsidR="00166003">
        <w:rPr>
          <w:rFonts w:cs="Arial"/>
          <w:szCs w:val="18"/>
        </w:rPr>
        <w:t>8,6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66003">
        <w:rPr>
          <w:rFonts w:cs="Arial"/>
          <w:szCs w:val="18"/>
        </w:rPr>
        <w:t>16,1</w:t>
      </w:r>
      <w:r>
        <w:rPr>
          <w:rFonts w:cs="Arial"/>
          <w:szCs w:val="18"/>
        </w:rPr>
        <w:t> % a dovoz o </w:t>
      </w:r>
      <w:r w:rsidR="00166003">
        <w:rPr>
          <w:rFonts w:cs="Arial"/>
          <w:szCs w:val="18"/>
        </w:rPr>
        <w:t>14,8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Předběžné údaje jsou založeny na přeshra-ničním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1A1E7F">
        <w:rPr>
          <w:b/>
        </w:rPr>
        <w:t>únoru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315267">
        <w:rPr>
          <w:b/>
        </w:rPr>
        <w:t>16,1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315267">
        <w:rPr>
          <w:b/>
        </w:rPr>
        <w:t>17,4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po sezónním očištění </w:t>
      </w:r>
      <w:r>
        <w:rPr>
          <w:rFonts w:cs="Arial"/>
          <w:szCs w:val="18"/>
        </w:rPr>
        <w:t xml:space="preserve">se </w:t>
      </w:r>
      <w:r w:rsidRPr="00AE2E20">
        <w:rPr>
          <w:rFonts w:cs="Arial"/>
          <w:szCs w:val="18"/>
        </w:rPr>
        <w:t>vývoz</w:t>
      </w:r>
      <w:r w:rsidR="001A1E7F">
        <w:rPr>
          <w:rFonts w:cs="Arial"/>
          <w:szCs w:val="18"/>
        </w:rPr>
        <w:t xml:space="preserve"> snížil </w:t>
      </w:r>
      <w:r w:rsidRPr="00AE2E20">
        <w:rPr>
          <w:rFonts w:cs="Arial"/>
          <w:szCs w:val="18"/>
        </w:rPr>
        <w:t>o </w:t>
      </w:r>
      <w:r w:rsidR="001A1E7F">
        <w:rPr>
          <w:rFonts w:cs="Arial"/>
          <w:szCs w:val="18"/>
        </w:rPr>
        <w:t>0</w:t>
      </w:r>
      <w:r w:rsidR="003037C7">
        <w:rPr>
          <w:rFonts w:cs="Arial"/>
          <w:szCs w:val="18"/>
        </w:rPr>
        <w:t>,6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%, zatímco dovoz </w:t>
      </w:r>
      <w:r w:rsidR="001A1E7F">
        <w:rPr>
          <w:rFonts w:cs="Arial"/>
          <w:szCs w:val="18"/>
        </w:rPr>
        <w:t>vzrostl</w:t>
      </w:r>
      <w:r>
        <w:rPr>
          <w:rFonts w:cs="Arial"/>
          <w:szCs w:val="18"/>
        </w:rPr>
        <w:t xml:space="preserve"> o </w:t>
      </w:r>
      <w:r w:rsidR="001A1E7F">
        <w:rPr>
          <w:rFonts w:cs="Arial"/>
          <w:szCs w:val="18"/>
        </w:rPr>
        <w:t>2,0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na </w:t>
      </w:r>
      <w:r w:rsidR="003037C7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0,3</w:t>
      </w:r>
      <w:r w:rsidR="003037C7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>a  dovozu o </w:t>
      </w:r>
      <w:r w:rsidR="001A1E7F">
        <w:rPr>
          <w:rFonts w:cs="Arial"/>
          <w:szCs w:val="18"/>
        </w:rPr>
        <w:t>0,8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E04159">
        <w:rPr>
          <w:rFonts w:cs="Arial"/>
          <w:szCs w:val="18"/>
        </w:rPr>
        <w:t>7,8</w:t>
      </w:r>
      <w:r>
        <w:rPr>
          <w:rFonts w:cs="Arial"/>
          <w:szCs w:val="18"/>
        </w:rPr>
        <w:t xml:space="preserve"> % a </w:t>
      </w:r>
      <w:r w:rsidR="00E04159">
        <w:rPr>
          <w:rFonts w:cs="Arial"/>
          <w:szCs w:val="18"/>
        </w:rPr>
        <w:t>9,0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E04159">
        <w:rPr>
          <w:rFonts w:cs="Arial"/>
          <w:szCs w:val="18"/>
        </w:rPr>
        <w:t>10,2</w:t>
      </w:r>
      <w:r>
        <w:rPr>
          <w:rFonts w:cs="Arial"/>
          <w:szCs w:val="18"/>
        </w:rPr>
        <w:t xml:space="preserve"> % a </w:t>
      </w:r>
      <w:r w:rsidR="00E04159">
        <w:rPr>
          <w:rFonts w:cs="Arial"/>
          <w:szCs w:val="18"/>
        </w:rPr>
        <w:t>11,5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6C2C8E">
        <w:t>283,1</w:t>
      </w:r>
      <w:r w:rsidRPr="0035641C">
        <w:t xml:space="preserve"> mld. Kč a dovoz (zboží vstupující na území ČR) hodnoty </w:t>
      </w:r>
      <w:r w:rsidR="006C2C8E">
        <w:t>249,1</w:t>
      </w:r>
      <w:r w:rsidRPr="0035641C">
        <w:t xml:space="preserve"> mld. Kč. </w:t>
      </w:r>
    </w:p>
    <w:p w:rsidR="004A47E7" w:rsidRDefault="004A47E7" w:rsidP="00444EB1"/>
    <w:p w:rsidR="00DE1416" w:rsidRDefault="00444EB1" w:rsidP="00444EB1">
      <w:r w:rsidRPr="008568C6">
        <w:t>Celkový vývoz</w:t>
      </w:r>
      <w:r w:rsidR="003B00CC">
        <w:t xml:space="preserve"> </w:t>
      </w:r>
      <w:r w:rsidRPr="008568C6">
        <w:t xml:space="preserve">strojů a dopravních prostředků meziročně </w:t>
      </w:r>
      <w:r>
        <w:t>vzrostl</w:t>
      </w:r>
      <w:r w:rsidRPr="008568C6">
        <w:t xml:space="preserve"> o </w:t>
      </w:r>
      <w:r w:rsidR="004A47E7">
        <w:t>18,9</w:t>
      </w:r>
      <w:r w:rsidRPr="008568C6">
        <w:t xml:space="preserve"> % (</w:t>
      </w:r>
      <w:r w:rsidR="004A47E7">
        <w:t>24,6</w:t>
      </w:r>
      <w:r w:rsidR="00BC41E8">
        <w:t> mld. </w:t>
      </w:r>
      <w:r w:rsidRPr="008568C6">
        <w:t>Kč</w:t>
      </w:r>
      <w:r w:rsidR="004A47E7">
        <w:t>.</w:t>
      </w:r>
      <w:r w:rsidRPr="008568C6">
        <w:t>)</w:t>
      </w:r>
      <w:r w:rsidR="003B00CC">
        <w:t xml:space="preserve"> </w:t>
      </w:r>
      <w:r w:rsidR="004A47E7">
        <w:t>Zvýšil se především vývoz silničních vozidel (o 12,6 mld. Kč) a ele</w:t>
      </w:r>
      <w:r w:rsidR="0079304F">
        <w:t>ktrických zařízení, přístrojů a </w:t>
      </w:r>
      <w:r w:rsidR="004A47E7">
        <w:t>spotřebičů (o 4,4 mld. Kč). Celkový dovoz strojů a dopravních prostředků byl meziročně vyšší o 25,9 % (22,1 mld. Kč), z čehož nejvyšší přírůstky byly patrné u</w:t>
      </w:r>
      <w:r w:rsidR="0079304F">
        <w:t xml:space="preserve"> silničních vozidel (o 5,6 mld. </w:t>
      </w:r>
      <w:r w:rsidR="004A47E7">
        <w:t xml:space="preserve">Kč), elektrických zařízení, přístrojů a spotřebičů (o 4,5 mld. Kč) a telekomunikačních zařízení (o 3,1 mld. Kč). </w:t>
      </w:r>
      <w:r w:rsidRPr="008568C6">
        <w:t>Dovoz</w:t>
      </w:r>
      <w:r>
        <w:t xml:space="preserve"> minerálních paliv meziročně </w:t>
      </w:r>
      <w:r w:rsidR="004A47E7">
        <w:t xml:space="preserve">vzrostl </w:t>
      </w:r>
      <w:r>
        <w:t xml:space="preserve">o </w:t>
      </w:r>
      <w:r w:rsidR="004A47E7">
        <w:t>11,3</w:t>
      </w:r>
      <w:r w:rsidRPr="00706564">
        <w:t xml:space="preserve"> %</w:t>
      </w:r>
      <w:r>
        <w:t xml:space="preserve"> (</w:t>
      </w:r>
      <w:r w:rsidR="00F66228">
        <w:t>2,</w:t>
      </w:r>
      <w:r w:rsidR="004A47E7">
        <w:t>3</w:t>
      </w:r>
      <w:r w:rsidR="00B72670">
        <w:t xml:space="preserve"> </w:t>
      </w:r>
      <w:r>
        <w:t>mld. Kč).</w:t>
      </w:r>
      <w:r w:rsidR="00DE1416">
        <w:t xml:space="preserve"> Dovoz ropy se zvýšil hodnotově o 2,7 %, zatímco v naturálním vyjádření se </w:t>
      </w:r>
      <w:r w:rsidR="00FD0644">
        <w:t xml:space="preserve">o </w:t>
      </w:r>
      <w:r w:rsidR="00DE1416">
        <w:t>2,8 % snížil. Dovoz zemního plynu vzrostl o 21,6 % hodnotově a o 19,4 % naturálně.</w:t>
      </w:r>
    </w:p>
    <w:p w:rsidR="001C4EFD" w:rsidRDefault="001C4EFD" w:rsidP="00444EB1"/>
    <w:p w:rsidR="00444EB1" w:rsidRDefault="001C4EFD" w:rsidP="001C4EFD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6618D1">
        <w:rPr>
          <w:rFonts w:cs="Arial"/>
          <w:b/>
          <w:szCs w:val="18"/>
        </w:rPr>
        <w:t>únoru</w:t>
      </w:r>
      <w:r w:rsidRPr="00907832">
        <w:rPr>
          <w:rFonts w:cs="Arial"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516A97">
        <w:rPr>
          <w:rFonts w:cs="Arial"/>
          <w:szCs w:val="18"/>
        </w:rPr>
        <w:t>16,7</w:t>
      </w:r>
      <w:r w:rsidRPr="00907832">
        <w:rPr>
          <w:rFonts w:cs="Arial"/>
          <w:szCs w:val="18"/>
        </w:rPr>
        <w:t xml:space="preserve"> % a o </w:t>
      </w:r>
      <w:r w:rsidR="00516A97">
        <w:rPr>
          <w:rFonts w:cs="Arial"/>
          <w:szCs w:val="18"/>
        </w:rPr>
        <w:t>15,7</w:t>
      </w:r>
      <w:r w:rsidRPr="00907832">
        <w:rPr>
          <w:rFonts w:cs="Arial"/>
          <w:szCs w:val="18"/>
        </w:rPr>
        <w:t xml:space="preserve"> %.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300B">
        <w:rPr>
          <w:i/>
        </w:rPr>
        <w:t>96,9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8A776B">
        <w:rPr>
          <w:i/>
        </w:rPr>
        <w:t>97,1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226F2" w:rsidRPr="002C4420" w:rsidRDefault="00D85815" w:rsidP="009226F2">
      <w:pPr>
        <w:pStyle w:val="Poznamkytexty"/>
        <w:spacing w:before="120" w:after="120"/>
        <w:rPr>
          <w:bCs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</w:t>
      </w:r>
      <w:r w:rsidR="009226F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9226F2">
        <w:rPr>
          <w:bCs/>
        </w:rPr>
        <w:t> případě národního pojetí.</w:t>
      </w:r>
    </w:p>
    <w:p w:rsidR="0014587B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lastRenderedPageBreak/>
        <w:t>Národní pojetí:</w:t>
      </w:r>
    </w:p>
    <w:p w:rsidR="00444EB1" w:rsidRPr="0004387D" w:rsidRDefault="0086133B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86133B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Ing. Marek Rojíček, Ph.D.,</w:t>
      </w:r>
      <w:r w:rsidRPr="00A02059">
        <w:rPr>
          <w:rFonts w:cs="Arial"/>
          <w:i/>
          <w:iCs/>
          <w:sz w:val="18"/>
          <w:szCs w:val="18"/>
        </w:rPr>
        <w:t xml:space="preserve"> tel. 274 052 486, e-mail: </w:t>
      </w:r>
      <w:hyperlink r:id="rId13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Pr="007123DF" w:rsidRDefault="00444EB1" w:rsidP="00444EB1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444EB1" w:rsidRPr="00A02059" w:rsidRDefault="00444EB1" w:rsidP="00444EB1">
      <w:pPr>
        <w:tabs>
          <w:tab w:val="left" w:pos="3598"/>
        </w:tabs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zveřejnění další R</w:t>
      </w:r>
      <w:r>
        <w:rPr>
          <w:rFonts w:cs="Arial"/>
          <w:i/>
          <w:iCs/>
          <w:sz w:val="18"/>
          <w:szCs w:val="18"/>
        </w:rPr>
        <w:t>ychlé informace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 w:rsidR="00A120AF">
        <w:rPr>
          <w:rFonts w:cs="Arial"/>
          <w:i/>
          <w:iCs/>
          <w:sz w:val="18"/>
          <w:szCs w:val="18"/>
        </w:rPr>
        <w:t>6</w:t>
      </w:r>
      <w:r w:rsidR="005E264D">
        <w:rPr>
          <w:rFonts w:cs="Arial"/>
          <w:i/>
          <w:iCs/>
          <w:sz w:val="18"/>
          <w:szCs w:val="18"/>
        </w:rPr>
        <w:t>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A120AF">
        <w:rPr>
          <w:rFonts w:cs="Arial"/>
          <w:i/>
          <w:iCs/>
          <w:sz w:val="18"/>
          <w:szCs w:val="18"/>
        </w:rPr>
        <w:t>5</w:t>
      </w:r>
      <w:r w:rsidR="005E264D">
        <w:rPr>
          <w:rFonts w:cs="Arial"/>
          <w:i/>
          <w:iCs/>
          <w:sz w:val="18"/>
          <w:szCs w:val="18"/>
        </w:rPr>
        <w:t>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5E264D">
        <w:rPr>
          <w:rFonts w:cs="Arial"/>
          <w:i/>
          <w:iCs/>
          <w:sz w:val="18"/>
          <w:szCs w:val="18"/>
        </w:rPr>
        <w:t>2014</w:t>
      </w:r>
    </w:p>
    <w:p w:rsidR="00E45A38" w:rsidRPr="00A81EB3" w:rsidRDefault="00E45A38" w:rsidP="00444EB1">
      <w:pPr>
        <w:spacing w:before="120" w:after="120"/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3B" w:rsidRDefault="0086133B" w:rsidP="00BA6370">
      <w:r>
        <w:separator/>
      </w:r>
    </w:p>
  </w:endnote>
  <w:endnote w:type="continuationSeparator" w:id="0">
    <w:p w:rsidR="0086133B" w:rsidRDefault="008613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6133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C250FE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3B" w:rsidRDefault="0086133B" w:rsidP="00BA6370">
      <w:r>
        <w:separator/>
      </w:r>
    </w:p>
  </w:footnote>
  <w:footnote w:type="continuationSeparator" w:id="0">
    <w:p w:rsidR="0086133B" w:rsidRDefault="0086133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6133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34CC9"/>
    <w:rsid w:val="00035685"/>
    <w:rsid w:val="0004387D"/>
    <w:rsid w:val="00043BF4"/>
    <w:rsid w:val="0005141A"/>
    <w:rsid w:val="0005351C"/>
    <w:rsid w:val="0005387D"/>
    <w:rsid w:val="0007589E"/>
    <w:rsid w:val="000843A5"/>
    <w:rsid w:val="00092A2B"/>
    <w:rsid w:val="00096D6C"/>
    <w:rsid w:val="000A2895"/>
    <w:rsid w:val="000B6F63"/>
    <w:rsid w:val="000D010C"/>
    <w:rsid w:val="000D093F"/>
    <w:rsid w:val="000D1946"/>
    <w:rsid w:val="000D6252"/>
    <w:rsid w:val="000E089A"/>
    <w:rsid w:val="000F233F"/>
    <w:rsid w:val="000F7933"/>
    <w:rsid w:val="00113C56"/>
    <w:rsid w:val="00117757"/>
    <w:rsid w:val="00117C73"/>
    <w:rsid w:val="00120F84"/>
    <w:rsid w:val="00124344"/>
    <w:rsid w:val="00127FA2"/>
    <w:rsid w:val="001404AB"/>
    <w:rsid w:val="001431A5"/>
    <w:rsid w:val="0014587B"/>
    <w:rsid w:val="00155DAE"/>
    <w:rsid w:val="00166003"/>
    <w:rsid w:val="001721D8"/>
    <w:rsid w:val="0017231D"/>
    <w:rsid w:val="00175107"/>
    <w:rsid w:val="001810DC"/>
    <w:rsid w:val="001A1E7F"/>
    <w:rsid w:val="001B607F"/>
    <w:rsid w:val="001C4EFD"/>
    <w:rsid w:val="001D369A"/>
    <w:rsid w:val="001E63D9"/>
    <w:rsid w:val="001F08B3"/>
    <w:rsid w:val="001F2AC4"/>
    <w:rsid w:val="001F2FE0"/>
    <w:rsid w:val="0020300B"/>
    <w:rsid w:val="002070FB"/>
    <w:rsid w:val="00213729"/>
    <w:rsid w:val="0022289A"/>
    <w:rsid w:val="00224021"/>
    <w:rsid w:val="00227841"/>
    <w:rsid w:val="002406FA"/>
    <w:rsid w:val="00240CEF"/>
    <w:rsid w:val="002534B7"/>
    <w:rsid w:val="0026070A"/>
    <w:rsid w:val="00266B23"/>
    <w:rsid w:val="002803B3"/>
    <w:rsid w:val="002A1955"/>
    <w:rsid w:val="002A3322"/>
    <w:rsid w:val="002B2E47"/>
    <w:rsid w:val="002C4420"/>
    <w:rsid w:val="003035B9"/>
    <w:rsid w:val="003037C7"/>
    <w:rsid w:val="00304094"/>
    <w:rsid w:val="00315267"/>
    <w:rsid w:val="003261CD"/>
    <w:rsid w:val="003301A3"/>
    <w:rsid w:val="00337E74"/>
    <w:rsid w:val="00347BAE"/>
    <w:rsid w:val="00350496"/>
    <w:rsid w:val="00363AA2"/>
    <w:rsid w:val="0036777B"/>
    <w:rsid w:val="00371914"/>
    <w:rsid w:val="0038282A"/>
    <w:rsid w:val="00383E01"/>
    <w:rsid w:val="00397580"/>
    <w:rsid w:val="003A45C8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6A4A"/>
    <w:rsid w:val="003F2065"/>
    <w:rsid w:val="003F2730"/>
    <w:rsid w:val="003F526A"/>
    <w:rsid w:val="00404707"/>
    <w:rsid w:val="00405244"/>
    <w:rsid w:val="004436EE"/>
    <w:rsid w:val="00444EB1"/>
    <w:rsid w:val="004549FC"/>
    <w:rsid w:val="0045547F"/>
    <w:rsid w:val="00461D4E"/>
    <w:rsid w:val="00485B36"/>
    <w:rsid w:val="0049120A"/>
    <w:rsid w:val="004920AD"/>
    <w:rsid w:val="004A2BD0"/>
    <w:rsid w:val="004A3EA3"/>
    <w:rsid w:val="004A47E7"/>
    <w:rsid w:val="004B1654"/>
    <w:rsid w:val="004C637D"/>
    <w:rsid w:val="004D05B3"/>
    <w:rsid w:val="004E479E"/>
    <w:rsid w:val="004F08FC"/>
    <w:rsid w:val="004F78E6"/>
    <w:rsid w:val="0050420E"/>
    <w:rsid w:val="005120DC"/>
    <w:rsid w:val="00512D99"/>
    <w:rsid w:val="00515AD2"/>
    <w:rsid w:val="00516A97"/>
    <w:rsid w:val="005238CC"/>
    <w:rsid w:val="00531DBB"/>
    <w:rsid w:val="00550DBD"/>
    <w:rsid w:val="00553A9E"/>
    <w:rsid w:val="00554469"/>
    <w:rsid w:val="00566F45"/>
    <w:rsid w:val="00587345"/>
    <w:rsid w:val="00597E58"/>
    <w:rsid w:val="005A3F65"/>
    <w:rsid w:val="005B0E3A"/>
    <w:rsid w:val="005C077C"/>
    <w:rsid w:val="005C6819"/>
    <w:rsid w:val="005E264D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4139A"/>
    <w:rsid w:val="00654699"/>
    <w:rsid w:val="006562E1"/>
    <w:rsid w:val="00660996"/>
    <w:rsid w:val="006618D1"/>
    <w:rsid w:val="00664FEB"/>
    <w:rsid w:val="00676251"/>
    <w:rsid w:val="006931CF"/>
    <w:rsid w:val="006A63C5"/>
    <w:rsid w:val="006B1F8F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702BA5"/>
    <w:rsid w:val="00707F7D"/>
    <w:rsid w:val="00717EC5"/>
    <w:rsid w:val="00744850"/>
    <w:rsid w:val="00754C20"/>
    <w:rsid w:val="00756C47"/>
    <w:rsid w:val="00772EED"/>
    <w:rsid w:val="0078043F"/>
    <w:rsid w:val="00780FEE"/>
    <w:rsid w:val="007823FD"/>
    <w:rsid w:val="007927D4"/>
    <w:rsid w:val="0079304F"/>
    <w:rsid w:val="007A57F2"/>
    <w:rsid w:val="007B1333"/>
    <w:rsid w:val="007B36B1"/>
    <w:rsid w:val="007B7EFB"/>
    <w:rsid w:val="007C07BF"/>
    <w:rsid w:val="007D24AC"/>
    <w:rsid w:val="007F4AEB"/>
    <w:rsid w:val="007F75B2"/>
    <w:rsid w:val="00803993"/>
    <w:rsid w:val="008043C4"/>
    <w:rsid w:val="00805C63"/>
    <w:rsid w:val="00810DD0"/>
    <w:rsid w:val="0082035F"/>
    <w:rsid w:val="00831B1B"/>
    <w:rsid w:val="00832740"/>
    <w:rsid w:val="008475ED"/>
    <w:rsid w:val="00852D0E"/>
    <w:rsid w:val="00855FB3"/>
    <w:rsid w:val="008578E6"/>
    <w:rsid w:val="00860F44"/>
    <w:rsid w:val="0086133B"/>
    <w:rsid w:val="00861D0E"/>
    <w:rsid w:val="008662BB"/>
    <w:rsid w:val="00867569"/>
    <w:rsid w:val="008A231A"/>
    <w:rsid w:val="008A6D75"/>
    <w:rsid w:val="008A750A"/>
    <w:rsid w:val="008A776B"/>
    <w:rsid w:val="008B3970"/>
    <w:rsid w:val="008C384C"/>
    <w:rsid w:val="008C4AFA"/>
    <w:rsid w:val="008C64D8"/>
    <w:rsid w:val="008D0F11"/>
    <w:rsid w:val="008D42E1"/>
    <w:rsid w:val="008E1D8B"/>
    <w:rsid w:val="008F1462"/>
    <w:rsid w:val="008F73B4"/>
    <w:rsid w:val="00900F09"/>
    <w:rsid w:val="009226F2"/>
    <w:rsid w:val="00926279"/>
    <w:rsid w:val="00930C9C"/>
    <w:rsid w:val="00940D6F"/>
    <w:rsid w:val="009629FC"/>
    <w:rsid w:val="00963E10"/>
    <w:rsid w:val="00964B7C"/>
    <w:rsid w:val="0096644D"/>
    <w:rsid w:val="009674AE"/>
    <w:rsid w:val="00971AA5"/>
    <w:rsid w:val="00994390"/>
    <w:rsid w:val="009B0AFD"/>
    <w:rsid w:val="009B55B1"/>
    <w:rsid w:val="009C7F8D"/>
    <w:rsid w:val="009D0BAC"/>
    <w:rsid w:val="009D324C"/>
    <w:rsid w:val="009F6007"/>
    <w:rsid w:val="00A05AF0"/>
    <w:rsid w:val="00A120AF"/>
    <w:rsid w:val="00A173A1"/>
    <w:rsid w:val="00A25896"/>
    <w:rsid w:val="00A4343D"/>
    <w:rsid w:val="00A502F1"/>
    <w:rsid w:val="00A572ED"/>
    <w:rsid w:val="00A60097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B3410"/>
    <w:rsid w:val="00AC5901"/>
    <w:rsid w:val="00AD05C6"/>
    <w:rsid w:val="00B00C1D"/>
    <w:rsid w:val="00B02786"/>
    <w:rsid w:val="00B07BBD"/>
    <w:rsid w:val="00B112A8"/>
    <w:rsid w:val="00B21948"/>
    <w:rsid w:val="00B21E07"/>
    <w:rsid w:val="00B53A87"/>
    <w:rsid w:val="00B55375"/>
    <w:rsid w:val="00B60F97"/>
    <w:rsid w:val="00B632CC"/>
    <w:rsid w:val="00B72670"/>
    <w:rsid w:val="00B75E31"/>
    <w:rsid w:val="00B85F5E"/>
    <w:rsid w:val="00B92681"/>
    <w:rsid w:val="00B95BBB"/>
    <w:rsid w:val="00BA12F1"/>
    <w:rsid w:val="00BA296D"/>
    <w:rsid w:val="00BA439F"/>
    <w:rsid w:val="00BA6370"/>
    <w:rsid w:val="00BC4064"/>
    <w:rsid w:val="00BC41E8"/>
    <w:rsid w:val="00BC52C4"/>
    <w:rsid w:val="00BD2938"/>
    <w:rsid w:val="00BD7D1A"/>
    <w:rsid w:val="00C11525"/>
    <w:rsid w:val="00C1771B"/>
    <w:rsid w:val="00C250FE"/>
    <w:rsid w:val="00C269D4"/>
    <w:rsid w:val="00C4160D"/>
    <w:rsid w:val="00C47129"/>
    <w:rsid w:val="00C51C5E"/>
    <w:rsid w:val="00C55239"/>
    <w:rsid w:val="00C63782"/>
    <w:rsid w:val="00C6536B"/>
    <w:rsid w:val="00C712A3"/>
    <w:rsid w:val="00C71BC1"/>
    <w:rsid w:val="00C73340"/>
    <w:rsid w:val="00C767EF"/>
    <w:rsid w:val="00C8406E"/>
    <w:rsid w:val="00C9193E"/>
    <w:rsid w:val="00C96BA8"/>
    <w:rsid w:val="00CB2709"/>
    <w:rsid w:val="00CB6F89"/>
    <w:rsid w:val="00CD4987"/>
    <w:rsid w:val="00CE228C"/>
    <w:rsid w:val="00CE71D9"/>
    <w:rsid w:val="00CF05FD"/>
    <w:rsid w:val="00CF545B"/>
    <w:rsid w:val="00D209A7"/>
    <w:rsid w:val="00D27184"/>
    <w:rsid w:val="00D27D69"/>
    <w:rsid w:val="00D43AFC"/>
    <w:rsid w:val="00D448C2"/>
    <w:rsid w:val="00D45DCE"/>
    <w:rsid w:val="00D4744F"/>
    <w:rsid w:val="00D477FD"/>
    <w:rsid w:val="00D666C3"/>
    <w:rsid w:val="00D84C1D"/>
    <w:rsid w:val="00D85815"/>
    <w:rsid w:val="00D9189F"/>
    <w:rsid w:val="00D9375F"/>
    <w:rsid w:val="00DA390B"/>
    <w:rsid w:val="00DA6E92"/>
    <w:rsid w:val="00DB6980"/>
    <w:rsid w:val="00DE1416"/>
    <w:rsid w:val="00DE174E"/>
    <w:rsid w:val="00DE1F42"/>
    <w:rsid w:val="00DE413E"/>
    <w:rsid w:val="00DF47FE"/>
    <w:rsid w:val="00E0156A"/>
    <w:rsid w:val="00E04159"/>
    <w:rsid w:val="00E26704"/>
    <w:rsid w:val="00E31212"/>
    <w:rsid w:val="00E31980"/>
    <w:rsid w:val="00E3740C"/>
    <w:rsid w:val="00E446D4"/>
    <w:rsid w:val="00E45A38"/>
    <w:rsid w:val="00E6423C"/>
    <w:rsid w:val="00E66F9C"/>
    <w:rsid w:val="00E93830"/>
    <w:rsid w:val="00E93CD2"/>
    <w:rsid w:val="00E93E0E"/>
    <w:rsid w:val="00EA1D17"/>
    <w:rsid w:val="00EB0FFB"/>
    <w:rsid w:val="00EB1ED3"/>
    <w:rsid w:val="00EB6BD9"/>
    <w:rsid w:val="00EB7B3D"/>
    <w:rsid w:val="00EC7D07"/>
    <w:rsid w:val="00ED74AB"/>
    <w:rsid w:val="00EE130D"/>
    <w:rsid w:val="00EF1717"/>
    <w:rsid w:val="00EF4CAC"/>
    <w:rsid w:val="00F01E04"/>
    <w:rsid w:val="00F16D70"/>
    <w:rsid w:val="00F26D3F"/>
    <w:rsid w:val="00F36B9D"/>
    <w:rsid w:val="00F36F5C"/>
    <w:rsid w:val="00F53012"/>
    <w:rsid w:val="00F64633"/>
    <w:rsid w:val="00F66228"/>
    <w:rsid w:val="00F7046A"/>
    <w:rsid w:val="00F75F2A"/>
    <w:rsid w:val="00F85881"/>
    <w:rsid w:val="00FA142B"/>
    <w:rsid w:val="00FB1B44"/>
    <w:rsid w:val="00FB687C"/>
    <w:rsid w:val="00FC31D7"/>
    <w:rsid w:val="00FD0644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marek.rojicek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70E5-4332-4C82-AE16-3A0EF8ED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554</TotalTime>
  <Pages>3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139</cp:revision>
  <cp:lastPrinted>2014-04-02T07:11:00Z</cp:lastPrinted>
  <dcterms:created xsi:type="dcterms:W3CDTF">2014-01-13T12:45:00Z</dcterms:created>
  <dcterms:modified xsi:type="dcterms:W3CDTF">2014-04-02T07:24:00Z</dcterms:modified>
</cp:coreProperties>
</file>