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FB" w:rsidRPr="00BA1288" w:rsidRDefault="00575D80" w:rsidP="00B32DFB">
      <w:pPr>
        <w:pStyle w:val="Nzev"/>
        <w:rPr>
          <w:rFonts w:eastAsia="Calibri" w:cs="Arial"/>
          <w:bCs w:val="0"/>
          <w:color w:val="auto"/>
          <w:sz w:val="18"/>
          <w:szCs w:val="22"/>
        </w:rPr>
      </w:pPr>
      <w:r w:rsidRPr="00BA1288">
        <w:rPr>
          <w:rFonts w:eastAsia="Calibri" w:cs="Arial"/>
          <w:bCs w:val="0"/>
          <w:color w:val="auto"/>
          <w:sz w:val="18"/>
          <w:szCs w:val="22"/>
        </w:rPr>
        <w:t>4</w:t>
      </w:r>
      <w:r w:rsidR="007062C2" w:rsidRPr="00BA1288">
        <w:rPr>
          <w:rFonts w:eastAsia="Calibri" w:cs="Arial"/>
          <w:bCs w:val="0"/>
          <w:color w:val="auto"/>
          <w:sz w:val="18"/>
          <w:szCs w:val="22"/>
        </w:rPr>
        <w:t xml:space="preserve"> </w:t>
      </w:r>
      <w:r w:rsidRPr="00BA1288">
        <w:rPr>
          <w:rFonts w:eastAsia="Calibri" w:cs="Arial"/>
          <w:bCs w:val="0"/>
          <w:color w:val="auto"/>
          <w:sz w:val="18"/>
          <w:szCs w:val="22"/>
        </w:rPr>
        <w:t>June</w:t>
      </w:r>
      <w:r w:rsidR="00B32DFB" w:rsidRPr="00BA1288">
        <w:rPr>
          <w:rFonts w:eastAsia="Calibri" w:cs="Arial"/>
          <w:bCs w:val="0"/>
          <w:color w:val="auto"/>
          <w:sz w:val="18"/>
          <w:szCs w:val="22"/>
        </w:rPr>
        <w:t xml:space="preserve"> 2014</w:t>
      </w:r>
    </w:p>
    <w:p w:rsidR="00B32DFB" w:rsidRPr="00BA1288" w:rsidRDefault="007062C2" w:rsidP="00B32DFB">
      <w:pPr>
        <w:pStyle w:val="Nzev"/>
      </w:pPr>
      <w:r w:rsidRPr="00BA1288">
        <w:t>G</w:t>
      </w:r>
      <w:r w:rsidR="00B32DFB" w:rsidRPr="00BA1288">
        <w:t>DP</w:t>
      </w:r>
      <w:r w:rsidR="006B4FE2" w:rsidRPr="00BA1288">
        <w:t xml:space="preserve"> growth</w:t>
      </w:r>
      <w:r w:rsidR="00B32DFB" w:rsidRPr="00BA1288">
        <w:t xml:space="preserve"> </w:t>
      </w:r>
      <w:r w:rsidRPr="00BA1288">
        <w:t>in</w:t>
      </w:r>
      <w:r w:rsidR="006B4FE2" w:rsidRPr="00BA1288">
        <w:t xml:space="preserve"> </w:t>
      </w:r>
      <w:r w:rsidR="0045047F">
        <w:t xml:space="preserve">the </w:t>
      </w:r>
      <w:r w:rsidR="006B4FE2" w:rsidRPr="00BA1288">
        <w:t>Q1</w:t>
      </w:r>
      <w:r w:rsidR="0045047F">
        <w:t xml:space="preserve"> 2014</w:t>
      </w:r>
      <w:r w:rsidR="006B4FE2" w:rsidRPr="00BA1288">
        <w:t xml:space="preserve"> higher than </w:t>
      </w:r>
      <w:r w:rsidR="003E2271">
        <w:t>indicated</w:t>
      </w:r>
      <w:r w:rsidR="006B4FE2" w:rsidRPr="00BA1288">
        <w:t xml:space="preserve"> by preliminary data</w:t>
      </w:r>
      <w:r w:rsidR="00B32DFB" w:rsidRPr="00BA1288">
        <w:t xml:space="preserve"> </w:t>
      </w:r>
    </w:p>
    <w:p w:rsidR="00B32DFB" w:rsidRPr="00BA1288" w:rsidRDefault="006B4FE2" w:rsidP="00B32DFB">
      <w:pPr>
        <w:pStyle w:val="Nadpis2"/>
        <w:tabs>
          <w:tab w:val="left" w:pos="6237"/>
        </w:tabs>
        <w:rPr>
          <w:lang w:val="en-GB"/>
        </w:rPr>
      </w:pPr>
      <w:r w:rsidRPr="00BA1288">
        <w:rPr>
          <w:lang w:val="en-GB"/>
        </w:rPr>
        <w:t>GDP formation and use</w:t>
      </w:r>
      <w:r w:rsidR="00B32DFB" w:rsidRPr="00BA1288">
        <w:rPr>
          <w:lang w:val="en-GB"/>
        </w:rPr>
        <w:t xml:space="preserve"> </w:t>
      </w:r>
      <w:r w:rsidR="007062C2" w:rsidRPr="00BA1288">
        <w:rPr>
          <w:lang w:val="en-GB"/>
        </w:rPr>
        <w:t>–</w:t>
      </w:r>
      <w:r w:rsidR="00B32DFB" w:rsidRPr="00BA1288">
        <w:rPr>
          <w:lang w:val="en-GB"/>
        </w:rPr>
        <w:t xml:space="preserve"> </w:t>
      </w:r>
      <w:r w:rsidR="007062C2" w:rsidRPr="00BA1288">
        <w:rPr>
          <w:lang w:val="en-GB"/>
        </w:rPr>
        <w:t>the f</w:t>
      </w:r>
      <w:r w:rsidRPr="00BA1288">
        <w:rPr>
          <w:lang w:val="en-GB"/>
        </w:rPr>
        <w:t>irst</w:t>
      </w:r>
      <w:r w:rsidR="007062C2" w:rsidRPr="00BA1288">
        <w:rPr>
          <w:lang w:val="en-GB"/>
        </w:rPr>
        <w:t xml:space="preserve"> quarter of</w:t>
      </w:r>
      <w:r w:rsidR="00B32DFB" w:rsidRPr="00BA1288">
        <w:rPr>
          <w:lang w:val="en-GB"/>
        </w:rPr>
        <w:t xml:space="preserve"> 201</w:t>
      </w:r>
      <w:r w:rsidRPr="00BA1288">
        <w:rPr>
          <w:lang w:val="en-GB"/>
        </w:rPr>
        <w:t>4</w:t>
      </w:r>
    </w:p>
    <w:p w:rsidR="00B32DFB" w:rsidRPr="00BA1288" w:rsidRDefault="00B32DFB" w:rsidP="00B32DFB">
      <w:pPr>
        <w:rPr>
          <w:rFonts w:cs="Arial"/>
          <w:b/>
          <w:szCs w:val="18"/>
          <w:lang w:val="en-GB"/>
        </w:rPr>
      </w:pPr>
    </w:p>
    <w:p w:rsidR="00B32DFB" w:rsidRPr="00BA1288" w:rsidRDefault="00B32DFB" w:rsidP="00B32DFB">
      <w:pPr>
        <w:rPr>
          <w:rFonts w:cs="Arial"/>
          <w:b/>
          <w:szCs w:val="18"/>
          <w:lang w:val="en-GB"/>
        </w:rPr>
      </w:pPr>
    </w:p>
    <w:p w:rsidR="00291CF4" w:rsidRPr="00BA1288" w:rsidRDefault="00291CF4" w:rsidP="00291CF4">
      <w:pPr>
        <w:pStyle w:val="Perex"/>
      </w:pPr>
      <w:r w:rsidRPr="00BA1288">
        <w:t xml:space="preserve">The gross domestic product in the </w:t>
      </w:r>
      <w:r w:rsidR="00F553DF" w:rsidRPr="00BA1288">
        <w:t>first</w:t>
      </w:r>
      <w:r w:rsidRPr="00BA1288">
        <w:t xml:space="preserve"> quarter </w:t>
      </w:r>
      <w:r w:rsidR="00F553DF" w:rsidRPr="00BA1288">
        <w:t>increased</w:t>
      </w:r>
      <w:r w:rsidRPr="00BA1288">
        <w:t xml:space="preserve"> by </w:t>
      </w:r>
      <w:r w:rsidR="00F553DF" w:rsidRPr="00BA1288">
        <w:t>2.5%</w:t>
      </w:r>
      <w:r w:rsidRPr="00BA1288">
        <w:t>, year-on-year (y-o-y),</w:t>
      </w:r>
      <w:r w:rsidR="00F553DF" w:rsidRPr="00BA1288">
        <w:t xml:space="preserve"> i.e. by half percentage point </w:t>
      </w:r>
      <w:r w:rsidR="00E87F50" w:rsidRPr="00BA1288">
        <w:t>more</w:t>
      </w:r>
      <w:r w:rsidR="00F553DF" w:rsidRPr="00BA1288">
        <w:t xml:space="preserve"> than expected by the preliminary estimate. </w:t>
      </w:r>
    </w:p>
    <w:p w:rsidR="00291CF4" w:rsidRPr="00BA1288" w:rsidRDefault="00291CF4" w:rsidP="00291CF4">
      <w:pPr>
        <w:rPr>
          <w:b/>
          <w:bCs/>
          <w:lang w:val="en-GB"/>
        </w:rPr>
      </w:pPr>
      <w:r w:rsidRPr="00BA1288">
        <w:rPr>
          <w:lang w:val="en-GB"/>
        </w:rPr>
        <w:t>A</w:t>
      </w:r>
      <w:r w:rsidRPr="00BA1288">
        <w:rPr>
          <w:bCs/>
          <w:lang w:val="en-GB"/>
        </w:rPr>
        <w:t>ccording to the refined estimate,</w:t>
      </w:r>
      <w:r w:rsidRPr="00BA1288">
        <w:rPr>
          <w:lang w:val="en-GB"/>
        </w:rPr>
        <w:t xml:space="preserve"> the </w:t>
      </w:r>
      <w:r w:rsidRPr="00BA1288">
        <w:rPr>
          <w:b/>
          <w:bCs/>
          <w:lang w:val="en-GB"/>
        </w:rPr>
        <w:t xml:space="preserve">gross domestic </w:t>
      </w:r>
      <w:r w:rsidRPr="005B3FB7">
        <w:rPr>
          <w:b/>
          <w:bCs/>
          <w:lang w:val="en-GB"/>
        </w:rPr>
        <w:t>product (GDP)</w:t>
      </w:r>
      <w:r w:rsidRPr="00BA1288">
        <w:rPr>
          <w:lang w:val="en-GB"/>
        </w:rPr>
        <w:t xml:space="preserve"> </w:t>
      </w:r>
      <w:r w:rsidRPr="00BA1288">
        <w:rPr>
          <w:rFonts w:cs="Arial"/>
          <w:bCs/>
          <w:szCs w:val="20"/>
          <w:lang w:val="en-GB"/>
        </w:rPr>
        <w:t>adjusted for price effects and seasonally adjusted</w:t>
      </w:r>
      <w:r w:rsidRPr="00BA1288">
        <w:rPr>
          <w:rStyle w:val="Znakapoznpodarou"/>
          <w:rFonts w:cs="Arial"/>
          <w:szCs w:val="20"/>
          <w:lang w:val="en-GB"/>
        </w:rPr>
        <w:t>/</w:t>
      </w:r>
      <w:r w:rsidRPr="00BA1288">
        <w:rPr>
          <w:rStyle w:val="Znakapoznpodarou"/>
          <w:rFonts w:cs="Arial"/>
          <w:bCs/>
          <w:szCs w:val="20"/>
          <w:lang w:val="en-GB"/>
        </w:rPr>
        <w:footnoteReference w:customMarkFollows="1" w:id="1"/>
        <w:t>*</w:t>
      </w:r>
      <w:r w:rsidRPr="00BA1288">
        <w:rPr>
          <w:rFonts w:cs="Arial"/>
          <w:bCs/>
          <w:szCs w:val="20"/>
          <w:lang w:val="en-GB"/>
        </w:rPr>
        <w:t xml:space="preserve"> </w:t>
      </w:r>
      <w:r w:rsidR="00F23633" w:rsidRPr="00BA1288">
        <w:rPr>
          <w:b/>
          <w:bCs/>
          <w:lang w:val="en-GB"/>
        </w:rPr>
        <w:t>in</w:t>
      </w:r>
      <w:r w:rsidRPr="00BA1288">
        <w:rPr>
          <w:b/>
          <w:bCs/>
          <w:lang w:val="en-GB"/>
        </w:rPr>
        <w:t xml:space="preserve">creased by </w:t>
      </w:r>
      <w:r w:rsidR="00F23633" w:rsidRPr="00BA1288">
        <w:rPr>
          <w:b/>
          <w:bCs/>
          <w:lang w:val="en-GB"/>
        </w:rPr>
        <w:t>2.5</w:t>
      </w:r>
      <w:r w:rsidRPr="00BA1288">
        <w:rPr>
          <w:b/>
          <w:bCs/>
          <w:lang w:val="en-GB"/>
        </w:rPr>
        <w:t>%, y-o-y,</w:t>
      </w:r>
      <w:r w:rsidRPr="00BA1288">
        <w:rPr>
          <w:b/>
          <w:lang w:val="en-GB"/>
        </w:rPr>
        <w:t xml:space="preserve"> in </w:t>
      </w:r>
      <w:r w:rsidR="005B3FB7">
        <w:rPr>
          <w:b/>
          <w:lang w:val="en-GB"/>
        </w:rPr>
        <w:t xml:space="preserve">the </w:t>
      </w:r>
      <w:r w:rsidRPr="00BA1288">
        <w:rPr>
          <w:b/>
          <w:lang w:val="en-GB"/>
        </w:rPr>
        <w:t>Q</w:t>
      </w:r>
      <w:r w:rsidR="00F23633" w:rsidRPr="00BA1288">
        <w:rPr>
          <w:b/>
          <w:lang w:val="en-GB"/>
        </w:rPr>
        <w:t>1</w:t>
      </w:r>
      <w:r w:rsidRPr="00BA1288">
        <w:rPr>
          <w:b/>
          <w:lang w:val="en-GB"/>
        </w:rPr>
        <w:t> 201</w:t>
      </w:r>
      <w:r w:rsidR="00F23633" w:rsidRPr="00BA1288">
        <w:rPr>
          <w:b/>
          <w:lang w:val="en-GB"/>
        </w:rPr>
        <w:t>4</w:t>
      </w:r>
      <w:r w:rsidR="005B3FB7">
        <w:rPr>
          <w:b/>
          <w:lang w:val="en-GB"/>
        </w:rPr>
        <w:t>;</w:t>
      </w:r>
      <w:r w:rsidRPr="00BA1288">
        <w:rPr>
          <w:b/>
          <w:lang w:val="en-GB"/>
        </w:rPr>
        <w:t xml:space="preserve"> </w:t>
      </w:r>
      <w:r w:rsidR="005B3FB7">
        <w:rPr>
          <w:b/>
          <w:lang w:val="en-GB"/>
        </w:rPr>
        <w:t xml:space="preserve">in the </w:t>
      </w:r>
      <w:r w:rsidRPr="00BA1288">
        <w:rPr>
          <w:b/>
          <w:lang w:val="en-GB"/>
        </w:rPr>
        <w:t xml:space="preserve">quarter-on-quarter (q-o-q) </w:t>
      </w:r>
      <w:r w:rsidR="005B3FB7">
        <w:rPr>
          <w:b/>
          <w:lang w:val="en-GB"/>
        </w:rPr>
        <w:t>comparison it</w:t>
      </w:r>
      <w:r w:rsidRPr="00BA1288">
        <w:rPr>
          <w:b/>
          <w:lang w:val="en-GB"/>
        </w:rPr>
        <w:t xml:space="preserve"> was</w:t>
      </w:r>
      <w:r w:rsidR="005B3FB7">
        <w:rPr>
          <w:b/>
          <w:lang w:val="en-GB"/>
        </w:rPr>
        <w:t xml:space="preserve"> by</w:t>
      </w:r>
      <w:r w:rsidRPr="00BA1288">
        <w:rPr>
          <w:b/>
          <w:lang w:val="en-GB"/>
        </w:rPr>
        <w:t xml:space="preserve"> 0.</w:t>
      </w:r>
      <w:r w:rsidR="00F23633" w:rsidRPr="00BA1288">
        <w:rPr>
          <w:b/>
          <w:lang w:val="en-GB"/>
        </w:rPr>
        <w:t>4</w:t>
      </w:r>
      <w:r w:rsidRPr="00BA1288">
        <w:rPr>
          <w:b/>
          <w:lang w:val="en-GB"/>
        </w:rPr>
        <w:t>%</w:t>
      </w:r>
      <w:r w:rsidRPr="00BA1288">
        <w:rPr>
          <w:b/>
          <w:bCs/>
          <w:lang w:val="en-GB"/>
        </w:rPr>
        <w:t>.</w:t>
      </w:r>
    </w:p>
    <w:p w:rsidR="00291CF4" w:rsidRPr="00BA1288" w:rsidRDefault="00291CF4" w:rsidP="00291CF4">
      <w:pPr>
        <w:rPr>
          <w:rFonts w:cs="Arial"/>
          <w:b/>
          <w:szCs w:val="20"/>
          <w:lang w:val="en-GB"/>
        </w:rPr>
      </w:pPr>
    </w:p>
    <w:p w:rsidR="00DA770F" w:rsidRPr="00BA1288" w:rsidRDefault="00291CF4" w:rsidP="00291CF4">
      <w:pPr>
        <w:rPr>
          <w:rFonts w:cs="Arial"/>
          <w:szCs w:val="20"/>
          <w:lang w:val="en-GB"/>
        </w:rPr>
      </w:pPr>
      <w:r w:rsidRPr="00BA1288">
        <w:rPr>
          <w:rFonts w:cs="Arial"/>
          <w:szCs w:val="20"/>
          <w:lang w:val="en-GB"/>
        </w:rPr>
        <w:t>The preliminary estimate released on 1</w:t>
      </w:r>
      <w:r w:rsidR="00DA770F" w:rsidRPr="00BA1288">
        <w:rPr>
          <w:rFonts w:cs="Arial"/>
          <w:szCs w:val="20"/>
          <w:lang w:val="en-GB"/>
        </w:rPr>
        <w:t>5</w:t>
      </w:r>
      <w:r w:rsidRPr="00BA1288">
        <w:rPr>
          <w:rFonts w:cs="Arial"/>
          <w:szCs w:val="20"/>
          <w:lang w:val="en-GB"/>
        </w:rPr>
        <w:t xml:space="preserve"> </w:t>
      </w:r>
      <w:r w:rsidR="00DA770F" w:rsidRPr="00BA1288">
        <w:rPr>
          <w:rFonts w:cs="Arial"/>
          <w:szCs w:val="20"/>
          <w:lang w:val="en-GB"/>
        </w:rPr>
        <w:t>May 2014</w:t>
      </w:r>
      <w:r w:rsidRPr="00BA1288">
        <w:rPr>
          <w:rFonts w:cs="Arial"/>
          <w:szCs w:val="20"/>
          <w:lang w:val="en-GB"/>
        </w:rPr>
        <w:t xml:space="preserve"> expected </w:t>
      </w:r>
      <w:r w:rsidR="00DA770F" w:rsidRPr="00BA1288">
        <w:rPr>
          <w:rFonts w:cs="Arial"/>
          <w:szCs w:val="20"/>
          <w:lang w:val="en-GB"/>
        </w:rPr>
        <w:t xml:space="preserve">only 2% y-o-y growth. The correction by half percentage point resulted from </w:t>
      </w:r>
      <w:r w:rsidR="00463C73">
        <w:rPr>
          <w:rFonts w:cs="Arial"/>
          <w:szCs w:val="20"/>
          <w:lang w:val="en-GB"/>
        </w:rPr>
        <w:t xml:space="preserve">an </w:t>
      </w:r>
      <w:r w:rsidR="00DA770F" w:rsidRPr="00BA1288">
        <w:rPr>
          <w:rFonts w:cs="Arial"/>
          <w:szCs w:val="20"/>
          <w:lang w:val="en-GB"/>
        </w:rPr>
        <w:t xml:space="preserve">increase of </w:t>
      </w:r>
      <w:r w:rsidR="00E21623" w:rsidRPr="00BA1288">
        <w:rPr>
          <w:rFonts w:cs="Arial"/>
          <w:szCs w:val="20"/>
          <w:lang w:val="en-GB"/>
        </w:rPr>
        <w:t>indirect tax revenue and refinement of the</w:t>
      </w:r>
      <w:r w:rsidR="009F53EB">
        <w:rPr>
          <w:rFonts w:cs="Arial"/>
          <w:szCs w:val="20"/>
          <w:lang w:val="en-GB"/>
        </w:rPr>
        <w:t xml:space="preserve"> gross</w:t>
      </w:r>
      <w:r w:rsidR="00E21623" w:rsidRPr="00BA1288">
        <w:rPr>
          <w:rFonts w:cs="Arial"/>
          <w:szCs w:val="20"/>
          <w:lang w:val="en-GB"/>
        </w:rPr>
        <w:t xml:space="preserve"> value added</w:t>
      </w:r>
      <w:r w:rsidR="009F53EB">
        <w:rPr>
          <w:rFonts w:cs="Arial"/>
          <w:szCs w:val="20"/>
          <w:lang w:val="en-GB"/>
        </w:rPr>
        <w:t xml:space="preserve"> estimation</w:t>
      </w:r>
      <w:r w:rsidR="00E21623" w:rsidRPr="00BA1288">
        <w:rPr>
          <w:rFonts w:cs="Arial"/>
          <w:szCs w:val="20"/>
          <w:lang w:val="en-GB"/>
        </w:rPr>
        <w:t xml:space="preserve"> based on administrative data for </w:t>
      </w:r>
      <w:r w:rsidR="00463C73">
        <w:rPr>
          <w:rFonts w:cs="Arial"/>
          <w:szCs w:val="20"/>
          <w:lang w:val="en-GB"/>
        </w:rPr>
        <w:t>enterprises</w:t>
      </w:r>
      <w:r w:rsidR="00E21623" w:rsidRPr="00BA1288">
        <w:rPr>
          <w:rFonts w:cs="Arial"/>
          <w:szCs w:val="20"/>
          <w:lang w:val="en-GB"/>
        </w:rPr>
        <w:t xml:space="preserve"> not included in short-term statistical surveys. </w:t>
      </w:r>
    </w:p>
    <w:p w:rsidR="00DA770F" w:rsidRPr="00BA1288" w:rsidRDefault="00DA770F" w:rsidP="00291CF4">
      <w:pPr>
        <w:rPr>
          <w:rFonts w:cs="Arial"/>
          <w:szCs w:val="20"/>
          <w:lang w:val="en-GB"/>
        </w:rPr>
      </w:pPr>
    </w:p>
    <w:p w:rsidR="00837B6A" w:rsidRPr="00BA1288" w:rsidRDefault="00837B6A" w:rsidP="00291CF4">
      <w:pPr>
        <w:rPr>
          <w:rFonts w:cs="Arial"/>
          <w:szCs w:val="20"/>
          <w:lang w:val="en-GB"/>
        </w:rPr>
      </w:pPr>
      <w:r w:rsidRPr="00BA1288">
        <w:rPr>
          <w:rFonts w:cs="Arial"/>
          <w:szCs w:val="20"/>
          <w:lang w:val="en-GB"/>
        </w:rPr>
        <w:t xml:space="preserve">The economy of the CR increased in the Q1 2014, y-o-y, the most for the last three years; by the amount of its gross domestic product it thus remained only 0.3% under the level of the Q3 2011, after which it gradually slipped repeatedly back to the recession. In the current quarter it benefited from increasing of both foreign and domestic demand as well as from a very low comparison base, because the Q1 2013 was the weakest for the last four years as for economic performance. </w:t>
      </w:r>
    </w:p>
    <w:p w:rsidR="00291CF4" w:rsidRPr="00BA1288" w:rsidRDefault="00291CF4" w:rsidP="00291CF4">
      <w:pPr>
        <w:pStyle w:val="Nadpis1"/>
        <w:rPr>
          <w:rFonts w:eastAsia="Calibri" w:cs="Arial"/>
          <w:b w:val="0"/>
          <w:bCs w:val="0"/>
          <w:szCs w:val="20"/>
        </w:rPr>
      </w:pPr>
    </w:p>
    <w:p w:rsidR="009872FE" w:rsidRPr="00BA1288" w:rsidRDefault="009872FE" w:rsidP="009872FE">
      <w:pPr>
        <w:rPr>
          <w:b/>
          <w:lang w:val="en-GB"/>
        </w:rPr>
      </w:pPr>
      <w:r w:rsidRPr="00BA1288">
        <w:rPr>
          <w:b/>
          <w:lang w:val="en-GB"/>
        </w:rPr>
        <w:t>Demand components</w:t>
      </w:r>
    </w:p>
    <w:p w:rsidR="00463B82" w:rsidRPr="00BA1288" w:rsidRDefault="00291CF4" w:rsidP="00291CF4">
      <w:pPr>
        <w:rPr>
          <w:rFonts w:cs="Arial"/>
          <w:szCs w:val="20"/>
          <w:lang w:val="en-GB"/>
        </w:rPr>
      </w:pPr>
      <w:r w:rsidRPr="00BA1288">
        <w:rPr>
          <w:rFonts w:cs="Arial"/>
          <w:szCs w:val="20"/>
          <w:lang w:val="en-GB"/>
        </w:rPr>
        <w:t xml:space="preserve">The </w:t>
      </w:r>
      <w:r w:rsidRPr="00BA1288">
        <w:rPr>
          <w:rFonts w:cs="Arial"/>
          <w:b/>
          <w:szCs w:val="20"/>
          <w:lang w:val="en-GB"/>
        </w:rPr>
        <w:t xml:space="preserve">final consumption expenditure </w:t>
      </w:r>
      <w:r w:rsidRPr="00BA1288">
        <w:rPr>
          <w:rFonts w:cs="Arial"/>
          <w:szCs w:val="20"/>
          <w:lang w:val="en-GB"/>
        </w:rPr>
        <w:t>increased</w:t>
      </w:r>
      <w:r w:rsidR="00463B82" w:rsidRPr="00BA1288">
        <w:rPr>
          <w:rFonts w:cs="Arial"/>
          <w:szCs w:val="20"/>
          <w:lang w:val="en-GB"/>
        </w:rPr>
        <w:t xml:space="preserve"> in total</w:t>
      </w:r>
      <w:r w:rsidRPr="00BA1288">
        <w:rPr>
          <w:rFonts w:cs="Arial"/>
          <w:szCs w:val="20"/>
          <w:lang w:val="en-GB"/>
        </w:rPr>
        <w:t xml:space="preserve"> by </w:t>
      </w:r>
      <w:r w:rsidR="00463B82" w:rsidRPr="00BA1288">
        <w:rPr>
          <w:rFonts w:cs="Arial"/>
          <w:szCs w:val="20"/>
          <w:lang w:val="en-GB"/>
        </w:rPr>
        <w:t>1</w:t>
      </w:r>
      <w:r w:rsidRPr="00BA1288">
        <w:rPr>
          <w:rFonts w:cs="Arial"/>
          <w:szCs w:val="20"/>
          <w:lang w:val="en-GB"/>
        </w:rPr>
        <w:t>.</w:t>
      </w:r>
      <w:r w:rsidR="00463B82" w:rsidRPr="00BA1288">
        <w:rPr>
          <w:rFonts w:cs="Arial"/>
          <w:szCs w:val="20"/>
          <w:lang w:val="en-GB"/>
        </w:rPr>
        <w:t>4</w:t>
      </w:r>
      <w:r w:rsidRPr="00BA1288">
        <w:rPr>
          <w:rFonts w:cs="Arial"/>
          <w:szCs w:val="20"/>
          <w:lang w:val="en-GB"/>
        </w:rPr>
        <w:t>%, y-o-y</w:t>
      </w:r>
      <w:r w:rsidR="00463B82" w:rsidRPr="00BA1288">
        <w:rPr>
          <w:rFonts w:cs="Arial"/>
          <w:szCs w:val="20"/>
          <w:lang w:val="en-GB"/>
        </w:rPr>
        <w:t>.</w:t>
      </w:r>
      <w:r w:rsidRPr="00BA1288">
        <w:rPr>
          <w:rFonts w:cs="Arial"/>
          <w:szCs w:val="20"/>
          <w:lang w:val="en-GB"/>
        </w:rPr>
        <w:t xml:space="preserve"> </w:t>
      </w:r>
      <w:r w:rsidR="00463B82" w:rsidRPr="00BA1288">
        <w:rPr>
          <w:rFonts w:cs="Arial"/>
          <w:szCs w:val="20"/>
          <w:u w:val="single"/>
          <w:lang w:val="en-GB"/>
        </w:rPr>
        <w:t>G</w:t>
      </w:r>
      <w:r w:rsidRPr="00BA1288">
        <w:rPr>
          <w:rFonts w:cs="Arial"/>
          <w:szCs w:val="20"/>
          <w:u w:val="single"/>
          <w:lang w:val="en-GB"/>
        </w:rPr>
        <w:t>eneral government</w:t>
      </w:r>
      <w:r w:rsidRPr="00BA1288">
        <w:rPr>
          <w:rFonts w:cs="Arial"/>
          <w:szCs w:val="20"/>
          <w:lang w:val="en-GB"/>
        </w:rPr>
        <w:t xml:space="preserve"> institutions</w:t>
      </w:r>
      <w:r w:rsidR="00463B82" w:rsidRPr="00BA1288">
        <w:rPr>
          <w:rFonts w:cs="Arial"/>
          <w:szCs w:val="20"/>
          <w:lang w:val="en-GB"/>
        </w:rPr>
        <w:t xml:space="preserve"> spent by 1.4% more than a year before; in</w:t>
      </w:r>
      <w:r w:rsidRPr="00BA1288">
        <w:rPr>
          <w:rFonts w:cs="Arial"/>
          <w:szCs w:val="20"/>
          <w:lang w:val="en-GB"/>
        </w:rPr>
        <w:t xml:space="preserve"> </w:t>
      </w:r>
      <w:r w:rsidRPr="00BA1288">
        <w:rPr>
          <w:rFonts w:cs="Arial"/>
          <w:szCs w:val="20"/>
          <w:u w:val="single"/>
          <w:lang w:val="en-GB"/>
        </w:rPr>
        <w:t>households,</w:t>
      </w:r>
      <w:r w:rsidRPr="00BA1288">
        <w:rPr>
          <w:rFonts w:cs="Arial"/>
          <w:szCs w:val="20"/>
          <w:lang w:val="en-GB"/>
        </w:rPr>
        <w:t xml:space="preserve"> final consumption expenditure </w:t>
      </w:r>
      <w:r w:rsidR="00463B82" w:rsidRPr="00BA1288">
        <w:rPr>
          <w:rFonts w:cs="Arial"/>
          <w:szCs w:val="20"/>
          <w:lang w:val="en-GB"/>
        </w:rPr>
        <w:t>increased by 1.5% at lower interest in durable goods and food, while expenditure increased for housing, services, footwear, and clothing. The final consumption expenditure increased in the Q1 2014 also when compared to the Q4 2013 – by 1.3% in total (</w:t>
      </w:r>
      <w:r w:rsidR="001D4C79">
        <w:rPr>
          <w:rFonts w:cs="Arial"/>
          <w:szCs w:val="20"/>
          <w:lang w:val="en-GB"/>
        </w:rPr>
        <w:t xml:space="preserve">by </w:t>
      </w:r>
      <w:r w:rsidR="00463B82" w:rsidRPr="00BA1288">
        <w:rPr>
          <w:rFonts w:cs="Arial"/>
          <w:szCs w:val="20"/>
          <w:lang w:val="en-GB"/>
        </w:rPr>
        <w:t xml:space="preserve">1.2% in households and by 1.8% in general government). </w:t>
      </w:r>
    </w:p>
    <w:p w:rsidR="00463B82" w:rsidRPr="00BA1288" w:rsidRDefault="00463B82" w:rsidP="00291CF4">
      <w:pPr>
        <w:rPr>
          <w:rFonts w:cs="Arial"/>
          <w:szCs w:val="20"/>
          <w:lang w:val="en-GB"/>
        </w:rPr>
      </w:pPr>
    </w:p>
    <w:p w:rsidR="00291CF4" w:rsidRPr="00BA1288" w:rsidRDefault="00291CF4" w:rsidP="00291CF4">
      <w:pPr>
        <w:rPr>
          <w:rFonts w:cs="Arial"/>
          <w:szCs w:val="20"/>
          <w:lang w:val="en-GB"/>
        </w:rPr>
      </w:pPr>
      <w:r w:rsidRPr="00BA1288">
        <w:rPr>
          <w:rFonts w:cs="Arial"/>
          <w:szCs w:val="20"/>
          <w:lang w:val="en-GB"/>
        </w:rPr>
        <w:t xml:space="preserve">The total </w:t>
      </w:r>
      <w:r w:rsidR="00EF219D" w:rsidRPr="00BA1288">
        <w:rPr>
          <w:rFonts w:cs="Arial"/>
          <w:b/>
          <w:szCs w:val="20"/>
          <w:lang w:val="en-GB"/>
        </w:rPr>
        <w:t xml:space="preserve">gross </w:t>
      </w:r>
      <w:r w:rsidRPr="00BA1288">
        <w:rPr>
          <w:rFonts w:cs="Arial"/>
          <w:b/>
          <w:szCs w:val="20"/>
          <w:lang w:val="en-GB"/>
        </w:rPr>
        <w:t>capital formation</w:t>
      </w:r>
      <w:r w:rsidRPr="00BA1288">
        <w:rPr>
          <w:rFonts w:cs="Arial"/>
          <w:szCs w:val="20"/>
          <w:lang w:val="en-GB"/>
        </w:rPr>
        <w:t xml:space="preserve"> </w:t>
      </w:r>
      <w:r w:rsidR="00EF219D" w:rsidRPr="00BA1288">
        <w:rPr>
          <w:rFonts w:cs="Arial"/>
          <w:szCs w:val="20"/>
          <w:lang w:val="en-GB"/>
        </w:rPr>
        <w:t>in</w:t>
      </w:r>
      <w:r w:rsidRPr="00BA1288">
        <w:rPr>
          <w:rFonts w:cs="Arial"/>
          <w:szCs w:val="20"/>
          <w:lang w:val="en-GB"/>
        </w:rPr>
        <w:t xml:space="preserve">creased by </w:t>
      </w:r>
      <w:r w:rsidR="00575BFA" w:rsidRPr="00BA1288">
        <w:rPr>
          <w:rFonts w:cs="Arial"/>
          <w:szCs w:val="20"/>
          <w:lang w:val="en-GB"/>
        </w:rPr>
        <w:t>2.5</w:t>
      </w:r>
      <w:r w:rsidRPr="00BA1288">
        <w:rPr>
          <w:rFonts w:cs="Arial"/>
          <w:szCs w:val="20"/>
          <w:lang w:val="en-GB"/>
        </w:rPr>
        <w:t xml:space="preserve">%, y-o-y, when </w:t>
      </w:r>
      <w:r w:rsidR="00E02988" w:rsidRPr="00BA1288">
        <w:rPr>
          <w:rFonts w:cs="Arial"/>
          <w:szCs w:val="20"/>
          <w:lang w:val="en-GB"/>
        </w:rPr>
        <w:t>drop of production and goods</w:t>
      </w:r>
      <w:r w:rsidRPr="00BA1288">
        <w:rPr>
          <w:rFonts w:cs="Arial"/>
          <w:szCs w:val="20"/>
          <w:lang w:val="en-GB"/>
        </w:rPr>
        <w:t xml:space="preserve"> </w:t>
      </w:r>
      <w:r w:rsidRPr="00BA1288">
        <w:rPr>
          <w:rFonts w:cs="Arial"/>
          <w:szCs w:val="20"/>
          <w:u w:val="single"/>
          <w:lang w:val="en-GB"/>
        </w:rPr>
        <w:t>inventories</w:t>
      </w:r>
      <w:r w:rsidR="00E02988" w:rsidRPr="00BA1288">
        <w:rPr>
          <w:rFonts w:cs="Arial"/>
          <w:szCs w:val="20"/>
          <w:lang w:val="en-GB"/>
        </w:rPr>
        <w:t xml:space="preserve"> </w:t>
      </w:r>
      <w:r w:rsidR="00802DD8" w:rsidRPr="00BA1288">
        <w:rPr>
          <w:rFonts w:cs="Arial"/>
          <w:szCs w:val="20"/>
          <w:lang w:val="en-GB"/>
        </w:rPr>
        <w:t xml:space="preserve">was more than compensated by growth of </w:t>
      </w:r>
      <w:r w:rsidRPr="00BA1288">
        <w:rPr>
          <w:rFonts w:cs="Arial"/>
          <w:szCs w:val="20"/>
          <w:u w:val="single"/>
          <w:lang w:val="en-GB"/>
        </w:rPr>
        <w:t>fixed capital formation</w:t>
      </w:r>
      <w:r w:rsidRPr="00BA1288">
        <w:rPr>
          <w:rFonts w:cs="Arial"/>
          <w:szCs w:val="20"/>
          <w:lang w:val="en-GB"/>
        </w:rPr>
        <w:t xml:space="preserve"> by 5.</w:t>
      </w:r>
      <w:r w:rsidR="0070157D" w:rsidRPr="00BA1288">
        <w:rPr>
          <w:rFonts w:cs="Arial"/>
          <w:szCs w:val="20"/>
          <w:lang w:val="en-GB"/>
        </w:rPr>
        <w:t>2</w:t>
      </w:r>
      <w:r w:rsidRPr="00BA1288">
        <w:rPr>
          <w:rFonts w:cs="Arial"/>
          <w:szCs w:val="20"/>
          <w:lang w:val="en-GB"/>
        </w:rPr>
        <w:t>%</w:t>
      </w:r>
      <w:r w:rsidR="00991F23" w:rsidRPr="00BA1288">
        <w:rPr>
          <w:rFonts w:cs="Arial"/>
          <w:szCs w:val="20"/>
          <w:lang w:val="en-GB"/>
        </w:rPr>
        <w:t xml:space="preserve">. Increased investments were directed to transport equipment, machinery equipment, and </w:t>
      </w:r>
      <w:r w:rsidR="00991F23" w:rsidRPr="00BA1288">
        <w:rPr>
          <w:rFonts w:cs="Arial"/>
          <w:szCs w:val="20"/>
          <w:lang w:val="en-GB"/>
        </w:rPr>
        <w:lastRenderedPageBreak/>
        <w:t xml:space="preserve">buildings and structures except for dwellings. Quarter-on-quarter, the fixed capital formation increased by 1.2%. </w:t>
      </w:r>
    </w:p>
    <w:p w:rsidR="00991F23" w:rsidRPr="00BA1288" w:rsidRDefault="00991F23" w:rsidP="00291CF4">
      <w:pPr>
        <w:rPr>
          <w:rFonts w:cs="Arial"/>
          <w:szCs w:val="20"/>
          <w:lang w:val="en-GB"/>
        </w:rPr>
      </w:pPr>
    </w:p>
    <w:p w:rsidR="00C560F3" w:rsidRPr="00BA1288" w:rsidRDefault="00291CF4" w:rsidP="00291CF4">
      <w:pPr>
        <w:rPr>
          <w:rFonts w:cs="Arial"/>
          <w:szCs w:val="20"/>
          <w:lang w:val="en-GB"/>
        </w:rPr>
      </w:pPr>
      <w:r w:rsidRPr="00BA1288">
        <w:rPr>
          <w:rFonts w:cs="Arial"/>
          <w:szCs w:val="20"/>
          <w:lang w:val="en-GB"/>
        </w:rPr>
        <w:t>The</w:t>
      </w:r>
      <w:r w:rsidR="00C560F3" w:rsidRPr="00BA1288">
        <w:rPr>
          <w:rFonts w:cs="Arial"/>
          <w:szCs w:val="20"/>
          <w:lang w:val="en-GB"/>
        </w:rPr>
        <w:t xml:space="preserve"> overall </w:t>
      </w:r>
      <w:r w:rsidR="00BB55AA">
        <w:rPr>
          <w:rFonts w:cs="Arial"/>
          <w:szCs w:val="20"/>
          <w:lang w:val="en-GB"/>
        </w:rPr>
        <w:t>growth</w:t>
      </w:r>
      <w:r w:rsidRPr="00BA1288">
        <w:rPr>
          <w:rFonts w:cs="Arial"/>
          <w:szCs w:val="20"/>
          <w:lang w:val="en-GB"/>
        </w:rPr>
        <w:t xml:space="preserve"> of the</w:t>
      </w:r>
      <w:r w:rsidR="00C560F3" w:rsidRPr="00BA1288">
        <w:rPr>
          <w:rFonts w:cs="Arial"/>
          <w:szCs w:val="20"/>
          <w:lang w:val="en-GB"/>
        </w:rPr>
        <w:t xml:space="preserve"> economy was significantly contributed to by the</w:t>
      </w:r>
      <w:r w:rsidRPr="00BA1288">
        <w:rPr>
          <w:rFonts w:cs="Arial"/>
          <w:szCs w:val="20"/>
          <w:lang w:val="en-GB"/>
        </w:rPr>
        <w:t xml:space="preserve"> </w:t>
      </w:r>
      <w:r w:rsidRPr="00BA1288">
        <w:rPr>
          <w:rFonts w:cs="Arial"/>
          <w:b/>
          <w:szCs w:val="20"/>
          <w:lang w:val="en-GB"/>
        </w:rPr>
        <w:t>external trade</w:t>
      </w:r>
      <w:r w:rsidR="00C560F3" w:rsidRPr="00BA1288">
        <w:rPr>
          <w:rFonts w:cs="Arial"/>
          <w:szCs w:val="20"/>
          <w:lang w:val="en-GB"/>
        </w:rPr>
        <w:t>;</w:t>
      </w:r>
      <w:r w:rsidRPr="00BA1288">
        <w:rPr>
          <w:rFonts w:cs="Arial"/>
          <w:szCs w:val="20"/>
          <w:lang w:val="en-GB"/>
        </w:rPr>
        <w:t xml:space="preserve"> </w:t>
      </w:r>
      <w:r w:rsidR="00C560F3" w:rsidRPr="00BA1288">
        <w:rPr>
          <w:rFonts w:cs="Arial"/>
          <w:szCs w:val="20"/>
          <w:lang w:val="en-GB"/>
        </w:rPr>
        <w:t xml:space="preserve">exports and imports of goods were much higher y-o-y (+10.5% both) as well as q-o-q (+4.9%). The positive balance of trade in goods and services at </w:t>
      </w:r>
      <w:r w:rsidRPr="00BA1288">
        <w:rPr>
          <w:rFonts w:cs="Arial"/>
          <w:szCs w:val="20"/>
          <w:lang w:val="en-GB"/>
        </w:rPr>
        <w:t xml:space="preserve">current prices </w:t>
      </w:r>
      <w:r w:rsidR="00C560F3" w:rsidRPr="00BA1288">
        <w:rPr>
          <w:rFonts w:cs="Arial"/>
          <w:szCs w:val="20"/>
          <w:lang w:val="en-GB"/>
        </w:rPr>
        <w:t>in</w:t>
      </w:r>
      <w:r w:rsidRPr="00BA1288">
        <w:rPr>
          <w:rFonts w:cs="Arial"/>
          <w:szCs w:val="20"/>
          <w:lang w:val="en-GB"/>
        </w:rPr>
        <w:t>creased</w:t>
      </w:r>
      <w:r w:rsidR="00C560F3" w:rsidRPr="00BA1288">
        <w:rPr>
          <w:rFonts w:cs="Arial"/>
          <w:szCs w:val="20"/>
          <w:lang w:val="en-GB"/>
        </w:rPr>
        <w:t xml:space="preserve"> compared to the Q1 2013 by 46.6% and compared to the Q4 2013 by 23.4%. </w:t>
      </w:r>
    </w:p>
    <w:p w:rsidR="00291CF4" w:rsidRPr="00BA1288" w:rsidRDefault="00291CF4" w:rsidP="00291CF4">
      <w:pPr>
        <w:rPr>
          <w:rFonts w:cs="Arial"/>
          <w:szCs w:val="20"/>
          <w:lang w:val="en-GB"/>
        </w:rPr>
      </w:pPr>
    </w:p>
    <w:p w:rsidR="00C560F3" w:rsidRPr="00BA1288" w:rsidRDefault="00C560F3" w:rsidP="00291CF4">
      <w:pPr>
        <w:rPr>
          <w:rFonts w:cs="Arial"/>
          <w:b/>
          <w:szCs w:val="20"/>
          <w:lang w:val="en-GB"/>
        </w:rPr>
      </w:pPr>
      <w:r w:rsidRPr="00BA1288">
        <w:rPr>
          <w:rFonts w:cs="Arial"/>
          <w:b/>
          <w:szCs w:val="20"/>
          <w:lang w:val="en-GB"/>
        </w:rPr>
        <w:t>Structure of the supply</w:t>
      </w:r>
    </w:p>
    <w:p w:rsidR="00DF05C3" w:rsidRPr="00BA1288" w:rsidRDefault="00291CF4" w:rsidP="00291CF4">
      <w:pPr>
        <w:rPr>
          <w:rFonts w:cs="Arial"/>
          <w:szCs w:val="20"/>
          <w:lang w:val="en-GB"/>
        </w:rPr>
      </w:pPr>
      <w:r w:rsidRPr="00BA1288">
        <w:rPr>
          <w:rFonts w:cs="Arial"/>
          <w:szCs w:val="20"/>
          <w:lang w:val="en-GB"/>
        </w:rPr>
        <w:t>The total</w:t>
      </w:r>
      <w:r w:rsidRPr="00BA1288">
        <w:rPr>
          <w:rFonts w:cs="Arial"/>
          <w:b/>
          <w:szCs w:val="20"/>
          <w:lang w:val="en-GB"/>
        </w:rPr>
        <w:t xml:space="preserve"> gross value added (GVA) </w:t>
      </w:r>
      <w:r w:rsidR="00344B68" w:rsidRPr="00BA1288">
        <w:rPr>
          <w:rFonts w:cs="Arial"/>
          <w:szCs w:val="20"/>
          <w:lang w:val="en-GB"/>
        </w:rPr>
        <w:t>in</w:t>
      </w:r>
      <w:r w:rsidRPr="00BA1288">
        <w:rPr>
          <w:rFonts w:cs="Arial"/>
          <w:szCs w:val="20"/>
          <w:lang w:val="en-GB"/>
        </w:rPr>
        <w:t>creased both year-on-year (</w:t>
      </w:r>
      <w:r w:rsidR="00344B68" w:rsidRPr="00BA1288">
        <w:rPr>
          <w:rFonts w:cs="Arial"/>
          <w:szCs w:val="20"/>
          <w:lang w:val="en-GB"/>
        </w:rPr>
        <w:t>+2</w:t>
      </w:r>
      <w:r w:rsidRPr="00BA1288">
        <w:rPr>
          <w:rFonts w:cs="Arial"/>
          <w:szCs w:val="20"/>
          <w:lang w:val="en-GB"/>
        </w:rPr>
        <w:t>.2%) and quarter-on-quarter (</w:t>
      </w:r>
      <w:r w:rsidR="00344B68" w:rsidRPr="00BA1288">
        <w:rPr>
          <w:rFonts w:cs="Arial"/>
          <w:szCs w:val="20"/>
          <w:lang w:val="en-GB"/>
        </w:rPr>
        <w:t>+</w:t>
      </w:r>
      <w:r w:rsidRPr="00BA1288">
        <w:rPr>
          <w:rFonts w:cs="Arial"/>
          <w:szCs w:val="20"/>
          <w:lang w:val="en-GB"/>
        </w:rPr>
        <w:t>0.</w:t>
      </w:r>
      <w:r w:rsidR="00344B68" w:rsidRPr="00BA1288">
        <w:rPr>
          <w:rFonts w:cs="Arial"/>
          <w:szCs w:val="20"/>
          <w:lang w:val="en-GB"/>
        </w:rPr>
        <w:t>6</w:t>
      </w:r>
      <w:r w:rsidRPr="00BA1288">
        <w:rPr>
          <w:rFonts w:cs="Arial"/>
          <w:szCs w:val="20"/>
          <w:lang w:val="en-GB"/>
        </w:rPr>
        <w:t xml:space="preserve">%). </w:t>
      </w:r>
      <w:r w:rsidR="00DF05C3" w:rsidRPr="00BA1288">
        <w:rPr>
          <w:rFonts w:cs="Arial"/>
          <w:szCs w:val="20"/>
          <w:lang w:val="en-GB"/>
        </w:rPr>
        <w:t>Especially manufacturing and within that mainly manufacture of transport equipment contributed the most to the overall growth. Also construction was successful, which benefited from favourable weather conditions</w:t>
      </w:r>
      <w:r w:rsidR="00C424BD">
        <w:rPr>
          <w:rFonts w:cs="Arial"/>
          <w:szCs w:val="20"/>
          <w:lang w:val="en-GB"/>
        </w:rPr>
        <w:t>,</w:t>
      </w:r>
      <w:r w:rsidR="00DF05C3" w:rsidRPr="00BA1288">
        <w:rPr>
          <w:rFonts w:cs="Arial"/>
          <w:szCs w:val="20"/>
          <w:lang w:val="en-GB"/>
        </w:rPr>
        <w:t xml:space="preserve"> as well as agriculture, trade, and restaurants and many industries of services, mainly real estate activities. </w:t>
      </w:r>
    </w:p>
    <w:p w:rsidR="00AA3FC2" w:rsidRPr="00BA1288" w:rsidRDefault="00AA3FC2" w:rsidP="00291CF4">
      <w:pPr>
        <w:rPr>
          <w:rFonts w:cs="Arial"/>
          <w:szCs w:val="20"/>
          <w:lang w:val="en-GB"/>
        </w:rPr>
      </w:pPr>
    </w:p>
    <w:p w:rsidR="00AA3FC2" w:rsidRPr="00BA1288" w:rsidRDefault="00AA3FC2" w:rsidP="00291CF4">
      <w:pPr>
        <w:rPr>
          <w:rFonts w:cs="Arial"/>
          <w:szCs w:val="20"/>
          <w:lang w:val="en-GB"/>
        </w:rPr>
      </w:pPr>
      <w:r w:rsidRPr="00BA1288">
        <w:rPr>
          <w:rFonts w:cs="Arial"/>
          <w:b/>
          <w:szCs w:val="20"/>
          <w:lang w:val="en-GB"/>
        </w:rPr>
        <w:t xml:space="preserve">Taxes on products </w:t>
      </w:r>
      <w:r w:rsidR="00E06402" w:rsidRPr="00BA1288">
        <w:rPr>
          <w:rFonts w:cs="Arial"/>
          <w:szCs w:val="20"/>
          <w:lang w:val="en-GB"/>
        </w:rPr>
        <w:t xml:space="preserve">(especially the value added tax and excise </w:t>
      </w:r>
      <w:r w:rsidR="00AF1A8B">
        <w:rPr>
          <w:rFonts w:cs="Arial"/>
          <w:szCs w:val="20"/>
          <w:lang w:val="en-GB"/>
        </w:rPr>
        <w:t>tax</w:t>
      </w:r>
      <w:r w:rsidR="00552FFC" w:rsidRPr="00BA1288">
        <w:rPr>
          <w:rFonts w:cs="Arial"/>
          <w:szCs w:val="20"/>
          <w:lang w:val="en-GB"/>
        </w:rPr>
        <w:t>es</w:t>
      </w:r>
      <w:r w:rsidR="00E06402" w:rsidRPr="00BA1288">
        <w:rPr>
          <w:rFonts w:cs="Arial"/>
          <w:szCs w:val="20"/>
          <w:lang w:val="en-GB"/>
        </w:rPr>
        <w:t>)</w:t>
      </w:r>
      <w:r w:rsidR="00552FFC" w:rsidRPr="00BA1288">
        <w:rPr>
          <w:rFonts w:cs="Arial"/>
          <w:szCs w:val="20"/>
          <w:lang w:val="en-GB"/>
        </w:rPr>
        <w:t xml:space="preserve"> increased by 4.9%, y-o-y; however, in the quarter-on-quarter comparison, they dropped by 1.4% with regards to irregular development of collection</w:t>
      </w:r>
      <w:r w:rsidR="00020314">
        <w:rPr>
          <w:rFonts w:cs="Arial"/>
          <w:szCs w:val="20"/>
          <w:lang w:val="en-GB"/>
        </w:rPr>
        <w:t xml:space="preserve"> of</w:t>
      </w:r>
      <w:r w:rsidR="00552FFC" w:rsidRPr="00BA1288">
        <w:rPr>
          <w:rFonts w:cs="Arial"/>
          <w:szCs w:val="20"/>
          <w:lang w:val="en-GB"/>
        </w:rPr>
        <w:t xml:space="preserve"> excise </w:t>
      </w:r>
      <w:r w:rsidR="00AF1A8B">
        <w:rPr>
          <w:rFonts w:cs="Arial"/>
          <w:szCs w:val="20"/>
          <w:lang w:val="en-GB"/>
        </w:rPr>
        <w:t>tax</w:t>
      </w:r>
      <w:r w:rsidR="00552FFC" w:rsidRPr="00BA1288">
        <w:rPr>
          <w:rFonts w:cs="Arial"/>
          <w:szCs w:val="20"/>
          <w:lang w:val="en-GB"/>
        </w:rPr>
        <w:t xml:space="preserve">es on tobacco products. It was the reason why the GDP grew more slowly, q-o-q, compared to the GVA development. </w:t>
      </w:r>
    </w:p>
    <w:p w:rsidR="00291CF4" w:rsidRPr="00BA1288" w:rsidRDefault="00291CF4" w:rsidP="00291CF4">
      <w:pPr>
        <w:rPr>
          <w:rFonts w:cs="Arial"/>
          <w:szCs w:val="20"/>
          <w:lang w:val="en-GB"/>
        </w:rPr>
      </w:pPr>
    </w:p>
    <w:p w:rsidR="00AA3FC2" w:rsidRPr="00BA1288" w:rsidRDefault="00AA3FC2" w:rsidP="00291CF4">
      <w:pPr>
        <w:rPr>
          <w:rFonts w:cs="Arial"/>
          <w:b/>
          <w:szCs w:val="20"/>
          <w:lang w:val="en-GB"/>
        </w:rPr>
      </w:pPr>
      <w:r w:rsidRPr="00BA1288">
        <w:rPr>
          <w:rFonts w:cs="Arial"/>
          <w:b/>
          <w:szCs w:val="20"/>
          <w:lang w:val="en-GB"/>
        </w:rPr>
        <w:t>Employment</w:t>
      </w:r>
    </w:p>
    <w:p w:rsidR="00BA1288" w:rsidRPr="00BA1288" w:rsidRDefault="00291CF4" w:rsidP="00291CF4">
      <w:pPr>
        <w:rPr>
          <w:rFonts w:cs="Arial"/>
          <w:szCs w:val="20"/>
          <w:lang w:val="en-GB"/>
        </w:rPr>
      </w:pPr>
      <w:r w:rsidRPr="00BA1288">
        <w:rPr>
          <w:rFonts w:cs="Arial"/>
          <w:szCs w:val="20"/>
          <w:lang w:val="en-GB"/>
        </w:rPr>
        <w:t xml:space="preserve">In the Czech Republic, </w:t>
      </w:r>
      <w:r w:rsidR="00BA1288" w:rsidRPr="00BA1288">
        <w:rPr>
          <w:rFonts w:cs="Arial"/>
          <w:szCs w:val="20"/>
          <w:lang w:val="en-GB"/>
        </w:rPr>
        <w:t xml:space="preserve">in terms of national accounts, 5 145 thousand persons were employed on average; the total employment increased by </w:t>
      </w:r>
      <w:r w:rsidR="00F30A08">
        <w:rPr>
          <w:rFonts w:cs="Arial"/>
          <w:szCs w:val="20"/>
          <w:lang w:val="en-GB"/>
        </w:rPr>
        <w:t xml:space="preserve">0.5% both in the y-o-y as well as q-o-q comparison. </w:t>
      </w:r>
    </w:p>
    <w:p w:rsidR="00BA1288" w:rsidRPr="00BA1288" w:rsidRDefault="00BA1288" w:rsidP="00291CF4">
      <w:pPr>
        <w:rPr>
          <w:rFonts w:cs="Arial"/>
          <w:szCs w:val="20"/>
          <w:lang w:val="en-GB"/>
        </w:rPr>
      </w:pPr>
    </w:p>
    <w:p w:rsidR="00291CF4" w:rsidRPr="00BA1288" w:rsidRDefault="00291CF4" w:rsidP="00291CF4">
      <w:pPr>
        <w:rPr>
          <w:rFonts w:cs="Arial"/>
          <w:szCs w:val="20"/>
          <w:lang w:val="en-GB"/>
        </w:rPr>
      </w:pPr>
    </w:p>
    <w:p w:rsidR="00291CF4" w:rsidRPr="00BA1288" w:rsidRDefault="00291CF4" w:rsidP="00291CF4">
      <w:pPr>
        <w:pStyle w:val="Poznmky"/>
        <w:ind w:left="3600" w:hanging="3600"/>
        <w:rPr>
          <w:i/>
          <w:lang w:val="en-GB"/>
        </w:rPr>
      </w:pPr>
      <w:r w:rsidRPr="00BA1288">
        <w:rPr>
          <w:i/>
          <w:lang w:val="en-GB"/>
        </w:rPr>
        <w:t>Contact person:</w:t>
      </w:r>
      <w:r w:rsidRPr="00BA1288">
        <w:rPr>
          <w:i/>
          <w:lang w:val="en-GB"/>
        </w:rPr>
        <w:tab/>
        <w:t>Jan Heller, Director of the Quarterly National Accounts Department, phone number (+420) 274 052 865, e-mail: jan.heller@czso.cz</w:t>
      </w:r>
    </w:p>
    <w:p w:rsidR="00291CF4" w:rsidRPr="00BA1288" w:rsidRDefault="00291CF4" w:rsidP="00291CF4">
      <w:pPr>
        <w:pStyle w:val="Poznamkytexty"/>
        <w:ind w:left="3600" w:hanging="3600"/>
        <w:rPr>
          <w:lang w:val="en-GB"/>
        </w:rPr>
      </w:pPr>
      <w:r w:rsidRPr="00BA1288">
        <w:rPr>
          <w:lang w:val="en-GB"/>
        </w:rPr>
        <w:t>Used data sources updated as at:</w:t>
      </w:r>
      <w:r w:rsidRPr="00BA1288">
        <w:rPr>
          <w:lang w:val="en-GB"/>
        </w:rPr>
        <w:tab/>
        <w:t xml:space="preserve">2 </w:t>
      </w:r>
      <w:r w:rsidR="00537FE9" w:rsidRPr="00BA1288">
        <w:rPr>
          <w:lang w:val="en-GB"/>
        </w:rPr>
        <w:t>June 2014</w:t>
      </w:r>
    </w:p>
    <w:p w:rsidR="00291CF4" w:rsidRPr="00BA1288" w:rsidRDefault="00291CF4" w:rsidP="00291CF4">
      <w:pPr>
        <w:pStyle w:val="Poznamkytexty"/>
        <w:ind w:left="3600" w:hanging="3600"/>
        <w:rPr>
          <w:lang w:val="en-GB"/>
        </w:rPr>
      </w:pPr>
      <w:r w:rsidRPr="00BA1288">
        <w:rPr>
          <w:lang w:val="en-GB"/>
        </w:rPr>
        <w:t>Related CZSO web page:</w:t>
      </w:r>
      <w:r w:rsidRPr="00BA1288">
        <w:rPr>
          <w:lang w:val="en-GB"/>
        </w:rPr>
        <w:tab/>
      </w:r>
      <w:r w:rsidR="00537FE9" w:rsidRPr="00BA1288">
        <w:rPr>
          <w:lang w:val="en-GB"/>
        </w:rPr>
        <w:t>www.czso.cz/csu/csu.nsf/engkalendar/aktual-hdp</w:t>
      </w:r>
    </w:p>
    <w:p w:rsidR="00291CF4" w:rsidRPr="00BA1288" w:rsidRDefault="00291CF4" w:rsidP="00291CF4">
      <w:pPr>
        <w:pStyle w:val="Poznamkytexty"/>
        <w:ind w:left="3600" w:hanging="3600"/>
        <w:rPr>
          <w:lang w:val="en-GB"/>
        </w:rPr>
      </w:pPr>
      <w:r w:rsidRPr="00BA1288">
        <w:rPr>
          <w:lang w:val="en-GB"/>
        </w:rPr>
        <w:t>Next Release will be published on:</w:t>
      </w:r>
      <w:r w:rsidRPr="00BA1288">
        <w:rPr>
          <w:lang w:val="en-GB"/>
        </w:rPr>
        <w:tab/>
      </w:r>
      <w:r w:rsidR="00537FE9" w:rsidRPr="00BA1288">
        <w:rPr>
          <w:lang w:val="en-GB"/>
        </w:rPr>
        <w:t>1</w:t>
      </w:r>
      <w:r w:rsidRPr="00BA1288">
        <w:rPr>
          <w:lang w:val="en-GB"/>
        </w:rPr>
        <w:t xml:space="preserve"> J</w:t>
      </w:r>
      <w:r w:rsidR="00537FE9" w:rsidRPr="00BA1288">
        <w:rPr>
          <w:lang w:val="en-GB"/>
        </w:rPr>
        <w:t>uly</w:t>
      </w:r>
      <w:r w:rsidRPr="00BA1288">
        <w:rPr>
          <w:lang w:val="en-GB"/>
        </w:rPr>
        <w:t xml:space="preserve"> 201</w:t>
      </w:r>
      <w:r w:rsidR="00537FE9" w:rsidRPr="00BA1288">
        <w:rPr>
          <w:lang w:val="en-GB"/>
        </w:rPr>
        <w:t>4</w:t>
      </w:r>
      <w:r w:rsidRPr="00BA1288">
        <w:rPr>
          <w:lang w:val="en-GB"/>
        </w:rPr>
        <w:t xml:space="preserve"> (Quarterly national accounts for the </w:t>
      </w:r>
      <w:r w:rsidR="00537FE9" w:rsidRPr="00BA1288">
        <w:rPr>
          <w:lang w:val="en-GB"/>
        </w:rPr>
        <w:t>first</w:t>
      </w:r>
      <w:r w:rsidRPr="00BA1288">
        <w:rPr>
          <w:lang w:val="en-GB"/>
        </w:rPr>
        <w:t xml:space="preserve"> quarter of 201</w:t>
      </w:r>
      <w:r w:rsidR="00537FE9" w:rsidRPr="00BA1288">
        <w:rPr>
          <w:lang w:val="en-GB"/>
        </w:rPr>
        <w:t>4</w:t>
      </w:r>
      <w:r w:rsidRPr="00BA1288">
        <w:rPr>
          <w:lang w:val="en-GB"/>
        </w:rPr>
        <w:t>)</w:t>
      </w:r>
    </w:p>
    <w:p w:rsidR="00D209A7" w:rsidRPr="00BA1288" w:rsidRDefault="00D209A7" w:rsidP="00291CF4">
      <w:pPr>
        <w:rPr>
          <w:i/>
          <w:sz w:val="18"/>
          <w:szCs w:val="18"/>
          <w:lang w:val="en-GB"/>
        </w:rPr>
      </w:pPr>
    </w:p>
    <w:sectPr w:rsidR="00D209A7" w:rsidRPr="00BA1288"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1E" w:rsidRDefault="009A111E" w:rsidP="00BA6370">
      <w:r>
        <w:separator/>
      </w:r>
    </w:p>
  </w:endnote>
  <w:endnote w:type="continuationSeparator" w:id="0">
    <w:p w:rsidR="009A111E" w:rsidRDefault="009A111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25871">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F25871" w:rsidRPr="007E75DE">
                  <w:rPr>
                    <w:rFonts w:cs="Arial"/>
                    <w:szCs w:val="15"/>
                  </w:rPr>
                  <w:fldChar w:fldCharType="begin"/>
                </w:r>
                <w:r w:rsidRPr="007E75DE">
                  <w:rPr>
                    <w:rFonts w:cs="Arial"/>
                    <w:szCs w:val="15"/>
                  </w:rPr>
                  <w:instrText xml:space="preserve"> PAGE   \* MERGEFORMAT </w:instrText>
                </w:r>
                <w:r w:rsidR="00F25871" w:rsidRPr="007E75DE">
                  <w:rPr>
                    <w:rFonts w:cs="Arial"/>
                    <w:szCs w:val="15"/>
                  </w:rPr>
                  <w:fldChar w:fldCharType="separate"/>
                </w:r>
                <w:r w:rsidR="00AF1A8B">
                  <w:rPr>
                    <w:rFonts w:cs="Arial"/>
                    <w:noProof/>
                    <w:szCs w:val="15"/>
                  </w:rPr>
                  <w:t>1</w:t>
                </w:r>
                <w:r w:rsidR="00F25871" w:rsidRPr="007E75DE">
                  <w:rPr>
                    <w:rFonts w:cs="Arial"/>
                    <w:szCs w:val="15"/>
                  </w:rPr>
                  <w:fldChar w:fldCharType="end"/>
                </w:r>
              </w:p>
            </w:txbxContent>
          </v:textbox>
          <w10:wrap anchorx="page" anchory="page"/>
        </v:shape>
      </w:pict>
    </w:r>
    <w:r w:rsidRPr="00F25871">
      <w:rPr>
        <w:noProof/>
        <w:lang w:val="en-GB"/>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1E" w:rsidRDefault="009A111E" w:rsidP="00BA6370">
      <w:r>
        <w:separator/>
      </w:r>
    </w:p>
  </w:footnote>
  <w:footnote w:type="continuationSeparator" w:id="0">
    <w:p w:rsidR="009A111E" w:rsidRDefault="009A111E" w:rsidP="00BA6370">
      <w:r>
        <w:continuationSeparator/>
      </w:r>
    </w:p>
  </w:footnote>
  <w:footnote w:id="1">
    <w:p w:rsidR="00291CF4" w:rsidRPr="0015242B" w:rsidRDefault="00291CF4" w:rsidP="00291CF4">
      <w:pPr>
        <w:pStyle w:val="Textpoznpodarou"/>
        <w:rPr>
          <w:i/>
          <w:lang w:val="en-GB"/>
        </w:rPr>
      </w:pPr>
      <w:r w:rsidRPr="0015242B">
        <w:rPr>
          <w:rStyle w:val="Znakapoznpodarou"/>
          <w:rFonts w:eastAsia="Calibri"/>
          <w:i/>
        </w:rPr>
        <w:t>*/</w:t>
      </w:r>
      <w:r w:rsidRPr="0015242B">
        <w:rPr>
          <w:i/>
        </w:rPr>
        <w:t xml:space="preserve"> </w:t>
      </w:r>
      <w:r w:rsidRPr="0015242B">
        <w:rPr>
          <w:rFonts w:ascii="Arial" w:hAnsi="Arial" w:cs="Arial"/>
          <w:i/>
          <w:lang w:val="en-GB"/>
        </w:rPr>
        <w:t>Unless otherwise stated, all data presented in this news release are adjusted for price, seasonal, and calendar effects.</w:t>
      </w:r>
    </w:p>
    <w:p w:rsidR="00291CF4" w:rsidRDefault="00291CF4" w:rsidP="00291CF4">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F25871">
    <w:pPr>
      <w:pStyle w:val="Zhlav"/>
    </w:pPr>
    <w:r>
      <w:rPr>
        <w:noProof/>
        <w:lang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ACD"/>
    <w:rsid w:val="00020314"/>
    <w:rsid w:val="00043BF4"/>
    <w:rsid w:val="00067E1E"/>
    <w:rsid w:val="00070415"/>
    <w:rsid w:val="000843A5"/>
    <w:rsid w:val="00091722"/>
    <w:rsid w:val="000B33FD"/>
    <w:rsid w:val="000B3B6E"/>
    <w:rsid w:val="000B6F63"/>
    <w:rsid w:val="00116ED1"/>
    <w:rsid w:val="00131419"/>
    <w:rsid w:val="0013242C"/>
    <w:rsid w:val="0013352C"/>
    <w:rsid w:val="001404AB"/>
    <w:rsid w:val="0017231D"/>
    <w:rsid w:val="00176E26"/>
    <w:rsid w:val="0018061F"/>
    <w:rsid w:val="001810DC"/>
    <w:rsid w:val="001B607F"/>
    <w:rsid w:val="001C71FD"/>
    <w:rsid w:val="001D369A"/>
    <w:rsid w:val="001D4C79"/>
    <w:rsid w:val="001F08B3"/>
    <w:rsid w:val="002070FB"/>
    <w:rsid w:val="00213729"/>
    <w:rsid w:val="002406FA"/>
    <w:rsid w:val="00291CF4"/>
    <w:rsid w:val="002B2E47"/>
    <w:rsid w:val="002C193C"/>
    <w:rsid w:val="002D37F5"/>
    <w:rsid w:val="0032398D"/>
    <w:rsid w:val="003301A3"/>
    <w:rsid w:val="0033239E"/>
    <w:rsid w:val="00344B68"/>
    <w:rsid w:val="00357880"/>
    <w:rsid w:val="0036777B"/>
    <w:rsid w:val="00380178"/>
    <w:rsid w:val="0038282A"/>
    <w:rsid w:val="00397580"/>
    <w:rsid w:val="003A45C8"/>
    <w:rsid w:val="003B0F1E"/>
    <w:rsid w:val="003B7F42"/>
    <w:rsid w:val="003C2DCF"/>
    <w:rsid w:val="003C3372"/>
    <w:rsid w:val="003C7FE7"/>
    <w:rsid w:val="003D0499"/>
    <w:rsid w:val="003D3576"/>
    <w:rsid w:val="003E2271"/>
    <w:rsid w:val="003F526A"/>
    <w:rsid w:val="00405244"/>
    <w:rsid w:val="00436D82"/>
    <w:rsid w:val="004436EE"/>
    <w:rsid w:val="0045047F"/>
    <w:rsid w:val="0045547F"/>
    <w:rsid w:val="00463B82"/>
    <w:rsid w:val="00463C73"/>
    <w:rsid w:val="004920AD"/>
    <w:rsid w:val="004C4254"/>
    <w:rsid w:val="004D05B3"/>
    <w:rsid w:val="004D44EC"/>
    <w:rsid w:val="004E479E"/>
    <w:rsid w:val="004F78E6"/>
    <w:rsid w:val="00500FE1"/>
    <w:rsid w:val="00512D99"/>
    <w:rsid w:val="00531DBB"/>
    <w:rsid w:val="0053689E"/>
    <w:rsid w:val="00537FE9"/>
    <w:rsid w:val="005409A4"/>
    <w:rsid w:val="00552FFC"/>
    <w:rsid w:val="00564213"/>
    <w:rsid w:val="00575BFA"/>
    <w:rsid w:val="00575D80"/>
    <w:rsid w:val="005B3FB7"/>
    <w:rsid w:val="005E6646"/>
    <w:rsid w:val="005F79FB"/>
    <w:rsid w:val="00604406"/>
    <w:rsid w:val="00605F4A"/>
    <w:rsid w:val="00607822"/>
    <w:rsid w:val="006103AA"/>
    <w:rsid w:val="00613BBF"/>
    <w:rsid w:val="00622B80"/>
    <w:rsid w:val="006400BA"/>
    <w:rsid w:val="0064139A"/>
    <w:rsid w:val="00667B85"/>
    <w:rsid w:val="006852D3"/>
    <w:rsid w:val="006B4FE2"/>
    <w:rsid w:val="006D5C60"/>
    <w:rsid w:val="006E024F"/>
    <w:rsid w:val="006E4E81"/>
    <w:rsid w:val="0070157D"/>
    <w:rsid w:val="007062C2"/>
    <w:rsid w:val="00707F7D"/>
    <w:rsid w:val="00717EC5"/>
    <w:rsid w:val="00720528"/>
    <w:rsid w:val="007229D3"/>
    <w:rsid w:val="00755D8B"/>
    <w:rsid w:val="00763787"/>
    <w:rsid w:val="00781630"/>
    <w:rsid w:val="007A0CA5"/>
    <w:rsid w:val="007A57F2"/>
    <w:rsid w:val="007B1333"/>
    <w:rsid w:val="007B5795"/>
    <w:rsid w:val="007F358E"/>
    <w:rsid w:val="007F4AEB"/>
    <w:rsid w:val="007F75B2"/>
    <w:rsid w:val="00802DD8"/>
    <w:rsid w:val="008043C4"/>
    <w:rsid w:val="00820061"/>
    <w:rsid w:val="00831B1B"/>
    <w:rsid w:val="00837B6A"/>
    <w:rsid w:val="00855FB3"/>
    <w:rsid w:val="00861D0E"/>
    <w:rsid w:val="00867569"/>
    <w:rsid w:val="00885C0D"/>
    <w:rsid w:val="00895074"/>
    <w:rsid w:val="00897F95"/>
    <w:rsid w:val="008A750A"/>
    <w:rsid w:val="008B3970"/>
    <w:rsid w:val="008C384C"/>
    <w:rsid w:val="008D0F11"/>
    <w:rsid w:val="008F1C02"/>
    <w:rsid w:val="008F68A2"/>
    <w:rsid w:val="008F73B4"/>
    <w:rsid w:val="009035E8"/>
    <w:rsid w:val="00924B9A"/>
    <w:rsid w:val="00971374"/>
    <w:rsid w:val="009872FE"/>
    <w:rsid w:val="00991F23"/>
    <w:rsid w:val="009A0BC4"/>
    <w:rsid w:val="009A111E"/>
    <w:rsid w:val="009B55B1"/>
    <w:rsid w:val="009D5557"/>
    <w:rsid w:val="009E39C5"/>
    <w:rsid w:val="009E5E19"/>
    <w:rsid w:val="009F313D"/>
    <w:rsid w:val="009F53EB"/>
    <w:rsid w:val="00A4343D"/>
    <w:rsid w:val="00A502F1"/>
    <w:rsid w:val="00A547E2"/>
    <w:rsid w:val="00A6008B"/>
    <w:rsid w:val="00A70A83"/>
    <w:rsid w:val="00A73B63"/>
    <w:rsid w:val="00A81EB3"/>
    <w:rsid w:val="00A9627D"/>
    <w:rsid w:val="00AA3FC2"/>
    <w:rsid w:val="00AC3140"/>
    <w:rsid w:val="00AD4F67"/>
    <w:rsid w:val="00AF1A8B"/>
    <w:rsid w:val="00B00C1D"/>
    <w:rsid w:val="00B14ACD"/>
    <w:rsid w:val="00B32DFB"/>
    <w:rsid w:val="00B632CC"/>
    <w:rsid w:val="00BA1288"/>
    <w:rsid w:val="00BA12F1"/>
    <w:rsid w:val="00BA439F"/>
    <w:rsid w:val="00BA6370"/>
    <w:rsid w:val="00BB55AA"/>
    <w:rsid w:val="00C269D4"/>
    <w:rsid w:val="00C4160D"/>
    <w:rsid w:val="00C424BD"/>
    <w:rsid w:val="00C560F3"/>
    <w:rsid w:val="00C8406E"/>
    <w:rsid w:val="00CB2709"/>
    <w:rsid w:val="00CB6F89"/>
    <w:rsid w:val="00CE228C"/>
    <w:rsid w:val="00CE5E30"/>
    <w:rsid w:val="00CE71D9"/>
    <w:rsid w:val="00CF545B"/>
    <w:rsid w:val="00D209A7"/>
    <w:rsid w:val="00D27D69"/>
    <w:rsid w:val="00D33AC1"/>
    <w:rsid w:val="00D448C2"/>
    <w:rsid w:val="00D666C3"/>
    <w:rsid w:val="00D67580"/>
    <w:rsid w:val="00D811AB"/>
    <w:rsid w:val="00DA770F"/>
    <w:rsid w:val="00DD7E4D"/>
    <w:rsid w:val="00DF05C3"/>
    <w:rsid w:val="00DF47FE"/>
    <w:rsid w:val="00DF70C7"/>
    <w:rsid w:val="00E0156A"/>
    <w:rsid w:val="00E02988"/>
    <w:rsid w:val="00E06402"/>
    <w:rsid w:val="00E21623"/>
    <w:rsid w:val="00E26704"/>
    <w:rsid w:val="00E31980"/>
    <w:rsid w:val="00E6423C"/>
    <w:rsid w:val="00E71483"/>
    <w:rsid w:val="00E8158A"/>
    <w:rsid w:val="00E87F50"/>
    <w:rsid w:val="00E91462"/>
    <w:rsid w:val="00E93830"/>
    <w:rsid w:val="00E93E0E"/>
    <w:rsid w:val="00EB1A25"/>
    <w:rsid w:val="00EB1ED3"/>
    <w:rsid w:val="00EE70B7"/>
    <w:rsid w:val="00EF219D"/>
    <w:rsid w:val="00F1299F"/>
    <w:rsid w:val="00F23633"/>
    <w:rsid w:val="00F25871"/>
    <w:rsid w:val="00F30A08"/>
    <w:rsid w:val="00F314B7"/>
    <w:rsid w:val="00F553DF"/>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B32D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B32DFB"/>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B32DFB"/>
    <w:rPr>
      <w:rFonts w:ascii="Times New Roman" w:eastAsia="Times New Roman" w:hAnsi="Times New Roman"/>
      <w:lang w:eastAsia="en-US"/>
    </w:rPr>
  </w:style>
  <w:style w:type="paragraph" w:customStyle="1" w:styleId="Poznamkytexty">
    <w:name w:val="Poznamky texty"/>
    <w:basedOn w:val="Poznmky"/>
    <w:qFormat/>
    <w:rsid w:val="00B32DFB"/>
    <w:pPr>
      <w:pBdr>
        <w:top w:val="none" w:sz="0" w:space="0" w:color="auto"/>
      </w:pBdr>
      <w:spacing w:before="0"/>
      <w:jc w:val="both"/>
    </w:pPr>
    <w:rPr>
      <w:i/>
    </w:rPr>
  </w:style>
  <w:style w:type="character" w:styleId="Znakapoznpodarou">
    <w:name w:val="footnote reference"/>
    <w:semiHidden/>
    <w:unhideWhenUsed/>
    <w:rsid w:val="00B32DFB"/>
    <w:rPr>
      <w:vertAlign w:val="superscript"/>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8593266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6069-1E20-4DB1-B498-DD925F03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158</TotalTime>
  <Pages>2</Pages>
  <Words>567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3909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Svatošová</cp:lastModifiedBy>
  <cp:revision>73</cp:revision>
  <cp:lastPrinted>2014-06-03T09:01:00Z</cp:lastPrinted>
  <dcterms:created xsi:type="dcterms:W3CDTF">2014-03-31T08:18:00Z</dcterms:created>
  <dcterms:modified xsi:type="dcterms:W3CDTF">2014-06-03T11:00:00Z</dcterms:modified>
</cp:coreProperties>
</file>