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4C" w:rsidRPr="00500869" w:rsidRDefault="00755D4C" w:rsidP="00755D4C">
      <w:pPr>
        <w:pStyle w:val="Nzev"/>
        <w:rPr>
          <w:rFonts w:eastAsia="Calibri" w:cs="Arial"/>
          <w:bCs w:val="0"/>
          <w:color w:val="auto"/>
          <w:sz w:val="18"/>
          <w:szCs w:val="22"/>
        </w:rPr>
      </w:pPr>
      <w:r w:rsidRPr="00500869">
        <w:rPr>
          <w:rFonts w:eastAsia="Calibri" w:cs="Arial"/>
          <w:bCs w:val="0"/>
          <w:color w:val="auto"/>
          <w:sz w:val="18"/>
          <w:szCs w:val="22"/>
        </w:rPr>
        <w:t>6</w:t>
      </w:r>
      <w:r w:rsidR="00500869" w:rsidRPr="00500869">
        <w:rPr>
          <w:rFonts w:eastAsia="Calibri" w:cs="Arial"/>
          <w:bCs w:val="0"/>
          <w:color w:val="auto"/>
          <w:sz w:val="18"/>
          <w:szCs w:val="22"/>
        </w:rPr>
        <w:t xml:space="preserve"> March</w:t>
      </w:r>
      <w:r w:rsidRPr="00500869">
        <w:rPr>
          <w:rFonts w:eastAsia="Calibri" w:cs="Arial"/>
          <w:bCs w:val="0"/>
          <w:color w:val="auto"/>
          <w:sz w:val="18"/>
          <w:szCs w:val="22"/>
        </w:rPr>
        <w:t xml:space="preserve"> 2014</w:t>
      </w:r>
    </w:p>
    <w:p w:rsidR="00755D4C" w:rsidRPr="00500869" w:rsidRDefault="00500869" w:rsidP="00755D4C">
      <w:pPr>
        <w:pStyle w:val="Nzev"/>
      </w:pPr>
      <w:r w:rsidRPr="00500869">
        <w:t>G</w:t>
      </w:r>
      <w:r w:rsidR="00755D4C" w:rsidRPr="00500869">
        <w:t xml:space="preserve">DP </w:t>
      </w:r>
      <w:r w:rsidRPr="00500869">
        <w:t>in</w:t>
      </w:r>
      <w:r w:rsidR="00755D4C" w:rsidRPr="00500869">
        <w:t xml:space="preserve"> 2013 </w:t>
      </w:r>
      <w:r w:rsidRPr="00500869">
        <w:t>dropped due to fall of investments</w:t>
      </w:r>
      <w:r w:rsidR="00755D4C" w:rsidRPr="00500869">
        <w:t xml:space="preserve"> </w:t>
      </w:r>
    </w:p>
    <w:p w:rsidR="00755D4C" w:rsidRPr="00500869" w:rsidRDefault="006A120A" w:rsidP="00755D4C">
      <w:pPr>
        <w:pStyle w:val="Nadpis2"/>
        <w:tabs>
          <w:tab w:val="left" w:pos="6237"/>
        </w:tabs>
        <w:rPr>
          <w:lang w:val="en-GB"/>
        </w:rPr>
      </w:pPr>
      <w:r>
        <w:rPr>
          <w:lang w:val="en-GB"/>
        </w:rPr>
        <w:t>GDP resources and uses</w:t>
      </w:r>
      <w:r w:rsidR="00755D4C" w:rsidRPr="00500869">
        <w:rPr>
          <w:lang w:val="en-GB"/>
        </w:rPr>
        <w:t xml:space="preserve"> </w:t>
      </w:r>
      <w:r w:rsidR="00500869" w:rsidRPr="00500869">
        <w:rPr>
          <w:lang w:val="en-GB"/>
        </w:rPr>
        <w:t>–</w:t>
      </w:r>
      <w:r w:rsidR="00755D4C" w:rsidRPr="00500869">
        <w:rPr>
          <w:lang w:val="en-GB"/>
        </w:rPr>
        <w:t xml:space="preserve"> </w:t>
      </w:r>
      <w:r w:rsidR="00500869" w:rsidRPr="00500869">
        <w:rPr>
          <w:lang w:val="en-GB"/>
        </w:rPr>
        <w:t>the fourth quarter of</w:t>
      </w:r>
      <w:r w:rsidR="00755D4C" w:rsidRPr="00500869">
        <w:rPr>
          <w:lang w:val="en-GB"/>
        </w:rPr>
        <w:t xml:space="preserve"> 2013</w:t>
      </w:r>
    </w:p>
    <w:p w:rsidR="00755D4C" w:rsidRPr="00500869" w:rsidRDefault="00755D4C" w:rsidP="00755D4C">
      <w:pPr>
        <w:rPr>
          <w:rFonts w:cs="Arial"/>
          <w:b/>
          <w:szCs w:val="18"/>
          <w:lang w:val="en-GB"/>
        </w:rPr>
      </w:pPr>
    </w:p>
    <w:p w:rsidR="00755D4C" w:rsidRPr="00500869" w:rsidRDefault="00755D4C" w:rsidP="00755D4C">
      <w:pPr>
        <w:rPr>
          <w:rFonts w:cs="Arial"/>
          <w:b/>
          <w:szCs w:val="18"/>
          <w:lang w:val="en-GB"/>
        </w:rPr>
      </w:pPr>
    </w:p>
    <w:p w:rsidR="003A5EB6" w:rsidRDefault="003A5EB6" w:rsidP="00755D4C">
      <w:pPr>
        <w:rPr>
          <w:rFonts w:cs="Arial"/>
          <w:b/>
          <w:szCs w:val="18"/>
          <w:lang w:val="en-GB"/>
        </w:rPr>
      </w:pPr>
      <w:r>
        <w:rPr>
          <w:rFonts w:cs="Arial"/>
          <w:b/>
          <w:szCs w:val="18"/>
          <w:lang w:val="en-GB"/>
        </w:rPr>
        <w:t xml:space="preserve">The gross domestic product adjusted for price, seasonal, and calendar effects decreased in 2013 compared to 2012 by 0.9%. </w:t>
      </w:r>
    </w:p>
    <w:p w:rsidR="00755D4C" w:rsidRPr="00500869" w:rsidRDefault="00755D4C" w:rsidP="00755D4C">
      <w:pPr>
        <w:rPr>
          <w:rFonts w:cs="Arial"/>
          <w:b/>
          <w:szCs w:val="18"/>
          <w:lang w:val="en-GB"/>
        </w:rPr>
      </w:pPr>
    </w:p>
    <w:p w:rsidR="003A5EB6" w:rsidRPr="003A5EB6" w:rsidRDefault="003A5EB6" w:rsidP="00755D4C">
      <w:pPr>
        <w:rPr>
          <w:rFonts w:cs="Arial"/>
          <w:szCs w:val="18"/>
          <w:lang w:val="en-GB"/>
        </w:rPr>
      </w:pPr>
      <w:r>
        <w:rPr>
          <w:rFonts w:cs="Arial"/>
          <w:b/>
          <w:szCs w:val="18"/>
          <w:lang w:val="en-GB"/>
        </w:rPr>
        <w:t>The gross domestic product (G</w:t>
      </w:r>
      <w:r w:rsidR="00755D4C" w:rsidRPr="00500869">
        <w:rPr>
          <w:rFonts w:cs="Arial"/>
          <w:b/>
          <w:szCs w:val="18"/>
          <w:lang w:val="en-GB"/>
        </w:rPr>
        <w:t xml:space="preserve">DP) </w:t>
      </w:r>
      <w:r>
        <w:rPr>
          <w:rFonts w:cs="Arial"/>
          <w:b/>
          <w:szCs w:val="18"/>
          <w:lang w:val="en-GB"/>
        </w:rPr>
        <w:t>for</w:t>
      </w:r>
      <w:r w:rsidR="00755D4C" w:rsidRPr="00500869">
        <w:rPr>
          <w:rFonts w:cs="Arial"/>
          <w:b/>
          <w:szCs w:val="18"/>
          <w:lang w:val="en-GB"/>
        </w:rPr>
        <w:t xml:space="preserve"> 2013</w:t>
      </w:r>
      <w:r>
        <w:rPr>
          <w:rFonts w:cs="Arial"/>
          <w:szCs w:val="18"/>
          <w:lang w:val="en-GB"/>
        </w:rPr>
        <w:t xml:space="preserve"> adjusted for price effects, working days adjusted and seasonally adjusted</w:t>
      </w:r>
      <w:r w:rsidR="00755D4C" w:rsidRPr="00500869">
        <w:rPr>
          <w:rStyle w:val="Znakapoznpodarou"/>
          <w:rFonts w:cs="Arial"/>
          <w:b/>
          <w:bCs/>
          <w:szCs w:val="20"/>
          <w:lang w:val="en-GB"/>
        </w:rPr>
        <w:footnoteReference w:customMarkFollows="1" w:id="1"/>
        <w:t>*/</w:t>
      </w:r>
      <w:r w:rsidR="00755D4C" w:rsidRPr="00500869">
        <w:rPr>
          <w:rFonts w:cs="Arial"/>
          <w:szCs w:val="20"/>
          <w:lang w:val="en-GB"/>
        </w:rPr>
        <w:t xml:space="preserve"> </w:t>
      </w:r>
      <w:r>
        <w:rPr>
          <w:rFonts w:cs="Arial"/>
          <w:szCs w:val="18"/>
          <w:lang w:val="en-GB"/>
        </w:rPr>
        <w:t xml:space="preserve"> was</w:t>
      </w:r>
      <w:r w:rsidR="00755D4C" w:rsidRPr="00500869">
        <w:rPr>
          <w:rFonts w:cs="Arial"/>
          <w:szCs w:val="18"/>
          <w:lang w:val="en-GB"/>
        </w:rPr>
        <w:t xml:space="preserve"> </w:t>
      </w:r>
      <w:r>
        <w:rPr>
          <w:rFonts w:cs="Arial"/>
          <w:b/>
          <w:szCs w:val="18"/>
          <w:lang w:val="en-GB"/>
        </w:rPr>
        <w:t>lower by 0.9%</w:t>
      </w:r>
      <w:r>
        <w:rPr>
          <w:rFonts w:cs="Arial"/>
          <w:szCs w:val="18"/>
          <w:lang w:val="en-GB"/>
        </w:rPr>
        <w:t xml:space="preserve">, year-on-year, according to the refined estimate. </w:t>
      </w:r>
    </w:p>
    <w:p w:rsidR="00755D4C" w:rsidRPr="00500869" w:rsidRDefault="00755D4C" w:rsidP="00755D4C">
      <w:pPr>
        <w:rPr>
          <w:lang w:val="en-GB"/>
        </w:rPr>
      </w:pPr>
    </w:p>
    <w:p w:rsidR="00755D4C" w:rsidRPr="00500869" w:rsidRDefault="00311193" w:rsidP="00755D4C">
      <w:pPr>
        <w:rPr>
          <w:b/>
          <w:lang w:val="en-GB"/>
        </w:rPr>
      </w:pPr>
      <w:r>
        <w:rPr>
          <w:b/>
          <w:lang w:val="en-GB"/>
        </w:rPr>
        <w:t>GDP development in</w:t>
      </w:r>
      <w:r w:rsidR="00755D4C" w:rsidRPr="00500869">
        <w:rPr>
          <w:b/>
          <w:lang w:val="en-GB"/>
        </w:rPr>
        <w:t xml:space="preserve"> % </w:t>
      </w:r>
      <w:r w:rsidR="001676FC" w:rsidRPr="00500869">
        <w:rPr>
          <w:b/>
          <w:lang w:val="en-GB"/>
        </w:rPr>
        <w:t>(</w:t>
      </w:r>
      <w:r w:rsidR="001676FC">
        <w:rPr>
          <w:b/>
          <w:lang w:val="en-GB"/>
        </w:rPr>
        <w:t>adjusted for price, seasonal, and calendar effects</w:t>
      </w:r>
      <w:r w:rsidR="001676FC" w:rsidRPr="00500869">
        <w:rPr>
          <w:b/>
          <w:lang w:val="en-GB"/>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134"/>
        <w:gridCol w:w="1221"/>
        <w:gridCol w:w="1293"/>
        <w:gridCol w:w="1293"/>
        <w:gridCol w:w="1154"/>
      </w:tblGrid>
      <w:tr w:rsidR="00755D4C" w:rsidRPr="00500869" w:rsidTr="00B5674D">
        <w:tc>
          <w:tcPr>
            <w:tcW w:w="2410" w:type="dxa"/>
          </w:tcPr>
          <w:p w:rsidR="00755D4C" w:rsidRPr="00500869" w:rsidRDefault="00755D4C" w:rsidP="00B5674D">
            <w:pPr>
              <w:autoSpaceDE w:val="0"/>
              <w:autoSpaceDN w:val="0"/>
              <w:adjustRightInd w:val="0"/>
              <w:ind w:firstLine="34"/>
              <w:jc w:val="left"/>
              <w:rPr>
                <w:rFonts w:cs="Arial"/>
                <w:sz w:val="18"/>
                <w:szCs w:val="18"/>
                <w:lang w:val="en-GB"/>
              </w:rPr>
            </w:pPr>
          </w:p>
        </w:tc>
        <w:tc>
          <w:tcPr>
            <w:tcW w:w="1134" w:type="dxa"/>
          </w:tcPr>
          <w:p w:rsidR="00755D4C" w:rsidRPr="00500869" w:rsidRDefault="00311193" w:rsidP="00B5674D">
            <w:pPr>
              <w:autoSpaceDE w:val="0"/>
              <w:autoSpaceDN w:val="0"/>
              <w:adjustRightInd w:val="0"/>
              <w:jc w:val="center"/>
              <w:rPr>
                <w:rFonts w:cs="Arial"/>
                <w:sz w:val="18"/>
                <w:szCs w:val="18"/>
                <w:lang w:val="en-GB"/>
              </w:rPr>
            </w:pPr>
            <w:r>
              <w:rPr>
                <w:rFonts w:cs="Arial"/>
                <w:sz w:val="18"/>
                <w:szCs w:val="18"/>
                <w:lang w:val="en-GB"/>
              </w:rPr>
              <w:t>Q1</w:t>
            </w:r>
          </w:p>
        </w:tc>
        <w:tc>
          <w:tcPr>
            <w:tcW w:w="1221" w:type="dxa"/>
          </w:tcPr>
          <w:p w:rsidR="00755D4C" w:rsidRPr="00500869" w:rsidRDefault="00311193" w:rsidP="00B5674D">
            <w:pPr>
              <w:autoSpaceDE w:val="0"/>
              <w:autoSpaceDN w:val="0"/>
              <w:adjustRightInd w:val="0"/>
              <w:jc w:val="center"/>
              <w:rPr>
                <w:rFonts w:cs="Arial"/>
                <w:sz w:val="18"/>
                <w:szCs w:val="18"/>
                <w:lang w:val="en-GB"/>
              </w:rPr>
            </w:pPr>
            <w:r>
              <w:rPr>
                <w:rFonts w:cs="Arial"/>
                <w:sz w:val="18"/>
                <w:szCs w:val="18"/>
                <w:lang w:val="en-GB"/>
              </w:rPr>
              <w:t>Q2</w:t>
            </w:r>
          </w:p>
        </w:tc>
        <w:tc>
          <w:tcPr>
            <w:tcW w:w="1293" w:type="dxa"/>
          </w:tcPr>
          <w:p w:rsidR="00755D4C" w:rsidRPr="00500869" w:rsidRDefault="00311193" w:rsidP="00B5674D">
            <w:pPr>
              <w:autoSpaceDE w:val="0"/>
              <w:autoSpaceDN w:val="0"/>
              <w:adjustRightInd w:val="0"/>
              <w:jc w:val="center"/>
              <w:rPr>
                <w:rFonts w:cs="Arial"/>
                <w:sz w:val="18"/>
                <w:szCs w:val="18"/>
                <w:lang w:val="en-GB"/>
              </w:rPr>
            </w:pPr>
            <w:r>
              <w:rPr>
                <w:rFonts w:cs="Arial"/>
                <w:sz w:val="18"/>
                <w:szCs w:val="18"/>
                <w:lang w:val="en-GB"/>
              </w:rPr>
              <w:t>Q3</w:t>
            </w:r>
          </w:p>
        </w:tc>
        <w:tc>
          <w:tcPr>
            <w:tcW w:w="1293" w:type="dxa"/>
          </w:tcPr>
          <w:p w:rsidR="00755D4C" w:rsidRPr="00500869" w:rsidRDefault="00311193" w:rsidP="00B5674D">
            <w:pPr>
              <w:autoSpaceDE w:val="0"/>
              <w:autoSpaceDN w:val="0"/>
              <w:adjustRightInd w:val="0"/>
              <w:jc w:val="center"/>
              <w:rPr>
                <w:rFonts w:cs="Arial"/>
                <w:sz w:val="18"/>
                <w:szCs w:val="18"/>
                <w:lang w:val="en-GB"/>
              </w:rPr>
            </w:pPr>
            <w:r>
              <w:rPr>
                <w:rFonts w:cs="Arial"/>
                <w:sz w:val="18"/>
                <w:szCs w:val="18"/>
                <w:lang w:val="en-GB"/>
              </w:rPr>
              <w:t>Q4</w:t>
            </w:r>
          </w:p>
        </w:tc>
        <w:tc>
          <w:tcPr>
            <w:tcW w:w="1154" w:type="dxa"/>
          </w:tcPr>
          <w:p w:rsidR="00755D4C" w:rsidRPr="00500869" w:rsidRDefault="00311193" w:rsidP="00B5674D">
            <w:pPr>
              <w:autoSpaceDE w:val="0"/>
              <w:autoSpaceDN w:val="0"/>
              <w:adjustRightInd w:val="0"/>
              <w:jc w:val="center"/>
              <w:rPr>
                <w:rFonts w:cs="Arial"/>
                <w:sz w:val="18"/>
                <w:szCs w:val="18"/>
                <w:lang w:val="en-GB"/>
              </w:rPr>
            </w:pPr>
            <w:r>
              <w:rPr>
                <w:rFonts w:cs="Arial"/>
                <w:sz w:val="18"/>
                <w:szCs w:val="18"/>
                <w:lang w:val="en-GB"/>
              </w:rPr>
              <w:t>Year</w:t>
            </w:r>
            <w:r w:rsidR="00755D4C" w:rsidRPr="00500869">
              <w:rPr>
                <w:rFonts w:cs="Arial"/>
                <w:sz w:val="18"/>
                <w:szCs w:val="18"/>
                <w:lang w:val="en-GB"/>
              </w:rPr>
              <w:t xml:space="preserve"> 2013</w:t>
            </w:r>
          </w:p>
        </w:tc>
      </w:tr>
      <w:tr w:rsidR="00755D4C" w:rsidRPr="00500869" w:rsidTr="00B5674D">
        <w:tc>
          <w:tcPr>
            <w:tcW w:w="2410" w:type="dxa"/>
          </w:tcPr>
          <w:p w:rsidR="00755D4C" w:rsidRPr="00500869" w:rsidRDefault="00750621" w:rsidP="00DB12DE">
            <w:pPr>
              <w:autoSpaceDE w:val="0"/>
              <w:autoSpaceDN w:val="0"/>
              <w:adjustRightInd w:val="0"/>
              <w:jc w:val="left"/>
              <w:rPr>
                <w:rFonts w:cs="Arial"/>
                <w:sz w:val="18"/>
                <w:szCs w:val="18"/>
                <w:lang w:val="en-GB"/>
              </w:rPr>
            </w:pPr>
            <w:r>
              <w:rPr>
                <w:rFonts w:cs="Arial"/>
                <w:sz w:val="18"/>
                <w:szCs w:val="18"/>
                <w:lang w:val="en-GB"/>
              </w:rPr>
              <w:t>compared to the corresponding quarter of</w:t>
            </w:r>
            <w:r w:rsidR="00755D4C" w:rsidRPr="00500869">
              <w:rPr>
                <w:rFonts w:cs="Arial"/>
                <w:sz w:val="18"/>
                <w:szCs w:val="18"/>
                <w:lang w:val="en-GB"/>
              </w:rPr>
              <w:t xml:space="preserve"> 2012</w:t>
            </w:r>
          </w:p>
        </w:tc>
        <w:tc>
          <w:tcPr>
            <w:tcW w:w="1134"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-2</w:t>
            </w:r>
            <w:r w:rsidR="00BE5F60">
              <w:rPr>
                <w:rFonts w:cs="Arial"/>
                <w:sz w:val="18"/>
                <w:szCs w:val="18"/>
                <w:lang w:val="en-GB"/>
              </w:rPr>
              <w:t>.</w:t>
            </w:r>
            <w:r w:rsidRPr="00500869">
              <w:rPr>
                <w:rFonts w:cs="Arial"/>
                <w:sz w:val="18"/>
                <w:szCs w:val="18"/>
                <w:lang w:val="en-GB"/>
              </w:rPr>
              <w:t>2</w:t>
            </w:r>
          </w:p>
        </w:tc>
        <w:tc>
          <w:tcPr>
            <w:tcW w:w="1221"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-1</w:t>
            </w:r>
            <w:r w:rsidR="00BE5F60">
              <w:rPr>
                <w:rFonts w:cs="Arial"/>
                <w:sz w:val="18"/>
                <w:szCs w:val="18"/>
                <w:lang w:val="en-GB"/>
              </w:rPr>
              <w:t>.</w:t>
            </w:r>
            <w:r w:rsidRPr="00500869">
              <w:rPr>
                <w:rFonts w:cs="Arial"/>
                <w:sz w:val="18"/>
                <w:szCs w:val="18"/>
                <w:lang w:val="en-GB"/>
              </w:rPr>
              <w:t>6</w:t>
            </w:r>
          </w:p>
        </w:tc>
        <w:tc>
          <w:tcPr>
            <w:tcW w:w="1293"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-1</w:t>
            </w:r>
            <w:r w:rsidR="00BE5F60">
              <w:rPr>
                <w:rFonts w:cs="Arial"/>
                <w:sz w:val="18"/>
                <w:szCs w:val="18"/>
                <w:lang w:val="en-GB"/>
              </w:rPr>
              <w:t>.</w:t>
            </w:r>
            <w:r w:rsidRPr="00500869">
              <w:rPr>
                <w:rFonts w:cs="Arial"/>
                <w:sz w:val="18"/>
                <w:szCs w:val="18"/>
                <w:lang w:val="en-GB"/>
              </w:rPr>
              <w:t>0</w:t>
            </w:r>
          </w:p>
        </w:tc>
        <w:tc>
          <w:tcPr>
            <w:tcW w:w="1293"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+1</w:t>
            </w:r>
            <w:r w:rsidR="00BE5F60">
              <w:rPr>
                <w:rFonts w:cs="Arial"/>
                <w:sz w:val="18"/>
                <w:szCs w:val="18"/>
                <w:lang w:val="en-GB"/>
              </w:rPr>
              <w:t>.</w:t>
            </w:r>
            <w:r w:rsidRPr="00500869">
              <w:rPr>
                <w:rFonts w:cs="Arial"/>
                <w:sz w:val="18"/>
                <w:szCs w:val="18"/>
                <w:lang w:val="en-GB"/>
              </w:rPr>
              <w:t>3</w:t>
            </w:r>
          </w:p>
        </w:tc>
        <w:tc>
          <w:tcPr>
            <w:tcW w:w="1154"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-0</w:t>
            </w:r>
            <w:r w:rsidR="00BE5F60">
              <w:rPr>
                <w:rFonts w:cs="Arial"/>
                <w:sz w:val="18"/>
                <w:szCs w:val="18"/>
                <w:lang w:val="en-GB"/>
              </w:rPr>
              <w:t>.</w:t>
            </w:r>
            <w:r w:rsidRPr="00500869">
              <w:rPr>
                <w:rFonts w:cs="Arial"/>
                <w:sz w:val="18"/>
                <w:szCs w:val="18"/>
                <w:lang w:val="en-GB"/>
              </w:rPr>
              <w:t>9</w:t>
            </w:r>
          </w:p>
        </w:tc>
      </w:tr>
      <w:tr w:rsidR="00755D4C" w:rsidRPr="00500869" w:rsidTr="00B5674D">
        <w:tc>
          <w:tcPr>
            <w:tcW w:w="2410" w:type="dxa"/>
          </w:tcPr>
          <w:p w:rsidR="00755D4C" w:rsidRPr="00500869" w:rsidRDefault="00750621" w:rsidP="00B5674D">
            <w:pPr>
              <w:autoSpaceDE w:val="0"/>
              <w:autoSpaceDN w:val="0"/>
              <w:adjustRightInd w:val="0"/>
              <w:ind w:firstLine="34"/>
              <w:jc w:val="left"/>
              <w:rPr>
                <w:rFonts w:cs="Arial"/>
                <w:sz w:val="18"/>
                <w:szCs w:val="18"/>
                <w:lang w:val="en-GB"/>
              </w:rPr>
            </w:pPr>
            <w:r>
              <w:rPr>
                <w:rFonts w:cs="Arial"/>
                <w:sz w:val="18"/>
                <w:szCs w:val="18"/>
                <w:lang w:val="en-GB"/>
              </w:rPr>
              <w:t>compared to the previous quarter</w:t>
            </w:r>
          </w:p>
        </w:tc>
        <w:tc>
          <w:tcPr>
            <w:tcW w:w="1134"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-1</w:t>
            </w:r>
            <w:r w:rsidR="00BE5F60">
              <w:rPr>
                <w:rFonts w:cs="Arial"/>
                <w:sz w:val="18"/>
                <w:szCs w:val="18"/>
                <w:lang w:val="en-GB"/>
              </w:rPr>
              <w:t>.</w:t>
            </w:r>
            <w:r w:rsidRPr="00500869">
              <w:rPr>
                <w:rFonts w:cs="Arial"/>
                <w:sz w:val="18"/>
                <w:szCs w:val="18"/>
                <w:lang w:val="en-GB"/>
              </w:rPr>
              <w:t>2</w:t>
            </w:r>
          </w:p>
        </w:tc>
        <w:tc>
          <w:tcPr>
            <w:tcW w:w="1221"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+0</w:t>
            </w:r>
            <w:r w:rsidR="00BE5F60">
              <w:rPr>
                <w:rFonts w:cs="Arial"/>
                <w:sz w:val="18"/>
                <w:szCs w:val="18"/>
                <w:lang w:val="en-GB"/>
              </w:rPr>
              <w:t>.</w:t>
            </w:r>
            <w:r w:rsidRPr="00500869">
              <w:rPr>
                <w:rFonts w:cs="Arial"/>
                <w:sz w:val="18"/>
                <w:szCs w:val="18"/>
                <w:lang w:val="en-GB"/>
              </w:rPr>
              <w:t>3</w:t>
            </w:r>
          </w:p>
        </w:tc>
        <w:tc>
          <w:tcPr>
            <w:tcW w:w="1293"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+0</w:t>
            </w:r>
            <w:r w:rsidR="00BE5F60">
              <w:rPr>
                <w:rFonts w:cs="Arial"/>
                <w:sz w:val="18"/>
                <w:szCs w:val="18"/>
                <w:lang w:val="en-GB"/>
              </w:rPr>
              <w:t>.</w:t>
            </w:r>
            <w:r w:rsidRPr="00500869">
              <w:rPr>
                <w:rFonts w:cs="Arial"/>
                <w:sz w:val="18"/>
                <w:szCs w:val="18"/>
                <w:lang w:val="en-GB"/>
              </w:rPr>
              <w:t>3</w:t>
            </w:r>
          </w:p>
        </w:tc>
        <w:tc>
          <w:tcPr>
            <w:tcW w:w="1293" w:type="dxa"/>
            <w:vAlign w:val="center"/>
          </w:tcPr>
          <w:p w:rsidR="00755D4C" w:rsidRPr="00500869" w:rsidRDefault="00755D4C" w:rsidP="00BE5F60">
            <w:pPr>
              <w:autoSpaceDE w:val="0"/>
              <w:autoSpaceDN w:val="0"/>
              <w:adjustRightInd w:val="0"/>
              <w:jc w:val="right"/>
              <w:rPr>
                <w:rFonts w:cs="Arial"/>
                <w:sz w:val="18"/>
                <w:szCs w:val="18"/>
                <w:lang w:val="en-GB"/>
              </w:rPr>
            </w:pPr>
            <w:r w:rsidRPr="00500869">
              <w:rPr>
                <w:rFonts w:cs="Arial"/>
                <w:sz w:val="18"/>
                <w:szCs w:val="18"/>
                <w:lang w:val="en-GB"/>
              </w:rPr>
              <w:t>+1</w:t>
            </w:r>
            <w:r w:rsidR="00BE5F60">
              <w:rPr>
                <w:rFonts w:cs="Arial"/>
                <w:sz w:val="18"/>
                <w:szCs w:val="18"/>
                <w:lang w:val="en-GB"/>
              </w:rPr>
              <w:t>.</w:t>
            </w:r>
            <w:r w:rsidRPr="00500869">
              <w:rPr>
                <w:rFonts w:cs="Arial"/>
                <w:sz w:val="18"/>
                <w:szCs w:val="18"/>
                <w:lang w:val="en-GB"/>
              </w:rPr>
              <w:t>9</w:t>
            </w:r>
          </w:p>
        </w:tc>
        <w:tc>
          <w:tcPr>
            <w:tcW w:w="1154" w:type="dxa"/>
            <w:vAlign w:val="center"/>
          </w:tcPr>
          <w:p w:rsidR="00755D4C" w:rsidRPr="00500869" w:rsidRDefault="00755D4C" w:rsidP="00B5674D">
            <w:pPr>
              <w:autoSpaceDE w:val="0"/>
              <w:autoSpaceDN w:val="0"/>
              <w:adjustRightInd w:val="0"/>
              <w:jc w:val="right"/>
              <w:rPr>
                <w:rFonts w:cs="Arial"/>
                <w:sz w:val="18"/>
                <w:szCs w:val="18"/>
                <w:lang w:val="en-GB"/>
              </w:rPr>
            </w:pPr>
            <w:r w:rsidRPr="00500869">
              <w:rPr>
                <w:rFonts w:cs="Arial"/>
                <w:sz w:val="18"/>
                <w:szCs w:val="18"/>
                <w:lang w:val="en-GB"/>
              </w:rPr>
              <w:t>x</w:t>
            </w:r>
          </w:p>
        </w:tc>
      </w:tr>
    </w:tbl>
    <w:p w:rsidR="00755D4C" w:rsidRPr="00500869" w:rsidRDefault="00755D4C" w:rsidP="00755D4C">
      <w:pPr>
        <w:rPr>
          <w:lang w:val="en-GB"/>
        </w:rPr>
      </w:pPr>
    </w:p>
    <w:p w:rsidR="00786102" w:rsidRDefault="00786102" w:rsidP="00755D4C">
      <w:pPr>
        <w:rPr>
          <w:lang w:val="en-GB"/>
        </w:rPr>
      </w:pPr>
      <w:r>
        <w:rPr>
          <w:lang w:val="en-GB"/>
        </w:rPr>
        <w:t xml:space="preserve">Year-on-year and especially quarter-on-quarter development of the gross domestic product was </w:t>
      </w:r>
      <w:r w:rsidRPr="00B17B9E">
        <w:rPr>
          <w:lang w:val="en-GB"/>
        </w:rPr>
        <w:t xml:space="preserve">(the same as in 2012) substantially influenced by </w:t>
      </w:r>
      <w:r w:rsidR="00383E81" w:rsidRPr="00B17B9E">
        <w:rPr>
          <w:lang w:val="en-GB"/>
        </w:rPr>
        <w:t xml:space="preserve">uneven collection of the </w:t>
      </w:r>
      <w:r w:rsidR="007E373D" w:rsidRPr="00B17B9E">
        <w:rPr>
          <w:lang w:val="en-GB"/>
        </w:rPr>
        <w:t>ex</w:t>
      </w:r>
      <w:r w:rsidR="00383E81" w:rsidRPr="00B17B9E">
        <w:rPr>
          <w:lang w:val="en-GB"/>
        </w:rPr>
        <w:t>cise tax on tobacco</w:t>
      </w:r>
      <w:r w:rsidR="00383E81">
        <w:rPr>
          <w:lang w:val="en-GB"/>
        </w:rPr>
        <w:t xml:space="preserve"> products. </w:t>
      </w:r>
      <w:r w:rsidR="0048684A">
        <w:rPr>
          <w:lang w:val="en-GB"/>
        </w:rPr>
        <w:t xml:space="preserve">Stocking-up by tobacco products in the end of the year and related to that duty to pay the relevant excise tax increased in the given quarter the GDP </w:t>
      </w:r>
      <w:r w:rsidR="00A42529">
        <w:rPr>
          <w:lang w:val="en-GB"/>
        </w:rPr>
        <w:t xml:space="preserve">at the expense of </w:t>
      </w:r>
      <w:r w:rsidR="00B17B9E">
        <w:rPr>
          <w:lang w:val="en-GB"/>
        </w:rPr>
        <w:t xml:space="preserve">the following one or two quarters. To assess the development of an overall performance of the economy, it is thus more suitable to use the </w:t>
      </w:r>
      <w:r w:rsidR="00B17B9E" w:rsidRPr="005642FB">
        <w:rPr>
          <w:b/>
          <w:lang w:val="en-GB"/>
        </w:rPr>
        <w:t>gross value added (GVA)</w:t>
      </w:r>
      <w:r w:rsidR="00B17B9E">
        <w:rPr>
          <w:lang w:val="en-GB"/>
        </w:rPr>
        <w:t xml:space="preserve"> indicator, which does not include tax income. </w:t>
      </w:r>
    </w:p>
    <w:p w:rsidR="00755D4C" w:rsidRPr="00500869" w:rsidRDefault="00755D4C" w:rsidP="00755D4C">
      <w:pPr>
        <w:rPr>
          <w:lang w:val="en-GB"/>
        </w:rPr>
      </w:pPr>
    </w:p>
    <w:p w:rsidR="00755D4C" w:rsidRPr="00500869" w:rsidRDefault="00592891" w:rsidP="00755D4C">
      <w:pPr>
        <w:rPr>
          <w:b/>
          <w:lang w:val="en-GB"/>
        </w:rPr>
      </w:pPr>
      <w:r>
        <w:rPr>
          <w:b/>
          <w:lang w:val="en-GB"/>
        </w:rPr>
        <w:t>GVA d</w:t>
      </w:r>
      <w:r w:rsidR="00E930E2">
        <w:rPr>
          <w:b/>
          <w:lang w:val="en-GB"/>
        </w:rPr>
        <w:t>evelopment in</w:t>
      </w:r>
      <w:r w:rsidR="00755D4C" w:rsidRPr="00500869">
        <w:rPr>
          <w:b/>
          <w:lang w:val="en-GB"/>
        </w:rPr>
        <w:t xml:space="preserve"> % </w:t>
      </w:r>
      <w:r w:rsidR="003D20D2" w:rsidRPr="00500869">
        <w:rPr>
          <w:b/>
          <w:lang w:val="en-GB"/>
        </w:rPr>
        <w:t>(</w:t>
      </w:r>
      <w:r w:rsidR="003D20D2">
        <w:rPr>
          <w:b/>
          <w:lang w:val="en-GB"/>
        </w:rPr>
        <w:t>adjusted for price</w:t>
      </w:r>
      <w:r w:rsidR="00A622CE">
        <w:rPr>
          <w:b/>
          <w:lang w:val="en-GB"/>
        </w:rPr>
        <w:t>, seasonal,</w:t>
      </w:r>
      <w:r w:rsidR="003D20D2">
        <w:rPr>
          <w:b/>
          <w:lang w:val="en-GB"/>
        </w:rPr>
        <w:t xml:space="preserve"> and calendar effects</w:t>
      </w:r>
      <w:r w:rsidR="003D20D2" w:rsidRPr="00500869">
        <w:rPr>
          <w:b/>
          <w:lang w:val="en-GB"/>
        </w:rPr>
        <w:t>)</w:t>
      </w:r>
      <w:r w:rsidR="00755D4C" w:rsidRPr="00500869">
        <w:rPr>
          <w:b/>
          <w:lang w:val="en-GB"/>
        </w:rPr>
        <w:t xml:space="preserve"> </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134"/>
        <w:gridCol w:w="1221"/>
        <w:gridCol w:w="1293"/>
        <w:gridCol w:w="1293"/>
        <w:gridCol w:w="1154"/>
      </w:tblGrid>
      <w:tr w:rsidR="00E930E2" w:rsidRPr="00500869" w:rsidTr="00B5674D">
        <w:tc>
          <w:tcPr>
            <w:tcW w:w="2410" w:type="dxa"/>
          </w:tcPr>
          <w:p w:rsidR="00E930E2" w:rsidRPr="00500869" w:rsidRDefault="00E930E2" w:rsidP="00B5674D">
            <w:pPr>
              <w:autoSpaceDE w:val="0"/>
              <w:autoSpaceDN w:val="0"/>
              <w:adjustRightInd w:val="0"/>
              <w:ind w:firstLine="34"/>
              <w:jc w:val="left"/>
              <w:rPr>
                <w:rFonts w:cs="Arial"/>
                <w:sz w:val="18"/>
                <w:szCs w:val="18"/>
                <w:lang w:val="en-GB"/>
              </w:rPr>
            </w:pPr>
          </w:p>
        </w:tc>
        <w:tc>
          <w:tcPr>
            <w:tcW w:w="1134" w:type="dxa"/>
          </w:tcPr>
          <w:p w:rsidR="00E930E2" w:rsidRPr="00500869" w:rsidRDefault="00E930E2" w:rsidP="00B5674D">
            <w:pPr>
              <w:autoSpaceDE w:val="0"/>
              <w:autoSpaceDN w:val="0"/>
              <w:adjustRightInd w:val="0"/>
              <w:jc w:val="center"/>
              <w:rPr>
                <w:rFonts w:cs="Arial"/>
                <w:sz w:val="18"/>
                <w:szCs w:val="18"/>
                <w:lang w:val="en-GB"/>
              </w:rPr>
            </w:pPr>
            <w:r>
              <w:rPr>
                <w:rFonts w:cs="Arial"/>
                <w:sz w:val="18"/>
                <w:szCs w:val="18"/>
                <w:lang w:val="en-GB"/>
              </w:rPr>
              <w:t>Q1</w:t>
            </w:r>
          </w:p>
        </w:tc>
        <w:tc>
          <w:tcPr>
            <w:tcW w:w="1221" w:type="dxa"/>
          </w:tcPr>
          <w:p w:rsidR="00E930E2" w:rsidRPr="00500869" w:rsidRDefault="00E930E2" w:rsidP="00B5674D">
            <w:pPr>
              <w:autoSpaceDE w:val="0"/>
              <w:autoSpaceDN w:val="0"/>
              <w:adjustRightInd w:val="0"/>
              <w:jc w:val="center"/>
              <w:rPr>
                <w:rFonts w:cs="Arial"/>
                <w:sz w:val="18"/>
                <w:szCs w:val="18"/>
                <w:lang w:val="en-GB"/>
              </w:rPr>
            </w:pPr>
            <w:r>
              <w:rPr>
                <w:rFonts w:cs="Arial"/>
                <w:sz w:val="18"/>
                <w:szCs w:val="18"/>
                <w:lang w:val="en-GB"/>
              </w:rPr>
              <w:t>Q2</w:t>
            </w:r>
          </w:p>
        </w:tc>
        <w:tc>
          <w:tcPr>
            <w:tcW w:w="1293" w:type="dxa"/>
          </w:tcPr>
          <w:p w:rsidR="00E930E2" w:rsidRPr="00500869" w:rsidRDefault="00E930E2" w:rsidP="00B5674D">
            <w:pPr>
              <w:autoSpaceDE w:val="0"/>
              <w:autoSpaceDN w:val="0"/>
              <w:adjustRightInd w:val="0"/>
              <w:jc w:val="center"/>
              <w:rPr>
                <w:rFonts w:cs="Arial"/>
                <w:sz w:val="18"/>
                <w:szCs w:val="18"/>
                <w:lang w:val="en-GB"/>
              </w:rPr>
            </w:pPr>
            <w:r>
              <w:rPr>
                <w:rFonts w:cs="Arial"/>
                <w:sz w:val="18"/>
                <w:szCs w:val="18"/>
                <w:lang w:val="en-GB"/>
              </w:rPr>
              <w:t>Q3</w:t>
            </w:r>
          </w:p>
        </w:tc>
        <w:tc>
          <w:tcPr>
            <w:tcW w:w="1293" w:type="dxa"/>
          </w:tcPr>
          <w:p w:rsidR="00E930E2" w:rsidRPr="00500869" w:rsidRDefault="00E930E2" w:rsidP="00B5674D">
            <w:pPr>
              <w:autoSpaceDE w:val="0"/>
              <w:autoSpaceDN w:val="0"/>
              <w:adjustRightInd w:val="0"/>
              <w:jc w:val="center"/>
              <w:rPr>
                <w:rFonts w:cs="Arial"/>
                <w:sz w:val="18"/>
                <w:szCs w:val="18"/>
                <w:lang w:val="en-GB"/>
              </w:rPr>
            </w:pPr>
            <w:r>
              <w:rPr>
                <w:rFonts w:cs="Arial"/>
                <w:sz w:val="18"/>
                <w:szCs w:val="18"/>
                <w:lang w:val="en-GB"/>
              </w:rPr>
              <w:t>Q4</w:t>
            </w:r>
          </w:p>
        </w:tc>
        <w:tc>
          <w:tcPr>
            <w:tcW w:w="1154" w:type="dxa"/>
          </w:tcPr>
          <w:p w:rsidR="00E930E2" w:rsidRPr="00500869" w:rsidRDefault="00E930E2" w:rsidP="00B5674D">
            <w:pPr>
              <w:autoSpaceDE w:val="0"/>
              <w:autoSpaceDN w:val="0"/>
              <w:adjustRightInd w:val="0"/>
              <w:jc w:val="center"/>
              <w:rPr>
                <w:rFonts w:cs="Arial"/>
                <w:sz w:val="18"/>
                <w:szCs w:val="18"/>
                <w:lang w:val="en-GB"/>
              </w:rPr>
            </w:pPr>
            <w:r>
              <w:rPr>
                <w:rFonts w:cs="Arial"/>
                <w:sz w:val="18"/>
                <w:szCs w:val="18"/>
                <w:lang w:val="en-GB"/>
              </w:rPr>
              <w:t>Year</w:t>
            </w:r>
            <w:r w:rsidRPr="00500869">
              <w:rPr>
                <w:rFonts w:cs="Arial"/>
                <w:sz w:val="18"/>
                <w:szCs w:val="18"/>
                <w:lang w:val="en-GB"/>
              </w:rPr>
              <w:t xml:space="preserve"> 2013</w:t>
            </w:r>
          </w:p>
        </w:tc>
      </w:tr>
      <w:tr w:rsidR="00E930E2" w:rsidRPr="00500869" w:rsidTr="00B5674D">
        <w:tc>
          <w:tcPr>
            <w:tcW w:w="2410" w:type="dxa"/>
          </w:tcPr>
          <w:p w:rsidR="00E930E2" w:rsidRPr="00500869" w:rsidRDefault="00E930E2" w:rsidP="00B5674D">
            <w:pPr>
              <w:autoSpaceDE w:val="0"/>
              <w:autoSpaceDN w:val="0"/>
              <w:adjustRightInd w:val="0"/>
              <w:jc w:val="left"/>
              <w:rPr>
                <w:rFonts w:cs="Arial"/>
                <w:sz w:val="18"/>
                <w:szCs w:val="18"/>
                <w:lang w:val="en-GB"/>
              </w:rPr>
            </w:pPr>
            <w:r>
              <w:rPr>
                <w:rFonts w:cs="Arial"/>
                <w:sz w:val="18"/>
                <w:szCs w:val="18"/>
                <w:lang w:val="en-GB"/>
              </w:rPr>
              <w:t>compared to the corresponding quarter of</w:t>
            </w:r>
            <w:r w:rsidRPr="00500869">
              <w:rPr>
                <w:rFonts w:cs="Arial"/>
                <w:sz w:val="18"/>
                <w:szCs w:val="18"/>
                <w:lang w:val="en-GB"/>
              </w:rPr>
              <w:t xml:space="preserve"> 2012</w:t>
            </w:r>
          </w:p>
        </w:tc>
        <w:tc>
          <w:tcPr>
            <w:tcW w:w="1134"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-1</w:t>
            </w:r>
            <w:r w:rsidR="008B184A">
              <w:rPr>
                <w:rFonts w:cs="Arial"/>
                <w:sz w:val="18"/>
                <w:szCs w:val="18"/>
                <w:lang w:val="en-GB"/>
              </w:rPr>
              <w:t>.</w:t>
            </w:r>
            <w:r w:rsidRPr="00500869">
              <w:rPr>
                <w:rFonts w:cs="Arial"/>
                <w:sz w:val="18"/>
                <w:szCs w:val="18"/>
                <w:lang w:val="en-GB"/>
              </w:rPr>
              <w:t>9</w:t>
            </w:r>
          </w:p>
        </w:tc>
        <w:tc>
          <w:tcPr>
            <w:tcW w:w="1221"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-1</w:t>
            </w:r>
            <w:r w:rsidR="008B184A">
              <w:rPr>
                <w:rFonts w:cs="Arial"/>
                <w:sz w:val="18"/>
                <w:szCs w:val="18"/>
                <w:lang w:val="en-GB"/>
              </w:rPr>
              <w:t>.</w:t>
            </w:r>
            <w:r w:rsidRPr="00500869">
              <w:rPr>
                <w:rFonts w:cs="Arial"/>
                <w:sz w:val="18"/>
                <w:szCs w:val="18"/>
                <w:lang w:val="en-GB"/>
              </w:rPr>
              <w:t>4</w:t>
            </w:r>
          </w:p>
        </w:tc>
        <w:tc>
          <w:tcPr>
            <w:tcW w:w="1293"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-0</w:t>
            </w:r>
            <w:r w:rsidR="008B184A">
              <w:rPr>
                <w:rFonts w:cs="Arial"/>
                <w:sz w:val="18"/>
                <w:szCs w:val="18"/>
                <w:lang w:val="en-GB"/>
              </w:rPr>
              <w:t>.</w:t>
            </w:r>
            <w:r w:rsidRPr="00500869">
              <w:rPr>
                <w:rFonts w:cs="Arial"/>
                <w:sz w:val="18"/>
                <w:szCs w:val="18"/>
                <w:lang w:val="en-GB"/>
              </w:rPr>
              <w:t>7</w:t>
            </w:r>
          </w:p>
        </w:tc>
        <w:tc>
          <w:tcPr>
            <w:tcW w:w="1293"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+0</w:t>
            </w:r>
            <w:r w:rsidR="008B184A">
              <w:rPr>
                <w:rFonts w:cs="Arial"/>
                <w:sz w:val="18"/>
                <w:szCs w:val="18"/>
                <w:lang w:val="en-GB"/>
              </w:rPr>
              <w:t>.</w:t>
            </w:r>
            <w:r w:rsidRPr="00500869">
              <w:rPr>
                <w:rFonts w:cs="Arial"/>
                <w:sz w:val="18"/>
                <w:szCs w:val="18"/>
                <w:lang w:val="en-GB"/>
              </w:rPr>
              <w:t>6</w:t>
            </w:r>
          </w:p>
        </w:tc>
        <w:tc>
          <w:tcPr>
            <w:tcW w:w="1154"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-0</w:t>
            </w:r>
            <w:r w:rsidR="008B184A">
              <w:rPr>
                <w:rFonts w:cs="Arial"/>
                <w:sz w:val="18"/>
                <w:szCs w:val="18"/>
                <w:lang w:val="en-GB"/>
              </w:rPr>
              <w:t>.</w:t>
            </w:r>
            <w:r w:rsidRPr="00500869">
              <w:rPr>
                <w:rFonts w:cs="Arial"/>
                <w:sz w:val="18"/>
                <w:szCs w:val="18"/>
                <w:lang w:val="en-GB"/>
              </w:rPr>
              <w:t>8</w:t>
            </w:r>
          </w:p>
        </w:tc>
      </w:tr>
      <w:tr w:rsidR="00E930E2" w:rsidRPr="00500869" w:rsidTr="00B5674D">
        <w:tc>
          <w:tcPr>
            <w:tcW w:w="2410" w:type="dxa"/>
          </w:tcPr>
          <w:p w:rsidR="00E930E2" w:rsidRPr="00500869" w:rsidRDefault="00E930E2" w:rsidP="00B5674D">
            <w:pPr>
              <w:autoSpaceDE w:val="0"/>
              <w:autoSpaceDN w:val="0"/>
              <w:adjustRightInd w:val="0"/>
              <w:ind w:firstLine="34"/>
              <w:jc w:val="left"/>
              <w:rPr>
                <w:rFonts w:cs="Arial"/>
                <w:sz w:val="18"/>
                <w:szCs w:val="18"/>
                <w:lang w:val="en-GB"/>
              </w:rPr>
            </w:pPr>
            <w:r>
              <w:rPr>
                <w:rFonts w:cs="Arial"/>
                <w:sz w:val="18"/>
                <w:szCs w:val="18"/>
                <w:lang w:val="en-GB"/>
              </w:rPr>
              <w:t>compared to the previous quarter</w:t>
            </w:r>
          </w:p>
        </w:tc>
        <w:tc>
          <w:tcPr>
            <w:tcW w:w="1134"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-0</w:t>
            </w:r>
            <w:r w:rsidR="008B184A">
              <w:rPr>
                <w:rFonts w:cs="Arial"/>
                <w:sz w:val="18"/>
                <w:szCs w:val="18"/>
                <w:lang w:val="en-GB"/>
              </w:rPr>
              <w:t>.</w:t>
            </w:r>
            <w:r w:rsidRPr="00500869">
              <w:rPr>
                <w:rFonts w:cs="Arial"/>
                <w:sz w:val="18"/>
                <w:szCs w:val="18"/>
                <w:lang w:val="en-GB"/>
              </w:rPr>
              <w:t>2</w:t>
            </w:r>
          </w:p>
        </w:tc>
        <w:tc>
          <w:tcPr>
            <w:tcW w:w="1221"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0</w:t>
            </w:r>
            <w:r w:rsidR="008B184A">
              <w:rPr>
                <w:rFonts w:cs="Arial"/>
                <w:sz w:val="18"/>
                <w:szCs w:val="18"/>
                <w:lang w:val="en-GB"/>
              </w:rPr>
              <w:t>.</w:t>
            </w:r>
            <w:r w:rsidRPr="00500869">
              <w:rPr>
                <w:rFonts w:cs="Arial"/>
                <w:sz w:val="18"/>
                <w:szCs w:val="18"/>
                <w:lang w:val="en-GB"/>
              </w:rPr>
              <w:t>0</w:t>
            </w:r>
          </w:p>
        </w:tc>
        <w:tc>
          <w:tcPr>
            <w:tcW w:w="1293"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+0</w:t>
            </w:r>
            <w:r w:rsidR="008B184A">
              <w:rPr>
                <w:rFonts w:cs="Arial"/>
                <w:sz w:val="18"/>
                <w:szCs w:val="18"/>
                <w:lang w:val="en-GB"/>
              </w:rPr>
              <w:t>.</w:t>
            </w:r>
            <w:r w:rsidRPr="00500869">
              <w:rPr>
                <w:rFonts w:cs="Arial"/>
                <w:sz w:val="18"/>
                <w:szCs w:val="18"/>
                <w:lang w:val="en-GB"/>
              </w:rPr>
              <w:t>2</w:t>
            </w:r>
          </w:p>
        </w:tc>
        <w:tc>
          <w:tcPr>
            <w:tcW w:w="1293" w:type="dxa"/>
            <w:vAlign w:val="center"/>
          </w:tcPr>
          <w:p w:rsidR="00E930E2" w:rsidRPr="00500869" w:rsidRDefault="00E930E2" w:rsidP="008B184A">
            <w:pPr>
              <w:autoSpaceDE w:val="0"/>
              <w:autoSpaceDN w:val="0"/>
              <w:adjustRightInd w:val="0"/>
              <w:jc w:val="right"/>
              <w:rPr>
                <w:rFonts w:cs="Arial"/>
                <w:sz w:val="18"/>
                <w:szCs w:val="18"/>
                <w:lang w:val="en-GB"/>
              </w:rPr>
            </w:pPr>
            <w:r w:rsidRPr="00500869">
              <w:rPr>
                <w:rFonts w:cs="Arial"/>
                <w:sz w:val="18"/>
                <w:szCs w:val="18"/>
                <w:lang w:val="en-GB"/>
              </w:rPr>
              <w:t>+0</w:t>
            </w:r>
            <w:r w:rsidR="008B184A">
              <w:rPr>
                <w:rFonts w:cs="Arial"/>
                <w:sz w:val="18"/>
                <w:szCs w:val="18"/>
                <w:lang w:val="en-GB"/>
              </w:rPr>
              <w:t>.</w:t>
            </w:r>
            <w:r w:rsidRPr="00500869">
              <w:rPr>
                <w:rFonts w:cs="Arial"/>
                <w:sz w:val="18"/>
                <w:szCs w:val="18"/>
                <w:lang w:val="en-GB"/>
              </w:rPr>
              <w:t>6</w:t>
            </w:r>
          </w:p>
        </w:tc>
        <w:tc>
          <w:tcPr>
            <w:tcW w:w="1154" w:type="dxa"/>
            <w:vAlign w:val="center"/>
          </w:tcPr>
          <w:p w:rsidR="00E930E2" w:rsidRPr="00500869" w:rsidRDefault="00E930E2" w:rsidP="00B5674D">
            <w:pPr>
              <w:autoSpaceDE w:val="0"/>
              <w:autoSpaceDN w:val="0"/>
              <w:adjustRightInd w:val="0"/>
              <w:jc w:val="right"/>
              <w:rPr>
                <w:rFonts w:cs="Arial"/>
                <w:sz w:val="18"/>
                <w:szCs w:val="18"/>
                <w:lang w:val="en-GB"/>
              </w:rPr>
            </w:pPr>
            <w:r w:rsidRPr="00500869">
              <w:rPr>
                <w:rFonts w:cs="Arial"/>
                <w:sz w:val="18"/>
                <w:szCs w:val="18"/>
                <w:lang w:val="en-GB"/>
              </w:rPr>
              <w:t>x</w:t>
            </w:r>
          </w:p>
        </w:tc>
      </w:tr>
    </w:tbl>
    <w:p w:rsidR="00755D4C" w:rsidRPr="00500869" w:rsidRDefault="00755D4C" w:rsidP="00755D4C">
      <w:pPr>
        <w:rPr>
          <w:b/>
          <w:lang w:val="en-GB"/>
        </w:rPr>
      </w:pPr>
    </w:p>
    <w:p w:rsidR="00714534" w:rsidRDefault="00714534" w:rsidP="00755D4C">
      <w:pPr>
        <w:rPr>
          <w:lang w:val="en-GB"/>
        </w:rPr>
      </w:pPr>
      <w:r>
        <w:rPr>
          <w:lang w:val="en-GB"/>
        </w:rPr>
        <w:t>Decreasing of</w:t>
      </w:r>
      <w:r w:rsidR="00195D79">
        <w:rPr>
          <w:lang w:val="en-GB"/>
        </w:rPr>
        <w:t xml:space="preserve"> the economy</w:t>
      </w:r>
      <w:r>
        <w:rPr>
          <w:lang w:val="en-GB"/>
        </w:rPr>
        <w:t xml:space="preserve"> performance during the entire year 2012 as measured by the development of </w:t>
      </w:r>
      <w:r w:rsidR="006C6D12">
        <w:rPr>
          <w:lang w:val="en-GB"/>
        </w:rPr>
        <w:t xml:space="preserve">generated </w:t>
      </w:r>
      <w:r w:rsidR="00195D79">
        <w:rPr>
          <w:lang w:val="en-GB"/>
        </w:rPr>
        <w:t xml:space="preserve">gross value added continued also in the first quarter of 2013. After stabilisation during the second quarter, the economy has been growing quarter-on-quarter in the second half-year and in the fourth quarter it was growing even year-on-year. Nevertheless, the </w:t>
      </w:r>
      <w:r w:rsidR="00195D79">
        <w:rPr>
          <w:lang w:val="en-GB"/>
        </w:rPr>
        <w:lastRenderedPageBreak/>
        <w:t xml:space="preserve">y-o-y </w:t>
      </w:r>
      <w:r w:rsidR="00B5674D">
        <w:rPr>
          <w:lang w:val="en-GB"/>
        </w:rPr>
        <w:t xml:space="preserve">GVA growth in the Q4 has to be assessed </w:t>
      </w:r>
      <w:r w:rsidR="004040EA">
        <w:rPr>
          <w:lang w:val="en-GB"/>
        </w:rPr>
        <w:t xml:space="preserve">having in </w:t>
      </w:r>
      <w:proofErr w:type="gramStart"/>
      <w:r w:rsidR="004040EA">
        <w:rPr>
          <w:lang w:val="en-GB"/>
        </w:rPr>
        <w:t>mind</w:t>
      </w:r>
      <w:proofErr w:type="gramEnd"/>
      <w:r w:rsidR="004040EA">
        <w:rPr>
          <w:lang w:val="en-GB"/>
        </w:rPr>
        <w:t xml:space="preserve"> the low comparison basis in 2012. </w:t>
      </w:r>
    </w:p>
    <w:p w:rsidR="00755D4C" w:rsidRPr="00500869" w:rsidRDefault="00755D4C" w:rsidP="00755D4C">
      <w:pPr>
        <w:rPr>
          <w:lang w:val="en-GB"/>
        </w:rPr>
      </w:pPr>
    </w:p>
    <w:p w:rsidR="00F30987" w:rsidRDefault="00F30987" w:rsidP="00755D4C">
      <w:pPr>
        <w:rPr>
          <w:lang w:val="en-GB"/>
        </w:rPr>
      </w:pPr>
      <w:r>
        <w:rPr>
          <w:lang w:val="en-GB"/>
        </w:rPr>
        <w:t xml:space="preserve">Demand components influenced the </w:t>
      </w:r>
      <w:r w:rsidRPr="00F30987">
        <w:rPr>
          <w:b/>
          <w:lang w:val="en-GB"/>
        </w:rPr>
        <w:t>GDP development in 2013</w:t>
      </w:r>
      <w:r>
        <w:rPr>
          <w:lang w:val="en-GB"/>
        </w:rPr>
        <w:t xml:space="preserve"> in a differentiated way. </w:t>
      </w:r>
      <w:r w:rsidR="0093665A">
        <w:rPr>
          <w:lang w:val="en-GB"/>
        </w:rPr>
        <w:t xml:space="preserve">The </w:t>
      </w:r>
      <w:r w:rsidR="00703A74">
        <w:rPr>
          <w:lang w:val="en-GB"/>
        </w:rPr>
        <w:br/>
      </w:r>
      <w:r w:rsidR="0093665A">
        <w:rPr>
          <w:lang w:val="en-GB"/>
        </w:rPr>
        <w:t xml:space="preserve">y-o-y drop of the GDP by 0.9% in total was mainly as a result of a decrease of investments in fixed assets, even despite </w:t>
      </w:r>
      <w:r w:rsidR="004E64AC">
        <w:rPr>
          <w:lang w:val="en-GB"/>
        </w:rPr>
        <w:t xml:space="preserve">their </w:t>
      </w:r>
      <w:r w:rsidR="0093665A">
        <w:rPr>
          <w:lang w:val="en-GB"/>
        </w:rPr>
        <w:t>partial re</w:t>
      </w:r>
      <w:r w:rsidR="00232C36">
        <w:rPr>
          <w:lang w:val="en-GB"/>
        </w:rPr>
        <w:t>covery</w:t>
      </w:r>
      <w:r w:rsidR="0093665A">
        <w:rPr>
          <w:lang w:val="en-GB"/>
        </w:rPr>
        <w:t xml:space="preserve"> in the fourth quarter. </w:t>
      </w:r>
      <w:r w:rsidR="00DC3E6B">
        <w:rPr>
          <w:lang w:val="en-GB"/>
        </w:rPr>
        <w:t>F</w:t>
      </w:r>
      <w:r w:rsidR="0030522D">
        <w:rPr>
          <w:lang w:val="en-GB"/>
        </w:rPr>
        <w:t>inal consumption</w:t>
      </w:r>
      <w:r w:rsidR="00DC3E6B">
        <w:rPr>
          <w:lang w:val="en-GB"/>
        </w:rPr>
        <w:t xml:space="preserve"> expenditure of households</w:t>
      </w:r>
      <w:r w:rsidR="0030522D">
        <w:rPr>
          <w:lang w:val="en-GB"/>
        </w:rPr>
        <w:t xml:space="preserve"> as well as the active balance of external trade </w:t>
      </w:r>
      <w:proofErr w:type="gramStart"/>
      <w:r w:rsidR="0030522D">
        <w:rPr>
          <w:lang w:val="en-GB"/>
        </w:rPr>
        <w:t>were</w:t>
      </w:r>
      <w:proofErr w:type="gramEnd"/>
      <w:r w:rsidR="0030522D">
        <w:rPr>
          <w:lang w:val="en-GB"/>
        </w:rPr>
        <w:t xml:space="preserve"> stagnating in the total for the entire year. </w:t>
      </w:r>
      <w:r w:rsidR="00DC3E6B">
        <w:rPr>
          <w:lang w:val="en-GB"/>
        </w:rPr>
        <w:t>F</w:t>
      </w:r>
      <w:r w:rsidR="0030522D">
        <w:rPr>
          <w:lang w:val="en-GB"/>
        </w:rPr>
        <w:t>inal consumption</w:t>
      </w:r>
      <w:r w:rsidR="00DC3E6B" w:rsidRPr="00DC3E6B">
        <w:rPr>
          <w:lang w:val="en-GB"/>
        </w:rPr>
        <w:t xml:space="preserve"> </w:t>
      </w:r>
      <w:r w:rsidR="00DC3E6B">
        <w:rPr>
          <w:lang w:val="en-GB"/>
        </w:rPr>
        <w:t>expenditure</w:t>
      </w:r>
      <w:r w:rsidR="00DC3E6B" w:rsidRPr="00DC3E6B">
        <w:rPr>
          <w:lang w:val="en-GB"/>
        </w:rPr>
        <w:t xml:space="preserve"> </w:t>
      </w:r>
      <w:r w:rsidR="00DC3E6B">
        <w:rPr>
          <w:lang w:val="en-GB"/>
        </w:rPr>
        <w:t>of general government</w:t>
      </w:r>
      <w:r w:rsidR="0030522D">
        <w:rPr>
          <w:lang w:val="en-GB"/>
        </w:rPr>
        <w:t xml:space="preserve"> influenced the GDP development in a slightly positive way. </w:t>
      </w:r>
    </w:p>
    <w:p w:rsidR="005277F0" w:rsidRDefault="005277F0" w:rsidP="00755D4C">
      <w:pPr>
        <w:rPr>
          <w:b/>
          <w:lang w:val="en-GB"/>
        </w:rPr>
      </w:pPr>
    </w:p>
    <w:p w:rsidR="00755D4C" w:rsidRDefault="005277F0" w:rsidP="00755D4C">
      <w:pPr>
        <w:rPr>
          <w:b/>
          <w:lang w:val="en-GB"/>
        </w:rPr>
      </w:pPr>
      <w:r>
        <w:rPr>
          <w:b/>
          <w:lang w:val="en-GB"/>
        </w:rPr>
        <w:t>Structure of the demand</w:t>
      </w:r>
    </w:p>
    <w:p w:rsidR="00843597" w:rsidRPr="00500869" w:rsidRDefault="00843597" w:rsidP="00755D4C">
      <w:pPr>
        <w:rPr>
          <w:b/>
          <w:lang w:val="en-GB"/>
        </w:rPr>
      </w:pPr>
    </w:p>
    <w:p w:rsidR="004A313D" w:rsidRPr="004A313D" w:rsidRDefault="004A313D" w:rsidP="00755D4C">
      <w:pPr>
        <w:rPr>
          <w:lang w:val="en-GB"/>
        </w:rPr>
      </w:pPr>
      <w:r>
        <w:rPr>
          <w:b/>
          <w:lang w:val="en-GB"/>
        </w:rPr>
        <w:t>Final consumption expenditure</w:t>
      </w:r>
      <w:r>
        <w:rPr>
          <w:lang w:val="en-GB"/>
        </w:rPr>
        <w:t xml:space="preserve"> </w:t>
      </w:r>
      <w:r w:rsidR="00C50DC8">
        <w:rPr>
          <w:lang w:val="en-GB"/>
        </w:rPr>
        <w:t xml:space="preserve">increased in total by 0.4%, y-o-y, with different development of the main components. </w:t>
      </w:r>
      <w:r w:rsidR="002F6A45">
        <w:rPr>
          <w:lang w:val="en-GB"/>
        </w:rPr>
        <w:t xml:space="preserve">Expenditure of </w:t>
      </w:r>
      <w:r w:rsidR="002F6A45" w:rsidRPr="00610D6A">
        <w:rPr>
          <w:u w:val="single"/>
          <w:lang w:val="en-GB"/>
        </w:rPr>
        <w:t>institutions of the general government</w:t>
      </w:r>
      <w:r w:rsidR="002F6A45">
        <w:rPr>
          <w:lang w:val="en-GB"/>
        </w:rPr>
        <w:t xml:space="preserve"> were higher by 1.9%, y-o-y, while </w:t>
      </w:r>
      <w:r w:rsidR="002F6A45" w:rsidRPr="00610D6A">
        <w:rPr>
          <w:u w:val="single"/>
          <w:lang w:val="en-GB"/>
        </w:rPr>
        <w:t>households</w:t>
      </w:r>
      <w:r w:rsidR="002F6A45">
        <w:rPr>
          <w:lang w:val="en-GB"/>
        </w:rPr>
        <w:t xml:space="preserve"> spent by 0.2% less compared to 2012, even despite the revived growth</w:t>
      </w:r>
      <w:r w:rsidR="002F6A45" w:rsidRPr="002F6A45">
        <w:rPr>
          <w:lang w:val="en-GB"/>
        </w:rPr>
        <w:t xml:space="preserve"> </w:t>
      </w:r>
      <w:r w:rsidR="002F6A45">
        <w:rPr>
          <w:lang w:val="en-GB"/>
        </w:rPr>
        <w:t xml:space="preserve">by 0.7% in the fourth quarter of 2013. </w:t>
      </w:r>
      <w:r w:rsidR="00F26B6C">
        <w:rPr>
          <w:lang w:val="en-GB"/>
        </w:rPr>
        <w:t xml:space="preserve">As measured by constant prices, households spent </w:t>
      </w:r>
      <w:r w:rsidR="00240D18">
        <w:rPr>
          <w:lang w:val="en-GB"/>
        </w:rPr>
        <w:t xml:space="preserve">less </w:t>
      </w:r>
      <w:r w:rsidR="00F26B6C">
        <w:rPr>
          <w:lang w:val="en-GB"/>
        </w:rPr>
        <w:t xml:space="preserve">in 2013 especially </w:t>
      </w:r>
      <w:r w:rsidR="006F0229">
        <w:rPr>
          <w:lang w:val="en-GB"/>
        </w:rPr>
        <w:t>on</w:t>
      </w:r>
      <w:r w:rsidR="00F26B6C">
        <w:rPr>
          <w:lang w:val="en-GB"/>
        </w:rPr>
        <w:t xml:space="preserve"> food, alcoholic beverages, furniture, maintenance and repairs of dwellings, </w:t>
      </w:r>
      <w:r w:rsidR="00375F47">
        <w:rPr>
          <w:lang w:val="en-GB"/>
        </w:rPr>
        <w:t>food service activities, recreation, and pharmaceuticals. On the contrary, they spent</w:t>
      </w:r>
      <w:r w:rsidR="006F0229" w:rsidRPr="006F0229">
        <w:rPr>
          <w:lang w:val="en-GB"/>
        </w:rPr>
        <w:t xml:space="preserve"> </w:t>
      </w:r>
      <w:r w:rsidR="006F0229">
        <w:rPr>
          <w:lang w:val="en-GB"/>
        </w:rPr>
        <w:t>more than</w:t>
      </w:r>
      <w:r w:rsidR="00375F47">
        <w:rPr>
          <w:lang w:val="en-GB"/>
        </w:rPr>
        <w:t xml:space="preserve"> in 2012 </w:t>
      </w:r>
      <w:r w:rsidR="006F0229">
        <w:rPr>
          <w:lang w:val="en-GB"/>
        </w:rPr>
        <w:t>chiefly</w:t>
      </w:r>
      <w:r w:rsidR="00375F47">
        <w:rPr>
          <w:lang w:val="en-GB"/>
        </w:rPr>
        <w:t xml:space="preserve"> </w:t>
      </w:r>
      <w:r w:rsidR="006F0229">
        <w:rPr>
          <w:lang w:val="en-GB"/>
        </w:rPr>
        <w:t>on</w:t>
      </w:r>
      <w:r w:rsidR="00375F47">
        <w:rPr>
          <w:lang w:val="en-GB"/>
        </w:rPr>
        <w:t xml:space="preserve"> clothing, electricity</w:t>
      </w:r>
      <w:r w:rsidR="00082296">
        <w:rPr>
          <w:lang w:val="en-GB"/>
        </w:rPr>
        <w:t xml:space="preserve"> and heat, </w:t>
      </w:r>
      <w:r w:rsidR="001E7BBB">
        <w:rPr>
          <w:lang w:val="en-GB"/>
        </w:rPr>
        <w:t xml:space="preserve">household textiles, </w:t>
      </w:r>
      <w:r w:rsidR="00D60E79">
        <w:rPr>
          <w:lang w:val="en-GB"/>
        </w:rPr>
        <w:t xml:space="preserve">audio and video technology. </w:t>
      </w:r>
      <w:r w:rsidR="0055710A">
        <w:rPr>
          <w:lang w:val="en-GB"/>
        </w:rPr>
        <w:t xml:space="preserve">Household expenditure increased at current prices by 1.0% when the price level grew by 1.2%. </w:t>
      </w:r>
    </w:p>
    <w:p w:rsidR="004A313D" w:rsidRDefault="004A313D" w:rsidP="00755D4C">
      <w:pPr>
        <w:rPr>
          <w:b/>
          <w:lang w:val="en-GB"/>
        </w:rPr>
      </w:pPr>
    </w:p>
    <w:p w:rsidR="006A5FE5" w:rsidRPr="00AD1996" w:rsidRDefault="006A5FE5" w:rsidP="00755D4C">
      <w:pPr>
        <w:rPr>
          <w:lang w:val="en-GB"/>
        </w:rPr>
      </w:pPr>
      <w:r>
        <w:rPr>
          <w:b/>
          <w:lang w:val="en-GB"/>
        </w:rPr>
        <w:t xml:space="preserve">Gross capital formation </w:t>
      </w:r>
      <w:r w:rsidR="00AD1996">
        <w:rPr>
          <w:lang w:val="en-GB"/>
        </w:rPr>
        <w:t xml:space="preserve">was </w:t>
      </w:r>
      <w:r w:rsidR="00263310">
        <w:rPr>
          <w:lang w:val="en-GB"/>
        </w:rPr>
        <w:t xml:space="preserve">lower by 4.0%, y-o-y, in 2013; formed </w:t>
      </w:r>
      <w:r w:rsidR="00263310" w:rsidRPr="00263310">
        <w:rPr>
          <w:u w:val="single"/>
          <w:lang w:val="en-GB"/>
        </w:rPr>
        <w:t>fixed assets</w:t>
      </w:r>
      <w:r w:rsidR="00263310">
        <w:rPr>
          <w:lang w:val="en-GB"/>
        </w:rPr>
        <w:t xml:space="preserve"> were lower by 3.3% compared to 2012, especially due to fall of investments of construction character. </w:t>
      </w:r>
      <w:r w:rsidR="00BD0247">
        <w:rPr>
          <w:lang w:val="en-GB"/>
        </w:rPr>
        <w:t xml:space="preserve">Also investments to machinery equipment and transport equipment were lower than a year before. </w:t>
      </w:r>
      <w:r w:rsidR="00BD0247" w:rsidRPr="00332EFD">
        <w:rPr>
          <w:lang w:val="en-GB"/>
        </w:rPr>
        <w:t>Stock of</w:t>
      </w:r>
      <w:r w:rsidR="00BD0247" w:rsidRPr="009B0BC7">
        <w:rPr>
          <w:u w:val="single"/>
          <w:lang w:val="en-GB"/>
        </w:rPr>
        <w:t xml:space="preserve"> inventories</w:t>
      </w:r>
      <w:r w:rsidR="00BD0247">
        <w:rPr>
          <w:lang w:val="en-GB"/>
        </w:rPr>
        <w:t xml:space="preserve"> (non-adjusted for seasonal effects) has</w:t>
      </w:r>
      <w:r w:rsidR="002626AF">
        <w:rPr>
          <w:lang w:val="en-GB"/>
        </w:rPr>
        <w:t xml:space="preserve"> remained</w:t>
      </w:r>
      <w:r w:rsidR="00BD0247">
        <w:rPr>
          <w:lang w:val="en-GB"/>
        </w:rPr>
        <w:t xml:space="preserve"> almost unchanged for the entire year 2013</w:t>
      </w:r>
      <w:r w:rsidR="000A6549">
        <w:rPr>
          <w:lang w:val="en-GB"/>
        </w:rPr>
        <w:t>; their marked growth in the Q3 basically compensated drops during</w:t>
      </w:r>
      <w:r w:rsidR="002626AF">
        <w:rPr>
          <w:lang w:val="en-GB"/>
        </w:rPr>
        <w:t xml:space="preserve"> the</w:t>
      </w:r>
      <w:r w:rsidR="000A6549">
        <w:rPr>
          <w:lang w:val="en-GB"/>
        </w:rPr>
        <w:t xml:space="preserve"> other quarters. </w:t>
      </w:r>
    </w:p>
    <w:p w:rsidR="006A5FE5" w:rsidRDefault="006A5FE5" w:rsidP="00755D4C">
      <w:pPr>
        <w:rPr>
          <w:b/>
          <w:lang w:val="en-GB"/>
        </w:rPr>
      </w:pPr>
    </w:p>
    <w:p w:rsidR="00B87C36" w:rsidRDefault="00B87C36" w:rsidP="00755D4C">
      <w:pPr>
        <w:rPr>
          <w:lang w:val="en-GB"/>
        </w:rPr>
      </w:pPr>
      <w:r>
        <w:rPr>
          <w:lang w:val="en-GB"/>
        </w:rPr>
        <w:t xml:space="preserve">In </w:t>
      </w:r>
      <w:r w:rsidRPr="00B87C36">
        <w:rPr>
          <w:b/>
          <w:lang w:val="en-GB"/>
        </w:rPr>
        <w:t>external trade</w:t>
      </w:r>
      <w:r>
        <w:rPr>
          <w:lang w:val="en-GB"/>
        </w:rPr>
        <w:t xml:space="preserve">, </w:t>
      </w:r>
      <w:r w:rsidR="001114D2">
        <w:rPr>
          <w:lang w:val="en-GB"/>
        </w:rPr>
        <w:t xml:space="preserve">both exports and imports of goods increased almost the same in 2013 (+0.9% and </w:t>
      </w:r>
      <w:r w:rsidR="001E55F1">
        <w:rPr>
          <w:lang w:val="en-GB"/>
        </w:rPr>
        <w:t>+</w:t>
      </w:r>
      <w:r w:rsidR="001114D2">
        <w:rPr>
          <w:lang w:val="en-GB"/>
        </w:rPr>
        <w:t xml:space="preserve">0.8%, respectively); export prices increased by 1.3%, while import prices dropped by 0.3%. </w:t>
      </w:r>
    </w:p>
    <w:p w:rsidR="00755D4C" w:rsidRPr="00500869" w:rsidRDefault="00755D4C" w:rsidP="00755D4C">
      <w:pPr>
        <w:rPr>
          <w:lang w:val="en-GB"/>
        </w:rPr>
      </w:pPr>
    </w:p>
    <w:p w:rsidR="00755D4C" w:rsidRDefault="00046D9B" w:rsidP="00755D4C">
      <w:pPr>
        <w:rPr>
          <w:b/>
          <w:lang w:val="en-GB"/>
        </w:rPr>
      </w:pPr>
      <w:r>
        <w:rPr>
          <w:b/>
          <w:lang w:val="en-GB"/>
        </w:rPr>
        <w:t>Development of the supply</w:t>
      </w:r>
    </w:p>
    <w:p w:rsidR="00843597" w:rsidRPr="00500869" w:rsidRDefault="00843597" w:rsidP="00755D4C">
      <w:pPr>
        <w:rPr>
          <w:b/>
          <w:lang w:val="en-GB"/>
        </w:rPr>
      </w:pPr>
    </w:p>
    <w:p w:rsidR="004C0ED2" w:rsidRPr="004C0ED2" w:rsidRDefault="001739A9" w:rsidP="00755D4C">
      <w:pPr>
        <w:rPr>
          <w:lang w:val="en-GB"/>
        </w:rPr>
      </w:pPr>
      <w:r>
        <w:rPr>
          <w:b/>
          <w:lang w:val="en-GB"/>
        </w:rPr>
        <w:t>Gross value added</w:t>
      </w:r>
      <w:r w:rsidR="004C0ED2">
        <w:rPr>
          <w:lang w:val="en-GB"/>
        </w:rPr>
        <w:t xml:space="preserve"> </w:t>
      </w:r>
      <w:r w:rsidR="00A66B66">
        <w:rPr>
          <w:lang w:val="en-GB"/>
        </w:rPr>
        <w:t xml:space="preserve">decreased in the total for the entire year by 0.8%. </w:t>
      </w:r>
      <w:r w:rsidR="001E12A7">
        <w:rPr>
          <w:lang w:val="en-GB"/>
        </w:rPr>
        <w:t xml:space="preserve">Financial and insurance activities positively contributed to the GVA formation. </w:t>
      </w:r>
      <w:r w:rsidR="00A950B0">
        <w:rPr>
          <w:lang w:val="en-GB"/>
        </w:rPr>
        <w:t>Contribution of t</w:t>
      </w:r>
      <w:r w:rsidR="001E12A7">
        <w:rPr>
          <w:lang w:val="en-GB"/>
        </w:rPr>
        <w:t xml:space="preserve">he </w:t>
      </w:r>
      <w:r w:rsidR="00A950B0">
        <w:rPr>
          <w:lang w:val="en-GB"/>
        </w:rPr>
        <w:t xml:space="preserve">manufacturing industry, which is a key branch, was neutral in the average for the entire year: the growth in the Q4 was just enough to compensate the negative development of the Q1 and partially also Q2. Agriculture, construction, trade, and some market services have not reached the level of the previous year. </w:t>
      </w:r>
    </w:p>
    <w:p w:rsidR="00755D4C" w:rsidRPr="00500869" w:rsidRDefault="00755D4C" w:rsidP="00755D4C">
      <w:pPr>
        <w:rPr>
          <w:lang w:val="en-GB"/>
        </w:rPr>
      </w:pPr>
    </w:p>
    <w:p w:rsidR="00484CD2" w:rsidRPr="00A23DAB" w:rsidRDefault="00484CD2" w:rsidP="00755D4C">
      <w:pPr>
        <w:rPr>
          <w:lang w:val="en-GB"/>
        </w:rPr>
      </w:pPr>
      <w:r>
        <w:rPr>
          <w:b/>
          <w:lang w:val="en-GB"/>
        </w:rPr>
        <w:t xml:space="preserve">Taxes on products </w:t>
      </w:r>
      <w:r w:rsidR="00A23DAB">
        <w:rPr>
          <w:lang w:val="en-GB"/>
        </w:rPr>
        <w:t xml:space="preserve">dropped in total by 1.5%, y-o-y, the development being much differentiated during the year. In the Q1 to Q3 there were marked decreases of more than 3%, which were </w:t>
      </w:r>
      <w:r w:rsidR="00A23DAB">
        <w:rPr>
          <w:lang w:val="en-GB"/>
        </w:rPr>
        <w:lastRenderedPageBreak/>
        <w:t xml:space="preserve">partially compensated by the 5.5% growth in the Q4 that was influenced by an enormous collection of the excise tax on tobacco products. </w:t>
      </w:r>
    </w:p>
    <w:p w:rsidR="00484CD2" w:rsidRDefault="00484CD2" w:rsidP="00755D4C">
      <w:pPr>
        <w:rPr>
          <w:lang w:val="en-GB"/>
        </w:rPr>
      </w:pPr>
    </w:p>
    <w:p w:rsidR="00C86CDB" w:rsidRDefault="00C86CDB" w:rsidP="00755D4C">
      <w:pPr>
        <w:rPr>
          <w:lang w:val="en-GB"/>
        </w:rPr>
      </w:pPr>
      <w:r>
        <w:rPr>
          <w:lang w:val="en-GB"/>
        </w:rPr>
        <w:t xml:space="preserve">In 2013, the economy of the Czech Republic generated the GDP in the amount of CZK </w:t>
      </w:r>
      <w:r w:rsidRPr="00500869">
        <w:rPr>
          <w:lang w:val="en-GB"/>
        </w:rPr>
        <w:t>3</w:t>
      </w:r>
      <w:r>
        <w:rPr>
          <w:lang w:val="en-GB"/>
        </w:rPr>
        <w:t> </w:t>
      </w:r>
      <w:r w:rsidRPr="00500869">
        <w:rPr>
          <w:lang w:val="en-GB"/>
        </w:rPr>
        <w:t>881</w:t>
      </w:r>
      <w:r>
        <w:rPr>
          <w:lang w:val="en-GB"/>
        </w:rPr>
        <w:t xml:space="preserve"> </w:t>
      </w:r>
      <w:proofErr w:type="spellStart"/>
      <w:r>
        <w:rPr>
          <w:lang w:val="en-GB"/>
        </w:rPr>
        <w:t>bn</w:t>
      </w:r>
      <w:proofErr w:type="spellEnd"/>
      <w:r>
        <w:rPr>
          <w:lang w:val="en-GB"/>
        </w:rPr>
        <w:t xml:space="preserve"> </w:t>
      </w:r>
      <w:r w:rsidRPr="00C86CDB">
        <w:rPr>
          <w:lang w:val="en-GB"/>
        </w:rPr>
        <w:t>at</w:t>
      </w:r>
      <w:r w:rsidRPr="00C86CDB">
        <w:rPr>
          <w:b/>
          <w:lang w:val="en-GB"/>
        </w:rPr>
        <w:t xml:space="preserve"> current prices</w:t>
      </w:r>
      <w:r w:rsidR="00372DC7">
        <w:rPr>
          <w:lang w:val="en-GB"/>
        </w:rPr>
        <w:t>, i.e. by 0.9% more than in 2012. The GDP deflator expressing t</w:t>
      </w:r>
      <w:r w:rsidR="007945DF">
        <w:rPr>
          <w:lang w:val="en-GB"/>
        </w:rPr>
        <w:t xml:space="preserve">he change of the overall price level for the entire year increased by 1.8%, y-o-y, of which in the Q4 it was by 2.2%. </w:t>
      </w:r>
    </w:p>
    <w:p w:rsidR="00755D4C" w:rsidRPr="00500869" w:rsidRDefault="00755D4C" w:rsidP="00755D4C">
      <w:pPr>
        <w:rPr>
          <w:lang w:val="en-GB"/>
        </w:rPr>
      </w:pPr>
    </w:p>
    <w:p w:rsidR="0083596A" w:rsidRPr="000F613B" w:rsidRDefault="0083596A" w:rsidP="00755D4C">
      <w:pPr>
        <w:rPr>
          <w:lang w:val="en-GB"/>
        </w:rPr>
      </w:pPr>
      <w:r>
        <w:rPr>
          <w:lang w:val="en-GB"/>
        </w:rPr>
        <w:t xml:space="preserve">Total </w:t>
      </w:r>
      <w:r>
        <w:rPr>
          <w:b/>
          <w:lang w:val="en-GB"/>
        </w:rPr>
        <w:t xml:space="preserve">employment </w:t>
      </w:r>
      <w:r w:rsidR="000F613B">
        <w:rPr>
          <w:lang w:val="en-GB"/>
        </w:rPr>
        <w:t xml:space="preserve">in terms of national accounts, which includes employees and </w:t>
      </w:r>
      <w:r w:rsidR="0072268B">
        <w:rPr>
          <w:lang w:val="en-GB"/>
        </w:rPr>
        <w:t xml:space="preserve">the self-employed, increased compared to 2012 in average by 0.9% to </w:t>
      </w:r>
      <w:r w:rsidR="0072268B" w:rsidRPr="00500869">
        <w:rPr>
          <w:lang w:val="en-GB"/>
        </w:rPr>
        <w:t>5</w:t>
      </w:r>
      <w:r w:rsidR="0072268B">
        <w:rPr>
          <w:lang w:val="en-GB"/>
        </w:rPr>
        <w:t> </w:t>
      </w:r>
      <w:r w:rsidR="0072268B" w:rsidRPr="00500869">
        <w:rPr>
          <w:lang w:val="en-GB"/>
        </w:rPr>
        <w:t>124</w:t>
      </w:r>
      <w:r w:rsidR="0072268B">
        <w:rPr>
          <w:lang w:val="en-GB"/>
        </w:rPr>
        <w:t xml:space="preserve"> thousand persons. However, they worked by 0.8% less hours in total. </w:t>
      </w:r>
    </w:p>
    <w:p w:rsidR="0083596A" w:rsidRDefault="0083596A" w:rsidP="00755D4C">
      <w:pPr>
        <w:rPr>
          <w:lang w:val="en-GB"/>
        </w:rPr>
      </w:pPr>
    </w:p>
    <w:p w:rsidR="00755D4C" w:rsidRPr="00555630" w:rsidRDefault="00F355D2" w:rsidP="00755D4C">
      <w:pPr>
        <w:pStyle w:val="Poznmky"/>
        <w:tabs>
          <w:tab w:val="left" w:pos="284"/>
        </w:tabs>
        <w:ind w:left="3600" w:hanging="3600"/>
        <w:rPr>
          <w:i/>
          <w:lang w:val="en-GB"/>
        </w:rPr>
      </w:pPr>
      <w:r>
        <w:rPr>
          <w:i/>
          <w:lang w:val="en-GB"/>
        </w:rPr>
        <w:t>Contact person</w:t>
      </w:r>
      <w:r w:rsidR="00755D4C" w:rsidRPr="00500869">
        <w:rPr>
          <w:i/>
          <w:lang w:val="en-GB"/>
        </w:rPr>
        <w:t>:</w:t>
      </w:r>
      <w:r w:rsidR="00755D4C" w:rsidRPr="00500869">
        <w:rPr>
          <w:i/>
          <w:lang w:val="en-GB"/>
        </w:rPr>
        <w:tab/>
        <w:t xml:space="preserve">Jan Heller, </w:t>
      </w:r>
      <w:r>
        <w:rPr>
          <w:i/>
          <w:lang w:val="en-GB"/>
        </w:rPr>
        <w:t>Director of the Quarterly National Accounts Department, phone number (+420)</w:t>
      </w:r>
      <w:r w:rsidR="00755D4C" w:rsidRPr="00500869">
        <w:rPr>
          <w:i/>
          <w:lang w:val="en-GB"/>
        </w:rPr>
        <w:t xml:space="preserve"> 274 052 865, e-mail: </w:t>
      </w:r>
      <w:r w:rsidR="00755D4C" w:rsidRPr="00555630">
        <w:rPr>
          <w:i/>
          <w:lang w:val="en-GB"/>
        </w:rPr>
        <w:t>jan.heller@czso.cz</w:t>
      </w:r>
    </w:p>
    <w:p w:rsidR="00755D4C" w:rsidRPr="00555630" w:rsidRDefault="00F107FA" w:rsidP="00755D4C">
      <w:pPr>
        <w:pStyle w:val="Poznamkytexty"/>
        <w:ind w:left="3600" w:hanging="3600"/>
        <w:rPr>
          <w:lang w:val="en-GB"/>
        </w:rPr>
      </w:pPr>
      <w:r w:rsidRPr="00555630">
        <w:rPr>
          <w:lang w:val="en-GB"/>
        </w:rPr>
        <w:t>Used data sources updated as at</w:t>
      </w:r>
      <w:r w:rsidR="00755D4C" w:rsidRPr="00555630">
        <w:rPr>
          <w:lang w:val="en-GB"/>
        </w:rPr>
        <w:t>:</w:t>
      </w:r>
      <w:r w:rsidR="00755D4C" w:rsidRPr="00555630">
        <w:rPr>
          <w:lang w:val="en-GB"/>
        </w:rPr>
        <w:tab/>
        <w:t>3</w:t>
      </w:r>
      <w:r w:rsidRPr="00555630">
        <w:rPr>
          <w:lang w:val="en-GB"/>
        </w:rPr>
        <w:t xml:space="preserve"> March</w:t>
      </w:r>
      <w:r w:rsidR="00755D4C" w:rsidRPr="00555630">
        <w:rPr>
          <w:lang w:val="en-GB"/>
        </w:rPr>
        <w:t xml:space="preserve"> 2014</w:t>
      </w:r>
    </w:p>
    <w:p w:rsidR="00755D4C" w:rsidRPr="009264F5" w:rsidRDefault="00F107FA" w:rsidP="00755D4C">
      <w:pPr>
        <w:pStyle w:val="Poznamkytexty"/>
        <w:ind w:left="3600" w:hanging="3600"/>
        <w:rPr>
          <w:lang w:val="en-US"/>
        </w:rPr>
      </w:pPr>
      <w:r w:rsidRPr="009264F5">
        <w:rPr>
          <w:lang w:val="en-US"/>
        </w:rPr>
        <w:t>Related CZSO web page</w:t>
      </w:r>
      <w:r w:rsidR="00755D4C" w:rsidRPr="009264F5">
        <w:rPr>
          <w:lang w:val="en-US"/>
        </w:rPr>
        <w:t>:</w:t>
      </w:r>
      <w:r w:rsidR="00755D4C" w:rsidRPr="009264F5">
        <w:rPr>
          <w:lang w:val="en-US"/>
        </w:rPr>
        <w:tab/>
      </w:r>
      <w:r w:rsidR="005C3F18" w:rsidRPr="009264F5">
        <w:rPr>
          <w:lang w:val="en-US"/>
        </w:rPr>
        <w:t>www.czso.cz/csu/csu.nsf/engkalendar/aktual-hdp</w:t>
      </w:r>
    </w:p>
    <w:p w:rsidR="00D209A7" w:rsidRPr="009264F5" w:rsidRDefault="00555630" w:rsidP="004E4954">
      <w:pPr>
        <w:ind w:left="3600" w:hanging="3600"/>
        <w:rPr>
          <w:i/>
          <w:sz w:val="18"/>
          <w:szCs w:val="18"/>
          <w:lang w:val="en-US"/>
        </w:rPr>
      </w:pPr>
      <w:r w:rsidRPr="009264F5">
        <w:rPr>
          <w:i/>
          <w:sz w:val="18"/>
          <w:szCs w:val="18"/>
          <w:lang w:val="en-US"/>
        </w:rPr>
        <w:t>Next News Release will be published on</w:t>
      </w:r>
      <w:r w:rsidR="00755D4C" w:rsidRPr="009264F5">
        <w:rPr>
          <w:i/>
          <w:sz w:val="18"/>
          <w:szCs w:val="18"/>
          <w:lang w:val="en-US"/>
        </w:rPr>
        <w:t>:</w:t>
      </w:r>
      <w:r w:rsidRPr="009264F5">
        <w:rPr>
          <w:i/>
          <w:sz w:val="18"/>
          <w:szCs w:val="18"/>
          <w:lang w:val="en-US"/>
        </w:rPr>
        <w:t xml:space="preserve"> </w:t>
      </w:r>
      <w:r w:rsidR="00755D4C" w:rsidRPr="009264F5">
        <w:rPr>
          <w:i/>
          <w:sz w:val="18"/>
          <w:szCs w:val="18"/>
          <w:lang w:val="en-US"/>
        </w:rPr>
        <w:t>1</w:t>
      </w:r>
      <w:r w:rsidRPr="009264F5">
        <w:rPr>
          <w:i/>
          <w:sz w:val="18"/>
          <w:szCs w:val="18"/>
          <w:lang w:val="en-US"/>
        </w:rPr>
        <w:t xml:space="preserve"> April</w:t>
      </w:r>
      <w:r w:rsidR="00755D4C" w:rsidRPr="009264F5">
        <w:rPr>
          <w:i/>
          <w:sz w:val="18"/>
          <w:szCs w:val="18"/>
          <w:lang w:val="en-US"/>
        </w:rPr>
        <w:t xml:space="preserve"> 2014 (</w:t>
      </w:r>
      <w:r w:rsidRPr="009264F5">
        <w:rPr>
          <w:i/>
          <w:sz w:val="18"/>
          <w:szCs w:val="18"/>
          <w:lang w:val="en-US"/>
        </w:rPr>
        <w:t>Quarterly National Accounts for the fourth quarter of</w:t>
      </w:r>
      <w:r w:rsidR="00755D4C" w:rsidRPr="009264F5">
        <w:rPr>
          <w:i/>
          <w:sz w:val="18"/>
          <w:szCs w:val="18"/>
          <w:lang w:val="en-US"/>
        </w:rPr>
        <w:t xml:space="preserve"> 2013)</w:t>
      </w:r>
    </w:p>
    <w:sectPr w:rsidR="00D209A7" w:rsidRPr="009264F5"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13" w:rsidRDefault="00985213" w:rsidP="00BA6370">
      <w:r>
        <w:separator/>
      </w:r>
    </w:p>
  </w:endnote>
  <w:endnote w:type="continuationSeparator" w:id="0">
    <w:p w:rsidR="00985213" w:rsidRDefault="00985213"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7C" w:rsidRDefault="00440FF1">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BD427C" w:rsidRPr="00D52A09" w:rsidRDefault="00BD427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BD427C" w:rsidRDefault="00BD427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BD427C" w:rsidRPr="00D52A09" w:rsidRDefault="00BD427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BD427C" w:rsidRPr="000172E7" w:rsidRDefault="00BD427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440FF1" w:rsidRPr="007E75DE">
                  <w:rPr>
                    <w:rFonts w:cs="Arial"/>
                    <w:szCs w:val="15"/>
                  </w:rPr>
                  <w:fldChar w:fldCharType="begin"/>
                </w:r>
                <w:r w:rsidRPr="007E75DE">
                  <w:rPr>
                    <w:rFonts w:cs="Arial"/>
                    <w:szCs w:val="15"/>
                  </w:rPr>
                  <w:instrText xml:space="preserve"> PAGE   \* MERGEFORMAT </w:instrText>
                </w:r>
                <w:r w:rsidR="00440FF1" w:rsidRPr="007E75DE">
                  <w:rPr>
                    <w:rFonts w:cs="Arial"/>
                    <w:szCs w:val="15"/>
                  </w:rPr>
                  <w:fldChar w:fldCharType="separate"/>
                </w:r>
                <w:r w:rsidR="006A120A">
                  <w:rPr>
                    <w:rFonts w:cs="Arial"/>
                    <w:noProof/>
                    <w:szCs w:val="15"/>
                  </w:rPr>
                  <w:t>1</w:t>
                </w:r>
                <w:r w:rsidR="00440FF1" w:rsidRPr="007E75DE">
                  <w:rPr>
                    <w:rFonts w:cs="Arial"/>
                    <w:szCs w:val="15"/>
                  </w:rPr>
                  <w:fldChar w:fldCharType="end"/>
                </w:r>
              </w:p>
            </w:txbxContent>
          </v:textbox>
          <w10:wrap anchorx="page" anchory="page"/>
        </v:shape>
      </w:pict>
    </w:r>
    <w:r w:rsidRPr="00440FF1">
      <w:rPr>
        <w:noProof/>
        <w:lang w:val="en-GB"/>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13" w:rsidRDefault="00985213" w:rsidP="00BA6370">
      <w:r>
        <w:separator/>
      </w:r>
    </w:p>
  </w:footnote>
  <w:footnote w:type="continuationSeparator" w:id="0">
    <w:p w:rsidR="00985213" w:rsidRDefault="00985213" w:rsidP="00BA6370">
      <w:r>
        <w:continuationSeparator/>
      </w:r>
    </w:p>
  </w:footnote>
  <w:footnote w:id="1">
    <w:p w:rsidR="00BD427C" w:rsidRPr="006D7EA9" w:rsidRDefault="00BD427C" w:rsidP="00755D4C">
      <w:pPr>
        <w:pStyle w:val="Textpoznpodarou"/>
        <w:rPr>
          <w:i/>
          <w:lang w:val="en-GB"/>
        </w:rPr>
      </w:pPr>
      <w:r w:rsidRPr="006D7EA9">
        <w:rPr>
          <w:rStyle w:val="Znakapoznpodarou"/>
          <w:lang w:val="en-GB"/>
        </w:rPr>
        <w:t>*/</w:t>
      </w:r>
      <w:r w:rsidRPr="006D7EA9">
        <w:rPr>
          <w:lang w:val="en-GB"/>
        </w:rPr>
        <w:t xml:space="preserve"> </w:t>
      </w:r>
      <w:r w:rsidRPr="006D7EA9">
        <w:rPr>
          <w:rFonts w:ascii="Arial" w:hAnsi="Arial" w:cs="Arial"/>
          <w:i/>
          <w:sz w:val="18"/>
          <w:szCs w:val="18"/>
          <w:lang w:val="en-GB"/>
        </w:rPr>
        <w:t>Unless otherwise stated, all data presented in the News Release are adjusted for price, seasonal, and calendar effects.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27C" w:rsidRDefault="00440FF1">
    <w:pPr>
      <w:pStyle w:val="Zhlav"/>
    </w:pPr>
    <w:r>
      <w:rPr>
        <w:noProof/>
        <w:lang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0869"/>
    <w:rsid w:val="000306C7"/>
    <w:rsid w:val="00043BF4"/>
    <w:rsid w:val="00046D9B"/>
    <w:rsid w:val="00082296"/>
    <w:rsid w:val="000843A5"/>
    <w:rsid w:val="00091722"/>
    <w:rsid w:val="000A6549"/>
    <w:rsid w:val="000B6F63"/>
    <w:rsid w:val="000F613B"/>
    <w:rsid w:val="001114D2"/>
    <w:rsid w:val="00116ED1"/>
    <w:rsid w:val="0013242C"/>
    <w:rsid w:val="001404AB"/>
    <w:rsid w:val="001676FC"/>
    <w:rsid w:val="0017231D"/>
    <w:rsid w:val="001739A9"/>
    <w:rsid w:val="00176E26"/>
    <w:rsid w:val="0018061F"/>
    <w:rsid w:val="001810DC"/>
    <w:rsid w:val="00195D79"/>
    <w:rsid w:val="001B607F"/>
    <w:rsid w:val="001C71FD"/>
    <w:rsid w:val="001D369A"/>
    <w:rsid w:val="001E12A7"/>
    <w:rsid w:val="001E55F1"/>
    <w:rsid w:val="001E7BBB"/>
    <w:rsid w:val="001F08B3"/>
    <w:rsid w:val="002070FB"/>
    <w:rsid w:val="00213729"/>
    <w:rsid w:val="00232C36"/>
    <w:rsid w:val="002406FA"/>
    <w:rsid w:val="00240D18"/>
    <w:rsid w:val="002626AF"/>
    <w:rsid w:val="00263310"/>
    <w:rsid w:val="002B2E47"/>
    <w:rsid w:val="002B5160"/>
    <w:rsid w:val="002D37F5"/>
    <w:rsid w:val="002F6A45"/>
    <w:rsid w:val="0030522D"/>
    <w:rsid w:val="00311193"/>
    <w:rsid w:val="0032398D"/>
    <w:rsid w:val="003301A3"/>
    <w:rsid w:val="00332EFD"/>
    <w:rsid w:val="0036777B"/>
    <w:rsid w:val="00372DC7"/>
    <w:rsid w:val="00375F47"/>
    <w:rsid w:val="00380178"/>
    <w:rsid w:val="0038282A"/>
    <w:rsid w:val="00383E81"/>
    <w:rsid w:val="00397580"/>
    <w:rsid w:val="003A45C8"/>
    <w:rsid w:val="003A5EB6"/>
    <w:rsid w:val="003B7F42"/>
    <w:rsid w:val="003C2DCF"/>
    <w:rsid w:val="003C3372"/>
    <w:rsid w:val="003C7FE7"/>
    <w:rsid w:val="003D0499"/>
    <w:rsid w:val="003D20D2"/>
    <w:rsid w:val="003D3576"/>
    <w:rsid w:val="003F526A"/>
    <w:rsid w:val="004040EA"/>
    <w:rsid w:val="00405244"/>
    <w:rsid w:val="00436D82"/>
    <w:rsid w:val="00440FF1"/>
    <w:rsid w:val="004436EE"/>
    <w:rsid w:val="0045547F"/>
    <w:rsid w:val="00484CD2"/>
    <w:rsid w:val="0048684A"/>
    <w:rsid w:val="004920AD"/>
    <w:rsid w:val="004A313D"/>
    <w:rsid w:val="004C0ED2"/>
    <w:rsid w:val="004D05B3"/>
    <w:rsid w:val="004E479E"/>
    <w:rsid w:val="004E4954"/>
    <w:rsid w:val="004E64AC"/>
    <w:rsid w:val="004F78E6"/>
    <w:rsid w:val="00500869"/>
    <w:rsid w:val="00512D99"/>
    <w:rsid w:val="005277F0"/>
    <w:rsid w:val="00531DBB"/>
    <w:rsid w:val="00555630"/>
    <w:rsid w:val="0055710A"/>
    <w:rsid w:val="00564213"/>
    <w:rsid w:val="005642FB"/>
    <w:rsid w:val="00592891"/>
    <w:rsid w:val="005C3F18"/>
    <w:rsid w:val="005F79FB"/>
    <w:rsid w:val="00604406"/>
    <w:rsid w:val="00605F4A"/>
    <w:rsid w:val="00607822"/>
    <w:rsid w:val="00607C43"/>
    <w:rsid w:val="006103AA"/>
    <w:rsid w:val="00610D6A"/>
    <w:rsid w:val="00613BBF"/>
    <w:rsid w:val="00622B80"/>
    <w:rsid w:val="0064139A"/>
    <w:rsid w:val="006848A7"/>
    <w:rsid w:val="006A120A"/>
    <w:rsid w:val="006A5FE5"/>
    <w:rsid w:val="006C6D12"/>
    <w:rsid w:val="006D5C60"/>
    <w:rsid w:val="006D7EA9"/>
    <w:rsid w:val="006E024F"/>
    <w:rsid w:val="006E4E81"/>
    <w:rsid w:val="006F0229"/>
    <w:rsid w:val="006F12DF"/>
    <w:rsid w:val="00703A74"/>
    <w:rsid w:val="00707F7D"/>
    <w:rsid w:val="00714534"/>
    <w:rsid w:val="00717EC5"/>
    <w:rsid w:val="0072268B"/>
    <w:rsid w:val="00743EAF"/>
    <w:rsid w:val="00750621"/>
    <w:rsid w:val="00755D4C"/>
    <w:rsid w:val="00755D8B"/>
    <w:rsid w:val="00763787"/>
    <w:rsid w:val="00786102"/>
    <w:rsid w:val="00790D5E"/>
    <w:rsid w:val="007945DF"/>
    <w:rsid w:val="007A0CA5"/>
    <w:rsid w:val="007A57F2"/>
    <w:rsid w:val="007B1333"/>
    <w:rsid w:val="007E373D"/>
    <w:rsid w:val="007F4AEB"/>
    <w:rsid w:val="007F75B2"/>
    <w:rsid w:val="008043C4"/>
    <w:rsid w:val="0082449A"/>
    <w:rsid w:val="00831B1B"/>
    <w:rsid w:val="0083596A"/>
    <w:rsid w:val="00843597"/>
    <w:rsid w:val="00855FB3"/>
    <w:rsid w:val="00861D0E"/>
    <w:rsid w:val="00867569"/>
    <w:rsid w:val="00885C0D"/>
    <w:rsid w:val="008A750A"/>
    <w:rsid w:val="008B184A"/>
    <w:rsid w:val="008B3970"/>
    <w:rsid w:val="008C384C"/>
    <w:rsid w:val="008D0F11"/>
    <w:rsid w:val="008F73B4"/>
    <w:rsid w:val="009035E8"/>
    <w:rsid w:val="009264F5"/>
    <w:rsid w:val="0093665A"/>
    <w:rsid w:val="00971374"/>
    <w:rsid w:val="00985213"/>
    <w:rsid w:val="009B0BC7"/>
    <w:rsid w:val="009B55B1"/>
    <w:rsid w:val="009C141F"/>
    <w:rsid w:val="009E39C5"/>
    <w:rsid w:val="00A23DAB"/>
    <w:rsid w:val="00A40507"/>
    <w:rsid w:val="00A42529"/>
    <w:rsid w:val="00A4343D"/>
    <w:rsid w:val="00A5004E"/>
    <w:rsid w:val="00A502F1"/>
    <w:rsid w:val="00A622CE"/>
    <w:rsid w:val="00A66B66"/>
    <w:rsid w:val="00A70A83"/>
    <w:rsid w:val="00A81EB3"/>
    <w:rsid w:val="00A950B0"/>
    <w:rsid w:val="00AC3140"/>
    <w:rsid w:val="00AD1996"/>
    <w:rsid w:val="00B00C1D"/>
    <w:rsid w:val="00B0280D"/>
    <w:rsid w:val="00B17B9E"/>
    <w:rsid w:val="00B44BA4"/>
    <w:rsid w:val="00B5674D"/>
    <w:rsid w:val="00B632CC"/>
    <w:rsid w:val="00B87C36"/>
    <w:rsid w:val="00BA12F1"/>
    <w:rsid w:val="00BA439F"/>
    <w:rsid w:val="00BA6370"/>
    <w:rsid w:val="00BD0247"/>
    <w:rsid w:val="00BD427C"/>
    <w:rsid w:val="00BE5F60"/>
    <w:rsid w:val="00C269D4"/>
    <w:rsid w:val="00C4160D"/>
    <w:rsid w:val="00C443D2"/>
    <w:rsid w:val="00C50DC8"/>
    <w:rsid w:val="00C8406E"/>
    <w:rsid w:val="00C86CDB"/>
    <w:rsid w:val="00CB2709"/>
    <w:rsid w:val="00CB6F89"/>
    <w:rsid w:val="00CE228C"/>
    <w:rsid w:val="00CE71D9"/>
    <w:rsid w:val="00CF545B"/>
    <w:rsid w:val="00D209A7"/>
    <w:rsid w:val="00D27D69"/>
    <w:rsid w:val="00D448C2"/>
    <w:rsid w:val="00D60E79"/>
    <w:rsid w:val="00D666C3"/>
    <w:rsid w:val="00D811AB"/>
    <w:rsid w:val="00DB12DE"/>
    <w:rsid w:val="00DC3E6B"/>
    <w:rsid w:val="00DE5184"/>
    <w:rsid w:val="00DF47FE"/>
    <w:rsid w:val="00E0156A"/>
    <w:rsid w:val="00E222A7"/>
    <w:rsid w:val="00E26704"/>
    <w:rsid w:val="00E31980"/>
    <w:rsid w:val="00E56267"/>
    <w:rsid w:val="00E6423C"/>
    <w:rsid w:val="00E71483"/>
    <w:rsid w:val="00E930E2"/>
    <w:rsid w:val="00E93830"/>
    <w:rsid w:val="00E93E0E"/>
    <w:rsid w:val="00EB1A25"/>
    <w:rsid w:val="00EB1ED3"/>
    <w:rsid w:val="00EE70B7"/>
    <w:rsid w:val="00F107FA"/>
    <w:rsid w:val="00F26B6C"/>
    <w:rsid w:val="00F30987"/>
    <w:rsid w:val="00F314B7"/>
    <w:rsid w:val="00F355D2"/>
    <w:rsid w:val="00F83C49"/>
    <w:rsid w:val="00FB687C"/>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755D4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Poznmky"/>
    <w:qFormat/>
    <w:rsid w:val="00755D4C"/>
    <w:pPr>
      <w:pBdr>
        <w:top w:val="none" w:sz="0" w:space="0" w:color="auto"/>
      </w:pBdr>
      <w:spacing w:before="0"/>
      <w:jc w:val="both"/>
    </w:pPr>
    <w:rPr>
      <w:i/>
    </w:rPr>
  </w:style>
  <w:style w:type="paragraph" w:styleId="Textpoznpodarou">
    <w:name w:val="footnote text"/>
    <w:basedOn w:val="Normln"/>
    <w:link w:val="TextpoznpodarouChar"/>
    <w:semiHidden/>
    <w:rsid w:val="00755D4C"/>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755D4C"/>
    <w:rPr>
      <w:rFonts w:ascii="Times New Roman" w:eastAsia="Times New Roman" w:hAnsi="Times New Roman"/>
    </w:rPr>
  </w:style>
  <w:style w:type="character" w:styleId="Znakapoznpodarou">
    <w:name w:val="footnote reference"/>
    <w:semiHidden/>
    <w:rsid w:val="00755D4C"/>
    <w:rPr>
      <w:vertAlign w:val="superscript"/>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hova\Plocha\Nov&#225;_&#353;ablona_RI_AJ_2013.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D066-7F56-4637-AF1D-DB7D7C33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Nová_šablona_RI_AJ_2013.dotx</Template>
  <TotalTime>165</TotalTime>
  <Pages>3</Pages>
  <Words>813</Words>
  <Characters>4799</Characters>
  <Application>Microsoft Office Word</Application>
  <DocSecurity>0</DocSecurity>
  <Lines>39</Lines>
  <Paragraphs>11</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6 March 2014</vt:lpstr>
      <vt:lpstr>GDP in 2013 dropped due to fall of investments </vt:lpstr>
      <vt:lpstr>    National accounts – the fourth quarter of 2013</vt:lpstr>
    </vt:vector>
  </TitlesOfParts>
  <Company/>
  <LinksUpToDate>false</LinksUpToDate>
  <CharactersWithSpaces>5601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Milada Matoušová</dc:creator>
  <cp:keywords/>
  <cp:lastModifiedBy>svatosova7916</cp:lastModifiedBy>
  <cp:revision>85</cp:revision>
  <cp:lastPrinted>2014-03-05T10:27:00Z</cp:lastPrinted>
  <dcterms:created xsi:type="dcterms:W3CDTF">2014-03-05T07:52:00Z</dcterms:created>
  <dcterms:modified xsi:type="dcterms:W3CDTF">2014-03-05T13:04:00Z</dcterms:modified>
</cp:coreProperties>
</file>