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CF" w:rsidRPr="00CF53C7" w:rsidRDefault="009C2DCF" w:rsidP="009C2DCF">
      <w:pPr>
        <w:pStyle w:val="Nadpis1"/>
        <w:keepLines w:val="0"/>
        <w:numPr>
          <w:ilvl w:val="0"/>
          <w:numId w:val="10"/>
        </w:numPr>
        <w:spacing w:before="240" w:after="60"/>
        <w:jc w:val="both"/>
      </w:pPr>
      <w:bookmarkStart w:id="0" w:name="_Toc382812524"/>
      <w:r w:rsidRPr="00CF53C7">
        <w:t>Porovnání výsledků šetření VŠPO 13 a VŠPO 07</w:t>
      </w:r>
      <w:bookmarkEnd w:id="0"/>
    </w:p>
    <w:p w:rsidR="009C2DCF" w:rsidRPr="00CF53C7" w:rsidRDefault="009C2DCF" w:rsidP="004C22FA">
      <w:pPr>
        <w:pStyle w:val="Nadpis2"/>
        <w:keepLines w:val="0"/>
        <w:numPr>
          <w:ilvl w:val="1"/>
          <w:numId w:val="10"/>
        </w:numPr>
        <w:spacing w:before="240" w:after="60"/>
        <w:ind w:left="567" w:hanging="567"/>
        <w:jc w:val="both"/>
      </w:pPr>
      <w:bookmarkStart w:id="1" w:name="_Toc382812525"/>
      <w:r w:rsidRPr="00CF53C7">
        <w:t>Podíl počtu osob se zdravotním postižením v porovnání s celkovou populací ČR</w:t>
      </w:r>
      <w:bookmarkEnd w:id="1"/>
    </w:p>
    <w:p w:rsidR="009C2DCF" w:rsidRDefault="009C2DCF" w:rsidP="004C22FA">
      <w:pPr>
        <w:ind w:firstLine="567"/>
      </w:pPr>
      <w:r>
        <w:t xml:space="preserve">Podíly počtu osob se zdravotním postižením na celkové populaci ČR, členěný dále na muže </w:t>
      </w:r>
      <w:r w:rsidR="00857D78">
        <w:br/>
      </w:r>
      <w:r>
        <w:t>a ženy, názorně</w:t>
      </w:r>
      <w:r w:rsidR="007005DB">
        <w:t xml:space="preserve"> ukazuje následující graf č. 7.</w:t>
      </w:r>
    </w:p>
    <w:p w:rsidR="009C2DCF" w:rsidRDefault="009C2DCF" w:rsidP="009C2DCF">
      <w:pPr>
        <w:pStyle w:val="Nzavtabulky"/>
        <w:spacing w:before="240"/>
      </w:pPr>
      <w:r>
        <w:t>Graf č. 7: Podíl počtu zdravotně postižených osob na celkové populaci ČR</w:t>
      </w:r>
    </w:p>
    <w:p w:rsidR="009C2DCF" w:rsidRDefault="009C2DCF" w:rsidP="009C2DCF">
      <w:pPr>
        <w:pStyle w:val="Vysvtlivkyktabulkm"/>
        <w:rPr>
          <w:noProof/>
          <w:lang w:eastAsia="cs-CZ"/>
        </w:rPr>
      </w:pPr>
      <w:r>
        <w:rPr>
          <w:noProof/>
          <w:lang w:eastAsia="cs-CZ"/>
        </w:rPr>
        <w:drawing>
          <wp:inline distT="0" distB="0" distL="0" distR="0">
            <wp:extent cx="5724525" cy="351472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4525" cy="3514725"/>
                    </a:xfrm>
                    <a:prstGeom prst="rect">
                      <a:avLst/>
                    </a:prstGeom>
                    <a:noFill/>
                    <a:ln w="9525">
                      <a:noFill/>
                      <a:miter lim="800000"/>
                      <a:headEnd/>
                      <a:tailEnd/>
                    </a:ln>
                  </pic:spPr>
                </pic:pic>
              </a:graphicData>
            </a:graphic>
          </wp:inline>
        </w:drawing>
      </w:r>
    </w:p>
    <w:p w:rsidR="009C2DCF" w:rsidRDefault="009C2DCF" w:rsidP="00491B15">
      <w:pPr>
        <w:spacing w:before="360"/>
        <w:ind w:firstLine="567"/>
        <w:rPr>
          <w:b/>
        </w:rPr>
      </w:pPr>
      <w:r>
        <w:t xml:space="preserve">Z hodnot uvedených v grafu vyplývá, že </w:t>
      </w:r>
      <w:r w:rsidRPr="003B4163">
        <w:rPr>
          <w:b/>
        </w:rPr>
        <w:t>podíl počtu zdravotně postižených osob se za</w:t>
      </w:r>
      <w:r w:rsidR="00857D78">
        <w:rPr>
          <w:b/>
        </w:rPr>
        <w:t> </w:t>
      </w:r>
      <w:r w:rsidRPr="003B4163">
        <w:rPr>
          <w:b/>
        </w:rPr>
        <w:t>posledních 6 let zvýšil o 0,3 procentního bodu</w:t>
      </w:r>
      <w:r>
        <w:t xml:space="preserve"> (9,9% na 10,2%), přičemž výrazně vyšší zvýšení bylo šetřením zjištěno </w:t>
      </w:r>
      <w:r w:rsidRPr="003B4163">
        <w:rPr>
          <w:b/>
        </w:rPr>
        <w:t>u žen</w:t>
      </w:r>
      <w:r>
        <w:t xml:space="preserve"> (</w:t>
      </w:r>
      <w:r w:rsidRPr="003B4163">
        <w:rPr>
          <w:b/>
        </w:rPr>
        <w:t>o 0,6</w:t>
      </w:r>
      <w:r>
        <w:t xml:space="preserve"> procentního bodu – z 10,0% na 10,6%). </w:t>
      </w:r>
      <w:r w:rsidRPr="003B4163">
        <w:rPr>
          <w:b/>
        </w:rPr>
        <w:t>U mužů</w:t>
      </w:r>
      <w:r>
        <w:t xml:space="preserve"> je zvýšení podílu poměrně malé (</w:t>
      </w:r>
      <w:r w:rsidRPr="003B4163">
        <w:rPr>
          <w:b/>
        </w:rPr>
        <w:t>o 0,1</w:t>
      </w:r>
      <w:r>
        <w:t xml:space="preserve"> procentního bodu – z 9,8% na 9,9%).</w:t>
      </w:r>
    </w:p>
    <w:p w:rsidR="009C2DCF" w:rsidRDefault="009C2DCF" w:rsidP="009C2DCF">
      <w:pPr>
        <w:ind w:firstLine="567"/>
      </w:pPr>
      <w:r>
        <w:t>Na doplnění můžeme ještě uvést skutečnost, že se zvýšily rovněž i absolutní počty zdravotně postižených osob (celkově o 62 125 osob, v tom o 22 334 mužů a o 39 791 žen). Tempo růstu počtu osob se zdravotním postižením tak bylo vyšší než tempo růstu počtu obyvatel ČR - přírůstek celkového počtu osob se zdravotním postižením mezi oběma šetřeními činil 6,1%, zatímco celkového počtu obyvatel ČR jen 2,1% (rozdíl jsou 4 procentní body).</w:t>
      </w:r>
    </w:p>
    <w:p w:rsidR="009C2DCF" w:rsidRDefault="009C2DCF" w:rsidP="009C2DCF">
      <w:pPr>
        <w:pStyle w:val="Nadpis2"/>
        <w:keepLines w:val="0"/>
        <w:numPr>
          <w:ilvl w:val="1"/>
          <w:numId w:val="10"/>
        </w:numPr>
        <w:spacing w:before="240" w:after="60"/>
        <w:ind w:left="709" w:hanging="709"/>
        <w:jc w:val="both"/>
      </w:pPr>
      <w:bookmarkStart w:id="2" w:name="_Toc382812526"/>
      <w:r w:rsidRPr="00D53044">
        <w:t>Osoby se zdravotním postižením podle věku a pohlaví</w:t>
      </w:r>
      <w:r>
        <w:t xml:space="preserve"> v porovnání s celkovou populací ČR</w:t>
      </w:r>
      <w:bookmarkEnd w:id="2"/>
    </w:p>
    <w:p w:rsidR="009C2DCF" w:rsidRDefault="009C2DCF" w:rsidP="009C2DCF">
      <w:pPr>
        <w:ind w:firstLine="567"/>
      </w:pPr>
      <w:r>
        <w:t xml:space="preserve">Z detailnějšího pohledu na podíl zdravotně postižených osob v celkové populaci ČR je zajímavá situace výstupů ze šetření i ve vnitřní struktuře věku a u pohlaví. </w:t>
      </w:r>
    </w:p>
    <w:p w:rsidR="009C2DCF" w:rsidRPr="0029671E" w:rsidRDefault="009C2DCF" w:rsidP="009C2DCF">
      <w:pPr>
        <w:ind w:firstLine="567"/>
      </w:pPr>
      <w:r>
        <w:t xml:space="preserve">Použijeme-li ke srovnání mezi oběma šetřeními rozdílové hodnoty vyjádřené procentními body, pak </w:t>
      </w:r>
      <w:r w:rsidRPr="00C90FC4">
        <w:rPr>
          <w:u w:val="single"/>
        </w:rPr>
        <w:t>u mužů</w:t>
      </w:r>
      <w:r>
        <w:t xml:space="preserve"> dochází k nárůstu pouze ve věkových skupinách do 29 let, zatímco se ostatní čtyři věkové skupiny vyznačují poklesy. </w:t>
      </w:r>
      <w:r w:rsidRPr="00C90FC4">
        <w:rPr>
          <w:u w:val="single"/>
        </w:rPr>
        <w:t>U žen</w:t>
      </w:r>
      <w:r>
        <w:t xml:space="preserve"> je tomu tak, že ve věkových skupinách do 44 let a 75 + byl zjištěn nárůst, zatímco u věkových skupin 45 – 74 let došlo k poklesu. </w:t>
      </w:r>
      <w:r w:rsidRPr="00C90FC4">
        <w:rPr>
          <w:u w:val="single"/>
        </w:rPr>
        <w:t>Z pohledu celku</w:t>
      </w:r>
      <w:r>
        <w:t xml:space="preserve"> byly u tří věkových skupin (do 29 let a 75 +) zjištěny nárůsty, u dvou věkových skupin (45 – 74 let) pak poklesy a u jedné věkové skupiny (30 – 44 let) nebyl zaznamenán rozdíl žádný.</w:t>
      </w:r>
    </w:p>
    <w:p w:rsidR="009C2DCF" w:rsidRPr="00FF742C" w:rsidRDefault="009C2DCF" w:rsidP="004C22FA">
      <w:pPr>
        <w:pStyle w:val="Nadpis2"/>
        <w:keepLines w:val="0"/>
        <w:numPr>
          <w:ilvl w:val="1"/>
          <w:numId w:val="10"/>
        </w:numPr>
        <w:spacing w:before="240" w:after="60"/>
        <w:ind w:left="709" w:hanging="709"/>
        <w:jc w:val="both"/>
      </w:pPr>
      <w:bookmarkStart w:id="3" w:name="_Toc382812527"/>
      <w:r w:rsidRPr="00FF742C">
        <w:lastRenderedPageBreak/>
        <w:t>Nejvyšší dosažené vzdělání u osob se zdravotním postižením</w:t>
      </w:r>
      <w:bookmarkEnd w:id="3"/>
    </w:p>
    <w:p w:rsidR="009C2DCF" w:rsidRDefault="009C2DCF" w:rsidP="009C2DCF">
      <w:pPr>
        <w:ind w:firstLine="567"/>
      </w:pPr>
      <w:r>
        <w:t xml:space="preserve">Následující graf, vyjadřující hodnoty </w:t>
      </w:r>
      <w:r w:rsidRPr="0024043B">
        <w:rPr>
          <w:u w:val="single"/>
        </w:rPr>
        <w:t>v procentních bodech</w:t>
      </w:r>
      <w:r w:rsidR="00857D78">
        <w:t>, nám názorně ukazuje, jak se u </w:t>
      </w:r>
      <w:r>
        <w:t>celkových počtů osob se zdravotním postižením (bez rozlišení pohlaví) změnila za šest let situace v jimi dosaženém vzdělání (v této souvislosti nepřihlížíme k možnosti odpovědí „není známo“).</w:t>
      </w:r>
    </w:p>
    <w:p w:rsidR="009C2DCF" w:rsidRDefault="009C2DCF" w:rsidP="009C2DCF">
      <w:pPr>
        <w:pStyle w:val="Nzavtabulky"/>
      </w:pPr>
      <w:r>
        <w:t xml:space="preserve">Graf č. 8: Nejvyšší dosažené vzdělání </w:t>
      </w:r>
      <w:r w:rsidRPr="002A56A0">
        <w:rPr>
          <w:b w:val="0"/>
        </w:rPr>
        <w:t>(</w:t>
      </w:r>
      <w:r w:rsidRPr="0029671E">
        <w:rPr>
          <w:b w:val="0"/>
        </w:rPr>
        <w:t>osoby ve věku 15 + let</w:t>
      </w:r>
      <w:r w:rsidRPr="002A56A0">
        <w:rPr>
          <w:b w:val="0"/>
        </w:rPr>
        <w:t>)</w:t>
      </w:r>
    </w:p>
    <w:p w:rsidR="009C2DCF" w:rsidRDefault="009C2DCF" w:rsidP="009C2DCF">
      <w:pPr>
        <w:rPr>
          <w:noProof/>
        </w:rPr>
      </w:pPr>
      <w:r>
        <w:rPr>
          <w:noProof/>
        </w:rPr>
        <w:drawing>
          <wp:inline distT="0" distB="0" distL="0" distR="0">
            <wp:extent cx="5724525" cy="3314700"/>
            <wp:effectExtent l="19050" t="0" r="9525" b="0"/>
            <wp:docPr id="2" name="obráze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2DCF" w:rsidRDefault="009C2DCF" w:rsidP="00491B15">
      <w:pPr>
        <w:spacing w:before="360" w:after="120"/>
        <w:ind w:firstLine="567"/>
      </w:pPr>
      <w:r>
        <w:t xml:space="preserve">Z hodnot grafu můžeme odvodit například závěr, že za </w:t>
      </w:r>
      <w:r w:rsidRPr="00E84DA7">
        <w:rPr>
          <w:u w:val="single"/>
        </w:rPr>
        <w:t>pozitivní vývoj</w:t>
      </w:r>
      <w:r w:rsidR="00857D78">
        <w:t xml:space="preserve"> lze označit poklesy u </w:t>
      </w:r>
      <w:r>
        <w:t>kategorií bez vzdělání (- 0,3) a základního vzdělání (- 8,1) resp. nárůsty v kategoriích středního vzdělání s maturitou (+ 3,4) a vysokoškolského vzdělání (+ 1,3</w:t>
      </w:r>
      <w:r w:rsidR="00857D78">
        <w:t>). Problematické je hodnocení u </w:t>
      </w:r>
      <w:r>
        <w:t>posledních dvou kategorií – nárůst o 3,8 u středního vzdělání bez maturity a pokles o 0,1 u vyššího odborného vzdělání, na jejichž výsledek se můžeme dívat ze dvou různých pohledů a hodnotit tak vývoj kladně, stejně jako negativně.</w:t>
      </w:r>
    </w:p>
    <w:p w:rsidR="009C2DCF" w:rsidRDefault="00491B15" w:rsidP="00491B15">
      <w:pPr>
        <w:spacing w:before="0"/>
      </w:pPr>
      <w:r>
        <w:t xml:space="preserve">          </w:t>
      </w:r>
      <w:r w:rsidR="009C2DCF">
        <w:t xml:space="preserve">Pokud bychom hodnotili </w:t>
      </w:r>
      <w:r w:rsidR="009C2DCF" w:rsidRPr="00E5379D">
        <w:rPr>
          <w:u w:val="single"/>
        </w:rPr>
        <w:t>výstupy ze šetření u zdravotně postižených osob vztažené k celkové populaci ČR</w:t>
      </w:r>
      <w:r w:rsidR="009C2DCF">
        <w:t xml:space="preserve"> (viz tabulka č. 4 z první části analýzy, v porovnání s výsledky analýzy v rámci prvního šetření VŠPO 07), je obecně situace nepříznivá ve většině stupňů dosaženého vzdělání (vč. skupiny osob bez vzdělání).</w:t>
      </w:r>
    </w:p>
    <w:p w:rsidR="009C2DCF" w:rsidRPr="0029671E" w:rsidRDefault="009C2DCF" w:rsidP="009C2DCF">
      <w:pPr>
        <w:pStyle w:val="Nadpis2"/>
        <w:keepLines w:val="0"/>
        <w:numPr>
          <w:ilvl w:val="1"/>
          <w:numId w:val="10"/>
        </w:numPr>
        <w:spacing w:before="240" w:after="60"/>
        <w:jc w:val="both"/>
      </w:pPr>
      <w:bookmarkStart w:id="4" w:name="_Toc382812528"/>
      <w:r w:rsidRPr="0029671E">
        <w:t>Rodinný stav osob se zdravotním postižením</w:t>
      </w:r>
      <w:bookmarkEnd w:id="4"/>
    </w:p>
    <w:p w:rsidR="009C2DCF" w:rsidRDefault="009C2DCF" w:rsidP="009C2DCF">
      <w:pPr>
        <w:ind w:firstLine="567"/>
      </w:pPr>
      <w:r>
        <w:t xml:space="preserve">U hodnocení rodinného stavu musíme hned v úvodu zmínit jednu důležitou okolnost, a sice že </w:t>
      </w:r>
      <w:r w:rsidRPr="00CE4768">
        <w:rPr>
          <w:u w:val="single"/>
        </w:rPr>
        <w:t>porovnávání výsledků z obou šetření je mírně zkreslené skutečností, kterou je částečně odlišná kategorizace rodinného stavu</w:t>
      </w:r>
      <w:r>
        <w:t>. U dvou kategorií došlo k menším úpravám metodického charakteru. Rodinný stav ženatý/vdaná v rámci realizace VŠPO 13 v sobě zahrnuje stav druh/družka, který byl při VŠPO 07 zjišťován samostatně; stejně tak je tomu u rodinného stavu rozvedený/á, který je sloučen se stavem žijící odděleně (ten byl při realizaci VŠPO 07 zjišťován rovněž samostatně). Nicméně můžeme takové zkreslení považovat za minimální, neovlivňující následující hodnocení významnějším způsobem.</w:t>
      </w:r>
    </w:p>
    <w:p w:rsidR="009C2DCF" w:rsidRDefault="009C2DCF" w:rsidP="009C2DCF">
      <w:pPr>
        <w:ind w:firstLine="567"/>
      </w:pPr>
      <w:r>
        <w:t xml:space="preserve">Z porovnání dvou šetření v celkových výstupech lze vyvodit závěr, že </w:t>
      </w:r>
      <w:r w:rsidRPr="00916DBC">
        <w:rPr>
          <w:b/>
        </w:rPr>
        <w:t>zatímco rodinný stav ženatý/vdaná byl poznamenán poklesem (celkem o 8,7 procentních bodů), ostatní tři kategorie rodinného stavu se vyznačovaly nárůstem</w:t>
      </w:r>
      <w:r>
        <w:t>. Konkrétní údaje jsou p</w:t>
      </w:r>
      <w:r w:rsidR="00857D78">
        <w:t>atrné z dále uvedené tabulky č. </w:t>
      </w:r>
      <w:r>
        <w:t>22.</w:t>
      </w:r>
    </w:p>
    <w:p w:rsidR="009C2DCF" w:rsidRPr="009B4BA3" w:rsidRDefault="009C2DCF" w:rsidP="009C2DCF">
      <w:pPr>
        <w:pStyle w:val="Nzavtabulky"/>
      </w:pPr>
      <w:r>
        <w:lastRenderedPageBreak/>
        <w:t>Tabulka č. 22</w:t>
      </w:r>
      <w:r w:rsidRPr="009B4BA3">
        <w:t>:</w:t>
      </w:r>
      <w:r>
        <w:t xml:space="preserve"> </w:t>
      </w:r>
      <w:r w:rsidRPr="009B4BA3">
        <w:t>Porovnání rodinného stavu</w:t>
      </w:r>
    </w:p>
    <w:tbl>
      <w:tblPr>
        <w:tblW w:w="9087" w:type="dxa"/>
        <w:tblInd w:w="55" w:type="dxa"/>
        <w:tblCellMar>
          <w:left w:w="70" w:type="dxa"/>
          <w:right w:w="70" w:type="dxa"/>
        </w:tblCellMar>
        <w:tblLook w:val="04A0"/>
      </w:tblPr>
      <w:tblGrid>
        <w:gridCol w:w="1715"/>
        <w:gridCol w:w="1323"/>
        <w:gridCol w:w="1345"/>
        <w:gridCol w:w="1229"/>
        <w:gridCol w:w="1366"/>
        <w:gridCol w:w="1228"/>
        <w:gridCol w:w="881"/>
      </w:tblGrid>
      <w:tr w:rsidR="009C2DCF" w:rsidRPr="00A86044" w:rsidTr="00484466">
        <w:trPr>
          <w:trHeight w:val="329"/>
        </w:trPr>
        <w:tc>
          <w:tcPr>
            <w:tcW w:w="1715" w:type="dxa"/>
            <w:vMerge w:val="restart"/>
            <w:tcBorders>
              <w:top w:val="single" w:sz="4" w:space="0" w:color="auto"/>
              <w:left w:val="single" w:sz="4" w:space="0" w:color="auto"/>
              <w:bottom w:val="nil"/>
              <w:right w:val="nil"/>
            </w:tcBorders>
            <w:shd w:val="clear" w:color="auto" w:fill="auto"/>
            <w:noWrap/>
            <w:vAlign w:val="bottom"/>
            <w:hideMark/>
          </w:tcPr>
          <w:p w:rsidR="009C2DCF" w:rsidRPr="00A86044" w:rsidRDefault="009C2DCF" w:rsidP="006C31BB">
            <w:pPr>
              <w:spacing w:before="0"/>
              <w:jc w:val="center"/>
              <w:rPr>
                <w:rFonts w:cs="Arial"/>
                <w:color w:val="000000"/>
                <w:sz w:val="18"/>
                <w:szCs w:val="18"/>
              </w:rPr>
            </w:pPr>
            <w:r w:rsidRPr="00A86044">
              <w:rPr>
                <w:rFonts w:cs="Arial"/>
                <w:color w:val="000000"/>
                <w:sz w:val="18"/>
                <w:szCs w:val="18"/>
              </w:rPr>
              <w:t> </w:t>
            </w:r>
          </w:p>
        </w:tc>
        <w:tc>
          <w:tcPr>
            <w:tcW w:w="737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2DCF" w:rsidRPr="00A86044" w:rsidRDefault="009C2DCF" w:rsidP="006C31BB">
            <w:pPr>
              <w:spacing w:before="0"/>
              <w:jc w:val="center"/>
              <w:rPr>
                <w:rFonts w:cs="Arial"/>
                <w:color w:val="000000"/>
                <w:sz w:val="18"/>
                <w:szCs w:val="18"/>
              </w:rPr>
            </w:pPr>
            <w:r w:rsidRPr="00A86044">
              <w:rPr>
                <w:rFonts w:cs="Arial"/>
                <w:color w:val="000000"/>
                <w:sz w:val="18"/>
                <w:szCs w:val="18"/>
              </w:rPr>
              <w:t>Rodinný stav</w:t>
            </w:r>
          </w:p>
        </w:tc>
      </w:tr>
      <w:tr w:rsidR="009C2DCF" w:rsidRPr="00A86044" w:rsidTr="00484466">
        <w:trPr>
          <w:trHeight w:val="329"/>
        </w:trPr>
        <w:tc>
          <w:tcPr>
            <w:tcW w:w="1715" w:type="dxa"/>
            <w:vMerge/>
            <w:tcBorders>
              <w:top w:val="single" w:sz="4" w:space="0" w:color="auto"/>
              <w:left w:val="single" w:sz="4" w:space="0" w:color="auto"/>
              <w:bottom w:val="nil"/>
              <w:right w:val="nil"/>
            </w:tcBorders>
            <w:vAlign w:val="center"/>
            <w:hideMark/>
          </w:tcPr>
          <w:p w:rsidR="009C2DCF" w:rsidRPr="00A86044" w:rsidRDefault="009C2DCF" w:rsidP="006C31BB">
            <w:pPr>
              <w:spacing w:before="0"/>
              <w:jc w:val="left"/>
              <w:rPr>
                <w:rFonts w:cs="Arial"/>
                <w:color w:val="000000"/>
                <w:sz w:val="18"/>
                <w:szCs w:val="18"/>
              </w:rPr>
            </w:pPr>
          </w:p>
        </w:tc>
        <w:tc>
          <w:tcPr>
            <w:tcW w:w="1323" w:type="dxa"/>
            <w:tcBorders>
              <w:top w:val="nil"/>
              <w:left w:val="single" w:sz="4" w:space="0" w:color="auto"/>
              <w:bottom w:val="nil"/>
              <w:right w:val="single" w:sz="4" w:space="0" w:color="auto"/>
            </w:tcBorders>
            <w:shd w:val="clear" w:color="auto" w:fill="auto"/>
            <w:noWrap/>
            <w:vAlign w:val="bottom"/>
            <w:hideMark/>
          </w:tcPr>
          <w:p w:rsidR="009C2DCF" w:rsidRPr="00A86044" w:rsidRDefault="009C2DCF" w:rsidP="006C31BB">
            <w:pPr>
              <w:spacing w:before="0"/>
              <w:jc w:val="center"/>
              <w:rPr>
                <w:rFonts w:cs="Arial"/>
                <w:color w:val="000000"/>
                <w:sz w:val="18"/>
                <w:szCs w:val="18"/>
              </w:rPr>
            </w:pPr>
            <w:r w:rsidRPr="00A86044">
              <w:rPr>
                <w:rFonts w:cs="Arial"/>
                <w:color w:val="000000"/>
                <w:sz w:val="18"/>
                <w:szCs w:val="18"/>
              </w:rPr>
              <w:t>svobodný/á</w:t>
            </w:r>
          </w:p>
        </w:tc>
        <w:tc>
          <w:tcPr>
            <w:tcW w:w="1345" w:type="dxa"/>
            <w:tcBorders>
              <w:top w:val="nil"/>
              <w:left w:val="nil"/>
              <w:bottom w:val="nil"/>
              <w:right w:val="single" w:sz="4" w:space="0" w:color="auto"/>
            </w:tcBorders>
            <w:shd w:val="clear" w:color="auto" w:fill="auto"/>
            <w:noWrap/>
            <w:vAlign w:val="bottom"/>
            <w:hideMark/>
          </w:tcPr>
          <w:p w:rsidR="009C2DCF" w:rsidRPr="00A86044" w:rsidRDefault="009C2DCF" w:rsidP="006C31BB">
            <w:pPr>
              <w:spacing w:before="0"/>
              <w:jc w:val="center"/>
              <w:rPr>
                <w:rFonts w:cs="Arial"/>
                <w:color w:val="000000"/>
                <w:sz w:val="18"/>
                <w:szCs w:val="18"/>
              </w:rPr>
            </w:pPr>
            <w:r w:rsidRPr="00A86044">
              <w:rPr>
                <w:rFonts w:cs="Arial"/>
                <w:color w:val="000000"/>
                <w:sz w:val="18"/>
                <w:szCs w:val="18"/>
              </w:rPr>
              <w:t>ženatý/vdaná</w:t>
            </w:r>
          </w:p>
        </w:tc>
        <w:tc>
          <w:tcPr>
            <w:tcW w:w="1229" w:type="dxa"/>
            <w:tcBorders>
              <w:top w:val="nil"/>
              <w:left w:val="nil"/>
              <w:bottom w:val="nil"/>
              <w:right w:val="single" w:sz="4" w:space="0" w:color="auto"/>
            </w:tcBorders>
            <w:shd w:val="clear" w:color="auto" w:fill="auto"/>
            <w:noWrap/>
            <w:vAlign w:val="bottom"/>
            <w:hideMark/>
          </w:tcPr>
          <w:p w:rsidR="009C2DCF" w:rsidRPr="00A86044" w:rsidRDefault="009C2DCF" w:rsidP="006C31BB">
            <w:pPr>
              <w:spacing w:before="0"/>
              <w:jc w:val="center"/>
              <w:rPr>
                <w:rFonts w:cs="Arial"/>
                <w:color w:val="000000"/>
                <w:sz w:val="18"/>
                <w:szCs w:val="18"/>
              </w:rPr>
            </w:pPr>
            <w:r w:rsidRPr="00A86044">
              <w:rPr>
                <w:rFonts w:cs="Arial"/>
                <w:color w:val="000000"/>
                <w:sz w:val="18"/>
                <w:szCs w:val="18"/>
              </w:rPr>
              <w:t>ovdovělý/á</w:t>
            </w:r>
          </w:p>
        </w:tc>
        <w:tc>
          <w:tcPr>
            <w:tcW w:w="1366" w:type="dxa"/>
            <w:tcBorders>
              <w:top w:val="nil"/>
              <w:left w:val="nil"/>
              <w:bottom w:val="nil"/>
              <w:right w:val="single" w:sz="4" w:space="0" w:color="auto"/>
            </w:tcBorders>
            <w:shd w:val="clear" w:color="auto" w:fill="auto"/>
            <w:noWrap/>
            <w:vAlign w:val="bottom"/>
            <w:hideMark/>
          </w:tcPr>
          <w:p w:rsidR="009C2DCF" w:rsidRPr="00A86044" w:rsidRDefault="009C2DCF" w:rsidP="006C31BB">
            <w:pPr>
              <w:spacing w:before="0"/>
              <w:jc w:val="center"/>
              <w:rPr>
                <w:rFonts w:cs="Arial"/>
                <w:color w:val="000000"/>
                <w:sz w:val="18"/>
                <w:szCs w:val="18"/>
              </w:rPr>
            </w:pPr>
            <w:r w:rsidRPr="00A86044">
              <w:rPr>
                <w:rFonts w:cs="Arial"/>
                <w:color w:val="000000"/>
                <w:sz w:val="18"/>
                <w:szCs w:val="18"/>
              </w:rPr>
              <w:t>rozvedený/á</w:t>
            </w:r>
          </w:p>
        </w:tc>
        <w:tc>
          <w:tcPr>
            <w:tcW w:w="1228" w:type="dxa"/>
            <w:tcBorders>
              <w:top w:val="nil"/>
              <w:left w:val="nil"/>
              <w:bottom w:val="nil"/>
              <w:right w:val="single" w:sz="4" w:space="0" w:color="auto"/>
            </w:tcBorders>
            <w:shd w:val="clear" w:color="auto" w:fill="auto"/>
            <w:noWrap/>
            <w:vAlign w:val="bottom"/>
            <w:hideMark/>
          </w:tcPr>
          <w:p w:rsidR="009C2DCF" w:rsidRPr="00A86044" w:rsidRDefault="009C2DCF" w:rsidP="006C31BB">
            <w:pPr>
              <w:spacing w:before="0"/>
              <w:jc w:val="center"/>
              <w:rPr>
                <w:rFonts w:cs="Arial"/>
                <w:color w:val="000000"/>
                <w:sz w:val="18"/>
                <w:szCs w:val="18"/>
              </w:rPr>
            </w:pPr>
            <w:r w:rsidRPr="00A86044">
              <w:rPr>
                <w:rFonts w:cs="Arial"/>
                <w:color w:val="000000"/>
                <w:sz w:val="18"/>
                <w:szCs w:val="18"/>
              </w:rPr>
              <w:t>není známo</w:t>
            </w:r>
          </w:p>
        </w:tc>
        <w:tc>
          <w:tcPr>
            <w:tcW w:w="881" w:type="dxa"/>
            <w:tcBorders>
              <w:top w:val="nil"/>
              <w:left w:val="nil"/>
              <w:bottom w:val="nil"/>
              <w:right w:val="single" w:sz="4" w:space="0" w:color="auto"/>
            </w:tcBorders>
            <w:shd w:val="clear" w:color="auto" w:fill="auto"/>
            <w:noWrap/>
            <w:vAlign w:val="bottom"/>
            <w:hideMark/>
          </w:tcPr>
          <w:p w:rsidR="009C2DCF" w:rsidRPr="00A86044" w:rsidRDefault="009C2DCF" w:rsidP="006C31BB">
            <w:pPr>
              <w:spacing w:before="0"/>
              <w:jc w:val="center"/>
              <w:rPr>
                <w:rFonts w:cs="Arial"/>
                <w:color w:val="000000"/>
                <w:sz w:val="18"/>
                <w:szCs w:val="18"/>
              </w:rPr>
            </w:pPr>
            <w:r w:rsidRPr="00A86044">
              <w:rPr>
                <w:rFonts w:cs="Arial"/>
                <w:color w:val="000000"/>
                <w:sz w:val="18"/>
                <w:szCs w:val="18"/>
              </w:rPr>
              <w:t>Celkem</w:t>
            </w:r>
          </w:p>
        </w:tc>
      </w:tr>
      <w:tr w:rsidR="009C2DCF" w:rsidRPr="00A86044" w:rsidTr="00484466">
        <w:trPr>
          <w:trHeight w:val="329"/>
        </w:trPr>
        <w:tc>
          <w:tcPr>
            <w:tcW w:w="1715" w:type="dxa"/>
            <w:tcBorders>
              <w:top w:val="single" w:sz="4" w:space="0" w:color="auto"/>
              <w:left w:val="single" w:sz="4" w:space="0" w:color="auto"/>
              <w:bottom w:val="single" w:sz="4" w:space="0" w:color="auto"/>
              <w:right w:val="nil"/>
            </w:tcBorders>
            <w:shd w:val="clear" w:color="auto" w:fill="auto"/>
            <w:noWrap/>
            <w:vAlign w:val="bottom"/>
            <w:hideMark/>
          </w:tcPr>
          <w:p w:rsidR="009C2DCF" w:rsidRPr="00A86044" w:rsidRDefault="009C2DCF" w:rsidP="006C31BB">
            <w:pPr>
              <w:spacing w:before="0"/>
              <w:jc w:val="left"/>
              <w:rPr>
                <w:rFonts w:cs="Arial"/>
                <w:color w:val="000000"/>
                <w:sz w:val="18"/>
                <w:szCs w:val="18"/>
              </w:rPr>
            </w:pPr>
            <w:r w:rsidRPr="00A86044">
              <w:rPr>
                <w:rFonts w:cs="Arial"/>
                <w:color w:val="000000"/>
                <w:sz w:val="18"/>
                <w:szCs w:val="18"/>
              </w:rPr>
              <w:t>VŠPO 13 - % podíl</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22,3</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40,8</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23,4</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9,9</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3,6</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100,0</w:t>
            </w:r>
          </w:p>
        </w:tc>
      </w:tr>
      <w:tr w:rsidR="009C2DCF" w:rsidRPr="00A86044" w:rsidTr="00484466">
        <w:trPr>
          <w:trHeight w:val="329"/>
        </w:trPr>
        <w:tc>
          <w:tcPr>
            <w:tcW w:w="1715" w:type="dxa"/>
            <w:tcBorders>
              <w:top w:val="nil"/>
              <w:left w:val="single" w:sz="4" w:space="0" w:color="auto"/>
              <w:bottom w:val="single" w:sz="4" w:space="0" w:color="auto"/>
              <w:right w:val="nil"/>
            </w:tcBorders>
            <w:shd w:val="clear" w:color="auto" w:fill="auto"/>
            <w:noWrap/>
            <w:vAlign w:val="bottom"/>
            <w:hideMark/>
          </w:tcPr>
          <w:p w:rsidR="009C2DCF" w:rsidRPr="00A86044" w:rsidRDefault="009C2DCF" w:rsidP="006C31BB">
            <w:pPr>
              <w:spacing w:before="0"/>
              <w:jc w:val="left"/>
              <w:rPr>
                <w:rFonts w:cs="Arial"/>
                <w:color w:val="000000"/>
                <w:sz w:val="18"/>
                <w:szCs w:val="18"/>
              </w:rPr>
            </w:pPr>
            <w:r w:rsidRPr="00A86044">
              <w:rPr>
                <w:rFonts w:cs="Arial"/>
                <w:color w:val="000000"/>
                <w:sz w:val="18"/>
                <w:szCs w:val="18"/>
              </w:rPr>
              <w:t>VŠPO 07 - % podíl</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19,4</w:t>
            </w:r>
          </w:p>
        </w:tc>
        <w:tc>
          <w:tcPr>
            <w:tcW w:w="1345" w:type="dxa"/>
            <w:tcBorders>
              <w:top w:val="nil"/>
              <w:left w:val="nil"/>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49,5</w:t>
            </w:r>
          </w:p>
        </w:tc>
        <w:tc>
          <w:tcPr>
            <w:tcW w:w="1229" w:type="dxa"/>
            <w:tcBorders>
              <w:top w:val="nil"/>
              <w:left w:val="nil"/>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22,2</w:t>
            </w:r>
          </w:p>
        </w:tc>
        <w:tc>
          <w:tcPr>
            <w:tcW w:w="1366" w:type="dxa"/>
            <w:tcBorders>
              <w:top w:val="nil"/>
              <w:left w:val="nil"/>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8,6</w:t>
            </w:r>
          </w:p>
        </w:tc>
        <w:tc>
          <w:tcPr>
            <w:tcW w:w="1228" w:type="dxa"/>
            <w:tcBorders>
              <w:top w:val="nil"/>
              <w:left w:val="nil"/>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0,3</w:t>
            </w:r>
          </w:p>
        </w:tc>
        <w:tc>
          <w:tcPr>
            <w:tcW w:w="881" w:type="dxa"/>
            <w:tcBorders>
              <w:top w:val="nil"/>
              <w:left w:val="nil"/>
              <w:bottom w:val="single" w:sz="4" w:space="0" w:color="auto"/>
              <w:right w:val="single" w:sz="4" w:space="0" w:color="auto"/>
            </w:tcBorders>
            <w:shd w:val="clear" w:color="auto" w:fill="auto"/>
            <w:noWrap/>
            <w:vAlign w:val="bottom"/>
            <w:hideMark/>
          </w:tcPr>
          <w:p w:rsidR="009C2DCF" w:rsidRPr="00A86044" w:rsidRDefault="009C2DCF" w:rsidP="006C31BB">
            <w:pPr>
              <w:spacing w:before="0"/>
              <w:jc w:val="right"/>
              <w:rPr>
                <w:rFonts w:cs="Arial"/>
                <w:color w:val="000000"/>
                <w:sz w:val="18"/>
                <w:szCs w:val="18"/>
              </w:rPr>
            </w:pPr>
            <w:r w:rsidRPr="00A86044">
              <w:rPr>
                <w:rFonts w:cs="Arial"/>
                <w:color w:val="000000"/>
                <w:sz w:val="18"/>
                <w:szCs w:val="18"/>
              </w:rPr>
              <w:t>100,0</w:t>
            </w:r>
          </w:p>
        </w:tc>
      </w:tr>
      <w:tr w:rsidR="009C2DCF" w:rsidRPr="00A86044" w:rsidTr="00484466">
        <w:trPr>
          <w:trHeight w:val="329"/>
        </w:trPr>
        <w:tc>
          <w:tcPr>
            <w:tcW w:w="1715"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9C2DCF" w:rsidRPr="00A86044" w:rsidRDefault="009C2DCF" w:rsidP="006C31BB">
            <w:pPr>
              <w:spacing w:before="0"/>
              <w:jc w:val="left"/>
              <w:rPr>
                <w:rFonts w:cs="Arial"/>
                <w:b/>
                <w:bCs/>
                <w:color w:val="000000"/>
                <w:sz w:val="18"/>
                <w:szCs w:val="18"/>
              </w:rPr>
            </w:pPr>
            <w:r w:rsidRPr="00A86044">
              <w:rPr>
                <w:rFonts w:cs="Arial"/>
                <w:b/>
                <w:bCs/>
                <w:color w:val="000000"/>
                <w:sz w:val="18"/>
                <w:szCs w:val="18"/>
              </w:rPr>
              <w:t>Procentní body</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C2DCF" w:rsidRPr="00A86044" w:rsidRDefault="009C2DCF" w:rsidP="006C31BB">
            <w:pPr>
              <w:spacing w:before="0"/>
              <w:jc w:val="right"/>
              <w:rPr>
                <w:rFonts w:cs="Arial"/>
                <w:b/>
                <w:bCs/>
                <w:color w:val="000000"/>
                <w:sz w:val="18"/>
                <w:szCs w:val="18"/>
              </w:rPr>
            </w:pPr>
            <w:r w:rsidRPr="00A86044">
              <w:rPr>
                <w:rFonts w:cs="Arial"/>
                <w:b/>
                <w:bCs/>
                <w:color w:val="000000"/>
                <w:sz w:val="18"/>
                <w:szCs w:val="18"/>
              </w:rPr>
              <w:t>2,9</w:t>
            </w:r>
          </w:p>
        </w:tc>
        <w:tc>
          <w:tcPr>
            <w:tcW w:w="1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A86044" w:rsidRDefault="009C2DCF" w:rsidP="006C31BB">
            <w:pPr>
              <w:spacing w:before="0"/>
              <w:jc w:val="right"/>
              <w:rPr>
                <w:rFonts w:cs="Arial"/>
                <w:b/>
                <w:bCs/>
                <w:color w:val="000000"/>
                <w:sz w:val="18"/>
                <w:szCs w:val="18"/>
              </w:rPr>
            </w:pPr>
            <w:r w:rsidRPr="00A86044">
              <w:rPr>
                <w:rFonts w:cs="Arial"/>
                <w:b/>
                <w:bCs/>
                <w:color w:val="000000"/>
                <w:sz w:val="18"/>
                <w:szCs w:val="18"/>
              </w:rPr>
              <w:t>-8,7</w:t>
            </w:r>
          </w:p>
        </w:tc>
        <w:tc>
          <w:tcPr>
            <w:tcW w:w="12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A86044" w:rsidRDefault="009C2DCF" w:rsidP="006C31BB">
            <w:pPr>
              <w:spacing w:before="0"/>
              <w:jc w:val="right"/>
              <w:rPr>
                <w:rFonts w:cs="Arial"/>
                <w:b/>
                <w:bCs/>
                <w:color w:val="000000"/>
                <w:sz w:val="18"/>
                <w:szCs w:val="18"/>
              </w:rPr>
            </w:pPr>
            <w:r w:rsidRPr="00A86044">
              <w:rPr>
                <w:rFonts w:cs="Arial"/>
                <w:b/>
                <w:bCs/>
                <w:color w:val="000000"/>
                <w:sz w:val="18"/>
                <w:szCs w:val="18"/>
              </w:rPr>
              <w:t>1,2</w:t>
            </w:r>
          </w:p>
        </w:tc>
        <w:tc>
          <w:tcPr>
            <w:tcW w:w="136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A86044" w:rsidRDefault="009C2DCF" w:rsidP="006C31BB">
            <w:pPr>
              <w:spacing w:before="0"/>
              <w:jc w:val="right"/>
              <w:rPr>
                <w:rFonts w:cs="Arial"/>
                <w:b/>
                <w:bCs/>
                <w:color w:val="000000"/>
                <w:sz w:val="18"/>
                <w:szCs w:val="18"/>
              </w:rPr>
            </w:pPr>
            <w:r w:rsidRPr="00A86044">
              <w:rPr>
                <w:rFonts w:cs="Arial"/>
                <w:b/>
                <w:bCs/>
                <w:color w:val="000000"/>
                <w:sz w:val="18"/>
                <w:szCs w:val="18"/>
              </w:rPr>
              <w:t>1,3</w:t>
            </w:r>
          </w:p>
        </w:tc>
        <w:tc>
          <w:tcPr>
            <w:tcW w:w="122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A86044" w:rsidRDefault="009C2DCF" w:rsidP="006C31BB">
            <w:pPr>
              <w:spacing w:before="0"/>
              <w:jc w:val="right"/>
              <w:rPr>
                <w:rFonts w:cs="Arial"/>
                <w:b/>
                <w:bCs/>
                <w:color w:val="000000"/>
                <w:sz w:val="18"/>
                <w:szCs w:val="18"/>
              </w:rPr>
            </w:pPr>
            <w:r w:rsidRPr="00A86044">
              <w:rPr>
                <w:rFonts w:cs="Arial"/>
                <w:b/>
                <w:bCs/>
                <w:color w:val="000000"/>
                <w:sz w:val="18"/>
                <w:szCs w:val="18"/>
              </w:rPr>
              <w:t>3,3</w:t>
            </w:r>
          </w:p>
        </w:tc>
        <w:tc>
          <w:tcPr>
            <w:tcW w:w="88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A86044" w:rsidRDefault="009C2DCF" w:rsidP="006C31BB">
            <w:pPr>
              <w:spacing w:before="0"/>
              <w:jc w:val="right"/>
              <w:rPr>
                <w:rFonts w:cs="Arial"/>
                <w:b/>
                <w:bCs/>
                <w:color w:val="000000"/>
                <w:sz w:val="18"/>
                <w:szCs w:val="18"/>
              </w:rPr>
            </w:pPr>
            <w:r w:rsidRPr="00A86044">
              <w:rPr>
                <w:rFonts w:cs="Arial"/>
                <w:b/>
                <w:bCs/>
                <w:color w:val="000000"/>
                <w:sz w:val="18"/>
                <w:szCs w:val="18"/>
              </w:rPr>
              <w:t>0,0</w:t>
            </w:r>
          </w:p>
        </w:tc>
      </w:tr>
    </w:tbl>
    <w:p w:rsidR="009C2DCF" w:rsidRDefault="009C2DCF" w:rsidP="009C2DCF">
      <w:pPr>
        <w:ind w:firstLine="567"/>
      </w:pPr>
      <w:r>
        <w:t>Pokud se na pokles u rodinného stavu ženatý/vdaná o 8,7 procentních bodů podíváme optikou pohlaví, pak je možné konstatovat, že pokles se u obou pohlaví s</w:t>
      </w:r>
      <w:r w:rsidR="00857D78">
        <w:t>obě značně blíží – u mužů o 9,5 </w:t>
      </w:r>
      <w:r>
        <w:t>procentních bodů (49,2% u posledního šetření a 58,7% u př</w:t>
      </w:r>
      <w:r w:rsidR="00857D78">
        <w:t>edchozího šetření), u žen o 7,7 </w:t>
      </w:r>
      <w:r>
        <w:t>procentních bodů (33,2% u posledního šetření a 40,9% u předchozího šetření).</w:t>
      </w:r>
    </w:p>
    <w:p w:rsidR="009C2DCF" w:rsidRPr="00CE4768" w:rsidRDefault="009C2DCF" w:rsidP="009C2DCF">
      <w:pPr>
        <w:ind w:firstLine="567"/>
      </w:pPr>
      <w:r>
        <w:t xml:space="preserve">Pokud bychom porovnávali </w:t>
      </w:r>
      <w:r w:rsidRPr="0072139B">
        <w:rPr>
          <w:b/>
        </w:rPr>
        <w:t>rodinný stav podle pohlaví, zjištěný u obou šetření, s celkovou populací ČR 2012 resp. 2006</w:t>
      </w:r>
      <w:r>
        <w:t>, dojdeme k následujícímu závěru obecnějšího charakteru: větší rozdíly byly zjištěny u rodinného stavu svobodný/á a ženatý/vdaná (konkrét</w:t>
      </w:r>
      <w:r w:rsidR="00857D78">
        <w:t>ně pak ve věkových skupinách 30 </w:t>
      </w:r>
      <w:r>
        <w:t>– 44 let a 45 – 59 let).</w:t>
      </w:r>
    </w:p>
    <w:p w:rsidR="009C2DCF" w:rsidRPr="00FF742C" w:rsidRDefault="009C2DCF" w:rsidP="009C2DCF">
      <w:pPr>
        <w:pStyle w:val="Nadpis2"/>
        <w:keepLines w:val="0"/>
        <w:numPr>
          <w:ilvl w:val="1"/>
          <w:numId w:val="10"/>
        </w:numPr>
        <w:spacing w:before="240" w:after="60"/>
        <w:jc w:val="both"/>
      </w:pPr>
      <w:bookmarkStart w:id="5" w:name="_Toc382812529"/>
      <w:r w:rsidRPr="00FF742C">
        <w:t>Bydlení osob se zdravotním postižením</w:t>
      </w:r>
      <w:bookmarkEnd w:id="5"/>
    </w:p>
    <w:p w:rsidR="009C2DCF" w:rsidRDefault="009C2DCF" w:rsidP="009C2DCF">
      <w:pPr>
        <w:ind w:firstLine="567"/>
      </w:pPr>
      <w:r>
        <w:t>Problematika bydlení zdravotně postižených osob zahrnuje tři základní bloky, jak již bylo uvedeno v části analyzující výsledky posledně realizovaného šetření, a to: bydlení ve společné domácnosti s další osobou, bydlení z hlediska pohlaví, věku a typu postižení a bydlení v zařízeních sociální péče.</w:t>
      </w:r>
    </w:p>
    <w:p w:rsidR="009C2DCF" w:rsidRDefault="009C2DCF" w:rsidP="009C2DCF">
      <w:pPr>
        <w:ind w:firstLine="567"/>
      </w:pPr>
      <w:r w:rsidRPr="00A94CBA">
        <w:rPr>
          <w:u w:val="single"/>
        </w:rPr>
        <w:t>Pokud jde o</w:t>
      </w:r>
      <w:r>
        <w:t xml:space="preserve"> první pohled na bydlení zdravotně postižených osob, kterým je </w:t>
      </w:r>
      <w:r w:rsidRPr="00A94CBA">
        <w:rPr>
          <w:u w:val="single"/>
        </w:rPr>
        <w:t>bydlení</w:t>
      </w:r>
      <w:r>
        <w:rPr>
          <w:u w:val="single"/>
        </w:rPr>
        <w:t xml:space="preserve"> ve společné domácnosti s další</w:t>
      </w:r>
      <w:r w:rsidRPr="00A94CBA">
        <w:rPr>
          <w:u w:val="single"/>
        </w:rPr>
        <w:t xml:space="preserve"> osobou, nelze provádět srovnání výsledků obou šetření</w:t>
      </w:r>
      <w:r>
        <w:t xml:space="preserve"> z toho důvodu, že se jedná o novou otázku, zařazenou do dotazníku až v rámci realizace VŠPO 13.</w:t>
      </w:r>
    </w:p>
    <w:p w:rsidR="009C2DCF" w:rsidRDefault="009C2DCF" w:rsidP="009C2DCF">
      <w:pPr>
        <w:ind w:firstLine="567"/>
      </w:pPr>
      <w:r>
        <w:t xml:space="preserve">Přejdeme nyní k druhému bloku, kterým je </w:t>
      </w:r>
      <w:r w:rsidRPr="00A94CBA">
        <w:rPr>
          <w:b/>
        </w:rPr>
        <w:t>bydlení zdravotně postižených osob z hlediska pohlaví, věku a typu postižení</w:t>
      </w:r>
      <w:r>
        <w:t xml:space="preserve"> (pozn.: možnost „bez domova“ byla do dotazníku v rámci VŠPO 13 zařazena nově, abychom získali určitý přehled i o tomto negativním fenoménu současnosti). </w:t>
      </w:r>
      <w:r w:rsidRPr="00CC61B9">
        <w:rPr>
          <w:b/>
        </w:rPr>
        <w:t>Z pohledu celku je možné ko</w:t>
      </w:r>
      <w:r>
        <w:rPr>
          <w:b/>
        </w:rPr>
        <w:t>nstatovat pozitivní skutečnost:</w:t>
      </w:r>
      <w:r w:rsidRPr="00CC61B9">
        <w:rPr>
          <w:b/>
        </w:rPr>
        <w:t xml:space="preserve"> nárůsty</w:t>
      </w:r>
      <w:r>
        <w:t xml:space="preserve"> (dokonce i v absolutním vyjádření) </w:t>
      </w:r>
      <w:r w:rsidRPr="00CC61B9">
        <w:rPr>
          <w:b/>
        </w:rPr>
        <w:t xml:space="preserve">byly zaznamenány v typech bydlení důležitých právě pro naše </w:t>
      </w:r>
      <w:r>
        <w:rPr>
          <w:b/>
        </w:rPr>
        <w:t>handicap</w:t>
      </w:r>
      <w:r w:rsidRPr="00CC61B9">
        <w:rPr>
          <w:b/>
        </w:rPr>
        <w:t>ované občany (bezbariérové byty, chráněná obydlí a lůžka v zařízeních sociální péče)</w:t>
      </w:r>
      <w:r>
        <w:t xml:space="preserve">. </w:t>
      </w:r>
    </w:p>
    <w:p w:rsidR="009C2DCF" w:rsidRDefault="009C2DCF" w:rsidP="009C2DCF">
      <w:pPr>
        <w:ind w:firstLine="567"/>
      </w:pPr>
      <w:r w:rsidRPr="00CC61B9">
        <w:t>První hodnocené</w:t>
      </w:r>
      <w:r w:rsidRPr="00CC61B9">
        <w:rPr>
          <w:b/>
        </w:rPr>
        <w:t xml:space="preserve"> hledisko</w:t>
      </w:r>
      <w:r>
        <w:rPr>
          <w:b/>
        </w:rPr>
        <w:t xml:space="preserve"> </w:t>
      </w:r>
      <w:r w:rsidRPr="00CC61B9">
        <w:rPr>
          <w:b/>
        </w:rPr>
        <w:t>pohlaví</w:t>
      </w:r>
      <w:r>
        <w:t xml:space="preserve"> nám ukazuje, že u váhově nejsilnějšího typu bydlení (standardní byt – v běžném domě) došlo v absolutním vyjádření k menšímu poklesu (v rámci celkového počtu zdravotně postižených osob) – o 2% (většímu pak u žen než u mužů). </w:t>
      </w:r>
      <w:r w:rsidRPr="00EC2924">
        <w:rPr>
          <w:u w:val="single"/>
        </w:rPr>
        <w:t xml:space="preserve">Na druhé straně ale </w:t>
      </w:r>
      <w:r>
        <w:rPr>
          <w:u w:val="single"/>
        </w:rPr>
        <w:t xml:space="preserve">docházíme k </w:t>
      </w:r>
      <w:r w:rsidRPr="00EC2924">
        <w:rPr>
          <w:u w:val="single"/>
        </w:rPr>
        <w:t>pozitivní</w:t>
      </w:r>
      <w:r>
        <w:rPr>
          <w:u w:val="single"/>
        </w:rPr>
        <w:t>mu</w:t>
      </w:r>
      <w:r w:rsidRPr="00EC2924">
        <w:rPr>
          <w:u w:val="single"/>
        </w:rPr>
        <w:t xml:space="preserve"> zjištění, že se </w:t>
      </w:r>
      <w:r>
        <w:rPr>
          <w:u w:val="single"/>
        </w:rPr>
        <w:t xml:space="preserve">zvýšil </w:t>
      </w:r>
      <w:r w:rsidRPr="00EE59DB">
        <w:rPr>
          <w:u w:val="single"/>
        </w:rPr>
        <w:t xml:space="preserve">počet </w:t>
      </w:r>
      <w:r>
        <w:rPr>
          <w:u w:val="single"/>
        </w:rPr>
        <w:t>osob se zdravotním postižením žijících v bezbariérovém</w:t>
      </w:r>
      <w:r w:rsidRPr="00EE59DB">
        <w:rPr>
          <w:u w:val="single"/>
        </w:rPr>
        <w:t xml:space="preserve"> typu byt</w:t>
      </w:r>
      <w:r>
        <w:rPr>
          <w:u w:val="single"/>
        </w:rPr>
        <w:t>ů</w:t>
      </w:r>
      <w:r>
        <w:t xml:space="preserve"> (téměř o 45%).</w:t>
      </w:r>
    </w:p>
    <w:p w:rsidR="009C2DCF" w:rsidRDefault="009C2DCF" w:rsidP="009C2DCF">
      <w:pPr>
        <w:ind w:firstLine="567"/>
      </w:pPr>
      <w:r>
        <w:t xml:space="preserve">Dalším hlediskem je </w:t>
      </w:r>
      <w:r w:rsidRPr="00CC61B9">
        <w:rPr>
          <w:b/>
        </w:rPr>
        <w:t>věk zdravotně postižených osob</w:t>
      </w:r>
      <w:r>
        <w:t xml:space="preserve">. V tomto ohledu, pokud se zaměříme na typy bydlení důležité pro handicapované občany, pak můžeme konstatovat, že je nejvyšší zastoupení u obou šetření ve vyšších věkových skupinách (zejména pak u věku 60 + let), dosahující většinou podílu více jak 50% z celku. </w:t>
      </w:r>
    </w:p>
    <w:p w:rsidR="009C2DCF" w:rsidRDefault="009C2DCF" w:rsidP="009C2DCF">
      <w:pPr>
        <w:ind w:firstLine="567"/>
        <w:rPr>
          <w:bCs/>
        </w:rPr>
      </w:pPr>
      <w:r>
        <w:t xml:space="preserve">Posledním hodnoceným hlediskem v rámci druhého bloku problematiky bydlení je </w:t>
      </w:r>
      <w:r w:rsidRPr="00EE59DB">
        <w:rPr>
          <w:b/>
        </w:rPr>
        <w:t>typ bydlení zdravotně postižených osob ve vztahu k typu jejich postižení</w:t>
      </w:r>
      <w:r>
        <w:t>. V </w:t>
      </w:r>
      <w:r w:rsidR="00857D78">
        <w:t>této souvislosti se zaměříme na </w:t>
      </w:r>
      <w:r>
        <w:t xml:space="preserve">váhově nejpočetnější typ postižení, kterým je </w:t>
      </w:r>
      <w:r>
        <w:rPr>
          <w:u w:val="single"/>
        </w:rPr>
        <w:t>vícenásobné postižení</w:t>
      </w:r>
      <w:r>
        <w:t>. Z pohledu jednotlivých typů bydlení jsou u vícenásobných postižení převažujícími typy, a to u obou realizovaných šetření (dokonce i pořadí prvních tří je totožné): 1. standardní byt (pokles o 5,7 procentních bodů)</w:t>
      </w:r>
      <w:r w:rsidRPr="009A33DD">
        <w:t xml:space="preserve">, 2. </w:t>
      </w:r>
      <w:r>
        <w:t>b</w:t>
      </w:r>
      <w:r w:rsidRPr="009A33DD">
        <w:t>ezbariérový byt</w:t>
      </w:r>
      <w:r>
        <w:rPr>
          <w:b/>
          <w:bCs/>
        </w:rPr>
        <w:t xml:space="preserve"> </w:t>
      </w:r>
      <w:r>
        <w:rPr>
          <w:bCs/>
        </w:rPr>
        <w:t>(nárůst o 1,5 procentních bodů) a 3. lůžka v zařízeních sociální péče (mírný pokles - o 0,2 procentního bodu).</w:t>
      </w:r>
      <w:r>
        <w:rPr>
          <w:b/>
          <w:bCs/>
        </w:rPr>
        <w:t xml:space="preserve"> </w:t>
      </w:r>
      <w:r w:rsidRPr="000370DA">
        <w:rPr>
          <w:bCs/>
          <w:u w:val="single"/>
        </w:rPr>
        <w:t>Na doplnění</w:t>
      </w:r>
      <w:r w:rsidRPr="00EE59DB">
        <w:rPr>
          <w:b/>
          <w:bCs/>
        </w:rPr>
        <w:t xml:space="preserve"> </w:t>
      </w:r>
      <w:r>
        <w:rPr>
          <w:bCs/>
        </w:rPr>
        <w:t>je ještě vhodné uvést jednu pozitivní skutečnost: i při relativně nižších absolutních počtech</w:t>
      </w:r>
      <w:r w:rsidRPr="00EE59DB">
        <w:rPr>
          <w:b/>
          <w:bCs/>
        </w:rPr>
        <w:t xml:space="preserve"> </w:t>
      </w:r>
      <w:r>
        <w:rPr>
          <w:bCs/>
        </w:rPr>
        <w:t>dvou typů bydlení - byt ve specializovaném domě s pečovatelskou službou a chráněná obydlí - byly oproti předchozímu šetření vykázány významné rozdíly (v prvn</w:t>
      </w:r>
      <w:r w:rsidR="00857D78">
        <w:rPr>
          <w:bCs/>
        </w:rPr>
        <w:t>ím případě nárůst o cca 50%, ve </w:t>
      </w:r>
      <w:r>
        <w:rPr>
          <w:bCs/>
        </w:rPr>
        <w:t>druhém se pak dokonce jedná o více jak dvanáctinásobek).</w:t>
      </w:r>
    </w:p>
    <w:p w:rsidR="009C2DCF" w:rsidRDefault="009C2DCF" w:rsidP="009C2DCF">
      <w:pPr>
        <w:ind w:firstLine="567"/>
        <w:rPr>
          <w:bCs/>
        </w:rPr>
      </w:pPr>
      <w:r>
        <w:rPr>
          <w:bCs/>
        </w:rPr>
        <w:t xml:space="preserve">Třetím blokem je </w:t>
      </w:r>
      <w:r w:rsidRPr="000370DA">
        <w:rPr>
          <w:b/>
          <w:bCs/>
        </w:rPr>
        <w:t>bydlení v zařízeních sociální péče</w:t>
      </w:r>
      <w:r>
        <w:rPr>
          <w:bCs/>
        </w:rPr>
        <w:t>. Na tomto místě uvedeme několik hledisek hodnocení.</w:t>
      </w:r>
    </w:p>
    <w:p w:rsidR="009C2DCF" w:rsidRDefault="009C2DCF" w:rsidP="009C2DCF">
      <w:pPr>
        <w:ind w:firstLine="567"/>
        <w:rPr>
          <w:bCs/>
        </w:rPr>
      </w:pPr>
      <w:r w:rsidRPr="001403D0">
        <w:rPr>
          <w:bCs/>
          <w:u w:val="single"/>
        </w:rPr>
        <w:t>Z pohledu porovnání jednotlivých zřizovatelů zařízení</w:t>
      </w:r>
      <w:r>
        <w:rPr>
          <w:bCs/>
        </w:rPr>
        <w:t xml:space="preserve"> (celkem šest kategorií) </w:t>
      </w:r>
      <w:r>
        <w:rPr>
          <w:bCs/>
          <w:u w:val="single"/>
        </w:rPr>
        <w:t>a jejich sumárních výsledků</w:t>
      </w:r>
      <w:r>
        <w:rPr>
          <w:bCs/>
        </w:rPr>
        <w:t xml:space="preserve">, vyjádřených počtem lůžek/míst v zařízeních, je možné konstatovat pozitivní jev – </w:t>
      </w:r>
      <w:r w:rsidRPr="001403D0">
        <w:rPr>
          <w:b/>
          <w:bCs/>
        </w:rPr>
        <w:t xml:space="preserve">za šest let </w:t>
      </w:r>
      <w:r w:rsidRPr="001403D0">
        <w:rPr>
          <w:b/>
          <w:bCs/>
        </w:rPr>
        <w:lastRenderedPageBreak/>
        <w:t>se počet lůžek/míst absolutně zvýšil o 14 536 jednotek (+ 26,8%)</w:t>
      </w:r>
      <w:r>
        <w:rPr>
          <w:bCs/>
        </w:rPr>
        <w:t>. Podíváme-li se blíže do vnitřní struktury jednotlivých zřizovatelů zařízení, pak na celkovém kladném výsledku mají nejvyšší podíl zařízení zřizovaná obcemi (+ 6 973 jednotek resp. + 47,0%) a cír</w:t>
      </w:r>
      <w:r w:rsidR="00857D78">
        <w:rPr>
          <w:bCs/>
        </w:rPr>
        <w:t>kvemi (+ 6 928 jednotek resp. + </w:t>
      </w:r>
      <w:r>
        <w:rPr>
          <w:bCs/>
        </w:rPr>
        <w:t>306,5%). Zařízení zřizovaná kraji a soukromými subjekty zaznamenala mírný nárůst, na druhé straně u zařízení zřizovaných státem a jinými subjekty (blíže nespecifikovanými) byl zjištěn pokles (poměrně vysoký u zařízení zřizovaných státem – o 2 173 jednotek resp. o – 42,7%).</w:t>
      </w:r>
    </w:p>
    <w:p w:rsidR="009C2DCF" w:rsidRDefault="009C2DCF" w:rsidP="009C2DCF">
      <w:pPr>
        <w:ind w:firstLine="567"/>
        <w:rPr>
          <w:bCs/>
        </w:rPr>
      </w:pPr>
      <w:r w:rsidRPr="00FC2CAF">
        <w:rPr>
          <w:bCs/>
          <w:u w:val="single"/>
        </w:rPr>
        <w:t>Dalším důležitým hlediskem je relace zřizovatelů zařízení sociální péče k počtu zdravotně postižených osob bydlících v těchto zařízeních</w:t>
      </w:r>
      <w:r>
        <w:rPr>
          <w:bCs/>
        </w:rPr>
        <w:t>, kategorizovaných podle počtu lůžek/míst. Hodnotíme-li uváděné kritérium podílově, zjistíme, že nejvyšší nárůsty zdravotně postižených osob za šest let byly vykázány v zařízeních s nižšími počty lůžek/míst, což je zřetelně vidět z údajů uvedených v následující tabulce č. 23.</w:t>
      </w:r>
    </w:p>
    <w:p w:rsidR="009C2DCF" w:rsidRDefault="009C2DCF" w:rsidP="009C2DCF">
      <w:pPr>
        <w:pStyle w:val="Nzavtabulky"/>
      </w:pPr>
      <w:r>
        <w:t xml:space="preserve">Tabulka č. 23: Porovnání počtu lůžek/míst v zařízeních sociální péče podle jejich kapacity </w:t>
      </w:r>
    </w:p>
    <w:tbl>
      <w:tblPr>
        <w:tblW w:w="9072" w:type="dxa"/>
        <w:tblInd w:w="70" w:type="dxa"/>
        <w:tblCellMar>
          <w:left w:w="70" w:type="dxa"/>
          <w:right w:w="70" w:type="dxa"/>
        </w:tblCellMar>
        <w:tblLook w:val="04A0"/>
      </w:tblPr>
      <w:tblGrid>
        <w:gridCol w:w="1708"/>
        <w:gridCol w:w="1027"/>
        <w:gridCol w:w="953"/>
        <w:gridCol w:w="952"/>
        <w:gridCol w:w="952"/>
        <w:gridCol w:w="1225"/>
        <w:gridCol w:w="1088"/>
        <w:gridCol w:w="1167"/>
      </w:tblGrid>
      <w:tr w:rsidR="009C2DCF" w:rsidRPr="004D3A40" w:rsidTr="00484466">
        <w:trPr>
          <w:trHeight w:val="300"/>
        </w:trPr>
        <w:tc>
          <w:tcPr>
            <w:tcW w:w="1708" w:type="dxa"/>
            <w:vMerge w:val="restart"/>
            <w:tcBorders>
              <w:top w:val="single" w:sz="4" w:space="0" w:color="auto"/>
              <w:left w:val="single" w:sz="4" w:space="0" w:color="auto"/>
              <w:bottom w:val="nil"/>
              <w:right w:val="nil"/>
            </w:tcBorders>
            <w:shd w:val="clear" w:color="auto" w:fill="auto"/>
            <w:noWrap/>
            <w:vAlign w:val="bottom"/>
            <w:hideMark/>
          </w:tcPr>
          <w:p w:rsidR="009C2DCF" w:rsidRPr="004D3A40" w:rsidRDefault="009C2DCF" w:rsidP="006C31BB">
            <w:pPr>
              <w:spacing w:before="0"/>
              <w:jc w:val="center"/>
              <w:rPr>
                <w:rFonts w:cs="Arial"/>
                <w:color w:val="000000"/>
                <w:sz w:val="18"/>
                <w:szCs w:val="18"/>
              </w:rPr>
            </w:pPr>
            <w:r w:rsidRPr="004D3A40">
              <w:rPr>
                <w:rFonts w:cs="Arial"/>
                <w:color w:val="000000"/>
                <w:sz w:val="18"/>
                <w:szCs w:val="18"/>
              </w:rPr>
              <w:t> </w:t>
            </w:r>
          </w:p>
        </w:tc>
        <w:tc>
          <w:tcPr>
            <w:tcW w:w="736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2DCF" w:rsidRPr="004D3A40" w:rsidRDefault="009C2DCF" w:rsidP="006C31BB">
            <w:pPr>
              <w:spacing w:before="0"/>
              <w:jc w:val="center"/>
              <w:rPr>
                <w:rFonts w:cs="Arial"/>
                <w:color w:val="000000"/>
                <w:sz w:val="18"/>
                <w:szCs w:val="18"/>
              </w:rPr>
            </w:pPr>
            <w:r w:rsidRPr="004D3A40">
              <w:rPr>
                <w:rFonts w:cs="Arial"/>
                <w:color w:val="000000"/>
                <w:sz w:val="18"/>
                <w:szCs w:val="18"/>
              </w:rPr>
              <w:t>Lůžka/místa v zařízeních sociální péče podle jejich kapacity</w:t>
            </w:r>
          </w:p>
        </w:tc>
      </w:tr>
      <w:tr w:rsidR="009C2DCF" w:rsidRPr="004D3A40" w:rsidTr="00484466">
        <w:trPr>
          <w:trHeight w:val="300"/>
        </w:trPr>
        <w:tc>
          <w:tcPr>
            <w:tcW w:w="1708" w:type="dxa"/>
            <w:vMerge/>
            <w:tcBorders>
              <w:top w:val="single" w:sz="4" w:space="0" w:color="auto"/>
              <w:left w:val="single" w:sz="4" w:space="0" w:color="auto"/>
              <w:bottom w:val="nil"/>
              <w:right w:val="nil"/>
            </w:tcBorders>
            <w:vAlign w:val="center"/>
            <w:hideMark/>
          </w:tcPr>
          <w:p w:rsidR="009C2DCF" w:rsidRPr="004D3A40" w:rsidRDefault="009C2DCF" w:rsidP="006C31BB">
            <w:pPr>
              <w:spacing w:before="0"/>
              <w:jc w:val="left"/>
              <w:rPr>
                <w:rFonts w:cs="Arial"/>
                <w:color w:val="000000"/>
                <w:sz w:val="18"/>
                <w:szCs w:val="18"/>
              </w:rPr>
            </w:pPr>
          </w:p>
        </w:tc>
        <w:tc>
          <w:tcPr>
            <w:tcW w:w="1027" w:type="dxa"/>
            <w:tcBorders>
              <w:top w:val="nil"/>
              <w:left w:val="single" w:sz="4" w:space="0" w:color="auto"/>
              <w:bottom w:val="nil"/>
              <w:right w:val="single" w:sz="4" w:space="0" w:color="auto"/>
            </w:tcBorders>
            <w:shd w:val="clear" w:color="auto" w:fill="auto"/>
            <w:noWrap/>
            <w:vAlign w:val="bottom"/>
            <w:hideMark/>
          </w:tcPr>
          <w:p w:rsidR="009C2DCF" w:rsidRPr="004D3A40" w:rsidRDefault="009C2DCF" w:rsidP="006C31BB">
            <w:pPr>
              <w:spacing w:before="0"/>
              <w:jc w:val="center"/>
              <w:rPr>
                <w:rFonts w:cs="Arial"/>
                <w:color w:val="000000"/>
                <w:sz w:val="18"/>
                <w:szCs w:val="18"/>
              </w:rPr>
            </w:pPr>
            <w:r w:rsidRPr="004D3A40">
              <w:rPr>
                <w:rFonts w:cs="Arial"/>
                <w:color w:val="000000"/>
                <w:sz w:val="18"/>
                <w:szCs w:val="18"/>
              </w:rPr>
              <w:t>do 20</w:t>
            </w:r>
          </w:p>
        </w:tc>
        <w:tc>
          <w:tcPr>
            <w:tcW w:w="953" w:type="dxa"/>
            <w:tcBorders>
              <w:top w:val="nil"/>
              <w:left w:val="nil"/>
              <w:bottom w:val="nil"/>
              <w:right w:val="single" w:sz="4" w:space="0" w:color="auto"/>
            </w:tcBorders>
            <w:shd w:val="clear" w:color="auto" w:fill="auto"/>
            <w:noWrap/>
            <w:vAlign w:val="bottom"/>
            <w:hideMark/>
          </w:tcPr>
          <w:p w:rsidR="009C2DCF" w:rsidRPr="004D3A40" w:rsidRDefault="009C2DCF" w:rsidP="006C31BB">
            <w:pPr>
              <w:spacing w:before="0"/>
              <w:jc w:val="center"/>
              <w:rPr>
                <w:rFonts w:cs="Arial"/>
                <w:color w:val="000000"/>
                <w:sz w:val="18"/>
                <w:szCs w:val="18"/>
              </w:rPr>
            </w:pPr>
            <w:r w:rsidRPr="004D3A40">
              <w:rPr>
                <w:rFonts w:cs="Arial"/>
                <w:color w:val="000000"/>
                <w:sz w:val="18"/>
                <w:szCs w:val="18"/>
              </w:rPr>
              <w:t>21 - 50</w:t>
            </w:r>
          </w:p>
        </w:tc>
        <w:tc>
          <w:tcPr>
            <w:tcW w:w="952" w:type="dxa"/>
            <w:tcBorders>
              <w:top w:val="nil"/>
              <w:left w:val="nil"/>
              <w:bottom w:val="nil"/>
              <w:right w:val="single" w:sz="4" w:space="0" w:color="auto"/>
            </w:tcBorders>
            <w:shd w:val="clear" w:color="auto" w:fill="auto"/>
            <w:noWrap/>
            <w:vAlign w:val="bottom"/>
            <w:hideMark/>
          </w:tcPr>
          <w:p w:rsidR="009C2DCF" w:rsidRPr="004D3A40" w:rsidRDefault="009C2DCF" w:rsidP="006C31BB">
            <w:pPr>
              <w:spacing w:before="0"/>
              <w:jc w:val="center"/>
              <w:rPr>
                <w:rFonts w:cs="Arial"/>
                <w:color w:val="000000"/>
                <w:sz w:val="18"/>
                <w:szCs w:val="18"/>
              </w:rPr>
            </w:pPr>
            <w:r w:rsidRPr="004D3A40">
              <w:rPr>
                <w:rFonts w:cs="Arial"/>
                <w:color w:val="000000"/>
                <w:sz w:val="18"/>
                <w:szCs w:val="18"/>
              </w:rPr>
              <w:t>51 - 100</w:t>
            </w:r>
          </w:p>
        </w:tc>
        <w:tc>
          <w:tcPr>
            <w:tcW w:w="952" w:type="dxa"/>
            <w:tcBorders>
              <w:top w:val="nil"/>
              <w:left w:val="nil"/>
              <w:bottom w:val="nil"/>
              <w:right w:val="single" w:sz="4" w:space="0" w:color="auto"/>
            </w:tcBorders>
            <w:shd w:val="clear" w:color="auto" w:fill="auto"/>
            <w:noWrap/>
            <w:vAlign w:val="bottom"/>
            <w:hideMark/>
          </w:tcPr>
          <w:p w:rsidR="009C2DCF" w:rsidRPr="004D3A40" w:rsidRDefault="009C2DCF" w:rsidP="006C31BB">
            <w:pPr>
              <w:spacing w:before="0"/>
              <w:jc w:val="center"/>
              <w:rPr>
                <w:rFonts w:cs="Arial"/>
                <w:color w:val="000000"/>
                <w:sz w:val="18"/>
                <w:szCs w:val="18"/>
              </w:rPr>
            </w:pPr>
            <w:r w:rsidRPr="004D3A40">
              <w:rPr>
                <w:rFonts w:cs="Arial"/>
                <w:color w:val="000000"/>
                <w:sz w:val="18"/>
                <w:szCs w:val="18"/>
              </w:rPr>
              <w:t>101 - 200</w:t>
            </w:r>
          </w:p>
        </w:tc>
        <w:tc>
          <w:tcPr>
            <w:tcW w:w="1225" w:type="dxa"/>
            <w:tcBorders>
              <w:top w:val="nil"/>
              <w:left w:val="nil"/>
              <w:bottom w:val="nil"/>
              <w:right w:val="single" w:sz="4" w:space="0" w:color="auto"/>
            </w:tcBorders>
            <w:shd w:val="clear" w:color="auto" w:fill="auto"/>
            <w:noWrap/>
            <w:vAlign w:val="bottom"/>
            <w:hideMark/>
          </w:tcPr>
          <w:p w:rsidR="009C2DCF" w:rsidRPr="004D3A40" w:rsidRDefault="009C2DCF" w:rsidP="006C31BB">
            <w:pPr>
              <w:spacing w:before="0"/>
              <w:jc w:val="center"/>
              <w:rPr>
                <w:rFonts w:cs="Arial"/>
                <w:color w:val="000000"/>
                <w:sz w:val="18"/>
                <w:szCs w:val="18"/>
              </w:rPr>
            </w:pPr>
            <w:r w:rsidRPr="004D3A40">
              <w:rPr>
                <w:rFonts w:cs="Arial"/>
                <w:color w:val="000000"/>
                <w:sz w:val="18"/>
                <w:szCs w:val="18"/>
              </w:rPr>
              <w:t>více než 200</w:t>
            </w:r>
          </w:p>
        </w:tc>
        <w:tc>
          <w:tcPr>
            <w:tcW w:w="1088" w:type="dxa"/>
            <w:tcBorders>
              <w:top w:val="nil"/>
              <w:left w:val="nil"/>
              <w:bottom w:val="nil"/>
              <w:right w:val="single" w:sz="4" w:space="0" w:color="auto"/>
            </w:tcBorders>
            <w:shd w:val="clear" w:color="auto" w:fill="auto"/>
            <w:noWrap/>
            <w:vAlign w:val="bottom"/>
            <w:hideMark/>
          </w:tcPr>
          <w:p w:rsidR="009C2DCF" w:rsidRPr="004D3A40" w:rsidRDefault="009C2DCF" w:rsidP="006C31BB">
            <w:pPr>
              <w:spacing w:before="0"/>
              <w:jc w:val="center"/>
              <w:rPr>
                <w:rFonts w:cs="Arial"/>
                <w:color w:val="000000"/>
                <w:sz w:val="18"/>
                <w:szCs w:val="18"/>
              </w:rPr>
            </w:pPr>
            <w:r w:rsidRPr="004D3A40">
              <w:rPr>
                <w:rFonts w:cs="Arial"/>
                <w:color w:val="000000"/>
                <w:sz w:val="18"/>
                <w:szCs w:val="18"/>
              </w:rPr>
              <w:t>neuvedeno</w:t>
            </w:r>
          </w:p>
        </w:tc>
        <w:tc>
          <w:tcPr>
            <w:tcW w:w="1167" w:type="dxa"/>
            <w:tcBorders>
              <w:top w:val="nil"/>
              <w:left w:val="nil"/>
              <w:bottom w:val="nil"/>
              <w:right w:val="single" w:sz="4" w:space="0" w:color="auto"/>
            </w:tcBorders>
            <w:shd w:val="clear" w:color="auto" w:fill="auto"/>
            <w:noWrap/>
            <w:vAlign w:val="bottom"/>
            <w:hideMark/>
          </w:tcPr>
          <w:p w:rsidR="009C2DCF" w:rsidRPr="004D3A40" w:rsidRDefault="009C2DCF" w:rsidP="006C31BB">
            <w:pPr>
              <w:spacing w:before="0"/>
              <w:jc w:val="center"/>
              <w:rPr>
                <w:rFonts w:cs="Arial"/>
                <w:color w:val="000000"/>
                <w:sz w:val="18"/>
                <w:szCs w:val="18"/>
              </w:rPr>
            </w:pPr>
            <w:r w:rsidRPr="004D3A40">
              <w:rPr>
                <w:rFonts w:cs="Arial"/>
                <w:color w:val="000000"/>
                <w:sz w:val="18"/>
                <w:szCs w:val="18"/>
              </w:rPr>
              <w:t>Celkem</w:t>
            </w:r>
          </w:p>
        </w:tc>
      </w:tr>
      <w:tr w:rsidR="009C2DCF" w:rsidRPr="004D3A40" w:rsidTr="00484466">
        <w:trPr>
          <w:trHeight w:val="300"/>
        </w:trPr>
        <w:tc>
          <w:tcPr>
            <w:tcW w:w="1708" w:type="dxa"/>
            <w:tcBorders>
              <w:top w:val="single" w:sz="4" w:space="0" w:color="auto"/>
              <w:left w:val="single" w:sz="4" w:space="0" w:color="auto"/>
              <w:bottom w:val="single" w:sz="4" w:space="0" w:color="auto"/>
              <w:right w:val="nil"/>
            </w:tcBorders>
            <w:shd w:val="clear" w:color="auto" w:fill="auto"/>
            <w:noWrap/>
            <w:vAlign w:val="bottom"/>
            <w:hideMark/>
          </w:tcPr>
          <w:p w:rsidR="009C2DCF" w:rsidRPr="004D3A40" w:rsidRDefault="009C2DCF" w:rsidP="006C31BB">
            <w:pPr>
              <w:spacing w:before="0"/>
              <w:jc w:val="left"/>
              <w:rPr>
                <w:rFonts w:cs="Arial"/>
                <w:color w:val="000000"/>
                <w:sz w:val="18"/>
                <w:szCs w:val="18"/>
              </w:rPr>
            </w:pPr>
            <w:r w:rsidRPr="004D3A40">
              <w:rPr>
                <w:rFonts w:cs="Arial"/>
                <w:color w:val="000000"/>
                <w:sz w:val="18"/>
                <w:szCs w:val="18"/>
              </w:rPr>
              <w:t>VŠPO 13 - % podíl</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5,2</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24,5</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39,0</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24,4</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4,8</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2,1</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100,0</w:t>
            </w:r>
          </w:p>
        </w:tc>
      </w:tr>
      <w:tr w:rsidR="009C2DCF" w:rsidRPr="004D3A40" w:rsidTr="00484466">
        <w:trPr>
          <w:trHeight w:val="300"/>
        </w:trPr>
        <w:tc>
          <w:tcPr>
            <w:tcW w:w="1708" w:type="dxa"/>
            <w:tcBorders>
              <w:top w:val="nil"/>
              <w:left w:val="single" w:sz="4" w:space="0" w:color="auto"/>
              <w:bottom w:val="single" w:sz="4" w:space="0" w:color="auto"/>
              <w:right w:val="nil"/>
            </w:tcBorders>
            <w:shd w:val="clear" w:color="auto" w:fill="auto"/>
            <w:noWrap/>
            <w:vAlign w:val="bottom"/>
            <w:hideMark/>
          </w:tcPr>
          <w:p w:rsidR="009C2DCF" w:rsidRPr="004D3A40" w:rsidRDefault="009C2DCF" w:rsidP="006C31BB">
            <w:pPr>
              <w:spacing w:before="0"/>
              <w:jc w:val="left"/>
              <w:rPr>
                <w:rFonts w:cs="Arial"/>
                <w:color w:val="000000"/>
                <w:sz w:val="18"/>
                <w:szCs w:val="18"/>
              </w:rPr>
            </w:pPr>
            <w:r w:rsidRPr="004D3A40">
              <w:rPr>
                <w:rFonts w:cs="Arial"/>
                <w:color w:val="000000"/>
                <w:sz w:val="18"/>
                <w:szCs w:val="18"/>
              </w:rPr>
              <w:t>VŠPO 07 - % podíl</w:t>
            </w:r>
          </w:p>
        </w:tc>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2,0</w:t>
            </w:r>
          </w:p>
        </w:tc>
        <w:tc>
          <w:tcPr>
            <w:tcW w:w="953" w:type="dxa"/>
            <w:tcBorders>
              <w:top w:val="nil"/>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16,9</w:t>
            </w:r>
          </w:p>
        </w:tc>
        <w:tc>
          <w:tcPr>
            <w:tcW w:w="952" w:type="dxa"/>
            <w:tcBorders>
              <w:top w:val="nil"/>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26,3</w:t>
            </w:r>
          </w:p>
        </w:tc>
        <w:tc>
          <w:tcPr>
            <w:tcW w:w="952" w:type="dxa"/>
            <w:tcBorders>
              <w:top w:val="nil"/>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39,0</w:t>
            </w:r>
          </w:p>
        </w:tc>
        <w:tc>
          <w:tcPr>
            <w:tcW w:w="1225" w:type="dxa"/>
            <w:tcBorders>
              <w:top w:val="nil"/>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15,4</w:t>
            </w:r>
          </w:p>
        </w:tc>
        <w:tc>
          <w:tcPr>
            <w:tcW w:w="1088" w:type="dxa"/>
            <w:tcBorders>
              <w:top w:val="nil"/>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0,4</w:t>
            </w:r>
          </w:p>
        </w:tc>
        <w:tc>
          <w:tcPr>
            <w:tcW w:w="1167" w:type="dxa"/>
            <w:tcBorders>
              <w:top w:val="nil"/>
              <w:left w:val="nil"/>
              <w:bottom w:val="single" w:sz="4" w:space="0" w:color="auto"/>
              <w:right w:val="single" w:sz="4" w:space="0" w:color="auto"/>
            </w:tcBorders>
            <w:shd w:val="clear" w:color="auto" w:fill="auto"/>
            <w:noWrap/>
            <w:vAlign w:val="bottom"/>
            <w:hideMark/>
          </w:tcPr>
          <w:p w:rsidR="009C2DCF" w:rsidRPr="004D3A40" w:rsidRDefault="009C2DCF" w:rsidP="006C31BB">
            <w:pPr>
              <w:spacing w:before="0"/>
              <w:jc w:val="right"/>
              <w:rPr>
                <w:rFonts w:cs="Arial"/>
                <w:color w:val="000000"/>
                <w:sz w:val="18"/>
                <w:szCs w:val="18"/>
              </w:rPr>
            </w:pPr>
            <w:r w:rsidRPr="004D3A40">
              <w:rPr>
                <w:rFonts w:cs="Arial"/>
                <w:color w:val="000000"/>
                <w:sz w:val="18"/>
                <w:szCs w:val="18"/>
              </w:rPr>
              <w:t>100,0</w:t>
            </w:r>
          </w:p>
        </w:tc>
      </w:tr>
      <w:tr w:rsidR="009C2DCF" w:rsidRPr="004D3A40" w:rsidTr="00484466">
        <w:trPr>
          <w:trHeight w:val="300"/>
        </w:trPr>
        <w:tc>
          <w:tcPr>
            <w:tcW w:w="1708"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9C2DCF" w:rsidRPr="004D3A40" w:rsidRDefault="009C2DCF" w:rsidP="006C31BB">
            <w:pPr>
              <w:spacing w:before="0"/>
              <w:jc w:val="left"/>
              <w:rPr>
                <w:rFonts w:cs="Arial"/>
                <w:b/>
                <w:bCs/>
                <w:color w:val="000000"/>
                <w:sz w:val="18"/>
                <w:szCs w:val="18"/>
              </w:rPr>
            </w:pPr>
            <w:r w:rsidRPr="004D3A40">
              <w:rPr>
                <w:rFonts w:cs="Arial"/>
                <w:b/>
                <w:bCs/>
                <w:color w:val="000000"/>
                <w:sz w:val="18"/>
                <w:szCs w:val="18"/>
              </w:rPr>
              <w:t>Procentní body</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C2DCF" w:rsidRPr="004D3A40" w:rsidRDefault="009C2DCF" w:rsidP="006C31BB">
            <w:pPr>
              <w:spacing w:before="0"/>
              <w:jc w:val="right"/>
              <w:rPr>
                <w:rFonts w:cs="Arial"/>
                <w:b/>
                <w:bCs/>
                <w:color w:val="000000"/>
                <w:sz w:val="18"/>
                <w:szCs w:val="18"/>
              </w:rPr>
            </w:pPr>
            <w:r w:rsidRPr="004D3A40">
              <w:rPr>
                <w:rFonts w:cs="Arial"/>
                <w:b/>
                <w:bCs/>
                <w:color w:val="000000"/>
                <w:sz w:val="18"/>
                <w:szCs w:val="18"/>
              </w:rPr>
              <w:t>3,2</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4D3A40" w:rsidRDefault="009C2DCF" w:rsidP="006C31BB">
            <w:pPr>
              <w:spacing w:before="0"/>
              <w:jc w:val="right"/>
              <w:rPr>
                <w:rFonts w:cs="Arial"/>
                <w:b/>
                <w:bCs/>
                <w:color w:val="000000"/>
                <w:sz w:val="18"/>
                <w:szCs w:val="18"/>
              </w:rPr>
            </w:pPr>
            <w:r w:rsidRPr="004D3A40">
              <w:rPr>
                <w:rFonts w:cs="Arial"/>
                <w:b/>
                <w:bCs/>
                <w:color w:val="000000"/>
                <w:sz w:val="18"/>
                <w:szCs w:val="18"/>
              </w:rPr>
              <w:t>7,6</w:t>
            </w:r>
          </w:p>
        </w:tc>
        <w:tc>
          <w:tcPr>
            <w:tcW w:w="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4D3A40" w:rsidRDefault="009C2DCF" w:rsidP="006C31BB">
            <w:pPr>
              <w:spacing w:before="0"/>
              <w:jc w:val="right"/>
              <w:rPr>
                <w:rFonts w:cs="Arial"/>
                <w:b/>
                <w:bCs/>
                <w:color w:val="000000"/>
                <w:sz w:val="18"/>
                <w:szCs w:val="18"/>
              </w:rPr>
            </w:pPr>
            <w:r w:rsidRPr="004D3A40">
              <w:rPr>
                <w:rFonts w:cs="Arial"/>
                <w:b/>
                <w:bCs/>
                <w:color w:val="000000"/>
                <w:sz w:val="18"/>
                <w:szCs w:val="18"/>
              </w:rPr>
              <w:t>12,7</w:t>
            </w:r>
          </w:p>
        </w:tc>
        <w:tc>
          <w:tcPr>
            <w:tcW w:w="95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4D3A40" w:rsidRDefault="009C2DCF" w:rsidP="006C31BB">
            <w:pPr>
              <w:spacing w:before="0"/>
              <w:jc w:val="right"/>
              <w:rPr>
                <w:rFonts w:cs="Arial"/>
                <w:b/>
                <w:bCs/>
                <w:color w:val="000000"/>
                <w:sz w:val="18"/>
                <w:szCs w:val="18"/>
              </w:rPr>
            </w:pPr>
            <w:r w:rsidRPr="004D3A40">
              <w:rPr>
                <w:rFonts w:cs="Arial"/>
                <w:b/>
                <w:bCs/>
                <w:color w:val="000000"/>
                <w:sz w:val="18"/>
                <w:szCs w:val="18"/>
              </w:rPr>
              <w:t>-14,6</w:t>
            </w:r>
          </w:p>
        </w:tc>
        <w:tc>
          <w:tcPr>
            <w:tcW w:w="12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4D3A40" w:rsidRDefault="009C2DCF" w:rsidP="006C31BB">
            <w:pPr>
              <w:spacing w:before="0"/>
              <w:jc w:val="right"/>
              <w:rPr>
                <w:rFonts w:cs="Arial"/>
                <w:b/>
                <w:bCs/>
                <w:color w:val="000000"/>
                <w:sz w:val="18"/>
                <w:szCs w:val="18"/>
              </w:rPr>
            </w:pPr>
            <w:r w:rsidRPr="004D3A40">
              <w:rPr>
                <w:rFonts w:cs="Arial"/>
                <w:b/>
                <w:bCs/>
                <w:color w:val="000000"/>
                <w:sz w:val="18"/>
                <w:szCs w:val="18"/>
              </w:rPr>
              <w:t>-10,6</w:t>
            </w:r>
          </w:p>
        </w:tc>
        <w:tc>
          <w:tcPr>
            <w:tcW w:w="10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4D3A40" w:rsidRDefault="009C2DCF" w:rsidP="006C31BB">
            <w:pPr>
              <w:spacing w:before="0"/>
              <w:jc w:val="right"/>
              <w:rPr>
                <w:rFonts w:cs="Arial"/>
                <w:b/>
                <w:bCs/>
                <w:color w:val="000000"/>
                <w:sz w:val="18"/>
                <w:szCs w:val="18"/>
              </w:rPr>
            </w:pPr>
            <w:r w:rsidRPr="004D3A40">
              <w:rPr>
                <w:rFonts w:cs="Arial"/>
                <w:b/>
                <w:bCs/>
                <w:color w:val="000000"/>
                <w:sz w:val="18"/>
                <w:szCs w:val="18"/>
              </w:rPr>
              <w:t>1,7</w:t>
            </w:r>
          </w:p>
        </w:tc>
        <w:tc>
          <w:tcPr>
            <w:tcW w:w="11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4D3A40" w:rsidRDefault="009C2DCF" w:rsidP="006C31BB">
            <w:pPr>
              <w:spacing w:before="0"/>
              <w:jc w:val="right"/>
              <w:rPr>
                <w:rFonts w:cs="Arial"/>
                <w:b/>
                <w:bCs/>
                <w:color w:val="000000"/>
                <w:sz w:val="18"/>
                <w:szCs w:val="18"/>
              </w:rPr>
            </w:pPr>
            <w:r w:rsidRPr="004D3A40">
              <w:rPr>
                <w:rFonts w:cs="Arial"/>
                <w:b/>
                <w:bCs/>
                <w:color w:val="000000"/>
                <w:sz w:val="18"/>
                <w:szCs w:val="18"/>
              </w:rPr>
              <w:t>0,0</w:t>
            </w:r>
          </w:p>
        </w:tc>
      </w:tr>
    </w:tbl>
    <w:p w:rsidR="009C2DCF" w:rsidRDefault="009C2DCF" w:rsidP="009C2DCF">
      <w:pPr>
        <w:spacing w:before="240"/>
        <w:ind w:firstLine="567"/>
        <w:rPr>
          <w:bCs/>
        </w:rPr>
      </w:pPr>
      <w:r w:rsidRPr="00301933">
        <w:rPr>
          <w:b/>
          <w:bCs/>
        </w:rPr>
        <w:t>Z těchto hodnot nám vyplývá pozitivní tendence, spočívající v kvalitativním posunu bydlení v zařízeních sociální péče</w:t>
      </w:r>
      <w:r>
        <w:rPr>
          <w:bCs/>
        </w:rPr>
        <w:t xml:space="preserve"> (od méně přátelštější</w:t>
      </w:r>
      <w:r w:rsidR="00857D78">
        <w:rPr>
          <w:bCs/>
        </w:rPr>
        <w:t>ch velkokapacitních zařízení ke </w:t>
      </w:r>
      <w:r>
        <w:rPr>
          <w:bCs/>
        </w:rPr>
        <w:t xml:space="preserve">komfortnějším, soukromí více chránícím zařízením). </w:t>
      </w:r>
    </w:p>
    <w:p w:rsidR="009C2DCF" w:rsidRDefault="009C2DCF" w:rsidP="009C2DCF">
      <w:pPr>
        <w:ind w:firstLine="567"/>
        <w:rPr>
          <w:bCs/>
        </w:rPr>
      </w:pPr>
      <w:r>
        <w:rPr>
          <w:bCs/>
        </w:rPr>
        <w:t>Na dokreslení problematiky bydlení v zařízeních sociální pé</w:t>
      </w:r>
      <w:r w:rsidR="00857D78">
        <w:rPr>
          <w:bCs/>
        </w:rPr>
        <w:t>če je vhodné ji ještě doplnit o </w:t>
      </w:r>
      <w:r w:rsidRPr="006A47BD">
        <w:rPr>
          <w:bCs/>
          <w:u w:val="single"/>
        </w:rPr>
        <w:t>porovnání průměrné délky pobytu v těchto zařízeních podle pohlaví a věku</w:t>
      </w:r>
      <w:r>
        <w:rPr>
          <w:bCs/>
        </w:rPr>
        <w:t xml:space="preserve">. </w:t>
      </w:r>
      <w:r w:rsidRPr="00DC792B">
        <w:rPr>
          <w:bCs/>
          <w:u w:val="single"/>
        </w:rPr>
        <w:t>Z hlediska celkových výsledků</w:t>
      </w:r>
      <w:r>
        <w:rPr>
          <w:bCs/>
        </w:rPr>
        <w:t xml:space="preserve"> lze konstatovat, že za šest let se celková doba strávená v zař</w:t>
      </w:r>
      <w:r w:rsidR="00857D78">
        <w:rPr>
          <w:bCs/>
        </w:rPr>
        <w:t>ízeních sociální péče snížila o </w:t>
      </w:r>
      <w:r>
        <w:rPr>
          <w:bCs/>
        </w:rPr>
        <w:t xml:space="preserve">1 rok a 10 měsíců, přičemž nevyšší odchylky (vždy ve směru snížení doby) se vyskytly ve věkových kategoriích 30 – 44 let resp. 45 – 59 let (o cca 4,5 resp. 3,5 roku). Pokud se na délku pobytu podíváme </w:t>
      </w:r>
      <w:r w:rsidRPr="00DC792B">
        <w:rPr>
          <w:bCs/>
          <w:u w:val="single"/>
        </w:rPr>
        <w:t>z hlediska pohlaví</w:t>
      </w:r>
      <w:r>
        <w:rPr>
          <w:bCs/>
        </w:rPr>
        <w:t>, jsou celkové rozdíly značně odlišné (u mužů nižší o 3 roky a 11 měsíců, u žen naopak vyšší o 8 měsíců, přičemž snížení se u mužů nejvíce projevilo ve věkových skupinách 30 – 44 let a 45 – 59 let a na druhé straně pak zvýšení u žen bylo nejmarkantnější ve dvou věkových skupinách: 45 -59 let a 15 – 29 let).</w:t>
      </w:r>
    </w:p>
    <w:p w:rsidR="009C2DCF" w:rsidRDefault="009C2DCF" w:rsidP="009C2DCF">
      <w:pPr>
        <w:spacing w:after="360"/>
        <w:ind w:firstLine="567"/>
        <w:rPr>
          <w:bCs/>
        </w:rPr>
      </w:pPr>
      <w:r>
        <w:rPr>
          <w:bCs/>
        </w:rPr>
        <w:t>Průměrnou délku pobytu v zařízeních sociální péče nám z pohledu celkových výsledků (bez</w:t>
      </w:r>
      <w:r w:rsidR="00857D78">
        <w:rPr>
          <w:bCs/>
        </w:rPr>
        <w:t> </w:t>
      </w:r>
      <w:r>
        <w:rPr>
          <w:bCs/>
        </w:rPr>
        <w:t>členění podle pohlaví) a šesti věkových kategorií, ukazuje v porovnání obou šetření následující graf č. 9.</w:t>
      </w:r>
    </w:p>
    <w:p w:rsidR="009C2DCF" w:rsidRDefault="009C2DCF" w:rsidP="009C2DCF">
      <w:pPr>
        <w:pStyle w:val="Nzavtabulky"/>
      </w:pPr>
      <w:r>
        <w:rPr>
          <w:bCs/>
        </w:rPr>
        <w:br w:type="page"/>
      </w:r>
      <w:r>
        <w:lastRenderedPageBreak/>
        <w:t>Graf č. 9: Celková průměrná délka pobytu v zařízeních sociální péče podle věku</w:t>
      </w:r>
    </w:p>
    <w:p w:rsidR="009C2DCF" w:rsidRPr="00F4382D" w:rsidRDefault="009C2DCF" w:rsidP="009C2DCF">
      <w:r>
        <w:rPr>
          <w:noProof/>
        </w:rPr>
        <w:drawing>
          <wp:inline distT="0" distB="0" distL="0" distR="0">
            <wp:extent cx="5762625" cy="3611245"/>
            <wp:effectExtent l="19050" t="0" r="9525" b="8255"/>
            <wp:docPr id="3" name="obráze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2DCF" w:rsidRDefault="009C2DCF" w:rsidP="009C2DCF">
      <w:pPr>
        <w:ind w:firstLine="567"/>
      </w:pPr>
      <w:r w:rsidRPr="00DC792B">
        <w:t xml:space="preserve">Kromě </w:t>
      </w:r>
      <w:r>
        <w:t>výše již uvedených konstatování z grafu vyplývá, že d</w:t>
      </w:r>
      <w:r w:rsidR="00857D78">
        <w:t>élka pobytu se ještě snížila ve </w:t>
      </w:r>
      <w:r>
        <w:t>věkových kategoriích 0 – 14 let a 60 – 74 let, zatímco se na druhé straně zvýšila ve věkových skupinách 15 – 29 let a 75 + let.</w:t>
      </w:r>
    </w:p>
    <w:p w:rsidR="009C2DCF" w:rsidRPr="00F51AC5" w:rsidRDefault="009C2DCF" w:rsidP="009C2DCF">
      <w:pPr>
        <w:pStyle w:val="Nadpis2"/>
        <w:keepLines w:val="0"/>
        <w:numPr>
          <w:ilvl w:val="1"/>
          <w:numId w:val="10"/>
        </w:numPr>
        <w:spacing w:before="240" w:after="60"/>
        <w:jc w:val="both"/>
      </w:pPr>
      <w:bookmarkStart w:id="6" w:name="_Toc382812530"/>
      <w:r w:rsidRPr="00F51AC5">
        <w:t>Ekonomická aktivita zdravotně postižených osob</w:t>
      </w:r>
      <w:bookmarkEnd w:id="6"/>
    </w:p>
    <w:p w:rsidR="009C2DCF" w:rsidRDefault="009C2DCF" w:rsidP="009C2DCF">
      <w:pPr>
        <w:ind w:firstLine="567"/>
      </w:pPr>
      <w:r w:rsidRPr="00915C21">
        <w:rPr>
          <w:rStyle w:val="Zvraznn"/>
        </w:rPr>
        <w:t>Z hlediska nejčastěji se vyskytujících ekonomických aktivit zaujímá jednoznačně první pozici skupina nepracujících důchodců/důchodkyň</w:t>
      </w:r>
      <w:r>
        <w:t>, která však při podílovém srovnání obou šetření (podíl této skupiny na celkovém počtu zdravotně postižených osob ve věku 15 let a více) vykázala pokles (o 2,2 procentních bodů). Druhé pořadí zaujala skupina zaměstnaný/á, OSVČ, opět zaznamenávající pokles (o 3,9 procentních bodů). Pouze ve třetím pořadí, které patří skupině pracujících důchodců/důchodkyň, byl vykázán nárůst (o 5,0 procentních bodů). Vývoj zjištěný v posledně uváděné skupině pracujících důchodců/důchodkyň (pozn.: nejvyšší hodnoty u VŠPO 13 byly zjištěny ve věkové skupině 35 – 49 let) odpovídá trendu posledních let, který je obecně mimo jiné podložen relativně výhodnějšími podmínkami v současné době, platnými pro souběh důchodů a pracovních poměrů (osoby se zdravotním postižením nevyjímaje).</w:t>
      </w:r>
    </w:p>
    <w:p w:rsidR="009C2DCF" w:rsidRDefault="009C2DCF" w:rsidP="009C2DCF">
      <w:pPr>
        <w:ind w:firstLine="567"/>
      </w:pPr>
      <w:r>
        <w:t>Celkový pohled na všechny druhy ekonomických aktivit nám poskytuje přehledná tabulka č. 24.</w:t>
      </w:r>
    </w:p>
    <w:p w:rsidR="009C2DCF" w:rsidRPr="004B0B3E" w:rsidRDefault="009C2DCF" w:rsidP="009C2DCF">
      <w:pPr>
        <w:pStyle w:val="Nzavtabulky"/>
      </w:pPr>
      <w:r w:rsidRPr="004B0B3E">
        <w:t>Tabulka č. 24:</w:t>
      </w:r>
      <w:r>
        <w:tab/>
      </w:r>
      <w:r w:rsidRPr="004B0B3E">
        <w:t>Porovnání ekonomické aktivity</w:t>
      </w:r>
    </w:p>
    <w:tbl>
      <w:tblPr>
        <w:tblW w:w="9039" w:type="dxa"/>
        <w:tblInd w:w="55" w:type="dxa"/>
        <w:tblCellMar>
          <w:left w:w="70" w:type="dxa"/>
          <w:right w:w="70" w:type="dxa"/>
        </w:tblCellMar>
        <w:tblLook w:val="04A0"/>
      </w:tblPr>
      <w:tblGrid>
        <w:gridCol w:w="1008"/>
        <w:gridCol w:w="824"/>
        <w:gridCol w:w="844"/>
        <w:gridCol w:w="992"/>
        <w:gridCol w:w="931"/>
        <w:gridCol w:w="1032"/>
        <w:gridCol w:w="1265"/>
        <w:gridCol w:w="688"/>
        <w:gridCol w:w="704"/>
        <w:gridCol w:w="751"/>
      </w:tblGrid>
      <w:tr w:rsidR="009C2DCF" w:rsidRPr="000B6B3B" w:rsidTr="00491B15">
        <w:trPr>
          <w:trHeight w:val="300"/>
        </w:trPr>
        <w:tc>
          <w:tcPr>
            <w:tcW w:w="1008" w:type="dxa"/>
            <w:vMerge w:val="restart"/>
            <w:tcBorders>
              <w:top w:val="single" w:sz="4" w:space="0" w:color="auto"/>
              <w:left w:val="single" w:sz="4" w:space="0" w:color="auto"/>
              <w:bottom w:val="nil"/>
              <w:right w:val="nil"/>
            </w:tcBorders>
            <w:shd w:val="clear" w:color="auto" w:fill="auto"/>
            <w:noWrap/>
            <w:vAlign w:val="bottom"/>
            <w:hideMark/>
          </w:tcPr>
          <w:p w:rsidR="009C2DCF" w:rsidRPr="000B6B3B" w:rsidRDefault="009C2DCF" w:rsidP="006C31BB">
            <w:pPr>
              <w:spacing w:before="0"/>
              <w:jc w:val="center"/>
              <w:rPr>
                <w:rFonts w:cs="Arial"/>
                <w:color w:val="000000"/>
                <w:sz w:val="18"/>
                <w:szCs w:val="18"/>
              </w:rPr>
            </w:pPr>
            <w:r w:rsidRPr="000B6B3B">
              <w:rPr>
                <w:rFonts w:cs="Arial"/>
                <w:color w:val="000000"/>
                <w:sz w:val="18"/>
                <w:szCs w:val="18"/>
              </w:rPr>
              <w:t> </w:t>
            </w:r>
          </w:p>
        </w:tc>
        <w:tc>
          <w:tcPr>
            <w:tcW w:w="8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2DCF" w:rsidRPr="000B6B3B" w:rsidRDefault="009C2DCF" w:rsidP="006C31BB">
            <w:pPr>
              <w:spacing w:before="0"/>
              <w:jc w:val="center"/>
              <w:rPr>
                <w:rFonts w:cs="Arial"/>
                <w:color w:val="000000"/>
                <w:sz w:val="18"/>
                <w:szCs w:val="18"/>
              </w:rPr>
            </w:pPr>
            <w:r w:rsidRPr="000B6B3B">
              <w:rPr>
                <w:rFonts w:cs="Arial"/>
                <w:color w:val="000000"/>
                <w:sz w:val="18"/>
                <w:szCs w:val="18"/>
              </w:rPr>
              <w:t>Ekonomická aktivita</w:t>
            </w:r>
          </w:p>
        </w:tc>
      </w:tr>
      <w:tr w:rsidR="009C2DCF" w:rsidRPr="000B6B3B" w:rsidTr="00491B15">
        <w:trPr>
          <w:trHeight w:val="1050"/>
        </w:trPr>
        <w:tc>
          <w:tcPr>
            <w:tcW w:w="1008" w:type="dxa"/>
            <w:vMerge/>
            <w:tcBorders>
              <w:top w:val="single" w:sz="4" w:space="0" w:color="auto"/>
              <w:left w:val="single" w:sz="4" w:space="0" w:color="auto"/>
              <w:bottom w:val="nil"/>
              <w:right w:val="nil"/>
            </w:tcBorders>
            <w:vAlign w:val="center"/>
            <w:hideMark/>
          </w:tcPr>
          <w:p w:rsidR="009C2DCF" w:rsidRPr="000B6B3B" w:rsidRDefault="009C2DCF" w:rsidP="006C31BB">
            <w:pPr>
              <w:spacing w:before="0"/>
              <w:jc w:val="left"/>
              <w:rPr>
                <w:rFonts w:cs="Arial"/>
                <w:color w:val="000000"/>
                <w:sz w:val="18"/>
                <w:szCs w:val="18"/>
              </w:rPr>
            </w:pPr>
          </w:p>
        </w:tc>
        <w:tc>
          <w:tcPr>
            <w:tcW w:w="824" w:type="dxa"/>
            <w:tcBorders>
              <w:top w:val="nil"/>
              <w:left w:val="single" w:sz="4" w:space="0" w:color="auto"/>
              <w:bottom w:val="nil"/>
              <w:right w:val="single" w:sz="4" w:space="0" w:color="auto"/>
            </w:tcBorders>
            <w:shd w:val="clear" w:color="auto" w:fill="auto"/>
            <w:vAlign w:val="center"/>
            <w:hideMark/>
          </w:tcPr>
          <w:p w:rsidR="009C2DCF" w:rsidRPr="000B6B3B" w:rsidRDefault="009C2DCF" w:rsidP="006C31BB">
            <w:pPr>
              <w:spacing w:before="0"/>
              <w:jc w:val="center"/>
              <w:rPr>
                <w:rFonts w:cs="Arial"/>
                <w:color w:val="000000"/>
                <w:sz w:val="18"/>
                <w:szCs w:val="18"/>
              </w:rPr>
            </w:pPr>
            <w:r w:rsidRPr="000B6B3B">
              <w:rPr>
                <w:rFonts w:cs="Arial"/>
                <w:color w:val="000000"/>
                <w:sz w:val="18"/>
                <w:szCs w:val="18"/>
              </w:rPr>
              <w:t>studující</w:t>
            </w:r>
          </w:p>
        </w:tc>
        <w:tc>
          <w:tcPr>
            <w:tcW w:w="844" w:type="dxa"/>
            <w:tcBorders>
              <w:top w:val="nil"/>
              <w:left w:val="nil"/>
              <w:bottom w:val="nil"/>
              <w:right w:val="single" w:sz="4" w:space="0" w:color="auto"/>
            </w:tcBorders>
            <w:shd w:val="clear" w:color="auto" w:fill="auto"/>
            <w:vAlign w:val="center"/>
            <w:hideMark/>
          </w:tcPr>
          <w:p w:rsidR="009C2DCF" w:rsidRPr="000B6B3B" w:rsidRDefault="009C2DCF" w:rsidP="006C31BB">
            <w:pPr>
              <w:spacing w:before="0"/>
              <w:jc w:val="center"/>
              <w:rPr>
                <w:rFonts w:cs="Arial"/>
                <w:color w:val="000000"/>
                <w:sz w:val="18"/>
                <w:szCs w:val="18"/>
              </w:rPr>
            </w:pPr>
            <w:proofErr w:type="spellStart"/>
            <w:r w:rsidRPr="000B6B3B">
              <w:rPr>
                <w:rFonts w:cs="Arial"/>
                <w:color w:val="000000"/>
                <w:sz w:val="18"/>
                <w:szCs w:val="18"/>
              </w:rPr>
              <w:t>zaměst</w:t>
            </w:r>
            <w:proofErr w:type="spellEnd"/>
            <w:r w:rsidRPr="000B6B3B">
              <w:rPr>
                <w:rFonts w:cs="Arial"/>
                <w:color w:val="000000"/>
                <w:sz w:val="18"/>
                <w:szCs w:val="18"/>
              </w:rPr>
              <w:t xml:space="preserve">-  </w:t>
            </w:r>
            <w:proofErr w:type="spellStart"/>
            <w:r w:rsidRPr="000B6B3B">
              <w:rPr>
                <w:rFonts w:cs="Arial"/>
                <w:color w:val="000000"/>
                <w:sz w:val="18"/>
                <w:szCs w:val="18"/>
              </w:rPr>
              <w:t>naný</w:t>
            </w:r>
            <w:proofErr w:type="spellEnd"/>
            <w:r w:rsidRPr="000B6B3B">
              <w:rPr>
                <w:rFonts w:cs="Arial"/>
                <w:color w:val="000000"/>
                <w:sz w:val="18"/>
                <w:szCs w:val="18"/>
              </w:rPr>
              <w:t>/á, OSVČ</w:t>
            </w:r>
          </w:p>
        </w:tc>
        <w:tc>
          <w:tcPr>
            <w:tcW w:w="992" w:type="dxa"/>
            <w:tcBorders>
              <w:top w:val="nil"/>
              <w:left w:val="nil"/>
              <w:bottom w:val="nil"/>
              <w:right w:val="single" w:sz="4" w:space="0" w:color="auto"/>
            </w:tcBorders>
            <w:shd w:val="clear" w:color="auto" w:fill="auto"/>
            <w:vAlign w:val="center"/>
            <w:hideMark/>
          </w:tcPr>
          <w:p w:rsidR="009C2DCF" w:rsidRPr="000B6B3B" w:rsidRDefault="009C2DCF" w:rsidP="006C31BB">
            <w:pPr>
              <w:spacing w:before="0"/>
              <w:jc w:val="center"/>
              <w:rPr>
                <w:rFonts w:cs="Arial"/>
                <w:color w:val="000000"/>
                <w:sz w:val="18"/>
                <w:szCs w:val="18"/>
              </w:rPr>
            </w:pPr>
            <w:proofErr w:type="spellStart"/>
            <w:r w:rsidRPr="000B6B3B">
              <w:rPr>
                <w:rFonts w:cs="Arial"/>
                <w:color w:val="000000"/>
                <w:sz w:val="18"/>
                <w:szCs w:val="18"/>
              </w:rPr>
              <w:t>nezaměst</w:t>
            </w:r>
            <w:proofErr w:type="spellEnd"/>
            <w:r w:rsidRPr="000B6B3B">
              <w:rPr>
                <w:rFonts w:cs="Arial"/>
                <w:color w:val="000000"/>
                <w:sz w:val="18"/>
                <w:szCs w:val="18"/>
              </w:rPr>
              <w:t xml:space="preserve">-    </w:t>
            </w:r>
            <w:proofErr w:type="spellStart"/>
            <w:r w:rsidRPr="000B6B3B">
              <w:rPr>
                <w:rFonts w:cs="Arial"/>
                <w:color w:val="000000"/>
                <w:sz w:val="18"/>
                <w:szCs w:val="18"/>
              </w:rPr>
              <w:t>naný</w:t>
            </w:r>
            <w:proofErr w:type="spellEnd"/>
            <w:r w:rsidRPr="000B6B3B">
              <w:rPr>
                <w:rFonts w:cs="Arial"/>
                <w:color w:val="000000"/>
                <w:sz w:val="18"/>
                <w:szCs w:val="18"/>
              </w:rPr>
              <w:t>/á</w:t>
            </w:r>
          </w:p>
        </w:tc>
        <w:tc>
          <w:tcPr>
            <w:tcW w:w="931" w:type="dxa"/>
            <w:tcBorders>
              <w:top w:val="nil"/>
              <w:left w:val="nil"/>
              <w:bottom w:val="nil"/>
              <w:right w:val="single" w:sz="4" w:space="0" w:color="auto"/>
            </w:tcBorders>
            <w:shd w:val="clear" w:color="auto" w:fill="auto"/>
            <w:vAlign w:val="center"/>
            <w:hideMark/>
          </w:tcPr>
          <w:p w:rsidR="009C2DCF" w:rsidRPr="000B6B3B" w:rsidRDefault="009C2DCF" w:rsidP="006C31BB">
            <w:pPr>
              <w:spacing w:before="0"/>
              <w:jc w:val="center"/>
              <w:rPr>
                <w:rFonts w:cs="Arial"/>
                <w:color w:val="000000"/>
                <w:sz w:val="18"/>
                <w:szCs w:val="18"/>
              </w:rPr>
            </w:pPr>
            <w:r w:rsidRPr="000B6B3B">
              <w:rPr>
                <w:rFonts w:cs="Arial"/>
                <w:color w:val="000000"/>
                <w:sz w:val="18"/>
                <w:szCs w:val="18"/>
              </w:rPr>
              <w:t xml:space="preserve">pracující </w:t>
            </w:r>
            <w:proofErr w:type="gramStart"/>
            <w:r w:rsidRPr="000B6B3B">
              <w:rPr>
                <w:rFonts w:cs="Arial"/>
                <w:color w:val="000000"/>
                <w:sz w:val="18"/>
                <w:szCs w:val="18"/>
              </w:rPr>
              <w:t>důchodce                  /-</w:t>
            </w:r>
            <w:proofErr w:type="spellStart"/>
            <w:r w:rsidRPr="000B6B3B">
              <w:rPr>
                <w:rFonts w:cs="Arial"/>
                <w:color w:val="000000"/>
                <w:sz w:val="18"/>
                <w:szCs w:val="18"/>
              </w:rPr>
              <w:t>kyně</w:t>
            </w:r>
            <w:proofErr w:type="spellEnd"/>
            <w:proofErr w:type="gramEnd"/>
          </w:p>
        </w:tc>
        <w:tc>
          <w:tcPr>
            <w:tcW w:w="1032" w:type="dxa"/>
            <w:tcBorders>
              <w:top w:val="nil"/>
              <w:left w:val="nil"/>
              <w:bottom w:val="nil"/>
              <w:right w:val="single" w:sz="4" w:space="0" w:color="auto"/>
            </w:tcBorders>
            <w:shd w:val="clear" w:color="auto" w:fill="auto"/>
            <w:vAlign w:val="center"/>
            <w:hideMark/>
          </w:tcPr>
          <w:p w:rsidR="009C2DCF" w:rsidRPr="000B6B3B" w:rsidRDefault="009C2DCF" w:rsidP="006C31BB">
            <w:pPr>
              <w:spacing w:before="0"/>
              <w:jc w:val="center"/>
              <w:rPr>
                <w:rFonts w:cs="Arial"/>
                <w:color w:val="000000"/>
                <w:sz w:val="18"/>
                <w:szCs w:val="18"/>
              </w:rPr>
            </w:pPr>
            <w:r w:rsidRPr="000B6B3B">
              <w:rPr>
                <w:rFonts w:cs="Arial"/>
                <w:color w:val="000000"/>
                <w:sz w:val="18"/>
                <w:szCs w:val="18"/>
              </w:rPr>
              <w:t xml:space="preserve">nepracující </w:t>
            </w:r>
            <w:proofErr w:type="gramStart"/>
            <w:r w:rsidRPr="000B6B3B">
              <w:rPr>
                <w:rFonts w:cs="Arial"/>
                <w:color w:val="000000"/>
                <w:sz w:val="18"/>
                <w:szCs w:val="18"/>
              </w:rPr>
              <w:t>důchodce                            /-</w:t>
            </w:r>
            <w:proofErr w:type="spellStart"/>
            <w:r w:rsidRPr="000B6B3B">
              <w:rPr>
                <w:rFonts w:cs="Arial"/>
                <w:color w:val="000000"/>
                <w:sz w:val="18"/>
                <w:szCs w:val="18"/>
              </w:rPr>
              <w:t>kyně</w:t>
            </w:r>
            <w:proofErr w:type="spellEnd"/>
            <w:proofErr w:type="gramEnd"/>
          </w:p>
        </w:tc>
        <w:tc>
          <w:tcPr>
            <w:tcW w:w="1265" w:type="dxa"/>
            <w:tcBorders>
              <w:top w:val="nil"/>
              <w:left w:val="nil"/>
              <w:bottom w:val="nil"/>
              <w:right w:val="single" w:sz="4" w:space="0" w:color="auto"/>
            </w:tcBorders>
            <w:shd w:val="clear" w:color="auto" w:fill="auto"/>
            <w:vAlign w:val="center"/>
            <w:hideMark/>
          </w:tcPr>
          <w:p w:rsidR="009C2DCF" w:rsidRPr="000B6B3B" w:rsidRDefault="009C2DCF" w:rsidP="006C31BB">
            <w:pPr>
              <w:spacing w:before="0"/>
              <w:jc w:val="center"/>
              <w:rPr>
                <w:rFonts w:cs="Arial"/>
                <w:color w:val="000000"/>
                <w:sz w:val="18"/>
                <w:szCs w:val="18"/>
              </w:rPr>
            </w:pPr>
            <w:r w:rsidRPr="000B6B3B">
              <w:rPr>
                <w:rFonts w:cs="Arial"/>
                <w:color w:val="000000"/>
                <w:sz w:val="18"/>
                <w:szCs w:val="18"/>
              </w:rPr>
              <w:t>v domácnosti (vč. rodičovské dovolené)</w:t>
            </w:r>
          </w:p>
        </w:tc>
        <w:tc>
          <w:tcPr>
            <w:tcW w:w="688" w:type="dxa"/>
            <w:tcBorders>
              <w:top w:val="nil"/>
              <w:left w:val="nil"/>
              <w:bottom w:val="nil"/>
              <w:right w:val="single" w:sz="4" w:space="0" w:color="auto"/>
            </w:tcBorders>
            <w:shd w:val="clear" w:color="auto" w:fill="auto"/>
            <w:vAlign w:val="center"/>
            <w:hideMark/>
          </w:tcPr>
          <w:p w:rsidR="009C2DCF" w:rsidRPr="000B6B3B" w:rsidRDefault="009C2DCF" w:rsidP="006C31BB">
            <w:pPr>
              <w:spacing w:before="0"/>
              <w:jc w:val="center"/>
              <w:rPr>
                <w:rFonts w:cs="Arial"/>
                <w:color w:val="000000"/>
                <w:sz w:val="18"/>
                <w:szCs w:val="18"/>
              </w:rPr>
            </w:pPr>
            <w:r w:rsidRPr="000B6B3B">
              <w:rPr>
                <w:rFonts w:cs="Arial"/>
                <w:color w:val="000000"/>
                <w:sz w:val="18"/>
                <w:szCs w:val="18"/>
              </w:rPr>
              <w:t>ostatní</w:t>
            </w:r>
          </w:p>
        </w:tc>
        <w:tc>
          <w:tcPr>
            <w:tcW w:w="704" w:type="dxa"/>
            <w:tcBorders>
              <w:top w:val="nil"/>
              <w:left w:val="nil"/>
              <w:bottom w:val="nil"/>
              <w:right w:val="single" w:sz="4" w:space="0" w:color="auto"/>
            </w:tcBorders>
            <w:shd w:val="clear" w:color="auto" w:fill="auto"/>
            <w:vAlign w:val="center"/>
            <w:hideMark/>
          </w:tcPr>
          <w:p w:rsidR="009C2DCF" w:rsidRPr="000B6B3B" w:rsidRDefault="009C2DCF" w:rsidP="006C31BB">
            <w:pPr>
              <w:spacing w:before="0"/>
              <w:jc w:val="center"/>
              <w:rPr>
                <w:rFonts w:cs="Arial"/>
                <w:color w:val="000000"/>
                <w:sz w:val="18"/>
                <w:szCs w:val="18"/>
              </w:rPr>
            </w:pPr>
            <w:r w:rsidRPr="000B6B3B">
              <w:rPr>
                <w:rFonts w:cs="Arial"/>
                <w:color w:val="000000"/>
                <w:sz w:val="18"/>
                <w:szCs w:val="18"/>
              </w:rPr>
              <w:t>není známo</w:t>
            </w:r>
          </w:p>
        </w:tc>
        <w:tc>
          <w:tcPr>
            <w:tcW w:w="751" w:type="dxa"/>
            <w:tcBorders>
              <w:top w:val="nil"/>
              <w:left w:val="nil"/>
              <w:bottom w:val="nil"/>
              <w:right w:val="single" w:sz="4" w:space="0" w:color="auto"/>
            </w:tcBorders>
            <w:shd w:val="clear" w:color="auto" w:fill="auto"/>
            <w:vAlign w:val="center"/>
            <w:hideMark/>
          </w:tcPr>
          <w:p w:rsidR="009C2DCF" w:rsidRPr="000B6B3B" w:rsidRDefault="009C2DCF" w:rsidP="006C31BB">
            <w:pPr>
              <w:spacing w:before="0"/>
              <w:jc w:val="center"/>
              <w:rPr>
                <w:rFonts w:cs="Arial"/>
                <w:color w:val="000000"/>
                <w:sz w:val="18"/>
                <w:szCs w:val="18"/>
              </w:rPr>
            </w:pPr>
            <w:r w:rsidRPr="000B6B3B">
              <w:rPr>
                <w:rFonts w:cs="Arial"/>
                <w:color w:val="000000"/>
                <w:sz w:val="18"/>
                <w:szCs w:val="18"/>
              </w:rPr>
              <w:t>Celkem</w:t>
            </w:r>
          </w:p>
        </w:tc>
      </w:tr>
      <w:tr w:rsidR="009C2DCF" w:rsidRPr="000B6B3B" w:rsidTr="00491B15">
        <w:trPr>
          <w:trHeight w:val="510"/>
        </w:trPr>
        <w:tc>
          <w:tcPr>
            <w:tcW w:w="1008" w:type="dxa"/>
            <w:tcBorders>
              <w:top w:val="single" w:sz="4" w:space="0" w:color="auto"/>
              <w:left w:val="single" w:sz="4" w:space="0" w:color="auto"/>
              <w:bottom w:val="single" w:sz="4" w:space="0" w:color="auto"/>
              <w:right w:val="nil"/>
            </w:tcBorders>
            <w:shd w:val="clear" w:color="auto" w:fill="auto"/>
            <w:vAlign w:val="bottom"/>
            <w:hideMark/>
          </w:tcPr>
          <w:p w:rsidR="009C2DCF" w:rsidRPr="000B6B3B" w:rsidRDefault="009C2DCF" w:rsidP="006C31BB">
            <w:pPr>
              <w:spacing w:before="0"/>
              <w:jc w:val="left"/>
              <w:rPr>
                <w:rFonts w:cs="Arial"/>
                <w:color w:val="000000"/>
                <w:sz w:val="18"/>
                <w:szCs w:val="18"/>
              </w:rPr>
            </w:pPr>
            <w:r w:rsidRPr="000B6B3B">
              <w:rPr>
                <w:rFonts w:cs="Arial"/>
                <w:color w:val="000000"/>
                <w:sz w:val="18"/>
                <w:szCs w:val="18"/>
              </w:rPr>
              <w:t>VŠPO 13 - % podíl</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2,3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1,5</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8,6</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69,0</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0,3</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1,7</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7,6</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100,0</w:t>
            </w:r>
          </w:p>
        </w:tc>
      </w:tr>
      <w:tr w:rsidR="009C2DCF" w:rsidRPr="000B6B3B" w:rsidTr="00491B15">
        <w:trPr>
          <w:trHeight w:val="510"/>
        </w:trPr>
        <w:tc>
          <w:tcPr>
            <w:tcW w:w="1008" w:type="dxa"/>
            <w:tcBorders>
              <w:top w:val="nil"/>
              <w:left w:val="single" w:sz="4" w:space="0" w:color="auto"/>
              <w:bottom w:val="single" w:sz="4" w:space="0" w:color="auto"/>
              <w:right w:val="nil"/>
            </w:tcBorders>
            <w:shd w:val="clear" w:color="auto" w:fill="auto"/>
            <w:vAlign w:val="bottom"/>
            <w:hideMark/>
          </w:tcPr>
          <w:p w:rsidR="009C2DCF" w:rsidRPr="000B6B3B" w:rsidRDefault="009C2DCF" w:rsidP="006C31BB">
            <w:pPr>
              <w:spacing w:before="0"/>
              <w:jc w:val="left"/>
              <w:rPr>
                <w:rFonts w:cs="Arial"/>
                <w:color w:val="000000"/>
                <w:sz w:val="18"/>
                <w:szCs w:val="18"/>
              </w:rPr>
            </w:pPr>
            <w:r w:rsidRPr="000B6B3B">
              <w:rPr>
                <w:rFonts w:cs="Arial"/>
                <w:color w:val="000000"/>
                <w:sz w:val="18"/>
                <w:szCs w:val="18"/>
              </w:rPr>
              <w:t>VŠPO 07 - % podíl</w:t>
            </w:r>
          </w:p>
        </w:tc>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2,2</w:t>
            </w:r>
          </w:p>
        </w:tc>
        <w:tc>
          <w:tcPr>
            <w:tcW w:w="844" w:type="dxa"/>
            <w:tcBorders>
              <w:top w:val="nil"/>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12,9</w:t>
            </w:r>
          </w:p>
        </w:tc>
        <w:tc>
          <w:tcPr>
            <w:tcW w:w="992" w:type="dxa"/>
            <w:tcBorders>
              <w:top w:val="nil"/>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4,4</w:t>
            </w:r>
          </w:p>
        </w:tc>
        <w:tc>
          <w:tcPr>
            <w:tcW w:w="931" w:type="dxa"/>
            <w:tcBorders>
              <w:top w:val="nil"/>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3,6</w:t>
            </w:r>
          </w:p>
        </w:tc>
        <w:tc>
          <w:tcPr>
            <w:tcW w:w="1032" w:type="dxa"/>
            <w:tcBorders>
              <w:top w:val="nil"/>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71,2</w:t>
            </w:r>
          </w:p>
        </w:tc>
        <w:tc>
          <w:tcPr>
            <w:tcW w:w="1265" w:type="dxa"/>
            <w:tcBorders>
              <w:top w:val="nil"/>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0,9</w:t>
            </w:r>
          </w:p>
        </w:tc>
        <w:tc>
          <w:tcPr>
            <w:tcW w:w="688" w:type="dxa"/>
            <w:tcBorders>
              <w:top w:val="nil"/>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2,5</w:t>
            </w:r>
          </w:p>
        </w:tc>
        <w:tc>
          <w:tcPr>
            <w:tcW w:w="704" w:type="dxa"/>
            <w:tcBorders>
              <w:top w:val="nil"/>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2,3</w:t>
            </w:r>
          </w:p>
        </w:tc>
        <w:tc>
          <w:tcPr>
            <w:tcW w:w="751" w:type="dxa"/>
            <w:tcBorders>
              <w:top w:val="nil"/>
              <w:left w:val="nil"/>
              <w:bottom w:val="single" w:sz="4" w:space="0" w:color="auto"/>
              <w:right w:val="single" w:sz="4" w:space="0" w:color="auto"/>
            </w:tcBorders>
            <w:shd w:val="clear" w:color="auto" w:fill="auto"/>
            <w:noWrap/>
            <w:vAlign w:val="bottom"/>
            <w:hideMark/>
          </w:tcPr>
          <w:p w:rsidR="009C2DCF" w:rsidRPr="000B6B3B" w:rsidRDefault="009C2DCF" w:rsidP="006C31BB">
            <w:pPr>
              <w:spacing w:before="0"/>
              <w:jc w:val="right"/>
              <w:rPr>
                <w:rFonts w:cs="Arial"/>
                <w:color w:val="000000"/>
                <w:sz w:val="18"/>
                <w:szCs w:val="18"/>
              </w:rPr>
            </w:pPr>
            <w:r w:rsidRPr="000B6B3B">
              <w:rPr>
                <w:rFonts w:cs="Arial"/>
                <w:color w:val="000000"/>
                <w:sz w:val="18"/>
                <w:szCs w:val="18"/>
              </w:rPr>
              <w:t>100,0</w:t>
            </w:r>
          </w:p>
        </w:tc>
      </w:tr>
      <w:tr w:rsidR="009C2DCF" w:rsidRPr="000B6B3B" w:rsidTr="00491B15">
        <w:trPr>
          <w:trHeight w:val="300"/>
        </w:trPr>
        <w:tc>
          <w:tcPr>
            <w:tcW w:w="1008"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9C2DCF" w:rsidRPr="000B6B3B" w:rsidRDefault="009C2DCF" w:rsidP="006C31BB">
            <w:pPr>
              <w:spacing w:before="0"/>
              <w:jc w:val="left"/>
              <w:rPr>
                <w:rFonts w:cs="Arial"/>
                <w:b/>
                <w:bCs/>
                <w:color w:val="000000"/>
                <w:sz w:val="18"/>
                <w:szCs w:val="18"/>
              </w:rPr>
            </w:pPr>
            <w:r w:rsidRPr="000B6B3B">
              <w:rPr>
                <w:rFonts w:cs="Arial"/>
                <w:b/>
                <w:bCs/>
                <w:color w:val="000000"/>
                <w:sz w:val="18"/>
                <w:szCs w:val="18"/>
              </w:rPr>
              <w:t>Procentní body</w:t>
            </w:r>
          </w:p>
        </w:tc>
        <w:tc>
          <w:tcPr>
            <w:tcW w:w="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C2DCF" w:rsidRPr="000B6B3B" w:rsidRDefault="009C2DCF" w:rsidP="006C31BB">
            <w:pPr>
              <w:spacing w:before="0"/>
              <w:jc w:val="right"/>
              <w:rPr>
                <w:rFonts w:cs="Arial"/>
                <w:b/>
                <w:bCs/>
                <w:color w:val="000000"/>
                <w:sz w:val="18"/>
                <w:szCs w:val="18"/>
              </w:rPr>
            </w:pPr>
            <w:r w:rsidRPr="000B6B3B">
              <w:rPr>
                <w:rFonts w:cs="Arial"/>
                <w:b/>
                <w:bCs/>
                <w:color w:val="000000"/>
                <w:sz w:val="18"/>
                <w:szCs w:val="18"/>
              </w:rPr>
              <w:t>0,1</w:t>
            </w:r>
          </w:p>
        </w:tc>
        <w:tc>
          <w:tcPr>
            <w:tcW w:w="84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0B6B3B" w:rsidRDefault="009C2DCF" w:rsidP="006C31BB">
            <w:pPr>
              <w:spacing w:before="0"/>
              <w:jc w:val="right"/>
              <w:rPr>
                <w:rFonts w:cs="Arial"/>
                <w:b/>
                <w:bCs/>
                <w:color w:val="000000"/>
                <w:sz w:val="18"/>
                <w:szCs w:val="18"/>
              </w:rPr>
            </w:pPr>
            <w:r w:rsidRPr="000B6B3B">
              <w:rPr>
                <w:rFonts w:cs="Arial"/>
                <w:b/>
                <w:bCs/>
                <w:color w:val="000000"/>
                <w:sz w:val="18"/>
                <w:szCs w:val="18"/>
              </w:rPr>
              <w:t>-3,9</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0B6B3B" w:rsidRDefault="009C2DCF" w:rsidP="006C31BB">
            <w:pPr>
              <w:spacing w:before="0"/>
              <w:jc w:val="right"/>
              <w:rPr>
                <w:rFonts w:cs="Arial"/>
                <w:b/>
                <w:bCs/>
                <w:color w:val="000000"/>
                <w:sz w:val="18"/>
                <w:szCs w:val="18"/>
              </w:rPr>
            </w:pPr>
            <w:r w:rsidRPr="000B6B3B">
              <w:rPr>
                <w:rFonts w:cs="Arial"/>
                <w:b/>
                <w:bCs/>
                <w:color w:val="000000"/>
                <w:sz w:val="18"/>
                <w:szCs w:val="18"/>
              </w:rPr>
              <w:t>-2,9</w:t>
            </w:r>
          </w:p>
        </w:tc>
        <w:tc>
          <w:tcPr>
            <w:tcW w:w="93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0B6B3B" w:rsidRDefault="009C2DCF" w:rsidP="006C31BB">
            <w:pPr>
              <w:spacing w:before="0"/>
              <w:jc w:val="right"/>
              <w:rPr>
                <w:rFonts w:cs="Arial"/>
                <w:b/>
                <w:bCs/>
                <w:color w:val="000000"/>
                <w:sz w:val="18"/>
                <w:szCs w:val="18"/>
              </w:rPr>
            </w:pPr>
            <w:r w:rsidRPr="000B6B3B">
              <w:rPr>
                <w:rFonts w:cs="Arial"/>
                <w:b/>
                <w:bCs/>
                <w:color w:val="000000"/>
                <w:sz w:val="18"/>
                <w:szCs w:val="18"/>
              </w:rPr>
              <w:t>5,0</w:t>
            </w:r>
          </w:p>
        </w:tc>
        <w:tc>
          <w:tcPr>
            <w:tcW w:w="103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0B6B3B" w:rsidRDefault="009C2DCF" w:rsidP="006C31BB">
            <w:pPr>
              <w:spacing w:before="0"/>
              <w:jc w:val="right"/>
              <w:rPr>
                <w:rFonts w:cs="Arial"/>
                <w:b/>
                <w:bCs/>
                <w:color w:val="000000"/>
                <w:sz w:val="18"/>
                <w:szCs w:val="18"/>
              </w:rPr>
            </w:pPr>
            <w:r w:rsidRPr="000B6B3B">
              <w:rPr>
                <w:rFonts w:cs="Arial"/>
                <w:b/>
                <w:bCs/>
                <w:color w:val="000000"/>
                <w:sz w:val="18"/>
                <w:szCs w:val="18"/>
              </w:rPr>
              <w:t>-2,2</w:t>
            </w:r>
          </w:p>
        </w:tc>
        <w:tc>
          <w:tcPr>
            <w:tcW w:w="126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0B6B3B" w:rsidRDefault="009C2DCF" w:rsidP="006C31BB">
            <w:pPr>
              <w:spacing w:before="0"/>
              <w:jc w:val="right"/>
              <w:rPr>
                <w:rFonts w:cs="Arial"/>
                <w:b/>
                <w:bCs/>
                <w:color w:val="000000"/>
                <w:sz w:val="18"/>
                <w:szCs w:val="18"/>
              </w:rPr>
            </w:pPr>
            <w:r w:rsidRPr="000B6B3B">
              <w:rPr>
                <w:rFonts w:cs="Arial"/>
                <w:b/>
                <w:bCs/>
                <w:color w:val="000000"/>
                <w:sz w:val="18"/>
                <w:szCs w:val="18"/>
              </w:rPr>
              <w:t>-0,6</w:t>
            </w:r>
          </w:p>
        </w:tc>
        <w:tc>
          <w:tcPr>
            <w:tcW w:w="6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0B6B3B" w:rsidRDefault="009C2DCF" w:rsidP="006C31BB">
            <w:pPr>
              <w:spacing w:before="0"/>
              <w:jc w:val="right"/>
              <w:rPr>
                <w:rFonts w:cs="Arial"/>
                <w:b/>
                <w:bCs/>
                <w:color w:val="000000"/>
                <w:sz w:val="18"/>
                <w:szCs w:val="18"/>
              </w:rPr>
            </w:pPr>
            <w:r w:rsidRPr="000B6B3B">
              <w:rPr>
                <w:rFonts w:cs="Arial"/>
                <w:b/>
                <w:bCs/>
                <w:color w:val="000000"/>
                <w:sz w:val="18"/>
                <w:szCs w:val="18"/>
              </w:rPr>
              <w:t>-0,8</w:t>
            </w:r>
          </w:p>
        </w:tc>
        <w:tc>
          <w:tcPr>
            <w:tcW w:w="70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0B6B3B" w:rsidRDefault="009C2DCF" w:rsidP="006C31BB">
            <w:pPr>
              <w:spacing w:before="0"/>
              <w:jc w:val="right"/>
              <w:rPr>
                <w:rFonts w:cs="Arial"/>
                <w:b/>
                <w:bCs/>
                <w:color w:val="000000"/>
                <w:sz w:val="18"/>
                <w:szCs w:val="18"/>
              </w:rPr>
            </w:pPr>
            <w:r w:rsidRPr="000B6B3B">
              <w:rPr>
                <w:rFonts w:cs="Arial"/>
                <w:b/>
                <w:bCs/>
                <w:color w:val="000000"/>
                <w:sz w:val="18"/>
                <w:szCs w:val="18"/>
              </w:rPr>
              <w:t>5,3</w:t>
            </w:r>
          </w:p>
        </w:tc>
        <w:tc>
          <w:tcPr>
            <w:tcW w:w="7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0B6B3B" w:rsidRDefault="009C2DCF" w:rsidP="006C31BB">
            <w:pPr>
              <w:spacing w:before="0"/>
              <w:jc w:val="right"/>
              <w:rPr>
                <w:rFonts w:cs="Arial"/>
                <w:b/>
                <w:bCs/>
                <w:color w:val="000000"/>
                <w:sz w:val="18"/>
                <w:szCs w:val="18"/>
              </w:rPr>
            </w:pPr>
            <w:r w:rsidRPr="000B6B3B">
              <w:rPr>
                <w:rFonts w:cs="Arial"/>
                <w:b/>
                <w:bCs/>
                <w:color w:val="000000"/>
                <w:sz w:val="18"/>
                <w:szCs w:val="18"/>
              </w:rPr>
              <w:t>0,0</w:t>
            </w:r>
          </w:p>
        </w:tc>
      </w:tr>
    </w:tbl>
    <w:p w:rsidR="009C2DCF" w:rsidRDefault="009C2DCF" w:rsidP="009C2DCF">
      <w:pPr>
        <w:spacing w:before="0"/>
        <w:ind w:firstLine="567"/>
      </w:pPr>
      <w:r w:rsidRPr="00ED6D2F">
        <w:rPr>
          <w:u w:val="single"/>
        </w:rPr>
        <w:lastRenderedPageBreak/>
        <w:t>Z hlediska výsledků zjištěných u mužů a žen</w:t>
      </w:r>
      <w:r>
        <w:t xml:space="preserve"> platí, že u obou pohlaví je naprosto shodné pořadí váhově nejsilnějších skupin ekonomických aktivit; dokonce ani rozdílové hodnoty za tyto skupiny vykázaných podílů z celku, vyjádřené poklesy či nárůsty v procentních bodech, se významněji od sebe neliší. </w:t>
      </w:r>
    </w:p>
    <w:p w:rsidR="009C2DCF" w:rsidRDefault="009C2DCF" w:rsidP="009C2DCF">
      <w:pPr>
        <w:pStyle w:val="Nadpis2"/>
        <w:keepLines w:val="0"/>
        <w:numPr>
          <w:ilvl w:val="1"/>
          <w:numId w:val="10"/>
        </w:numPr>
        <w:spacing w:before="240" w:after="60"/>
        <w:jc w:val="both"/>
      </w:pPr>
      <w:bookmarkStart w:id="7" w:name="_Toc382812531"/>
      <w:r w:rsidRPr="00915C21">
        <w:t>Zdravotní postižení</w:t>
      </w:r>
      <w:bookmarkEnd w:id="7"/>
    </w:p>
    <w:p w:rsidR="009C2DCF" w:rsidRPr="009527D5" w:rsidRDefault="009C2DCF" w:rsidP="009C2DCF">
      <w:pPr>
        <w:pStyle w:val="Nadpis3"/>
        <w:keepLines w:val="0"/>
        <w:numPr>
          <w:ilvl w:val="2"/>
          <w:numId w:val="10"/>
        </w:numPr>
        <w:spacing w:before="240" w:after="60"/>
      </w:pPr>
      <w:bookmarkStart w:id="8" w:name="_Toc382812532"/>
      <w:r w:rsidRPr="009527D5">
        <w:t>Typ zdravotního postižení</w:t>
      </w:r>
      <w:bookmarkEnd w:id="8"/>
    </w:p>
    <w:p w:rsidR="009C2DCF" w:rsidRDefault="009C2DCF" w:rsidP="009C2DCF">
      <w:pPr>
        <w:ind w:firstLine="567"/>
      </w:pPr>
      <w:r>
        <w:t xml:space="preserve">Porovnáváme-li typ postižení (pozn.: pouze u vnitřního postižení bylo v šetření zahrnuto jen jedno postižení vnitřních orgánů; obecně však mohla být u jedné zdravotně postižené osoby kombinace více typů postižení současně) z pohledu celkových výsledků (bez rozlišení pohlaví), zjistíme zajímavou skutečnost – </w:t>
      </w:r>
      <w:r w:rsidRPr="005E34B5">
        <w:rPr>
          <w:b/>
        </w:rPr>
        <w:t xml:space="preserve">pořadí všech šesti </w:t>
      </w:r>
      <w:r>
        <w:rPr>
          <w:b/>
        </w:rPr>
        <w:t xml:space="preserve">specifikovaných </w:t>
      </w:r>
      <w:r w:rsidRPr="005E34B5">
        <w:rPr>
          <w:b/>
        </w:rPr>
        <w:t>typů postižení je naprosto shodné u obou šetření</w:t>
      </w:r>
      <w:r>
        <w:t xml:space="preserve"> (u posledního, sedmého typu – jiné, tedy blíže nespecifikované, nelze porovnání provádět z toho důvodu, že v rámci realizace VŠPO 07 nebyla tato skupina předmětem sledování). </w:t>
      </w:r>
      <w:r w:rsidRPr="00555B84">
        <w:rPr>
          <w:u w:val="single"/>
        </w:rPr>
        <w:t>Z pohledu pohlaví</w:t>
      </w:r>
      <w:r>
        <w:t xml:space="preserve"> pak můžeme konstatovat, že první tři pořadí typů zdravotního postižení jsou shodná s celkovými výstupy.</w:t>
      </w:r>
    </w:p>
    <w:p w:rsidR="009C2DCF" w:rsidRDefault="009C2DCF" w:rsidP="009C2DCF">
      <w:pPr>
        <w:ind w:firstLine="567"/>
      </w:pPr>
      <w:r>
        <w:t xml:space="preserve">Vezmeme-li opět k porovnání celkových výstupů – typů zdravotního postižení podíly z celku </w:t>
      </w:r>
      <w:r w:rsidR="00857D78">
        <w:br/>
      </w:r>
      <w:r>
        <w:t xml:space="preserve">a jejich rozdílové hodnoty, zjistíme </w:t>
      </w:r>
      <w:r w:rsidRPr="00C419D9">
        <w:rPr>
          <w:b/>
        </w:rPr>
        <w:t xml:space="preserve">nejvyšší nárůst u </w:t>
      </w:r>
      <w:r>
        <w:rPr>
          <w:b/>
        </w:rPr>
        <w:t xml:space="preserve">typu </w:t>
      </w:r>
      <w:r w:rsidRPr="00C419D9">
        <w:rPr>
          <w:b/>
        </w:rPr>
        <w:t>vnitřního postižení (+ 4,2 procentních bodů)</w:t>
      </w:r>
      <w:r>
        <w:t xml:space="preserve">; u dalších třech typů zdravotního postižení (zrakové, sluchové a duševní) pak byly zjištěny nárůsty relativně zanedbatelné (v úrovni 0,2 procentního bodu). Na straně druhé </w:t>
      </w:r>
      <w:r w:rsidRPr="00AB1311">
        <w:rPr>
          <w:b/>
        </w:rPr>
        <w:t>největší pokles byl vykázán u tělesného typu postižení (- 7,0 procentních bodů)</w:t>
      </w:r>
      <w:r>
        <w:t>. Bližší informace lze získat z dále uváděné tabulky č. 25.</w:t>
      </w:r>
    </w:p>
    <w:p w:rsidR="009C2DCF" w:rsidRDefault="009C2DCF" w:rsidP="009C2DCF">
      <w:pPr>
        <w:pStyle w:val="Nzavtabulky"/>
      </w:pPr>
      <w:r>
        <w:t>Tabulka č. 25:</w:t>
      </w:r>
      <w:r>
        <w:tab/>
        <w:t>Typ zdravotního postižení</w:t>
      </w:r>
    </w:p>
    <w:tbl>
      <w:tblPr>
        <w:tblW w:w="9072" w:type="dxa"/>
        <w:tblInd w:w="70" w:type="dxa"/>
        <w:tblCellMar>
          <w:left w:w="70" w:type="dxa"/>
          <w:right w:w="70" w:type="dxa"/>
        </w:tblCellMar>
        <w:tblLook w:val="04A0"/>
      </w:tblPr>
      <w:tblGrid>
        <w:gridCol w:w="1650"/>
        <w:gridCol w:w="800"/>
        <w:gridCol w:w="807"/>
        <w:gridCol w:w="851"/>
        <w:gridCol w:w="865"/>
        <w:gridCol w:w="846"/>
        <w:gridCol w:w="827"/>
        <w:gridCol w:w="1168"/>
        <w:gridCol w:w="1258"/>
      </w:tblGrid>
      <w:tr w:rsidR="009C2DCF" w:rsidRPr="00E0767F" w:rsidTr="00484466">
        <w:trPr>
          <w:trHeight w:val="282"/>
        </w:trPr>
        <w:tc>
          <w:tcPr>
            <w:tcW w:w="1650" w:type="dxa"/>
            <w:vMerge w:val="restart"/>
            <w:tcBorders>
              <w:top w:val="single" w:sz="4" w:space="0" w:color="auto"/>
              <w:left w:val="single" w:sz="4" w:space="0" w:color="auto"/>
              <w:bottom w:val="nil"/>
              <w:right w:val="nil"/>
            </w:tcBorders>
            <w:shd w:val="clear" w:color="auto" w:fill="auto"/>
            <w:noWrap/>
            <w:vAlign w:val="bottom"/>
            <w:hideMark/>
          </w:tcPr>
          <w:p w:rsidR="009C2DCF" w:rsidRPr="00E0767F" w:rsidRDefault="009C2DCF" w:rsidP="006C31BB">
            <w:pPr>
              <w:spacing w:before="0"/>
              <w:jc w:val="center"/>
              <w:rPr>
                <w:rFonts w:cs="Arial"/>
                <w:color w:val="000000"/>
                <w:sz w:val="18"/>
                <w:szCs w:val="18"/>
              </w:rPr>
            </w:pPr>
            <w:r w:rsidRPr="00E0767F">
              <w:rPr>
                <w:rFonts w:cs="Arial"/>
                <w:color w:val="000000"/>
                <w:sz w:val="18"/>
                <w:szCs w:val="18"/>
              </w:rPr>
              <w:t> </w:t>
            </w:r>
          </w:p>
        </w:tc>
        <w:tc>
          <w:tcPr>
            <w:tcW w:w="742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2DCF" w:rsidRPr="00E0767F" w:rsidRDefault="009C2DCF" w:rsidP="006C31BB">
            <w:pPr>
              <w:spacing w:before="0"/>
              <w:jc w:val="center"/>
              <w:rPr>
                <w:rFonts w:cs="Arial"/>
                <w:color w:val="000000"/>
                <w:sz w:val="18"/>
                <w:szCs w:val="18"/>
              </w:rPr>
            </w:pPr>
            <w:r w:rsidRPr="00E0767F">
              <w:rPr>
                <w:rFonts w:cs="Arial"/>
                <w:color w:val="000000"/>
                <w:sz w:val="18"/>
                <w:szCs w:val="18"/>
              </w:rPr>
              <w:t>Typ zdravotního postižení</w:t>
            </w:r>
          </w:p>
        </w:tc>
      </w:tr>
      <w:tr w:rsidR="009C2DCF" w:rsidRPr="00E0767F" w:rsidTr="00484466">
        <w:trPr>
          <w:trHeight w:val="987"/>
        </w:trPr>
        <w:tc>
          <w:tcPr>
            <w:tcW w:w="1650" w:type="dxa"/>
            <w:vMerge/>
            <w:tcBorders>
              <w:top w:val="single" w:sz="4" w:space="0" w:color="auto"/>
              <w:left w:val="single" w:sz="4" w:space="0" w:color="auto"/>
              <w:bottom w:val="nil"/>
              <w:right w:val="nil"/>
            </w:tcBorders>
            <w:vAlign w:val="center"/>
            <w:hideMark/>
          </w:tcPr>
          <w:p w:rsidR="009C2DCF" w:rsidRPr="00E0767F" w:rsidRDefault="009C2DCF" w:rsidP="006C31BB">
            <w:pPr>
              <w:spacing w:before="0"/>
              <w:jc w:val="left"/>
              <w:rPr>
                <w:rFonts w:cs="Arial"/>
                <w:color w:val="000000"/>
                <w:sz w:val="18"/>
                <w:szCs w:val="18"/>
              </w:rPr>
            </w:pPr>
          </w:p>
        </w:tc>
        <w:tc>
          <w:tcPr>
            <w:tcW w:w="800" w:type="dxa"/>
            <w:tcBorders>
              <w:top w:val="nil"/>
              <w:left w:val="single" w:sz="4" w:space="0" w:color="auto"/>
              <w:bottom w:val="nil"/>
              <w:right w:val="single" w:sz="4" w:space="0" w:color="auto"/>
            </w:tcBorders>
            <w:shd w:val="clear" w:color="auto" w:fill="auto"/>
            <w:vAlign w:val="center"/>
            <w:hideMark/>
          </w:tcPr>
          <w:p w:rsidR="009C2DCF" w:rsidRPr="00E0767F" w:rsidRDefault="009C2DCF" w:rsidP="006C31BB">
            <w:pPr>
              <w:spacing w:before="0"/>
              <w:jc w:val="center"/>
              <w:rPr>
                <w:rFonts w:cs="Arial"/>
                <w:color w:val="000000"/>
                <w:sz w:val="18"/>
                <w:szCs w:val="18"/>
              </w:rPr>
            </w:pPr>
            <w:r w:rsidRPr="00E0767F">
              <w:rPr>
                <w:rFonts w:cs="Arial"/>
                <w:color w:val="000000"/>
                <w:sz w:val="18"/>
                <w:szCs w:val="18"/>
              </w:rPr>
              <w:t>tělesné</w:t>
            </w:r>
          </w:p>
        </w:tc>
        <w:tc>
          <w:tcPr>
            <w:tcW w:w="807" w:type="dxa"/>
            <w:tcBorders>
              <w:top w:val="nil"/>
              <w:left w:val="nil"/>
              <w:bottom w:val="nil"/>
              <w:right w:val="single" w:sz="4" w:space="0" w:color="auto"/>
            </w:tcBorders>
            <w:shd w:val="clear" w:color="auto" w:fill="auto"/>
            <w:vAlign w:val="center"/>
            <w:hideMark/>
          </w:tcPr>
          <w:p w:rsidR="009C2DCF" w:rsidRPr="00E0767F" w:rsidRDefault="009C2DCF" w:rsidP="006C31BB">
            <w:pPr>
              <w:spacing w:before="0"/>
              <w:jc w:val="center"/>
              <w:rPr>
                <w:rFonts w:cs="Arial"/>
                <w:color w:val="000000"/>
                <w:sz w:val="18"/>
                <w:szCs w:val="18"/>
              </w:rPr>
            </w:pPr>
            <w:r w:rsidRPr="00E0767F">
              <w:rPr>
                <w:rFonts w:cs="Arial"/>
                <w:color w:val="000000"/>
                <w:sz w:val="18"/>
                <w:szCs w:val="18"/>
              </w:rPr>
              <w:t>zrakové</w:t>
            </w:r>
          </w:p>
        </w:tc>
        <w:tc>
          <w:tcPr>
            <w:tcW w:w="851" w:type="dxa"/>
            <w:tcBorders>
              <w:top w:val="nil"/>
              <w:left w:val="nil"/>
              <w:bottom w:val="nil"/>
              <w:right w:val="single" w:sz="4" w:space="0" w:color="auto"/>
            </w:tcBorders>
            <w:shd w:val="clear" w:color="auto" w:fill="auto"/>
            <w:vAlign w:val="center"/>
            <w:hideMark/>
          </w:tcPr>
          <w:p w:rsidR="009C2DCF" w:rsidRPr="00E0767F" w:rsidRDefault="009C2DCF" w:rsidP="006C31BB">
            <w:pPr>
              <w:spacing w:before="0"/>
              <w:jc w:val="center"/>
              <w:rPr>
                <w:rFonts w:cs="Arial"/>
                <w:color w:val="000000"/>
                <w:sz w:val="18"/>
                <w:szCs w:val="18"/>
              </w:rPr>
            </w:pPr>
            <w:r w:rsidRPr="00E0767F">
              <w:rPr>
                <w:rFonts w:cs="Arial"/>
                <w:color w:val="000000"/>
                <w:sz w:val="18"/>
                <w:szCs w:val="18"/>
              </w:rPr>
              <w:t>sluchové</w:t>
            </w:r>
          </w:p>
        </w:tc>
        <w:tc>
          <w:tcPr>
            <w:tcW w:w="865" w:type="dxa"/>
            <w:tcBorders>
              <w:top w:val="nil"/>
              <w:left w:val="nil"/>
              <w:bottom w:val="nil"/>
              <w:right w:val="single" w:sz="4" w:space="0" w:color="auto"/>
            </w:tcBorders>
            <w:shd w:val="clear" w:color="auto" w:fill="auto"/>
            <w:vAlign w:val="center"/>
            <w:hideMark/>
          </w:tcPr>
          <w:p w:rsidR="009C2DCF" w:rsidRPr="00E0767F" w:rsidRDefault="009C2DCF" w:rsidP="006C31BB">
            <w:pPr>
              <w:spacing w:before="0"/>
              <w:jc w:val="center"/>
              <w:rPr>
                <w:rFonts w:cs="Arial"/>
                <w:color w:val="000000"/>
                <w:sz w:val="18"/>
                <w:szCs w:val="18"/>
              </w:rPr>
            </w:pPr>
            <w:r w:rsidRPr="00E0767F">
              <w:rPr>
                <w:rFonts w:cs="Arial"/>
                <w:color w:val="000000"/>
                <w:sz w:val="18"/>
                <w:szCs w:val="18"/>
              </w:rPr>
              <w:t>mentální</w:t>
            </w:r>
          </w:p>
        </w:tc>
        <w:tc>
          <w:tcPr>
            <w:tcW w:w="846" w:type="dxa"/>
            <w:tcBorders>
              <w:top w:val="nil"/>
              <w:left w:val="nil"/>
              <w:bottom w:val="nil"/>
              <w:right w:val="single" w:sz="4" w:space="0" w:color="auto"/>
            </w:tcBorders>
            <w:shd w:val="clear" w:color="auto" w:fill="auto"/>
            <w:vAlign w:val="center"/>
            <w:hideMark/>
          </w:tcPr>
          <w:p w:rsidR="009C2DCF" w:rsidRPr="00E0767F" w:rsidRDefault="009C2DCF" w:rsidP="006C31BB">
            <w:pPr>
              <w:spacing w:before="0"/>
              <w:jc w:val="center"/>
              <w:rPr>
                <w:rFonts w:cs="Arial"/>
                <w:color w:val="000000"/>
                <w:sz w:val="18"/>
                <w:szCs w:val="18"/>
              </w:rPr>
            </w:pPr>
            <w:r w:rsidRPr="00E0767F">
              <w:rPr>
                <w:rFonts w:cs="Arial"/>
                <w:color w:val="000000"/>
                <w:sz w:val="18"/>
                <w:szCs w:val="18"/>
              </w:rPr>
              <w:t>duševní</w:t>
            </w:r>
          </w:p>
        </w:tc>
        <w:tc>
          <w:tcPr>
            <w:tcW w:w="827" w:type="dxa"/>
            <w:tcBorders>
              <w:top w:val="nil"/>
              <w:left w:val="nil"/>
              <w:bottom w:val="nil"/>
              <w:right w:val="single" w:sz="4" w:space="0" w:color="auto"/>
            </w:tcBorders>
            <w:shd w:val="clear" w:color="auto" w:fill="auto"/>
            <w:vAlign w:val="center"/>
            <w:hideMark/>
          </w:tcPr>
          <w:p w:rsidR="009C2DCF" w:rsidRPr="00E0767F" w:rsidRDefault="009C2DCF" w:rsidP="006C31BB">
            <w:pPr>
              <w:spacing w:before="0"/>
              <w:jc w:val="center"/>
              <w:rPr>
                <w:rFonts w:cs="Arial"/>
                <w:color w:val="000000"/>
                <w:sz w:val="18"/>
                <w:szCs w:val="18"/>
              </w:rPr>
            </w:pPr>
            <w:r w:rsidRPr="00E0767F">
              <w:rPr>
                <w:rFonts w:cs="Arial"/>
                <w:color w:val="000000"/>
                <w:sz w:val="18"/>
                <w:szCs w:val="18"/>
              </w:rPr>
              <w:t>vnitřní</w:t>
            </w:r>
          </w:p>
        </w:tc>
        <w:tc>
          <w:tcPr>
            <w:tcW w:w="1168" w:type="dxa"/>
            <w:tcBorders>
              <w:top w:val="nil"/>
              <w:left w:val="nil"/>
              <w:bottom w:val="nil"/>
              <w:right w:val="single" w:sz="4" w:space="0" w:color="auto"/>
            </w:tcBorders>
            <w:shd w:val="clear" w:color="auto" w:fill="auto"/>
            <w:vAlign w:val="center"/>
            <w:hideMark/>
          </w:tcPr>
          <w:p w:rsidR="009C2DCF" w:rsidRPr="00E0767F" w:rsidRDefault="009C2DCF" w:rsidP="006C31BB">
            <w:pPr>
              <w:spacing w:before="0"/>
              <w:jc w:val="center"/>
              <w:rPr>
                <w:rFonts w:cs="Arial"/>
                <w:color w:val="000000"/>
                <w:sz w:val="18"/>
                <w:szCs w:val="18"/>
              </w:rPr>
            </w:pPr>
            <w:r w:rsidRPr="00E0767F">
              <w:rPr>
                <w:rFonts w:cs="Arial"/>
                <w:color w:val="000000"/>
                <w:sz w:val="18"/>
                <w:szCs w:val="18"/>
              </w:rPr>
              <w:t>jiné</w:t>
            </w:r>
          </w:p>
        </w:tc>
        <w:tc>
          <w:tcPr>
            <w:tcW w:w="1258" w:type="dxa"/>
            <w:tcBorders>
              <w:top w:val="nil"/>
              <w:left w:val="nil"/>
              <w:bottom w:val="nil"/>
              <w:right w:val="single" w:sz="4" w:space="0" w:color="auto"/>
            </w:tcBorders>
            <w:shd w:val="clear" w:color="auto" w:fill="auto"/>
            <w:vAlign w:val="center"/>
            <w:hideMark/>
          </w:tcPr>
          <w:p w:rsidR="009C2DCF" w:rsidRPr="00E0767F" w:rsidRDefault="009C2DCF" w:rsidP="006C31BB">
            <w:pPr>
              <w:spacing w:before="0"/>
              <w:jc w:val="center"/>
              <w:rPr>
                <w:rFonts w:cs="Arial"/>
                <w:color w:val="000000"/>
                <w:sz w:val="18"/>
                <w:szCs w:val="18"/>
              </w:rPr>
            </w:pPr>
            <w:r w:rsidRPr="00E0767F">
              <w:rPr>
                <w:rFonts w:cs="Arial"/>
                <w:color w:val="000000"/>
                <w:sz w:val="18"/>
                <w:szCs w:val="18"/>
              </w:rPr>
              <w:t>Celkem</w:t>
            </w:r>
          </w:p>
        </w:tc>
      </w:tr>
      <w:tr w:rsidR="009C2DCF" w:rsidRPr="00E0767F" w:rsidTr="00484466">
        <w:trPr>
          <w:trHeight w:val="479"/>
        </w:trPr>
        <w:tc>
          <w:tcPr>
            <w:tcW w:w="1650" w:type="dxa"/>
            <w:tcBorders>
              <w:top w:val="single" w:sz="4" w:space="0" w:color="auto"/>
              <w:left w:val="single" w:sz="4" w:space="0" w:color="auto"/>
              <w:bottom w:val="single" w:sz="4" w:space="0" w:color="auto"/>
              <w:right w:val="nil"/>
            </w:tcBorders>
            <w:shd w:val="clear" w:color="auto" w:fill="auto"/>
            <w:vAlign w:val="bottom"/>
            <w:hideMark/>
          </w:tcPr>
          <w:p w:rsidR="009C2DCF" w:rsidRPr="00E0767F" w:rsidRDefault="009C2DCF" w:rsidP="006C31BB">
            <w:pPr>
              <w:spacing w:before="0"/>
              <w:jc w:val="left"/>
              <w:rPr>
                <w:rFonts w:cs="Arial"/>
                <w:color w:val="000000"/>
                <w:sz w:val="18"/>
                <w:szCs w:val="18"/>
              </w:rPr>
            </w:pPr>
            <w:r w:rsidRPr="00E0767F">
              <w:rPr>
                <w:rFonts w:cs="Arial"/>
                <w:color w:val="000000"/>
                <w:sz w:val="18"/>
                <w:szCs w:val="18"/>
              </w:rPr>
              <w:t>VŠPO 13 - % podíl</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29,2</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6,0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5,1</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6,1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8,5</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41,9</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3,2</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100,0</w:t>
            </w:r>
          </w:p>
        </w:tc>
      </w:tr>
      <w:tr w:rsidR="009C2DCF" w:rsidRPr="00E0767F" w:rsidTr="00484466">
        <w:trPr>
          <w:trHeight w:val="479"/>
        </w:trPr>
        <w:tc>
          <w:tcPr>
            <w:tcW w:w="1650" w:type="dxa"/>
            <w:tcBorders>
              <w:top w:val="nil"/>
              <w:left w:val="single" w:sz="4" w:space="0" w:color="auto"/>
              <w:bottom w:val="single" w:sz="4" w:space="0" w:color="auto"/>
              <w:right w:val="nil"/>
            </w:tcBorders>
            <w:shd w:val="clear" w:color="auto" w:fill="auto"/>
            <w:vAlign w:val="bottom"/>
            <w:hideMark/>
          </w:tcPr>
          <w:p w:rsidR="009C2DCF" w:rsidRPr="00E0767F" w:rsidRDefault="009C2DCF" w:rsidP="006C31BB">
            <w:pPr>
              <w:spacing w:before="0"/>
              <w:jc w:val="left"/>
              <w:rPr>
                <w:rFonts w:cs="Arial"/>
                <w:color w:val="000000"/>
                <w:sz w:val="18"/>
                <w:szCs w:val="18"/>
              </w:rPr>
            </w:pPr>
            <w:r w:rsidRPr="00E0767F">
              <w:rPr>
                <w:rFonts w:cs="Arial"/>
                <w:color w:val="000000"/>
                <w:sz w:val="18"/>
                <w:szCs w:val="18"/>
              </w:rPr>
              <w:t>VŠPO 07 - % podíl</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36,2</w:t>
            </w:r>
          </w:p>
        </w:tc>
        <w:tc>
          <w:tcPr>
            <w:tcW w:w="807" w:type="dxa"/>
            <w:tcBorders>
              <w:top w:val="nil"/>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5,8</w:t>
            </w:r>
          </w:p>
        </w:tc>
        <w:tc>
          <w:tcPr>
            <w:tcW w:w="851" w:type="dxa"/>
            <w:tcBorders>
              <w:top w:val="nil"/>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4,9</w:t>
            </w:r>
          </w:p>
        </w:tc>
        <w:tc>
          <w:tcPr>
            <w:tcW w:w="865" w:type="dxa"/>
            <w:tcBorders>
              <w:top w:val="nil"/>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7,0</w:t>
            </w:r>
          </w:p>
        </w:tc>
        <w:tc>
          <w:tcPr>
            <w:tcW w:w="846" w:type="dxa"/>
            <w:tcBorders>
              <w:top w:val="nil"/>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8,4</w:t>
            </w:r>
          </w:p>
        </w:tc>
        <w:tc>
          <w:tcPr>
            <w:tcW w:w="827" w:type="dxa"/>
            <w:tcBorders>
              <w:top w:val="nil"/>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37,7</w:t>
            </w:r>
          </w:p>
        </w:tc>
        <w:tc>
          <w:tcPr>
            <w:tcW w:w="1168" w:type="dxa"/>
            <w:tcBorders>
              <w:top w:val="nil"/>
              <w:left w:val="nil"/>
              <w:bottom w:val="single" w:sz="4" w:space="0" w:color="auto"/>
              <w:right w:val="single" w:sz="4" w:space="0" w:color="auto"/>
            </w:tcBorders>
            <w:shd w:val="clear" w:color="auto" w:fill="auto"/>
            <w:vAlign w:val="center"/>
            <w:hideMark/>
          </w:tcPr>
          <w:p w:rsidR="009C2DCF" w:rsidRPr="00E0767F" w:rsidRDefault="009C2DCF" w:rsidP="006C31BB">
            <w:pPr>
              <w:spacing w:before="0"/>
              <w:jc w:val="center"/>
              <w:rPr>
                <w:rFonts w:cs="Arial"/>
                <w:color w:val="000000"/>
                <w:sz w:val="18"/>
                <w:szCs w:val="18"/>
              </w:rPr>
            </w:pPr>
            <w:r>
              <w:rPr>
                <w:rFonts w:cs="Arial"/>
                <w:color w:val="000000"/>
                <w:sz w:val="18"/>
                <w:szCs w:val="18"/>
              </w:rPr>
              <w:t>nesledo</w:t>
            </w:r>
            <w:r w:rsidRPr="00E0767F">
              <w:rPr>
                <w:rFonts w:cs="Arial"/>
                <w:color w:val="000000"/>
                <w:sz w:val="18"/>
                <w:szCs w:val="18"/>
              </w:rPr>
              <w:t>váno</w:t>
            </w:r>
          </w:p>
        </w:tc>
        <w:tc>
          <w:tcPr>
            <w:tcW w:w="1258" w:type="dxa"/>
            <w:tcBorders>
              <w:top w:val="nil"/>
              <w:left w:val="nil"/>
              <w:bottom w:val="single" w:sz="4" w:space="0" w:color="auto"/>
              <w:right w:val="single" w:sz="4" w:space="0" w:color="auto"/>
            </w:tcBorders>
            <w:shd w:val="clear" w:color="auto" w:fill="auto"/>
            <w:noWrap/>
            <w:vAlign w:val="bottom"/>
            <w:hideMark/>
          </w:tcPr>
          <w:p w:rsidR="009C2DCF" w:rsidRPr="00E0767F" w:rsidRDefault="009C2DCF" w:rsidP="006C31BB">
            <w:pPr>
              <w:spacing w:before="0"/>
              <w:jc w:val="right"/>
              <w:rPr>
                <w:rFonts w:cs="Arial"/>
                <w:color w:val="000000"/>
                <w:sz w:val="18"/>
                <w:szCs w:val="18"/>
              </w:rPr>
            </w:pPr>
            <w:r w:rsidRPr="00E0767F">
              <w:rPr>
                <w:rFonts w:cs="Arial"/>
                <w:color w:val="000000"/>
                <w:sz w:val="18"/>
                <w:szCs w:val="18"/>
              </w:rPr>
              <w:t>100,0</w:t>
            </w:r>
          </w:p>
        </w:tc>
      </w:tr>
      <w:tr w:rsidR="009C2DCF" w:rsidRPr="00E0767F" w:rsidTr="00484466">
        <w:trPr>
          <w:trHeight w:val="282"/>
        </w:trPr>
        <w:tc>
          <w:tcPr>
            <w:tcW w:w="165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9C2DCF" w:rsidRPr="00E0767F" w:rsidRDefault="009C2DCF" w:rsidP="006C31BB">
            <w:pPr>
              <w:spacing w:before="0"/>
              <w:jc w:val="left"/>
              <w:rPr>
                <w:rFonts w:cs="Arial"/>
                <w:b/>
                <w:bCs/>
                <w:color w:val="000000"/>
                <w:sz w:val="18"/>
                <w:szCs w:val="18"/>
              </w:rPr>
            </w:pPr>
            <w:r w:rsidRPr="00E0767F">
              <w:rPr>
                <w:rFonts w:cs="Arial"/>
                <w:b/>
                <w:bCs/>
                <w:color w:val="000000"/>
                <w:sz w:val="18"/>
                <w:szCs w:val="18"/>
              </w:rPr>
              <w:t>Procentní body</w:t>
            </w:r>
          </w:p>
        </w:tc>
        <w:tc>
          <w:tcPr>
            <w:tcW w:w="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C2DCF" w:rsidRPr="00E0767F" w:rsidRDefault="009C2DCF" w:rsidP="006C31BB">
            <w:pPr>
              <w:spacing w:before="0"/>
              <w:jc w:val="right"/>
              <w:rPr>
                <w:rFonts w:cs="Arial"/>
                <w:b/>
                <w:bCs/>
                <w:color w:val="000000"/>
                <w:sz w:val="18"/>
                <w:szCs w:val="18"/>
              </w:rPr>
            </w:pPr>
            <w:r w:rsidRPr="00E0767F">
              <w:rPr>
                <w:rFonts w:cs="Arial"/>
                <w:b/>
                <w:bCs/>
                <w:color w:val="000000"/>
                <w:sz w:val="18"/>
                <w:szCs w:val="18"/>
              </w:rPr>
              <w:t>-7,0</w:t>
            </w:r>
          </w:p>
        </w:tc>
        <w:tc>
          <w:tcPr>
            <w:tcW w:w="80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E0767F" w:rsidRDefault="009C2DCF" w:rsidP="006C31BB">
            <w:pPr>
              <w:spacing w:before="0"/>
              <w:jc w:val="right"/>
              <w:rPr>
                <w:rFonts w:cs="Arial"/>
                <w:b/>
                <w:bCs/>
                <w:color w:val="000000"/>
                <w:sz w:val="18"/>
                <w:szCs w:val="18"/>
              </w:rPr>
            </w:pPr>
            <w:r w:rsidRPr="00E0767F">
              <w:rPr>
                <w:rFonts w:cs="Arial"/>
                <w:b/>
                <w:bCs/>
                <w:color w:val="000000"/>
                <w:sz w:val="18"/>
                <w:szCs w:val="18"/>
              </w:rPr>
              <w:t>0,2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E0767F" w:rsidRDefault="009C2DCF" w:rsidP="006C31BB">
            <w:pPr>
              <w:spacing w:before="0"/>
              <w:jc w:val="right"/>
              <w:rPr>
                <w:rFonts w:cs="Arial"/>
                <w:b/>
                <w:bCs/>
                <w:color w:val="000000"/>
                <w:sz w:val="18"/>
                <w:szCs w:val="18"/>
              </w:rPr>
            </w:pPr>
            <w:r w:rsidRPr="00E0767F">
              <w:rPr>
                <w:rFonts w:cs="Arial"/>
                <w:b/>
                <w:bCs/>
                <w:color w:val="000000"/>
                <w:sz w:val="18"/>
                <w:szCs w:val="18"/>
              </w:rPr>
              <w:t>0,2</w:t>
            </w:r>
          </w:p>
        </w:tc>
        <w:tc>
          <w:tcPr>
            <w:tcW w:w="86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E0767F" w:rsidRDefault="009C2DCF" w:rsidP="006C31BB">
            <w:pPr>
              <w:spacing w:before="0"/>
              <w:jc w:val="right"/>
              <w:rPr>
                <w:rFonts w:cs="Arial"/>
                <w:b/>
                <w:bCs/>
                <w:color w:val="000000"/>
                <w:sz w:val="18"/>
                <w:szCs w:val="18"/>
              </w:rPr>
            </w:pPr>
            <w:r w:rsidRPr="00E0767F">
              <w:rPr>
                <w:rFonts w:cs="Arial"/>
                <w:b/>
                <w:bCs/>
                <w:color w:val="000000"/>
                <w:sz w:val="18"/>
                <w:szCs w:val="18"/>
              </w:rPr>
              <w:t>-0,9</w:t>
            </w:r>
          </w:p>
        </w:tc>
        <w:tc>
          <w:tcPr>
            <w:tcW w:w="84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E0767F" w:rsidRDefault="009C2DCF" w:rsidP="006C31BB">
            <w:pPr>
              <w:spacing w:before="0"/>
              <w:jc w:val="right"/>
              <w:rPr>
                <w:rFonts w:cs="Arial"/>
                <w:b/>
                <w:bCs/>
                <w:color w:val="000000"/>
                <w:sz w:val="18"/>
                <w:szCs w:val="18"/>
              </w:rPr>
            </w:pPr>
            <w:r w:rsidRPr="00E0767F">
              <w:rPr>
                <w:rFonts w:cs="Arial"/>
                <w:b/>
                <w:bCs/>
                <w:color w:val="000000"/>
                <w:sz w:val="18"/>
                <w:szCs w:val="18"/>
              </w:rPr>
              <w:t>0,1</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E0767F" w:rsidRDefault="009C2DCF" w:rsidP="006C31BB">
            <w:pPr>
              <w:spacing w:before="0"/>
              <w:jc w:val="right"/>
              <w:rPr>
                <w:rFonts w:cs="Arial"/>
                <w:b/>
                <w:bCs/>
                <w:color w:val="000000"/>
                <w:sz w:val="18"/>
                <w:szCs w:val="18"/>
              </w:rPr>
            </w:pPr>
            <w:r w:rsidRPr="00E0767F">
              <w:rPr>
                <w:rFonts w:cs="Arial"/>
                <w:b/>
                <w:bCs/>
                <w:color w:val="000000"/>
                <w:sz w:val="18"/>
                <w:szCs w:val="18"/>
              </w:rPr>
              <w:t>4,2</w:t>
            </w:r>
          </w:p>
        </w:tc>
        <w:tc>
          <w:tcPr>
            <w:tcW w:w="116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E0767F" w:rsidRDefault="009C2DCF" w:rsidP="006C31BB">
            <w:pPr>
              <w:spacing w:before="0"/>
              <w:jc w:val="right"/>
              <w:rPr>
                <w:rFonts w:cs="Arial"/>
                <w:b/>
                <w:bCs/>
                <w:color w:val="000000"/>
                <w:sz w:val="18"/>
                <w:szCs w:val="18"/>
              </w:rPr>
            </w:pPr>
            <w:r>
              <w:rPr>
                <w:rFonts w:cs="Arial"/>
                <w:b/>
                <w:bCs/>
                <w:color w:val="000000"/>
                <w:sz w:val="18"/>
                <w:szCs w:val="18"/>
              </w:rPr>
              <w:t>3,2</w:t>
            </w:r>
          </w:p>
        </w:tc>
        <w:tc>
          <w:tcPr>
            <w:tcW w:w="125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E0767F" w:rsidRDefault="009C2DCF" w:rsidP="006C31BB">
            <w:pPr>
              <w:spacing w:before="0"/>
              <w:jc w:val="right"/>
              <w:rPr>
                <w:rFonts w:cs="Arial"/>
                <w:b/>
                <w:bCs/>
                <w:color w:val="000000"/>
                <w:sz w:val="18"/>
                <w:szCs w:val="18"/>
              </w:rPr>
            </w:pPr>
            <w:r w:rsidRPr="00E0767F">
              <w:rPr>
                <w:rFonts w:cs="Arial"/>
                <w:b/>
                <w:bCs/>
                <w:color w:val="000000"/>
                <w:sz w:val="18"/>
                <w:szCs w:val="18"/>
              </w:rPr>
              <w:t>0,0</w:t>
            </w:r>
          </w:p>
        </w:tc>
      </w:tr>
    </w:tbl>
    <w:p w:rsidR="009C2DCF" w:rsidRPr="00B50012" w:rsidRDefault="009C2DCF" w:rsidP="009C2DCF">
      <w:pPr>
        <w:tabs>
          <w:tab w:val="left" w:pos="567"/>
        </w:tabs>
        <w:spacing w:before="240"/>
        <w:ind w:firstLine="567"/>
      </w:pPr>
      <w:r>
        <w:t xml:space="preserve">Na závěr problematiky typu zdravotního postižení je vhodné ještě zmínit jeden důležitý indikátor, kterým je </w:t>
      </w:r>
      <w:r w:rsidRPr="00555B84">
        <w:rPr>
          <w:b/>
        </w:rPr>
        <w:t>průměrná četnost postižení na jednu osobu se zdravotním postižením</w:t>
      </w:r>
      <w:r>
        <w:t>. Ta je z hlediska celkových výsledků v porovnání s předchozím šetřením vyšší o pouhou 0,1 hodnoty, stejně jako u kategorií mužů a žen posuzovaných odděleně.</w:t>
      </w:r>
    </w:p>
    <w:p w:rsidR="009C2DCF" w:rsidRPr="009527D5" w:rsidRDefault="009C2DCF" w:rsidP="009C2DCF">
      <w:pPr>
        <w:pStyle w:val="Nadpis3"/>
        <w:keepLines w:val="0"/>
        <w:numPr>
          <w:ilvl w:val="2"/>
          <w:numId w:val="10"/>
        </w:numPr>
        <w:spacing w:before="240" w:after="60"/>
      </w:pPr>
      <w:bookmarkStart w:id="9" w:name="_Toc382812533"/>
      <w:r w:rsidRPr="009527D5">
        <w:t xml:space="preserve">Příčina </w:t>
      </w:r>
      <w:r w:rsidRPr="00915C21">
        <w:t>zdravotního</w:t>
      </w:r>
      <w:r w:rsidRPr="009527D5">
        <w:t xml:space="preserve"> postižení</w:t>
      </w:r>
      <w:bookmarkEnd w:id="9"/>
    </w:p>
    <w:p w:rsidR="009C2DCF" w:rsidRDefault="009C2DCF" w:rsidP="009C2DCF">
      <w:pPr>
        <w:ind w:firstLine="567"/>
      </w:pPr>
      <w:r>
        <w:t xml:space="preserve">Zkoumáme-li příčinu zdravotního postižení </w:t>
      </w:r>
      <w:r w:rsidRPr="0096090F">
        <w:rPr>
          <w:u w:val="single"/>
        </w:rPr>
        <w:t>z pohledu pohlaví</w:t>
      </w:r>
      <w:r>
        <w:t xml:space="preserve">, dospějeme </w:t>
      </w:r>
      <w:r w:rsidRPr="000168AD">
        <w:rPr>
          <w:u w:val="single"/>
        </w:rPr>
        <w:t>u tří váhově nejsilněji zastoupených příčin</w:t>
      </w:r>
      <w:r>
        <w:t xml:space="preserve"> (při využití podílových hodnot z celku) k závěru, že je-li příčinou zdravotního postižení vrozené postižení (u kterého je převaha v absolutním vyjádření u mužů), došlo u něj oproti předchozímu šetření k nárůstu o 5,6 procentních bodů. Následně u příčiny zdravotního postižení způsobené nemocí, která je zase převažující u žen, byl nárůst o 2,3 procentních bodů. U poslední, třetí příčiny, kterou je stařecká </w:t>
      </w:r>
      <w:proofErr w:type="spellStart"/>
      <w:r>
        <w:t>polymorbidita</w:t>
      </w:r>
      <w:proofErr w:type="spellEnd"/>
      <w:r>
        <w:t>, u které je převaha rovněž u žen, došlo k nárůstu o 1,6 procentních bodů.</w:t>
      </w:r>
    </w:p>
    <w:p w:rsidR="009C2DCF" w:rsidRDefault="009C2DCF" w:rsidP="009C2DCF">
      <w:pPr>
        <w:ind w:firstLine="567"/>
      </w:pPr>
      <w:r>
        <w:t xml:space="preserve">Podíváme-li se na tuto problematiku </w:t>
      </w:r>
      <w:r w:rsidRPr="000168AD">
        <w:rPr>
          <w:u w:val="single"/>
        </w:rPr>
        <w:t>z hlediska typu postižení</w:t>
      </w:r>
      <w:r>
        <w:t xml:space="preserve">, zjišťujeme rozdíly v podílových hodnotách jak kladné, tak i záporné. Pomineme-li méně významné výsledky (jiné, tedy nespecifikované příčiny s nárůstem pouhých 0,5 procentního bodu resp. nulový rozdíl u příčiny zdravotního postižení způsobené úrazem), pak pozitivní vývoj ve </w:t>
      </w:r>
      <w:r w:rsidR="00857D78">
        <w:t>sledovaném období byl vykázán u </w:t>
      </w:r>
      <w:r>
        <w:t xml:space="preserve">příčiny zdravotního postižení způsobené nemocí (pokles o 4,3 procentních bodů) a u vrozeného postižení (pokles o 1,3 procentních bodů); negativní vývoj ve sledovaném období byl naopak zaznamenán u stařecké </w:t>
      </w:r>
      <w:proofErr w:type="spellStart"/>
      <w:r>
        <w:t>polymorbidity</w:t>
      </w:r>
      <w:proofErr w:type="spellEnd"/>
      <w:r>
        <w:t xml:space="preserve"> (nárůst o 1,7 procentních bodů). Ucelenější numerický pohled na problematiku typu postižení získáme z dále uvedené tabulky č. 26.</w:t>
      </w:r>
    </w:p>
    <w:p w:rsidR="009C2DCF" w:rsidRDefault="009C2DCF" w:rsidP="009C2DCF">
      <w:pPr>
        <w:pStyle w:val="Nzavtabulky"/>
      </w:pPr>
      <w:r>
        <w:br w:type="page"/>
      </w:r>
      <w:r>
        <w:lastRenderedPageBreak/>
        <w:t>Tabulka č. 26:</w:t>
      </w:r>
      <w:r>
        <w:tab/>
        <w:t>Příčina zdravotního postižení</w:t>
      </w:r>
    </w:p>
    <w:tbl>
      <w:tblPr>
        <w:tblW w:w="9072" w:type="dxa"/>
        <w:tblInd w:w="70" w:type="dxa"/>
        <w:tblLayout w:type="fixed"/>
        <w:tblCellMar>
          <w:left w:w="70" w:type="dxa"/>
          <w:right w:w="70" w:type="dxa"/>
        </w:tblCellMar>
        <w:tblLook w:val="04A0"/>
      </w:tblPr>
      <w:tblGrid>
        <w:gridCol w:w="1620"/>
        <w:gridCol w:w="949"/>
        <w:gridCol w:w="1083"/>
        <w:gridCol w:w="1083"/>
        <w:gridCol w:w="1216"/>
        <w:gridCol w:w="545"/>
        <w:gridCol w:w="814"/>
        <w:gridCol w:w="948"/>
        <w:gridCol w:w="814"/>
      </w:tblGrid>
      <w:tr w:rsidR="009C2DCF" w:rsidRPr="006314C0" w:rsidTr="00491B15">
        <w:trPr>
          <w:trHeight w:val="300"/>
        </w:trPr>
        <w:tc>
          <w:tcPr>
            <w:tcW w:w="1620" w:type="dxa"/>
            <w:vMerge w:val="restart"/>
            <w:tcBorders>
              <w:top w:val="single" w:sz="4" w:space="0" w:color="auto"/>
              <w:left w:val="single" w:sz="4" w:space="0" w:color="auto"/>
              <w:bottom w:val="nil"/>
              <w:right w:val="nil"/>
            </w:tcBorders>
            <w:shd w:val="clear" w:color="auto" w:fill="auto"/>
            <w:noWrap/>
            <w:vAlign w:val="bottom"/>
            <w:hideMark/>
          </w:tcPr>
          <w:p w:rsidR="009C2DCF" w:rsidRPr="006314C0" w:rsidRDefault="009C2DCF" w:rsidP="006C31BB">
            <w:pPr>
              <w:spacing w:before="0"/>
              <w:jc w:val="center"/>
              <w:rPr>
                <w:rFonts w:cs="Arial"/>
                <w:color w:val="000000"/>
                <w:sz w:val="18"/>
                <w:szCs w:val="18"/>
              </w:rPr>
            </w:pPr>
            <w:r w:rsidRPr="006314C0">
              <w:rPr>
                <w:rFonts w:cs="Arial"/>
                <w:color w:val="000000"/>
                <w:sz w:val="18"/>
                <w:szCs w:val="18"/>
              </w:rPr>
              <w:t> </w:t>
            </w:r>
          </w:p>
        </w:tc>
        <w:tc>
          <w:tcPr>
            <w:tcW w:w="745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2DCF" w:rsidRPr="006314C0" w:rsidRDefault="009C2DCF" w:rsidP="006C31BB">
            <w:pPr>
              <w:spacing w:before="0"/>
              <w:jc w:val="center"/>
              <w:rPr>
                <w:rFonts w:cs="Arial"/>
                <w:color w:val="000000"/>
                <w:sz w:val="18"/>
                <w:szCs w:val="18"/>
              </w:rPr>
            </w:pPr>
            <w:r w:rsidRPr="006314C0">
              <w:rPr>
                <w:rFonts w:cs="Arial"/>
                <w:color w:val="000000"/>
                <w:sz w:val="18"/>
                <w:szCs w:val="18"/>
              </w:rPr>
              <w:t>Příčina zdravotního postižení</w:t>
            </w:r>
          </w:p>
        </w:tc>
      </w:tr>
      <w:tr w:rsidR="009C2DCF" w:rsidRPr="006314C0" w:rsidTr="00491B15">
        <w:trPr>
          <w:trHeight w:val="630"/>
        </w:trPr>
        <w:tc>
          <w:tcPr>
            <w:tcW w:w="1620" w:type="dxa"/>
            <w:vMerge/>
            <w:tcBorders>
              <w:top w:val="single" w:sz="4" w:space="0" w:color="auto"/>
              <w:left w:val="single" w:sz="4" w:space="0" w:color="auto"/>
              <w:bottom w:val="nil"/>
              <w:right w:val="nil"/>
            </w:tcBorders>
            <w:vAlign w:val="center"/>
            <w:hideMark/>
          </w:tcPr>
          <w:p w:rsidR="009C2DCF" w:rsidRPr="006314C0" w:rsidRDefault="009C2DCF" w:rsidP="006C31BB">
            <w:pPr>
              <w:spacing w:before="0"/>
              <w:jc w:val="left"/>
              <w:rPr>
                <w:rFonts w:cs="Arial"/>
                <w:color w:val="000000"/>
                <w:sz w:val="18"/>
                <w:szCs w:val="18"/>
              </w:rPr>
            </w:pPr>
          </w:p>
        </w:tc>
        <w:tc>
          <w:tcPr>
            <w:tcW w:w="949" w:type="dxa"/>
            <w:tcBorders>
              <w:top w:val="nil"/>
              <w:left w:val="single" w:sz="4" w:space="0" w:color="auto"/>
              <w:bottom w:val="nil"/>
              <w:right w:val="single" w:sz="4" w:space="0" w:color="auto"/>
            </w:tcBorders>
            <w:shd w:val="clear" w:color="auto" w:fill="auto"/>
            <w:vAlign w:val="center"/>
            <w:hideMark/>
          </w:tcPr>
          <w:p w:rsidR="009C2DCF" w:rsidRPr="006314C0" w:rsidRDefault="009C2DCF" w:rsidP="006C31BB">
            <w:pPr>
              <w:spacing w:before="0"/>
              <w:jc w:val="center"/>
              <w:rPr>
                <w:rFonts w:cs="Arial"/>
                <w:color w:val="000000"/>
                <w:sz w:val="18"/>
                <w:szCs w:val="18"/>
              </w:rPr>
            </w:pPr>
            <w:r w:rsidRPr="006314C0">
              <w:rPr>
                <w:rFonts w:cs="Arial"/>
                <w:color w:val="000000"/>
                <w:sz w:val="18"/>
                <w:szCs w:val="18"/>
              </w:rPr>
              <w:t>vrozené postižení</w:t>
            </w:r>
          </w:p>
        </w:tc>
        <w:tc>
          <w:tcPr>
            <w:tcW w:w="1083" w:type="dxa"/>
            <w:tcBorders>
              <w:top w:val="nil"/>
              <w:left w:val="nil"/>
              <w:bottom w:val="nil"/>
              <w:right w:val="single" w:sz="4" w:space="0" w:color="auto"/>
            </w:tcBorders>
            <w:shd w:val="clear" w:color="auto" w:fill="auto"/>
            <w:vAlign w:val="center"/>
            <w:hideMark/>
          </w:tcPr>
          <w:p w:rsidR="009C2DCF" w:rsidRPr="006314C0" w:rsidRDefault="009C2DCF" w:rsidP="006C31BB">
            <w:pPr>
              <w:spacing w:before="0"/>
              <w:jc w:val="center"/>
              <w:rPr>
                <w:rFonts w:cs="Arial"/>
                <w:color w:val="000000"/>
                <w:sz w:val="18"/>
                <w:szCs w:val="18"/>
              </w:rPr>
            </w:pPr>
            <w:r w:rsidRPr="006314C0">
              <w:rPr>
                <w:rFonts w:cs="Arial"/>
                <w:color w:val="000000"/>
                <w:sz w:val="18"/>
                <w:szCs w:val="18"/>
              </w:rPr>
              <w:t>způsobené úrazem</w:t>
            </w:r>
          </w:p>
        </w:tc>
        <w:tc>
          <w:tcPr>
            <w:tcW w:w="1083" w:type="dxa"/>
            <w:tcBorders>
              <w:top w:val="nil"/>
              <w:left w:val="nil"/>
              <w:bottom w:val="nil"/>
              <w:right w:val="single" w:sz="4" w:space="0" w:color="auto"/>
            </w:tcBorders>
            <w:shd w:val="clear" w:color="auto" w:fill="auto"/>
            <w:vAlign w:val="center"/>
            <w:hideMark/>
          </w:tcPr>
          <w:p w:rsidR="009C2DCF" w:rsidRPr="006314C0" w:rsidRDefault="009C2DCF" w:rsidP="006C31BB">
            <w:pPr>
              <w:spacing w:before="0"/>
              <w:jc w:val="center"/>
              <w:rPr>
                <w:rFonts w:cs="Arial"/>
                <w:color w:val="000000"/>
                <w:sz w:val="18"/>
                <w:szCs w:val="18"/>
              </w:rPr>
            </w:pPr>
            <w:r w:rsidRPr="006314C0">
              <w:rPr>
                <w:rFonts w:cs="Arial"/>
                <w:color w:val="000000"/>
                <w:sz w:val="18"/>
                <w:szCs w:val="18"/>
              </w:rPr>
              <w:t>způsobené nemocí</w:t>
            </w:r>
          </w:p>
        </w:tc>
        <w:tc>
          <w:tcPr>
            <w:tcW w:w="1216" w:type="dxa"/>
            <w:tcBorders>
              <w:top w:val="nil"/>
              <w:left w:val="nil"/>
              <w:bottom w:val="nil"/>
              <w:right w:val="single" w:sz="4" w:space="0" w:color="auto"/>
            </w:tcBorders>
            <w:shd w:val="clear" w:color="auto" w:fill="auto"/>
            <w:vAlign w:val="center"/>
            <w:hideMark/>
          </w:tcPr>
          <w:p w:rsidR="009C2DCF" w:rsidRPr="006314C0" w:rsidRDefault="009C2DCF" w:rsidP="006C31BB">
            <w:pPr>
              <w:spacing w:before="0"/>
              <w:jc w:val="center"/>
              <w:rPr>
                <w:rFonts w:cs="Arial"/>
                <w:color w:val="000000"/>
                <w:sz w:val="18"/>
                <w:szCs w:val="18"/>
              </w:rPr>
            </w:pPr>
            <w:r w:rsidRPr="006314C0">
              <w:rPr>
                <w:rFonts w:cs="Arial"/>
                <w:color w:val="000000"/>
                <w:sz w:val="18"/>
                <w:szCs w:val="18"/>
              </w:rPr>
              <w:t xml:space="preserve">stařecká </w:t>
            </w:r>
            <w:proofErr w:type="spellStart"/>
            <w:r w:rsidRPr="006314C0">
              <w:rPr>
                <w:rFonts w:cs="Arial"/>
                <w:color w:val="000000"/>
                <w:sz w:val="18"/>
                <w:szCs w:val="18"/>
              </w:rPr>
              <w:t>polymorbidita</w:t>
            </w:r>
            <w:proofErr w:type="spellEnd"/>
          </w:p>
        </w:tc>
        <w:tc>
          <w:tcPr>
            <w:tcW w:w="545" w:type="dxa"/>
            <w:tcBorders>
              <w:top w:val="nil"/>
              <w:left w:val="nil"/>
              <w:bottom w:val="nil"/>
              <w:right w:val="single" w:sz="4" w:space="0" w:color="auto"/>
            </w:tcBorders>
            <w:shd w:val="clear" w:color="auto" w:fill="auto"/>
            <w:vAlign w:val="center"/>
            <w:hideMark/>
          </w:tcPr>
          <w:p w:rsidR="009C2DCF" w:rsidRPr="006314C0" w:rsidRDefault="009C2DCF" w:rsidP="006C31BB">
            <w:pPr>
              <w:spacing w:before="0"/>
              <w:jc w:val="center"/>
              <w:rPr>
                <w:rFonts w:cs="Arial"/>
                <w:color w:val="000000"/>
                <w:sz w:val="18"/>
                <w:szCs w:val="18"/>
              </w:rPr>
            </w:pPr>
            <w:r w:rsidRPr="006314C0">
              <w:rPr>
                <w:rFonts w:cs="Arial"/>
                <w:color w:val="000000"/>
                <w:sz w:val="18"/>
                <w:szCs w:val="18"/>
              </w:rPr>
              <w:t>jiné</w:t>
            </w:r>
          </w:p>
        </w:tc>
        <w:tc>
          <w:tcPr>
            <w:tcW w:w="814" w:type="dxa"/>
            <w:tcBorders>
              <w:top w:val="nil"/>
              <w:left w:val="nil"/>
              <w:bottom w:val="nil"/>
              <w:right w:val="single" w:sz="4" w:space="0" w:color="auto"/>
            </w:tcBorders>
            <w:shd w:val="clear" w:color="auto" w:fill="auto"/>
            <w:vAlign w:val="center"/>
            <w:hideMark/>
          </w:tcPr>
          <w:p w:rsidR="009C2DCF" w:rsidRPr="006314C0" w:rsidRDefault="009C2DCF" w:rsidP="006C31BB">
            <w:pPr>
              <w:spacing w:before="0"/>
              <w:jc w:val="center"/>
              <w:rPr>
                <w:rFonts w:cs="Arial"/>
                <w:color w:val="000000"/>
                <w:sz w:val="18"/>
                <w:szCs w:val="18"/>
              </w:rPr>
            </w:pPr>
            <w:r w:rsidRPr="006314C0">
              <w:rPr>
                <w:rFonts w:cs="Arial"/>
                <w:color w:val="000000"/>
                <w:sz w:val="18"/>
                <w:szCs w:val="18"/>
              </w:rPr>
              <w:t>není známo</w:t>
            </w:r>
          </w:p>
        </w:tc>
        <w:tc>
          <w:tcPr>
            <w:tcW w:w="948" w:type="dxa"/>
            <w:tcBorders>
              <w:top w:val="nil"/>
              <w:left w:val="nil"/>
              <w:bottom w:val="nil"/>
              <w:right w:val="single" w:sz="4" w:space="0" w:color="auto"/>
            </w:tcBorders>
            <w:shd w:val="clear" w:color="auto" w:fill="auto"/>
            <w:vAlign w:val="center"/>
            <w:hideMark/>
          </w:tcPr>
          <w:p w:rsidR="009C2DCF" w:rsidRPr="006314C0" w:rsidRDefault="009C2DCF" w:rsidP="006C31BB">
            <w:pPr>
              <w:spacing w:before="0"/>
              <w:jc w:val="center"/>
              <w:rPr>
                <w:rFonts w:cs="Arial"/>
                <w:color w:val="000000"/>
                <w:sz w:val="18"/>
                <w:szCs w:val="18"/>
              </w:rPr>
            </w:pPr>
            <w:proofErr w:type="spellStart"/>
            <w:r>
              <w:rPr>
                <w:rFonts w:cs="Arial"/>
                <w:color w:val="000000"/>
                <w:sz w:val="18"/>
                <w:szCs w:val="18"/>
              </w:rPr>
              <w:t>n</w:t>
            </w:r>
            <w:r w:rsidRPr="006314C0">
              <w:rPr>
                <w:rFonts w:cs="Arial"/>
                <w:color w:val="000000"/>
                <w:sz w:val="18"/>
                <w:szCs w:val="18"/>
              </w:rPr>
              <w:t>evyplně</w:t>
            </w:r>
            <w:proofErr w:type="spellEnd"/>
            <w:r>
              <w:rPr>
                <w:rFonts w:cs="Arial"/>
                <w:color w:val="000000"/>
                <w:sz w:val="18"/>
                <w:szCs w:val="18"/>
              </w:rPr>
              <w:t xml:space="preserve">- </w:t>
            </w:r>
            <w:r w:rsidRPr="006314C0">
              <w:rPr>
                <w:rFonts w:cs="Arial"/>
                <w:color w:val="000000"/>
                <w:sz w:val="18"/>
                <w:szCs w:val="18"/>
              </w:rPr>
              <w:t>no</w:t>
            </w:r>
          </w:p>
        </w:tc>
        <w:tc>
          <w:tcPr>
            <w:tcW w:w="814" w:type="dxa"/>
            <w:tcBorders>
              <w:top w:val="nil"/>
              <w:left w:val="nil"/>
              <w:bottom w:val="nil"/>
              <w:right w:val="single" w:sz="4" w:space="0" w:color="auto"/>
            </w:tcBorders>
            <w:shd w:val="clear" w:color="auto" w:fill="auto"/>
            <w:vAlign w:val="center"/>
            <w:hideMark/>
          </w:tcPr>
          <w:p w:rsidR="009C2DCF" w:rsidRPr="006314C0" w:rsidRDefault="009C2DCF" w:rsidP="006C31BB">
            <w:pPr>
              <w:spacing w:before="0"/>
              <w:jc w:val="center"/>
              <w:rPr>
                <w:rFonts w:cs="Arial"/>
                <w:color w:val="000000"/>
                <w:sz w:val="18"/>
                <w:szCs w:val="18"/>
              </w:rPr>
            </w:pPr>
            <w:r w:rsidRPr="006314C0">
              <w:rPr>
                <w:rFonts w:cs="Arial"/>
                <w:color w:val="000000"/>
                <w:sz w:val="18"/>
                <w:szCs w:val="18"/>
              </w:rPr>
              <w:t>Celkem</w:t>
            </w:r>
          </w:p>
        </w:tc>
      </w:tr>
      <w:tr w:rsidR="009C2DCF" w:rsidRPr="006314C0" w:rsidTr="00491B15">
        <w:trPr>
          <w:trHeight w:val="284"/>
        </w:trPr>
        <w:tc>
          <w:tcPr>
            <w:tcW w:w="1620" w:type="dxa"/>
            <w:tcBorders>
              <w:top w:val="single" w:sz="4" w:space="0" w:color="auto"/>
              <w:left w:val="single" w:sz="4" w:space="0" w:color="auto"/>
              <w:bottom w:val="single" w:sz="4" w:space="0" w:color="auto"/>
              <w:right w:val="nil"/>
            </w:tcBorders>
            <w:shd w:val="clear" w:color="auto" w:fill="auto"/>
            <w:vAlign w:val="bottom"/>
            <w:hideMark/>
          </w:tcPr>
          <w:p w:rsidR="009C2DCF" w:rsidRPr="006314C0" w:rsidRDefault="009C2DCF" w:rsidP="006C31BB">
            <w:pPr>
              <w:spacing w:before="0"/>
              <w:jc w:val="left"/>
              <w:rPr>
                <w:rFonts w:cs="Arial"/>
                <w:color w:val="000000"/>
                <w:sz w:val="18"/>
                <w:szCs w:val="18"/>
              </w:rPr>
            </w:pPr>
            <w:r w:rsidRPr="006314C0">
              <w:rPr>
                <w:rFonts w:cs="Arial"/>
                <w:color w:val="000000"/>
                <w:sz w:val="18"/>
                <w:szCs w:val="18"/>
              </w:rPr>
              <w:t>VŠPO 13 - % podíl</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9,4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5,5</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64,7</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9,0</w:t>
            </w:r>
          </w:p>
        </w:tc>
        <w:tc>
          <w:tcPr>
            <w:tcW w:w="545" w:type="dxa"/>
            <w:tcBorders>
              <w:top w:val="single" w:sz="4" w:space="0" w:color="auto"/>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2,5</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3,9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5,0</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100,0</w:t>
            </w:r>
          </w:p>
        </w:tc>
      </w:tr>
      <w:tr w:rsidR="009C2DCF" w:rsidRPr="006314C0" w:rsidTr="00491B15">
        <w:trPr>
          <w:trHeight w:val="429"/>
        </w:trPr>
        <w:tc>
          <w:tcPr>
            <w:tcW w:w="1620" w:type="dxa"/>
            <w:tcBorders>
              <w:top w:val="nil"/>
              <w:left w:val="single" w:sz="4" w:space="0" w:color="auto"/>
              <w:bottom w:val="single" w:sz="4" w:space="0" w:color="auto"/>
              <w:right w:val="nil"/>
            </w:tcBorders>
            <w:shd w:val="clear" w:color="auto" w:fill="auto"/>
            <w:vAlign w:val="bottom"/>
            <w:hideMark/>
          </w:tcPr>
          <w:p w:rsidR="009C2DCF" w:rsidRPr="006314C0" w:rsidRDefault="009C2DCF" w:rsidP="006C31BB">
            <w:pPr>
              <w:spacing w:before="0"/>
              <w:jc w:val="left"/>
              <w:rPr>
                <w:rFonts w:cs="Arial"/>
                <w:color w:val="000000"/>
                <w:sz w:val="18"/>
                <w:szCs w:val="18"/>
              </w:rPr>
            </w:pPr>
            <w:r w:rsidRPr="006314C0">
              <w:rPr>
                <w:rFonts w:cs="Arial"/>
                <w:color w:val="000000"/>
                <w:sz w:val="18"/>
                <w:szCs w:val="18"/>
              </w:rPr>
              <w:t>VŠPO 07 - % podíl</w:t>
            </w: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10,7</w:t>
            </w:r>
          </w:p>
        </w:tc>
        <w:tc>
          <w:tcPr>
            <w:tcW w:w="1083" w:type="dxa"/>
            <w:tcBorders>
              <w:top w:val="nil"/>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5,5</w:t>
            </w:r>
          </w:p>
        </w:tc>
        <w:tc>
          <w:tcPr>
            <w:tcW w:w="1083" w:type="dxa"/>
            <w:tcBorders>
              <w:top w:val="nil"/>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69,0</w:t>
            </w:r>
          </w:p>
        </w:tc>
        <w:tc>
          <w:tcPr>
            <w:tcW w:w="1216" w:type="dxa"/>
            <w:tcBorders>
              <w:top w:val="nil"/>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7,3</w:t>
            </w:r>
          </w:p>
        </w:tc>
        <w:tc>
          <w:tcPr>
            <w:tcW w:w="545" w:type="dxa"/>
            <w:tcBorders>
              <w:top w:val="nil"/>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2,0</w:t>
            </w:r>
          </w:p>
        </w:tc>
        <w:tc>
          <w:tcPr>
            <w:tcW w:w="814" w:type="dxa"/>
            <w:tcBorders>
              <w:top w:val="nil"/>
              <w:left w:val="nil"/>
              <w:bottom w:val="single" w:sz="4" w:space="0" w:color="auto"/>
              <w:right w:val="single" w:sz="4" w:space="0" w:color="auto"/>
            </w:tcBorders>
            <w:shd w:val="clear" w:color="auto" w:fill="auto"/>
            <w:vAlign w:val="center"/>
            <w:hideMark/>
          </w:tcPr>
          <w:p w:rsidR="009C2DCF" w:rsidRPr="006314C0" w:rsidRDefault="009C2DCF" w:rsidP="006C31BB">
            <w:pPr>
              <w:spacing w:before="0"/>
              <w:jc w:val="center"/>
              <w:rPr>
                <w:rFonts w:cs="Arial"/>
                <w:color w:val="000000"/>
                <w:sz w:val="18"/>
                <w:szCs w:val="18"/>
              </w:rPr>
            </w:pPr>
            <w:proofErr w:type="spellStart"/>
            <w:r w:rsidRPr="006314C0">
              <w:rPr>
                <w:rFonts w:cs="Arial"/>
                <w:color w:val="000000"/>
                <w:sz w:val="18"/>
                <w:szCs w:val="18"/>
              </w:rPr>
              <w:t>nesledo</w:t>
            </w:r>
            <w:proofErr w:type="spellEnd"/>
            <w:r w:rsidRPr="006314C0">
              <w:rPr>
                <w:rFonts w:cs="Arial"/>
                <w:color w:val="000000"/>
                <w:sz w:val="18"/>
                <w:szCs w:val="18"/>
              </w:rPr>
              <w:t>- váno</w:t>
            </w:r>
          </w:p>
        </w:tc>
        <w:tc>
          <w:tcPr>
            <w:tcW w:w="948" w:type="dxa"/>
            <w:tcBorders>
              <w:top w:val="nil"/>
              <w:left w:val="nil"/>
              <w:bottom w:val="single" w:sz="4" w:space="0" w:color="auto"/>
              <w:right w:val="single" w:sz="4" w:space="0" w:color="auto"/>
            </w:tcBorders>
            <w:shd w:val="clear" w:color="auto" w:fill="auto"/>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5,5</w:t>
            </w:r>
          </w:p>
        </w:tc>
        <w:tc>
          <w:tcPr>
            <w:tcW w:w="814" w:type="dxa"/>
            <w:tcBorders>
              <w:top w:val="nil"/>
              <w:left w:val="nil"/>
              <w:bottom w:val="single" w:sz="4" w:space="0" w:color="auto"/>
              <w:right w:val="single" w:sz="4" w:space="0" w:color="auto"/>
            </w:tcBorders>
            <w:shd w:val="clear" w:color="auto" w:fill="auto"/>
            <w:noWrap/>
            <w:vAlign w:val="bottom"/>
            <w:hideMark/>
          </w:tcPr>
          <w:p w:rsidR="009C2DCF" w:rsidRPr="006314C0" w:rsidRDefault="009C2DCF" w:rsidP="006C31BB">
            <w:pPr>
              <w:spacing w:before="0"/>
              <w:jc w:val="right"/>
              <w:rPr>
                <w:rFonts w:cs="Arial"/>
                <w:color w:val="000000"/>
                <w:sz w:val="18"/>
                <w:szCs w:val="18"/>
              </w:rPr>
            </w:pPr>
            <w:r w:rsidRPr="006314C0">
              <w:rPr>
                <w:rFonts w:cs="Arial"/>
                <w:color w:val="000000"/>
                <w:sz w:val="18"/>
                <w:szCs w:val="18"/>
              </w:rPr>
              <w:t>100,0</w:t>
            </w:r>
          </w:p>
        </w:tc>
      </w:tr>
      <w:tr w:rsidR="009C2DCF" w:rsidRPr="006314C0" w:rsidTr="00491B15">
        <w:trPr>
          <w:trHeight w:val="300"/>
        </w:trPr>
        <w:tc>
          <w:tcPr>
            <w:tcW w:w="1620"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9C2DCF" w:rsidRPr="006314C0" w:rsidRDefault="009C2DCF" w:rsidP="006C31BB">
            <w:pPr>
              <w:spacing w:before="0"/>
              <w:jc w:val="left"/>
              <w:rPr>
                <w:rFonts w:cs="Arial"/>
                <w:b/>
                <w:bCs/>
                <w:color w:val="000000"/>
                <w:sz w:val="18"/>
                <w:szCs w:val="18"/>
              </w:rPr>
            </w:pPr>
            <w:r w:rsidRPr="006314C0">
              <w:rPr>
                <w:rFonts w:cs="Arial"/>
                <w:b/>
                <w:bCs/>
                <w:color w:val="000000"/>
                <w:sz w:val="18"/>
                <w:szCs w:val="18"/>
              </w:rPr>
              <w:t>Procentní body</w:t>
            </w:r>
          </w:p>
        </w:tc>
        <w:tc>
          <w:tcPr>
            <w:tcW w:w="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C2DCF" w:rsidRPr="006314C0" w:rsidRDefault="009C2DCF" w:rsidP="006C31BB">
            <w:pPr>
              <w:spacing w:before="0"/>
              <w:jc w:val="right"/>
              <w:rPr>
                <w:rFonts w:cs="Arial"/>
                <w:b/>
                <w:bCs/>
                <w:color w:val="000000"/>
                <w:sz w:val="18"/>
                <w:szCs w:val="18"/>
              </w:rPr>
            </w:pPr>
            <w:r w:rsidRPr="006314C0">
              <w:rPr>
                <w:rFonts w:cs="Arial"/>
                <w:b/>
                <w:bCs/>
                <w:color w:val="000000"/>
                <w:sz w:val="18"/>
                <w:szCs w:val="18"/>
              </w:rPr>
              <w:t>-1,3</w:t>
            </w:r>
          </w:p>
        </w:tc>
        <w:tc>
          <w:tcPr>
            <w:tcW w:w="10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6314C0" w:rsidRDefault="009C2DCF" w:rsidP="006C31BB">
            <w:pPr>
              <w:spacing w:before="0"/>
              <w:jc w:val="right"/>
              <w:rPr>
                <w:rFonts w:cs="Arial"/>
                <w:b/>
                <w:bCs/>
                <w:color w:val="000000"/>
                <w:sz w:val="18"/>
                <w:szCs w:val="18"/>
              </w:rPr>
            </w:pPr>
            <w:r w:rsidRPr="006314C0">
              <w:rPr>
                <w:rFonts w:cs="Arial"/>
                <w:b/>
                <w:bCs/>
                <w:color w:val="000000"/>
                <w:sz w:val="18"/>
                <w:szCs w:val="18"/>
              </w:rPr>
              <w:t>0,0</w:t>
            </w:r>
          </w:p>
        </w:tc>
        <w:tc>
          <w:tcPr>
            <w:tcW w:w="10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6314C0" w:rsidRDefault="009C2DCF" w:rsidP="006C31BB">
            <w:pPr>
              <w:spacing w:before="0"/>
              <w:jc w:val="right"/>
              <w:rPr>
                <w:rFonts w:cs="Arial"/>
                <w:b/>
                <w:bCs/>
                <w:color w:val="000000"/>
                <w:sz w:val="18"/>
                <w:szCs w:val="18"/>
              </w:rPr>
            </w:pPr>
            <w:r w:rsidRPr="006314C0">
              <w:rPr>
                <w:rFonts w:cs="Arial"/>
                <w:b/>
                <w:bCs/>
                <w:color w:val="000000"/>
                <w:sz w:val="18"/>
                <w:szCs w:val="18"/>
              </w:rPr>
              <w:t>-4,3</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6314C0" w:rsidRDefault="009C2DCF" w:rsidP="006C31BB">
            <w:pPr>
              <w:spacing w:before="0"/>
              <w:jc w:val="right"/>
              <w:rPr>
                <w:rFonts w:cs="Arial"/>
                <w:b/>
                <w:bCs/>
                <w:color w:val="000000"/>
                <w:sz w:val="18"/>
                <w:szCs w:val="18"/>
              </w:rPr>
            </w:pPr>
            <w:r w:rsidRPr="006314C0">
              <w:rPr>
                <w:rFonts w:cs="Arial"/>
                <w:b/>
                <w:bCs/>
                <w:color w:val="000000"/>
                <w:sz w:val="18"/>
                <w:szCs w:val="18"/>
              </w:rPr>
              <w:t>1,7</w:t>
            </w:r>
          </w:p>
        </w:tc>
        <w:tc>
          <w:tcPr>
            <w:tcW w:w="54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6314C0" w:rsidRDefault="009C2DCF" w:rsidP="006C31BB">
            <w:pPr>
              <w:spacing w:before="0"/>
              <w:jc w:val="right"/>
              <w:rPr>
                <w:rFonts w:cs="Arial"/>
                <w:b/>
                <w:bCs/>
                <w:color w:val="000000"/>
                <w:sz w:val="18"/>
                <w:szCs w:val="18"/>
              </w:rPr>
            </w:pPr>
            <w:r w:rsidRPr="006314C0">
              <w:rPr>
                <w:rFonts w:cs="Arial"/>
                <w:b/>
                <w:bCs/>
                <w:color w:val="000000"/>
                <w:sz w:val="18"/>
                <w:szCs w:val="18"/>
              </w:rPr>
              <w:t>0,5</w:t>
            </w:r>
          </w:p>
        </w:tc>
        <w:tc>
          <w:tcPr>
            <w:tcW w:w="8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6314C0" w:rsidRDefault="009C2DCF" w:rsidP="006C31BB">
            <w:pPr>
              <w:spacing w:before="0"/>
              <w:jc w:val="right"/>
              <w:rPr>
                <w:rFonts w:cs="Arial"/>
                <w:b/>
                <w:bCs/>
                <w:color w:val="000000"/>
                <w:sz w:val="18"/>
                <w:szCs w:val="18"/>
              </w:rPr>
            </w:pPr>
            <w:r w:rsidRPr="006314C0">
              <w:rPr>
                <w:rFonts w:cs="Arial"/>
                <w:b/>
                <w:bCs/>
                <w:color w:val="000000"/>
                <w:sz w:val="18"/>
                <w:szCs w:val="18"/>
              </w:rPr>
              <w:t>3,9</w:t>
            </w:r>
          </w:p>
        </w:tc>
        <w:tc>
          <w:tcPr>
            <w:tcW w:w="94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6314C0" w:rsidRDefault="009C2DCF" w:rsidP="006C31BB">
            <w:pPr>
              <w:spacing w:before="0"/>
              <w:jc w:val="right"/>
              <w:rPr>
                <w:rFonts w:cs="Arial"/>
                <w:b/>
                <w:bCs/>
                <w:color w:val="000000"/>
                <w:sz w:val="18"/>
                <w:szCs w:val="18"/>
              </w:rPr>
            </w:pPr>
            <w:r w:rsidRPr="006314C0">
              <w:rPr>
                <w:rFonts w:cs="Arial"/>
                <w:b/>
                <w:bCs/>
                <w:color w:val="000000"/>
                <w:sz w:val="18"/>
                <w:szCs w:val="18"/>
              </w:rPr>
              <w:t>-0,5</w:t>
            </w:r>
          </w:p>
        </w:tc>
        <w:tc>
          <w:tcPr>
            <w:tcW w:w="8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6314C0" w:rsidRDefault="009C2DCF" w:rsidP="006C31BB">
            <w:pPr>
              <w:spacing w:before="0"/>
              <w:jc w:val="right"/>
              <w:rPr>
                <w:rFonts w:cs="Arial"/>
                <w:b/>
                <w:bCs/>
                <w:color w:val="000000"/>
                <w:sz w:val="18"/>
                <w:szCs w:val="18"/>
              </w:rPr>
            </w:pPr>
            <w:r w:rsidRPr="006314C0">
              <w:rPr>
                <w:rFonts w:cs="Arial"/>
                <w:b/>
                <w:bCs/>
                <w:color w:val="000000"/>
                <w:sz w:val="18"/>
                <w:szCs w:val="18"/>
              </w:rPr>
              <w:t>0,0</w:t>
            </w:r>
          </w:p>
        </w:tc>
      </w:tr>
    </w:tbl>
    <w:p w:rsidR="009C2DCF" w:rsidRPr="00915C21" w:rsidRDefault="009C2DCF" w:rsidP="009C2DCF">
      <w:pPr>
        <w:pStyle w:val="Nadpis3"/>
        <w:keepLines w:val="0"/>
        <w:numPr>
          <w:ilvl w:val="2"/>
          <w:numId w:val="10"/>
        </w:numPr>
        <w:spacing w:before="240" w:after="60"/>
      </w:pPr>
      <w:bookmarkStart w:id="10" w:name="_Toc382812534"/>
      <w:r w:rsidRPr="00915C21">
        <w:t>Míra zdravotního postižení</w:t>
      </w:r>
      <w:bookmarkEnd w:id="10"/>
    </w:p>
    <w:p w:rsidR="009C2DCF" w:rsidRDefault="009C2DCF" w:rsidP="009C2DCF">
      <w:pPr>
        <w:ind w:firstLine="567"/>
      </w:pPr>
      <w:r>
        <w:t xml:space="preserve">Při posuzování čtyř základních měr zdravotního postižení je nejzajímavější jejich relace se sedmi typy postižení (pozn.: u vnitřního typu postižení byla šetřením zjišťována všechna vnitřní postižení, tedy včetně vícenásobných postižení). Můžeme konstatovat, že </w:t>
      </w:r>
      <w:r w:rsidRPr="00D536B2">
        <w:rPr>
          <w:b/>
        </w:rPr>
        <w:t>oproti výsledkům š</w:t>
      </w:r>
      <w:r>
        <w:rPr>
          <w:b/>
        </w:rPr>
        <w:t>etření před šesti lety vývoj</w:t>
      </w:r>
      <w:r w:rsidRPr="00D536B2">
        <w:rPr>
          <w:b/>
        </w:rPr>
        <w:t xml:space="preserve"> v této o</w:t>
      </w:r>
      <w:r>
        <w:rPr>
          <w:b/>
        </w:rPr>
        <w:t>blasti vykázal</w:t>
      </w:r>
      <w:r w:rsidRPr="00D536B2">
        <w:rPr>
          <w:b/>
        </w:rPr>
        <w:t xml:space="preserve"> relativně pozitivní tendencí</w:t>
      </w:r>
      <w:r>
        <w:t>. Konkrétně to znamená, že se snížily míry zdravotního postižení u těžkého postižení (o 4,3 proc</w:t>
      </w:r>
      <w:r w:rsidR="00857D78">
        <w:t>entních bodů), velmi těžkého (o </w:t>
      </w:r>
      <w:r>
        <w:t xml:space="preserve">1,6 procentních bodů) a u středně těžkého postižení (o 1 procentní bod). </w:t>
      </w:r>
    </w:p>
    <w:p w:rsidR="009C2DCF" w:rsidRDefault="009C2DCF" w:rsidP="009C2DCF">
      <w:pPr>
        <w:ind w:firstLine="567"/>
      </w:pPr>
      <w:r>
        <w:t xml:space="preserve">Zaměříme-li se z typů postižení na váhově nejsilněji zastoupený typ, kterým je </w:t>
      </w:r>
      <w:r w:rsidRPr="00F42636">
        <w:rPr>
          <w:b/>
        </w:rPr>
        <w:t>vnitřní postižení</w:t>
      </w:r>
      <w:r>
        <w:t xml:space="preserve">, pak oproti výše uvedeným sumárním výsledkům je vývoj pozitivní pouze u těžkého postižení (na stejné úrovni), zatímco u </w:t>
      </w:r>
      <w:r>
        <w:rPr>
          <w:u w:val="single"/>
        </w:rPr>
        <w:t>dvou ostatních vykázal</w:t>
      </w:r>
      <w:r w:rsidRPr="00F42636">
        <w:rPr>
          <w:u w:val="single"/>
        </w:rPr>
        <w:t xml:space="preserve"> negativní výsledky</w:t>
      </w:r>
      <w:r>
        <w:t xml:space="preserve"> (u lehkého postižení došlo k nárůstu o 2,3 procentních bodů a u středně těžkého dokonce o 4,2 procentních bodů).</w:t>
      </w:r>
    </w:p>
    <w:p w:rsidR="009C2DCF" w:rsidRPr="009527D5" w:rsidRDefault="009C2DCF" w:rsidP="009C2DCF">
      <w:pPr>
        <w:ind w:firstLine="567"/>
      </w:pPr>
      <w:r w:rsidRPr="00590BEB">
        <w:rPr>
          <w:b/>
        </w:rPr>
        <w:t xml:space="preserve">Ukazatel průměrné míry postižení vykázal oproti VŠPO 07 snížení </w:t>
      </w:r>
      <w:r>
        <w:rPr>
          <w:b/>
        </w:rPr>
        <w:t xml:space="preserve">celkem </w:t>
      </w:r>
      <w:r w:rsidRPr="00590BEB">
        <w:rPr>
          <w:b/>
        </w:rPr>
        <w:t xml:space="preserve">o 0,1 </w:t>
      </w:r>
      <w:r>
        <w:rPr>
          <w:b/>
        </w:rPr>
        <w:t>hodnoty</w:t>
      </w:r>
      <w:r>
        <w:t>; ve stejné výši pak také u celkových hodnot zjištěných za pohlaví i věkové skupiny.</w:t>
      </w:r>
    </w:p>
    <w:p w:rsidR="009C2DCF" w:rsidRDefault="009C2DCF" w:rsidP="009C2DCF">
      <w:pPr>
        <w:pStyle w:val="Nadpis3"/>
        <w:keepLines w:val="0"/>
        <w:numPr>
          <w:ilvl w:val="2"/>
          <w:numId w:val="10"/>
        </w:numPr>
        <w:spacing w:before="240" w:after="60"/>
      </w:pPr>
      <w:bookmarkStart w:id="11" w:name="_Toc382812535"/>
      <w:r w:rsidRPr="00915C21">
        <w:t>Délka zdravotního postižení</w:t>
      </w:r>
      <w:bookmarkEnd w:id="11"/>
    </w:p>
    <w:p w:rsidR="009C2DCF" w:rsidRPr="002E667B" w:rsidRDefault="009C2DCF" w:rsidP="009C2DCF">
      <w:pPr>
        <w:ind w:firstLine="567"/>
        <w:rPr>
          <w:bCs/>
        </w:rPr>
      </w:pPr>
      <w:r>
        <w:t xml:space="preserve">Zásadní pohled na tuto </w:t>
      </w:r>
      <w:r w:rsidRPr="002E667B">
        <w:t>problematiku nám poskytnou</w:t>
      </w:r>
      <w:r>
        <w:rPr>
          <w:b/>
        </w:rPr>
        <w:t xml:space="preserve"> celkově zjištěné výsledky (bez rozlišení pohlaví) v návaznosti na věk osob se zdravotním postižením. </w:t>
      </w:r>
      <w:r>
        <w:t xml:space="preserve">V tomto směru, porovnáváme-li v první řadě </w:t>
      </w:r>
      <w:r w:rsidRPr="00FC06F2">
        <w:rPr>
          <w:u w:val="single"/>
        </w:rPr>
        <w:t>vrozená zdravotní postižení</w:t>
      </w:r>
      <w:r w:rsidRPr="00FC06F2">
        <w:rPr>
          <w:bCs/>
        </w:rPr>
        <w:t>, docházíme k</w:t>
      </w:r>
      <w:r>
        <w:rPr>
          <w:bCs/>
        </w:rPr>
        <w:t> </w:t>
      </w:r>
      <w:r w:rsidRPr="00FC06F2">
        <w:rPr>
          <w:bCs/>
        </w:rPr>
        <w:t xml:space="preserve">celkovému </w:t>
      </w:r>
      <w:r w:rsidRPr="00FC06F2">
        <w:rPr>
          <w:b/>
          <w:bCs/>
        </w:rPr>
        <w:t xml:space="preserve">nárůstu </w:t>
      </w:r>
      <w:r>
        <w:rPr>
          <w:b/>
          <w:bCs/>
        </w:rPr>
        <w:t xml:space="preserve">jejich celkového podílu </w:t>
      </w:r>
      <w:r>
        <w:rPr>
          <w:bCs/>
        </w:rPr>
        <w:t xml:space="preserve">(ze všech postižení) </w:t>
      </w:r>
      <w:r w:rsidRPr="00FC06F2">
        <w:rPr>
          <w:bCs/>
        </w:rPr>
        <w:t>oproti výsledku zjištěnému v rámci VŠPO 07</w:t>
      </w:r>
      <w:r>
        <w:rPr>
          <w:b/>
          <w:bCs/>
        </w:rPr>
        <w:t xml:space="preserve">, </w:t>
      </w:r>
      <w:r w:rsidRPr="00FC06F2">
        <w:rPr>
          <w:bCs/>
        </w:rPr>
        <w:t xml:space="preserve">a to </w:t>
      </w:r>
      <w:r w:rsidRPr="00FC06F2">
        <w:rPr>
          <w:b/>
          <w:bCs/>
        </w:rPr>
        <w:t>ve výši 2,1 procentních bodů</w:t>
      </w:r>
      <w:r>
        <w:rPr>
          <w:bCs/>
        </w:rPr>
        <w:t xml:space="preserve">. Hodnotíme-li ve vztahu k výstupům z minulého šetření skupinu </w:t>
      </w:r>
      <w:r>
        <w:rPr>
          <w:bCs/>
          <w:u w:val="single"/>
        </w:rPr>
        <w:t>prvních získaných zdravotních postižení</w:t>
      </w:r>
      <w:r>
        <w:rPr>
          <w:bCs/>
        </w:rPr>
        <w:t>, zjišťujeme, že z celkového pohledu došlo k </w:t>
      </w:r>
      <w:r w:rsidRPr="00A3310E">
        <w:rPr>
          <w:b/>
          <w:bCs/>
        </w:rPr>
        <w:t>poklesu ve výši 2,1 procentních bodů</w:t>
      </w:r>
      <w:r>
        <w:rPr>
          <w:bCs/>
        </w:rPr>
        <w:t>. Pokud budeme jako u pohlaví hodnotit dvě nejsilněji zastoupené věkové skupiny 45 – 59 let a 60 -74 let, zjistíme, že zatímco prvně uvedená věková skupina vykázala pokles o 2 procentní body, druhá skupina naopak vykázala nárůst (o 2,5 procentních bodů). Zajímavé jsou ještě výsledky věkové skupiny 30 – 44 let (pokles o 3,6 procentních bodů) a 75 + let (nárůst o 2,4 procentních bodů). Ostatní dvě věkové kategorie (0 – 14 let a 15 – 29 let) vykázaly relativně méně významné hodnoty, pohybující se na úrovni cca 0,5 procentního bodu směrem nahoru resp. dolů.</w:t>
      </w:r>
    </w:p>
    <w:p w:rsidR="009C2DCF" w:rsidRDefault="009C2DCF" w:rsidP="009C2DCF">
      <w:pPr>
        <w:ind w:firstLine="567"/>
      </w:pPr>
      <w:r>
        <w:t xml:space="preserve">Při hodnocení </w:t>
      </w:r>
      <w:r w:rsidRPr="005C0A32">
        <w:rPr>
          <w:b/>
        </w:rPr>
        <w:t xml:space="preserve">z hlediska věku </w:t>
      </w:r>
      <w:r>
        <w:t xml:space="preserve">(pozn.: u prvních zdravotních postižení jde o skutečnost, v jakém věku zdravotně postižených osob byla tato postižení získána) </w:t>
      </w:r>
      <w:r w:rsidRPr="005C0A32">
        <w:rPr>
          <w:b/>
        </w:rPr>
        <w:t>a pohlaví</w:t>
      </w:r>
      <w:r>
        <w:t xml:space="preserve"> byl zjištěn </w:t>
      </w:r>
      <w:r w:rsidRPr="005C0A32">
        <w:rPr>
          <w:b/>
        </w:rPr>
        <w:t>u mužů</w:t>
      </w:r>
      <w:r w:rsidRPr="005C0A32">
        <w:t xml:space="preserve"> ve skupině </w:t>
      </w:r>
      <w:r w:rsidRPr="005C0A32">
        <w:rPr>
          <w:u w:val="single"/>
        </w:rPr>
        <w:t>vrozených zdravotních postižení</w:t>
      </w:r>
      <w:r>
        <w:t xml:space="preserve"> jako celku nárůst oproti předchozímu šetření o 3,2 procentních bodů. Podíváme-li se na stejné kritérium u </w:t>
      </w:r>
      <w:r w:rsidRPr="005C0A32">
        <w:rPr>
          <w:u w:val="single"/>
        </w:rPr>
        <w:t>prvního</w:t>
      </w:r>
      <w:r>
        <w:rPr>
          <w:u w:val="single"/>
        </w:rPr>
        <w:t xml:space="preserve"> získaného</w:t>
      </w:r>
      <w:r w:rsidRPr="005C0A32">
        <w:rPr>
          <w:u w:val="single"/>
        </w:rPr>
        <w:t xml:space="preserve"> zdravotního postižení</w:t>
      </w:r>
      <w:r>
        <w:t xml:space="preserve"> a dvou hodnot s nevyšším podílem, pak dojdeme k závěru, že u věkové kategorie 45 – 59 let byl vykázán pokles o 1 procentní bod, zatímco ve věkové skupině 60 – 74 l</w:t>
      </w:r>
      <w:r w:rsidR="00857D78">
        <w:t>et byl zjištěn naopak nárůst (o </w:t>
      </w:r>
      <w:r>
        <w:t>3,5 procentních bodů).</w:t>
      </w:r>
    </w:p>
    <w:p w:rsidR="009C2DCF" w:rsidRPr="002E667B" w:rsidRDefault="009C2DCF" w:rsidP="009C2DCF">
      <w:pPr>
        <w:ind w:firstLine="567"/>
      </w:pPr>
      <w:r>
        <w:t xml:space="preserve">Budeme-li z hlediska stejného kritéria hodnotit </w:t>
      </w:r>
      <w:r w:rsidRPr="005C0A32">
        <w:rPr>
          <w:b/>
        </w:rPr>
        <w:t>ženy</w:t>
      </w:r>
      <w:r>
        <w:t xml:space="preserve">, zjistíme, že ve skupině </w:t>
      </w:r>
      <w:r w:rsidRPr="005C0A32">
        <w:rPr>
          <w:u w:val="single"/>
        </w:rPr>
        <w:t>vrozených zdravotních postižení</w:t>
      </w:r>
      <w:r>
        <w:t xml:space="preserve"> byl stejně jako u mužů zjištěn v porovnání s výsledky předchozího šetření nárůst, i když přece jen o dost nižší (ve výši + 1,3 procentních bodů). Na druhé straně, pokud se zaměříme jako u mužů na dvě nejsilněji zastoupené věkové skupiny u </w:t>
      </w:r>
      <w:r w:rsidRPr="005C014B">
        <w:rPr>
          <w:u w:val="single"/>
        </w:rPr>
        <w:t xml:space="preserve">prvního </w:t>
      </w:r>
      <w:r>
        <w:rPr>
          <w:u w:val="single"/>
        </w:rPr>
        <w:t xml:space="preserve">získaného </w:t>
      </w:r>
      <w:r w:rsidRPr="005C014B">
        <w:rPr>
          <w:u w:val="single"/>
        </w:rPr>
        <w:t>zdravotního postižení</w:t>
      </w:r>
      <w:r>
        <w:t>, pak můžeme konstatovat podobný trend, jako byl zjištěn a popsán u mužů (konkrétně to pak znamená, že u věkové kategorie 45 – 59 let byl vykázán pokles, a to o 2,7 procentních bodů, zatímco ve věkové skupině 60 – 74 let byl naopak zaznamenán nárůst, a to o 1,6 procentních bodů).</w:t>
      </w:r>
    </w:p>
    <w:p w:rsidR="009C2DCF" w:rsidRDefault="009C2DCF" w:rsidP="009C2DCF">
      <w:pPr>
        <w:ind w:firstLine="567"/>
        <w:rPr>
          <w:bCs/>
        </w:rPr>
      </w:pPr>
      <w:r>
        <w:rPr>
          <w:bCs/>
        </w:rPr>
        <w:t xml:space="preserve">Na doplnění problematiky délky zdravotního postižení podle věku a pohlaví uvádíme ještě jeden důležitý indikátor, kterým je </w:t>
      </w:r>
      <w:r w:rsidRPr="00D64841">
        <w:rPr>
          <w:b/>
          <w:bCs/>
        </w:rPr>
        <w:t>průměr let života se získaným postižením</w:t>
      </w:r>
      <w:r>
        <w:rPr>
          <w:bCs/>
        </w:rPr>
        <w:t xml:space="preserve">. </w:t>
      </w:r>
      <w:r w:rsidR="00857D78">
        <w:rPr>
          <w:b/>
          <w:bCs/>
        </w:rPr>
        <w:t>Tento průměr se snížil o </w:t>
      </w:r>
      <w:r w:rsidRPr="00F5794E">
        <w:rPr>
          <w:b/>
          <w:bCs/>
        </w:rPr>
        <w:t>1,2 roku</w:t>
      </w:r>
      <w:r>
        <w:rPr>
          <w:bCs/>
        </w:rPr>
        <w:t xml:space="preserve">, což lze považovat za pozitivní trend. </w:t>
      </w:r>
    </w:p>
    <w:p w:rsidR="009C2DCF" w:rsidRDefault="009C2DCF" w:rsidP="009C2DCF">
      <w:pPr>
        <w:ind w:firstLine="567"/>
        <w:rPr>
          <w:bCs/>
        </w:rPr>
      </w:pPr>
      <w:r>
        <w:rPr>
          <w:bCs/>
        </w:rPr>
        <w:lastRenderedPageBreak/>
        <w:t>Názornější pohled na posledně uváděné výsledky, velmi důležité indikátory, získáme z dále uváděných dvou grafů (č. 10 a č. 11).</w:t>
      </w:r>
    </w:p>
    <w:p w:rsidR="009C2DCF" w:rsidRDefault="009C2DCF" w:rsidP="009C2DCF">
      <w:pPr>
        <w:ind w:firstLine="567"/>
        <w:rPr>
          <w:bCs/>
        </w:rPr>
      </w:pPr>
    </w:p>
    <w:p w:rsidR="009C2DCF" w:rsidRDefault="009C2DCF" w:rsidP="009C2DCF">
      <w:pPr>
        <w:pStyle w:val="Nzavtabulky"/>
        <w:spacing w:before="0"/>
        <w:rPr>
          <w:rFonts w:eastAsia="Times New Roman"/>
          <w:bCs/>
        </w:rPr>
      </w:pPr>
      <w:r w:rsidRPr="00202ECC">
        <w:t>Graf č. 10: Podíl vrozených postižení</w:t>
      </w:r>
    </w:p>
    <w:p w:rsidR="009C2DCF" w:rsidRDefault="009C2DCF" w:rsidP="009C2DCF">
      <w:pPr>
        <w:rPr>
          <w:noProof/>
        </w:rPr>
      </w:pPr>
      <w:r>
        <w:rPr>
          <w:noProof/>
        </w:rPr>
        <w:drawing>
          <wp:inline distT="0" distB="0" distL="0" distR="0">
            <wp:extent cx="5772150" cy="3726815"/>
            <wp:effectExtent l="19050" t="0" r="19050" b="6985"/>
            <wp:docPr id="4" name="obráze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2DCF" w:rsidRDefault="009C2DCF" w:rsidP="009C2DCF">
      <w:pPr>
        <w:rPr>
          <w:noProof/>
        </w:rPr>
      </w:pPr>
    </w:p>
    <w:p w:rsidR="009C2DCF" w:rsidRDefault="009C2DCF" w:rsidP="009C2DCF">
      <w:pPr>
        <w:pStyle w:val="Nzavtabulky"/>
        <w:spacing w:before="0"/>
        <w:rPr>
          <w:rFonts w:eastAsia="Times New Roman"/>
        </w:rPr>
      </w:pPr>
      <w:r w:rsidRPr="00202ECC">
        <w:t>Graf č. 11: Průměr let života se získaným postižením</w:t>
      </w:r>
    </w:p>
    <w:p w:rsidR="009C2DCF" w:rsidRDefault="009C2DCF" w:rsidP="009C2DCF">
      <w:pPr>
        <w:pStyle w:val="Zkladnodstavec"/>
        <w:jc w:val="both"/>
        <w:rPr>
          <w:rFonts w:ascii="Arial" w:hAnsi="Arial" w:cs="Arial"/>
          <w:b/>
          <w:noProof/>
          <w:color w:val="7DB41E"/>
        </w:rPr>
      </w:pPr>
      <w:r>
        <w:rPr>
          <w:rFonts w:ascii="Arial" w:hAnsi="Arial" w:cs="Arial"/>
          <w:b/>
          <w:noProof/>
          <w:color w:val="7DB41E"/>
        </w:rPr>
        <w:drawing>
          <wp:inline distT="0" distB="0" distL="0" distR="0">
            <wp:extent cx="5778500" cy="3556635"/>
            <wp:effectExtent l="19050" t="0" r="12700" b="5715"/>
            <wp:docPr id="5" name="obráze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2DCF" w:rsidRDefault="009C2DCF" w:rsidP="009C2DCF">
      <w:pPr>
        <w:pStyle w:val="Nadpis3"/>
        <w:keepLines w:val="0"/>
        <w:numPr>
          <w:ilvl w:val="2"/>
          <w:numId w:val="10"/>
        </w:numPr>
        <w:spacing w:before="240" w:after="60"/>
      </w:pPr>
      <w:bookmarkStart w:id="12" w:name="_Toc382812536"/>
      <w:r>
        <w:lastRenderedPageBreak/>
        <w:t>Potřeba pomůcek u osob se zdravotním postižením</w:t>
      </w:r>
      <w:bookmarkEnd w:id="12"/>
    </w:p>
    <w:p w:rsidR="009C2DCF" w:rsidRDefault="009C2DCF" w:rsidP="009C2DCF">
      <w:pPr>
        <w:ind w:firstLine="567"/>
      </w:pPr>
      <w:r>
        <w:t>Pomineme-li tři druhy rovněž kvantifikovaných, ale v této souvislosti méně důležitých odpovědí („není známo“, „nevyplněno“ a „jiné“) a zaměříme-li se na rozhodující tři odpovědi, zjistíme extrémně vysokou převahu odpovědí osob se zdravotním postižením: buď že žádnou pomůcku nepotřebují, anebo mají pomůcku odpovídající jejich potřebám. Poslední možnou odpovědí byla reakce těchto osob ve smyslu toho, že mají pomůcku nevyhovující (ovšem podíl tohoto typu odpovědí na celku měl relativně velmi nízkou hodnotu).</w:t>
      </w:r>
    </w:p>
    <w:p w:rsidR="009C2DCF" w:rsidRDefault="009C2DCF" w:rsidP="009C2DCF">
      <w:pPr>
        <w:ind w:firstLine="567"/>
      </w:pPr>
      <w:r>
        <w:t xml:space="preserve">Z hlediska porovnání těchto tří typů odpovědí s výsledky předchozího šetření </w:t>
      </w:r>
      <w:r w:rsidRPr="001768C2">
        <w:rPr>
          <w:b/>
        </w:rPr>
        <w:t>došlo k poklesu u odpovědi, že žádnou pomůcku nepotřebuje (celkem o 14,9 procentních bodů)</w:t>
      </w:r>
      <w:r>
        <w:t>. Tento pokles byl ovlivněn poklesy u všech sedmi typů zdravotního postižení, n</w:t>
      </w:r>
      <w:r w:rsidR="00857D78">
        <w:t xml:space="preserve">ejvíce však u vnitřního </w:t>
      </w:r>
      <w:r w:rsidR="00857D78">
        <w:br/>
        <w:t>(-21,9 </w:t>
      </w:r>
      <w:r>
        <w:t xml:space="preserve">procentních bodů) a mentálního (- 18,3 procentních bodů). </w:t>
      </w:r>
      <w:r w:rsidRPr="002A4775">
        <w:rPr>
          <w:u w:val="single"/>
        </w:rPr>
        <w:t>K těmto výstupům je však nutné poznamenat, že je velmi obtížné interpretovat skutečnost, která se může na první pohled jevit jako pozitivní tendence, proč se odpovědi v uvedeném slova smyslu natolik od sebe liší. Důvodem nemusí být obecně odpověď, která se nabízí – v důsledku významnéh</w:t>
      </w:r>
      <w:r>
        <w:rPr>
          <w:u w:val="single"/>
        </w:rPr>
        <w:t>o zlepšení lékařské péče a širšího</w:t>
      </w:r>
      <w:r w:rsidRPr="002A4775">
        <w:rPr>
          <w:u w:val="single"/>
        </w:rPr>
        <w:t xml:space="preserve"> využívání technicky nejmodernější zdravotní techniky</w:t>
      </w:r>
      <w:r>
        <w:t xml:space="preserve">. </w:t>
      </w:r>
      <w:r>
        <w:rPr>
          <w:b/>
        </w:rPr>
        <w:t xml:space="preserve">Proto by si tato problematika zasloužila následně </w:t>
      </w:r>
      <w:r w:rsidRPr="002A4775">
        <w:rPr>
          <w:b/>
        </w:rPr>
        <w:t>hlubší analýzu</w:t>
      </w:r>
      <w:r>
        <w:t>.</w:t>
      </w:r>
    </w:p>
    <w:p w:rsidR="009C2DCF" w:rsidRDefault="009C2DCF" w:rsidP="009C2DCF">
      <w:pPr>
        <w:ind w:firstLine="567"/>
      </w:pPr>
      <w:r>
        <w:t xml:space="preserve">Hodnotíme-li zbývající dva výše již zmíněné typy odpovědí, pak z pohledu celkových hodnot došlo u odpovědí </w:t>
      </w:r>
      <w:r w:rsidRPr="000E7A88">
        <w:rPr>
          <w:b/>
        </w:rPr>
        <w:t>odpovídající pomůcky</w:t>
      </w:r>
      <w:r>
        <w:t xml:space="preserve"> k mírnému </w:t>
      </w:r>
      <w:r w:rsidRPr="000E7A88">
        <w:rPr>
          <w:b/>
        </w:rPr>
        <w:t>poklesu (o 0,6 procentního bodu)</w:t>
      </w:r>
      <w:r w:rsidR="00857D78">
        <w:t>, zatímco u </w:t>
      </w:r>
      <w:r>
        <w:t xml:space="preserve">odpovědi </w:t>
      </w:r>
      <w:r w:rsidRPr="000E7A88">
        <w:rPr>
          <w:b/>
        </w:rPr>
        <w:t>nevyhovující pomůcky</w:t>
      </w:r>
      <w:r>
        <w:t xml:space="preserve"> byl naopak zjištěn </w:t>
      </w:r>
      <w:r w:rsidRPr="000E7A88">
        <w:rPr>
          <w:b/>
        </w:rPr>
        <w:t>nárůst (o 1,1 procentních bodů)</w:t>
      </w:r>
      <w:r>
        <w:t xml:space="preserve">. Pokud porovnáme výsledky u těchto dvou typů odpovědí ještě z hlediska sedmi typů zdravotního postižení, pak nejvyšší pokles u odpovědí odpovídající pomůcky byl zaznamenán u sluchového typu postižení </w:t>
      </w:r>
      <w:r w:rsidR="00857D78">
        <w:br/>
      </w:r>
      <w:r>
        <w:t>(- 11,2 procentních bodů), zatímco u odpovědi nevyhovující pomůcky byl</w:t>
      </w:r>
      <w:r w:rsidR="00857D78">
        <w:t xml:space="preserve"> nejvyšší nárůst zjištěn opět u </w:t>
      </w:r>
      <w:r>
        <w:t>sluchového typu postižení (+ 8,5 procentních bodů).</w:t>
      </w:r>
    </w:p>
    <w:p w:rsidR="009C2DCF" w:rsidRPr="00EB1180" w:rsidRDefault="009C2DCF" w:rsidP="009C2DCF">
      <w:pPr>
        <w:pStyle w:val="Nadpis3"/>
        <w:keepLines w:val="0"/>
        <w:numPr>
          <w:ilvl w:val="2"/>
          <w:numId w:val="10"/>
        </w:numPr>
        <w:spacing w:before="240" w:after="60"/>
      </w:pPr>
      <w:bookmarkStart w:id="13" w:name="_Toc382812537"/>
      <w:r>
        <w:t>Důsledky zdravotního postižení</w:t>
      </w:r>
      <w:bookmarkEnd w:id="13"/>
    </w:p>
    <w:p w:rsidR="009C2DCF" w:rsidRDefault="009C2DCF" w:rsidP="009C2DCF">
      <w:pPr>
        <w:ind w:firstLine="567"/>
      </w:pPr>
      <w:r>
        <w:t xml:space="preserve">U této části analýzy se nejdříve velmi stručně dotkneme věkové struktury osob se zdravotním postižením ve vztahu k typu omezení, při porovnání výsledků obou šetření. V této souvislosti můžeme učinit obecný závěr – prakticky </w:t>
      </w:r>
      <w:r w:rsidRPr="00F15F7F">
        <w:rPr>
          <w:u w:val="single"/>
        </w:rPr>
        <w:t xml:space="preserve">u všech devíti typů omezení jsou nesilněji zastoupeny </w:t>
      </w:r>
      <w:r w:rsidRPr="003D556C">
        <w:rPr>
          <w:u w:val="single"/>
        </w:rPr>
        <w:t>vyšší věkové kategorie</w:t>
      </w:r>
      <w:r>
        <w:t xml:space="preserve"> (zejména věková skupina 75+ let a 60 – 74 let).</w:t>
      </w:r>
    </w:p>
    <w:p w:rsidR="009C2DCF" w:rsidRDefault="009C2DCF" w:rsidP="009C2DCF">
      <w:pPr>
        <w:ind w:firstLine="567"/>
      </w:pPr>
      <w:r>
        <w:t xml:space="preserve">Pokud se zaměříme na </w:t>
      </w:r>
      <w:r w:rsidRPr="00A90764">
        <w:rPr>
          <w:u w:val="single"/>
        </w:rPr>
        <w:t xml:space="preserve">celkové hodnoty </w:t>
      </w:r>
      <w:r>
        <w:rPr>
          <w:u w:val="single"/>
        </w:rPr>
        <w:t xml:space="preserve">v absolutním vyjádření </w:t>
      </w:r>
      <w:r w:rsidRPr="00A90764">
        <w:rPr>
          <w:u w:val="single"/>
        </w:rPr>
        <w:t>(bez rozlišení pohlaví</w:t>
      </w:r>
      <w:r>
        <w:t xml:space="preserve">) </w:t>
      </w:r>
      <w:r w:rsidRPr="00F15F7F">
        <w:t>získané</w:t>
      </w:r>
      <w:r>
        <w:t xml:space="preserve"> z obou šetření, zjistíme, že u šesti typů omezení jsou rozdíly v procentních bodech relativně velmi nízké (maximálně do 0,5 procentního bodu, v tom čtyřikrát nárůsty a dvakrát poklesy). U zbývajících tří typů omezení s největšími odchylkami byl poměrně vysoký </w:t>
      </w:r>
      <w:r w:rsidRPr="00EF07B4">
        <w:rPr>
          <w:b/>
        </w:rPr>
        <w:t>pokles</w:t>
      </w:r>
      <w:r>
        <w:t xml:space="preserve"> zjištěn </w:t>
      </w:r>
      <w:r w:rsidRPr="00EF07B4">
        <w:rPr>
          <w:b/>
        </w:rPr>
        <w:t>u omezení mobility (o 2,6 procentních bodů)</w:t>
      </w:r>
      <w:r>
        <w:t xml:space="preserve"> a na druhé straně byly zaznamenány </w:t>
      </w:r>
      <w:r w:rsidRPr="00EF07B4">
        <w:rPr>
          <w:b/>
        </w:rPr>
        <w:t>nárůsty u omezení při vedení domácnosti (o 1,3 procentních bodů) a u omezení v příjmu informací (o 1 procentní bod)</w:t>
      </w:r>
      <w:r>
        <w:t xml:space="preserve">.  </w:t>
      </w:r>
    </w:p>
    <w:p w:rsidR="009C2DCF" w:rsidRDefault="009C2DCF" w:rsidP="009C2DCF">
      <w:pPr>
        <w:ind w:firstLine="567"/>
      </w:pPr>
      <w:r w:rsidRPr="00A90764">
        <w:rPr>
          <w:u w:val="single"/>
        </w:rPr>
        <w:t xml:space="preserve">Z hlediska celkových hodnot a relace </w:t>
      </w:r>
      <w:r>
        <w:rPr>
          <w:u w:val="single"/>
        </w:rPr>
        <w:t xml:space="preserve">jednotlivých </w:t>
      </w:r>
      <w:r w:rsidRPr="00A90764">
        <w:rPr>
          <w:u w:val="single"/>
        </w:rPr>
        <w:t xml:space="preserve">typů omezení a </w:t>
      </w:r>
      <w:r>
        <w:rPr>
          <w:u w:val="single"/>
        </w:rPr>
        <w:t xml:space="preserve">všech </w:t>
      </w:r>
      <w:r w:rsidRPr="00A90764">
        <w:rPr>
          <w:u w:val="single"/>
        </w:rPr>
        <w:t>typů zdravotního postižení</w:t>
      </w:r>
      <w:r>
        <w:t xml:space="preserve"> lze za </w:t>
      </w:r>
      <w:r w:rsidRPr="00942B40">
        <w:rPr>
          <w:u w:val="single"/>
        </w:rPr>
        <w:t>ne</w:t>
      </w:r>
      <w:r>
        <w:rPr>
          <w:u w:val="single"/>
        </w:rPr>
        <w:t>j</w:t>
      </w:r>
      <w:r w:rsidRPr="00942B40">
        <w:rPr>
          <w:u w:val="single"/>
        </w:rPr>
        <w:t>výraznější odchylky</w:t>
      </w:r>
      <w:r>
        <w:t xml:space="preserve"> označit následující: omezení mobility (pokles o 5,1 procentních bodů) a nárůsty u omezení v příjmu informací (o 1,9 procentních bodů), v orientaci (o 1,6 procentních bodů), komunikačních schopností (o 1,4 procentních bodů) a způsobilosti k právním úkonům (o 1,1 procentních bodů).</w:t>
      </w:r>
    </w:p>
    <w:p w:rsidR="009C2DCF" w:rsidRDefault="009C2DCF" w:rsidP="009C2DCF">
      <w:pPr>
        <w:ind w:firstLine="567"/>
      </w:pPr>
      <w:r>
        <w:t xml:space="preserve">Na závěr této problematiky je nutné ještě zmínit, jaký byl </w:t>
      </w:r>
      <w:r w:rsidRPr="00446F80">
        <w:rPr>
          <w:b/>
        </w:rPr>
        <w:t>počet omezení na jednu zdravotně postiženou osobu</w:t>
      </w:r>
      <w:r>
        <w:t xml:space="preserve">. Když porovnáme výsledky obou šetření a podíváme se na tento indikátor z hlediska celkových hodnot v absolutním vyjádření (bez rozlišení pohlaví), pak je tento počet </w:t>
      </w:r>
      <w:r w:rsidR="00857D78">
        <w:rPr>
          <w:b/>
        </w:rPr>
        <w:t>vyšší o </w:t>
      </w:r>
      <w:r w:rsidRPr="00446F80">
        <w:rPr>
          <w:b/>
        </w:rPr>
        <w:t>0,</w:t>
      </w:r>
      <w:r w:rsidRPr="00BC2AF3">
        <w:rPr>
          <w:b/>
        </w:rPr>
        <w:t xml:space="preserve">2 </w:t>
      </w:r>
      <w:r>
        <w:rPr>
          <w:b/>
        </w:rPr>
        <w:t>omezení</w:t>
      </w:r>
      <w:r>
        <w:t xml:space="preserve"> (oproti VŠPO 07); z </w:t>
      </w:r>
      <w:r w:rsidRPr="00BC2AF3">
        <w:t xml:space="preserve">hlediska sumární hodnoty všech sedmi typů postižení je tento počet </w:t>
      </w:r>
      <w:r w:rsidRPr="00BC2AF3">
        <w:rPr>
          <w:b/>
        </w:rPr>
        <w:t xml:space="preserve">vyšší o 0,1 </w:t>
      </w:r>
      <w:r>
        <w:rPr>
          <w:b/>
        </w:rPr>
        <w:t>omezení</w:t>
      </w:r>
      <w:r>
        <w:t xml:space="preserve"> (oproti VŠPO 07).</w:t>
      </w:r>
    </w:p>
    <w:p w:rsidR="009C2DCF" w:rsidRPr="00EB1180" w:rsidRDefault="009C2DCF" w:rsidP="009C2DCF">
      <w:pPr>
        <w:pStyle w:val="Nadpis3"/>
        <w:keepLines w:val="0"/>
        <w:numPr>
          <w:ilvl w:val="2"/>
          <w:numId w:val="10"/>
        </w:numPr>
        <w:spacing w:before="240" w:after="60"/>
      </w:pPr>
      <w:bookmarkStart w:id="14" w:name="_Toc382812538"/>
      <w:r w:rsidRPr="00EB1180">
        <w:t>Rozsah zajištění pomoci osobám se zdravotním postižením</w:t>
      </w:r>
      <w:bookmarkEnd w:id="14"/>
    </w:p>
    <w:p w:rsidR="009C2DCF" w:rsidRDefault="009C2DCF" w:rsidP="009C2DCF">
      <w:pPr>
        <w:ind w:firstLine="567"/>
      </w:pPr>
      <w:r>
        <w:t xml:space="preserve">Podobně jako u důsledků zdravotního postižení můžeme učinit obdobný obecný závěr při porovnání výsledků obou šetření i u rozsahu pomoci osobám se zdravotním postižením – </w:t>
      </w:r>
      <w:r>
        <w:rPr>
          <w:u w:val="single"/>
        </w:rPr>
        <w:t xml:space="preserve">u šesti možných poskytovatelů pomoci handicapovaným </w:t>
      </w:r>
      <w:proofErr w:type="gramStart"/>
      <w:r>
        <w:rPr>
          <w:u w:val="single"/>
        </w:rPr>
        <w:t xml:space="preserve">občanům </w:t>
      </w:r>
      <w:r w:rsidRPr="00F15F7F">
        <w:rPr>
          <w:u w:val="single"/>
        </w:rPr>
        <w:t xml:space="preserve"> jsou</w:t>
      </w:r>
      <w:proofErr w:type="gramEnd"/>
      <w:r w:rsidRPr="00F15F7F">
        <w:rPr>
          <w:u w:val="single"/>
        </w:rPr>
        <w:t xml:space="preserve"> nesilněji zastoupeny </w:t>
      </w:r>
      <w:r w:rsidRPr="003D556C">
        <w:rPr>
          <w:u w:val="single"/>
        </w:rPr>
        <w:t>vyšší věkové kategorie</w:t>
      </w:r>
      <w:r>
        <w:t xml:space="preserve"> (zejména věková skupina 75+ let a 60 – 74 let); výjimkou je osobní asistent, který je v rámci výsledků VŠPO 13 nejvíce zastoupen u nižších věkových skupin (se značnou převahou pak u osob se zdravotním postižením do 14 let věku), na rozdíl od výstupů u VŠPO 07, kde byl zjištěno nejvyšší zastoupení ve vyšších věkových skupinách.</w:t>
      </w:r>
    </w:p>
    <w:p w:rsidR="009C2DCF" w:rsidRDefault="009C2DCF" w:rsidP="009C2DCF">
      <w:pPr>
        <w:ind w:firstLine="567"/>
      </w:pPr>
      <w:r>
        <w:lastRenderedPageBreak/>
        <w:t xml:space="preserve">Abychom provedli relativně korektní porovnání s předchozím šetřením, </w:t>
      </w:r>
      <w:r w:rsidRPr="00567223">
        <w:rPr>
          <w:b/>
        </w:rPr>
        <w:t>z hlediska celkových výsledků v relaci s mírou nejtěžšího postižení</w:t>
      </w:r>
      <w:r>
        <w:t xml:space="preserve">, </w:t>
      </w:r>
      <w:r w:rsidRPr="00774389">
        <w:rPr>
          <w:u w:val="single"/>
        </w:rPr>
        <w:t>je nutné upozornit na skutečnost</w:t>
      </w:r>
      <w:r>
        <w:t xml:space="preserve">, že </w:t>
      </w:r>
      <w:r w:rsidRPr="00567223">
        <w:rPr>
          <w:u w:val="single"/>
        </w:rPr>
        <w:t>za prvé</w:t>
      </w:r>
      <w:r>
        <w:t xml:space="preserve"> byly sloučeny možnosti poskytovatelů pomoci (poskytovatel zdravotní péče + jiné osoby) do jediné výsledné hodnoty (v rámci VŠPO 07 byla předmětem šetření srovnatelná možnost „jiný subjekt“) </w:t>
      </w:r>
      <w:r w:rsidR="00857D78">
        <w:br/>
      </w:r>
      <w:r>
        <w:t xml:space="preserve">a </w:t>
      </w:r>
      <w:r w:rsidR="00857D78">
        <w:rPr>
          <w:u w:val="single"/>
        </w:rPr>
        <w:t>za </w:t>
      </w:r>
      <w:r w:rsidRPr="00567223">
        <w:rPr>
          <w:u w:val="single"/>
        </w:rPr>
        <w:t>druhé</w:t>
      </w:r>
      <w:r>
        <w:t xml:space="preserve"> byly sloučeny odpovědi typu „bez zajištění péče“ + „není známo“ do jediné výsledné hodnoty (v rámci VŠPO 07 existovala pouze srovnatelná možnost „bez zajištění péče“).</w:t>
      </w:r>
    </w:p>
    <w:p w:rsidR="009C2DCF" w:rsidRDefault="009C2DCF" w:rsidP="009C2DCF">
      <w:pPr>
        <w:ind w:firstLine="567"/>
      </w:pPr>
      <w:r>
        <w:t xml:space="preserve">Návazně na právě uvedená metodická zjednodušení nám z porovnání obou šetření vyplývá, pomineme-li možnosti s relativně nižšími rozdíly - poklesy (osobní asistent, sousedé a přátelé, pečovatelská služba), že </w:t>
      </w:r>
      <w:r w:rsidRPr="002319ED">
        <w:rPr>
          <w:b/>
        </w:rPr>
        <w:t>nejvyšší nárůst</w:t>
      </w:r>
      <w:r>
        <w:t xml:space="preserve"> nastal u možnosti kumulovaných odpovědí „bez zajištění péče“ + „není známo“ (o 12,8 procentních bodů), následovaný druhou možností kumulovaných odpovědí „poskytovatel zdravotní péče“ + „jiné osoby“ (o 3,3 procentních bodů); na druhé straně </w:t>
      </w:r>
      <w:r w:rsidRPr="002319ED">
        <w:rPr>
          <w:b/>
        </w:rPr>
        <w:t>nejvyšší pokles</w:t>
      </w:r>
      <w:r>
        <w:t xml:space="preserve"> byl vykázán ve skupině nejbližších příbuzných (o 8,7 procentních bodů) </w:t>
      </w:r>
      <w:r w:rsidR="00857D78">
        <w:br/>
      </w:r>
      <w:r>
        <w:t>a vzdálenějších příbuzných (o 4,9 procentních bodů).</w:t>
      </w:r>
    </w:p>
    <w:p w:rsidR="009C2DCF" w:rsidRPr="00EB1180" w:rsidRDefault="009C2DCF" w:rsidP="009C2DCF">
      <w:pPr>
        <w:pStyle w:val="Nadpis3"/>
        <w:keepLines w:val="0"/>
        <w:numPr>
          <w:ilvl w:val="2"/>
          <w:numId w:val="10"/>
        </w:numPr>
        <w:spacing w:before="240" w:after="60"/>
      </w:pPr>
      <w:bookmarkStart w:id="15" w:name="_Toc382812539"/>
      <w:r w:rsidRPr="00EB1180">
        <w:t>Míra soběstačnosti u osob se zdravotním postižením</w:t>
      </w:r>
      <w:bookmarkEnd w:id="15"/>
    </w:p>
    <w:p w:rsidR="009C2DCF" w:rsidRDefault="009C2DCF" w:rsidP="009C2DCF">
      <w:pPr>
        <w:ind w:firstLine="567"/>
      </w:pPr>
      <w:r>
        <w:t xml:space="preserve">Obecně lze učinit závěr, při porovnávání výsledků obou šetření, že </w:t>
      </w:r>
      <w:r w:rsidRPr="00EB1180">
        <w:rPr>
          <w:rStyle w:val="Zvraznn"/>
        </w:rPr>
        <w:t>všechny výstupy v rámci VŠPO 13 (z pohledu jak pohlaví, tak i věkových skupin a měr nejtěžšího postižení) v podstatě kopírují relevantní výstupy šetření VŠPO 07</w:t>
      </w:r>
      <w:r>
        <w:t xml:space="preserve"> (až na malé, nevýznamné výjimky).</w:t>
      </w:r>
    </w:p>
    <w:p w:rsidR="009C2DCF" w:rsidRDefault="009C2DCF" w:rsidP="009C2DCF">
      <w:pPr>
        <w:ind w:firstLine="567"/>
      </w:pPr>
      <w:r>
        <w:t xml:space="preserve">Nicméně pokud se podíváme na </w:t>
      </w:r>
      <w:r w:rsidRPr="00EB1180">
        <w:rPr>
          <w:rStyle w:val="Zvraznn"/>
        </w:rPr>
        <w:t>celkové hodnoty zjištěné u obou šetření z hlediska čtyř základních měr soběstačnosti</w:t>
      </w:r>
      <w:r>
        <w:t xml:space="preserve">, </w:t>
      </w:r>
      <w:r w:rsidRPr="00596DB1">
        <w:rPr>
          <w:b/>
        </w:rPr>
        <w:t>dojdeme k negativním výsledkům u skupiny úplné soběstačnosti (pokles o 3 procentní body)</w:t>
      </w:r>
      <w:r>
        <w:rPr>
          <w:b/>
        </w:rPr>
        <w:t xml:space="preserve"> </w:t>
      </w:r>
      <w:r w:rsidRPr="00596DB1">
        <w:rPr>
          <w:b/>
        </w:rPr>
        <w:t xml:space="preserve">a nesoběstačnosti </w:t>
      </w:r>
      <w:r>
        <w:t xml:space="preserve">v rozsahu cca 24 hodin </w:t>
      </w:r>
      <w:r w:rsidRPr="00596DB1">
        <w:rPr>
          <w:b/>
        </w:rPr>
        <w:t>(nárůst o 2,9 procentních bodů)</w:t>
      </w:r>
      <w:r>
        <w:t xml:space="preserve">. Třetí rovněž silněji zastoupenou mírou soběstačnosti je pomoc v rozsahu několika hodin denně, která vykazuje pokles o 3,9 procentních bodů – otázkou je, zda lze tento výsledek považovat za jednoznačně pozitivní hodnocení. Poslední, čtvrtou skupinou je celodenní pomoc (4 – 12 hodin), která je s nárůstem pouhých 0,9 procentního bodu nepodstatnou skupinou v rámci celkového hodnocení měr soběstačnosti. Názorněji jsou právě uváděné hodnoty </w:t>
      </w:r>
      <w:r w:rsidR="00857D78">
        <w:t>patrné z následující tabulky č. </w:t>
      </w:r>
      <w:r>
        <w:t>27.</w:t>
      </w:r>
    </w:p>
    <w:p w:rsidR="009C2DCF" w:rsidRDefault="009C2DCF" w:rsidP="009C2DCF">
      <w:pPr>
        <w:pStyle w:val="Nzavtabulky"/>
      </w:pPr>
      <w:r>
        <w:t>Tabulka č. 27:</w:t>
      </w:r>
      <w:r>
        <w:tab/>
        <w:t>Míra soběstačnosti</w:t>
      </w:r>
    </w:p>
    <w:tbl>
      <w:tblPr>
        <w:tblW w:w="9052" w:type="dxa"/>
        <w:tblInd w:w="55" w:type="dxa"/>
        <w:tblCellMar>
          <w:left w:w="70" w:type="dxa"/>
          <w:right w:w="70" w:type="dxa"/>
        </w:tblCellMar>
        <w:tblLook w:val="04A0"/>
      </w:tblPr>
      <w:tblGrid>
        <w:gridCol w:w="1291"/>
        <w:gridCol w:w="1136"/>
        <w:gridCol w:w="1197"/>
        <w:gridCol w:w="1136"/>
        <w:gridCol w:w="1197"/>
        <w:gridCol w:w="1004"/>
        <w:gridCol w:w="1015"/>
        <w:gridCol w:w="1076"/>
      </w:tblGrid>
      <w:tr w:rsidR="009C2DCF" w:rsidRPr="00C93F73" w:rsidTr="00491B15">
        <w:trPr>
          <w:trHeight w:val="300"/>
        </w:trPr>
        <w:tc>
          <w:tcPr>
            <w:tcW w:w="1291" w:type="dxa"/>
            <w:vMerge w:val="restart"/>
            <w:tcBorders>
              <w:top w:val="single" w:sz="4" w:space="0" w:color="auto"/>
              <w:left w:val="single" w:sz="4" w:space="0" w:color="auto"/>
              <w:bottom w:val="nil"/>
              <w:right w:val="nil"/>
            </w:tcBorders>
            <w:shd w:val="clear" w:color="auto" w:fill="auto"/>
            <w:noWrap/>
            <w:vAlign w:val="bottom"/>
            <w:hideMark/>
          </w:tcPr>
          <w:p w:rsidR="009C2DCF" w:rsidRPr="00C93F73" w:rsidRDefault="009C2DCF" w:rsidP="006C31BB">
            <w:pPr>
              <w:spacing w:before="0"/>
              <w:jc w:val="center"/>
              <w:rPr>
                <w:rFonts w:cs="Arial"/>
                <w:color w:val="000000"/>
                <w:sz w:val="18"/>
                <w:szCs w:val="18"/>
              </w:rPr>
            </w:pPr>
            <w:r w:rsidRPr="00C93F73">
              <w:rPr>
                <w:rFonts w:cs="Arial"/>
                <w:color w:val="000000"/>
                <w:sz w:val="18"/>
                <w:szCs w:val="18"/>
              </w:rPr>
              <w:t> </w:t>
            </w:r>
          </w:p>
        </w:tc>
        <w:tc>
          <w:tcPr>
            <w:tcW w:w="7761"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2DCF" w:rsidRPr="00C93F73" w:rsidRDefault="009C2DCF" w:rsidP="006C31BB">
            <w:pPr>
              <w:spacing w:before="0"/>
              <w:jc w:val="center"/>
              <w:rPr>
                <w:rFonts w:cs="Arial"/>
                <w:color w:val="000000"/>
                <w:sz w:val="18"/>
                <w:szCs w:val="18"/>
              </w:rPr>
            </w:pPr>
            <w:r w:rsidRPr="00C93F73">
              <w:rPr>
                <w:rFonts w:cs="Arial"/>
                <w:color w:val="000000"/>
                <w:sz w:val="18"/>
                <w:szCs w:val="18"/>
              </w:rPr>
              <w:t>Míra soběstačnosti</w:t>
            </w:r>
          </w:p>
        </w:tc>
      </w:tr>
      <w:tr w:rsidR="009C2DCF" w:rsidRPr="00C93F73" w:rsidTr="00491B15">
        <w:trPr>
          <w:trHeight w:val="1035"/>
        </w:trPr>
        <w:tc>
          <w:tcPr>
            <w:tcW w:w="1291" w:type="dxa"/>
            <w:vMerge/>
            <w:tcBorders>
              <w:top w:val="single" w:sz="4" w:space="0" w:color="auto"/>
              <w:left w:val="single" w:sz="4" w:space="0" w:color="auto"/>
              <w:bottom w:val="nil"/>
              <w:right w:val="nil"/>
            </w:tcBorders>
            <w:vAlign w:val="center"/>
            <w:hideMark/>
          </w:tcPr>
          <w:p w:rsidR="009C2DCF" w:rsidRPr="00C93F73" w:rsidRDefault="009C2DCF" w:rsidP="006C31BB">
            <w:pPr>
              <w:spacing w:before="0"/>
              <w:jc w:val="left"/>
              <w:rPr>
                <w:rFonts w:cs="Arial"/>
                <w:color w:val="000000"/>
                <w:sz w:val="18"/>
                <w:szCs w:val="18"/>
              </w:rPr>
            </w:pPr>
          </w:p>
        </w:tc>
        <w:tc>
          <w:tcPr>
            <w:tcW w:w="1136" w:type="dxa"/>
            <w:tcBorders>
              <w:top w:val="nil"/>
              <w:left w:val="single" w:sz="4" w:space="0" w:color="auto"/>
              <w:bottom w:val="nil"/>
              <w:right w:val="single" w:sz="4" w:space="0" w:color="auto"/>
            </w:tcBorders>
            <w:shd w:val="clear" w:color="auto" w:fill="auto"/>
            <w:vAlign w:val="center"/>
            <w:hideMark/>
          </w:tcPr>
          <w:p w:rsidR="009C2DCF" w:rsidRPr="00C93F73" w:rsidRDefault="009C2DCF" w:rsidP="006C31BB">
            <w:pPr>
              <w:spacing w:before="0"/>
              <w:jc w:val="center"/>
              <w:rPr>
                <w:rFonts w:cs="Arial"/>
                <w:color w:val="000000"/>
                <w:sz w:val="18"/>
                <w:szCs w:val="18"/>
              </w:rPr>
            </w:pPr>
            <w:r w:rsidRPr="00C93F73">
              <w:rPr>
                <w:rFonts w:cs="Arial"/>
                <w:color w:val="000000"/>
                <w:sz w:val="18"/>
                <w:szCs w:val="18"/>
              </w:rPr>
              <w:t xml:space="preserve">úplná </w:t>
            </w:r>
            <w:proofErr w:type="spellStart"/>
            <w:r w:rsidRPr="00C93F73">
              <w:rPr>
                <w:rFonts w:cs="Arial"/>
                <w:color w:val="000000"/>
                <w:sz w:val="18"/>
                <w:szCs w:val="18"/>
              </w:rPr>
              <w:t>soběstač</w:t>
            </w:r>
            <w:proofErr w:type="spellEnd"/>
            <w:r w:rsidRPr="00C93F73">
              <w:rPr>
                <w:rFonts w:cs="Arial"/>
                <w:color w:val="000000"/>
                <w:sz w:val="18"/>
                <w:szCs w:val="18"/>
              </w:rPr>
              <w:t xml:space="preserve">- </w:t>
            </w:r>
            <w:proofErr w:type="spellStart"/>
            <w:r w:rsidRPr="00C93F73">
              <w:rPr>
                <w:rFonts w:cs="Arial"/>
                <w:color w:val="000000"/>
                <w:sz w:val="18"/>
                <w:szCs w:val="18"/>
              </w:rPr>
              <w:t>nost</w:t>
            </w:r>
            <w:proofErr w:type="spellEnd"/>
          </w:p>
        </w:tc>
        <w:tc>
          <w:tcPr>
            <w:tcW w:w="1197" w:type="dxa"/>
            <w:tcBorders>
              <w:top w:val="nil"/>
              <w:left w:val="nil"/>
              <w:bottom w:val="nil"/>
              <w:right w:val="single" w:sz="4" w:space="0" w:color="auto"/>
            </w:tcBorders>
            <w:shd w:val="clear" w:color="auto" w:fill="auto"/>
            <w:vAlign w:val="center"/>
            <w:hideMark/>
          </w:tcPr>
          <w:p w:rsidR="009C2DCF" w:rsidRPr="00C93F73" w:rsidRDefault="009C2DCF" w:rsidP="006C31BB">
            <w:pPr>
              <w:spacing w:before="0"/>
              <w:jc w:val="center"/>
              <w:rPr>
                <w:rFonts w:cs="Arial"/>
                <w:color w:val="000000"/>
                <w:sz w:val="18"/>
                <w:szCs w:val="18"/>
              </w:rPr>
            </w:pPr>
            <w:r w:rsidRPr="00C93F73">
              <w:rPr>
                <w:rFonts w:cs="Arial"/>
                <w:color w:val="000000"/>
                <w:sz w:val="18"/>
                <w:szCs w:val="18"/>
              </w:rPr>
              <w:t>pomoc několika hodin denně</w:t>
            </w:r>
          </w:p>
        </w:tc>
        <w:tc>
          <w:tcPr>
            <w:tcW w:w="1136" w:type="dxa"/>
            <w:tcBorders>
              <w:top w:val="nil"/>
              <w:left w:val="nil"/>
              <w:bottom w:val="nil"/>
              <w:right w:val="single" w:sz="4" w:space="0" w:color="auto"/>
            </w:tcBorders>
            <w:shd w:val="clear" w:color="auto" w:fill="auto"/>
            <w:vAlign w:val="center"/>
            <w:hideMark/>
          </w:tcPr>
          <w:p w:rsidR="009C2DCF" w:rsidRPr="00C93F73" w:rsidRDefault="009C2DCF" w:rsidP="006C31BB">
            <w:pPr>
              <w:spacing w:before="0"/>
              <w:jc w:val="center"/>
              <w:rPr>
                <w:rFonts w:cs="Arial"/>
                <w:color w:val="000000"/>
                <w:sz w:val="18"/>
                <w:szCs w:val="18"/>
              </w:rPr>
            </w:pPr>
            <w:r w:rsidRPr="00C93F73">
              <w:rPr>
                <w:rFonts w:cs="Arial"/>
                <w:color w:val="000000"/>
                <w:sz w:val="18"/>
                <w:szCs w:val="18"/>
              </w:rPr>
              <w:t xml:space="preserve">celodenní </w:t>
            </w:r>
            <w:proofErr w:type="gramStart"/>
            <w:r w:rsidRPr="00C93F73">
              <w:rPr>
                <w:rFonts w:cs="Arial"/>
                <w:color w:val="000000"/>
                <w:sz w:val="18"/>
                <w:szCs w:val="18"/>
              </w:rPr>
              <w:t>pomoc                (4-12</w:t>
            </w:r>
            <w:proofErr w:type="gramEnd"/>
            <w:r w:rsidRPr="00C93F73">
              <w:rPr>
                <w:rFonts w:cs="Arial"/>
                <w:color w:val="000000"/>
                <w:sz w:val="18"/>
                <w:szCs w:val="18"/>
              </w:rPr>
              <w:t xml:space="preserve"> hodin)</w:t>
            </w:r>
          </w:p>
        </w:tc>
        <w:tc>
          <w:tcPr>
            <w:tcW w:w="1197" w:type="dxa"/>
            <w:tcBorders>
              <w:top w:val="nil"/>
              <w:left w:val="nil"/>
              <w:bottom w:val="nil"/>
              <w:right w:val="single" w:sz="4" w:space="0" w:color="auto"/>
            </w:tcBorders>
            <w:shd w:val="clear" w:color="auto" w:fill="auto"/>
            <w:vAlign w:val="center"/>
            <w:hideMark/>
          </w:tcPr>
          <w:p w:rsidR="009C2DCF" w:rsidRPr="00C93F73" w:rsidRDefault="009C2DCF" w:rsidP="006C31BB">
            <w:pPr>
              <w:spacing w:before="0"/>
              <w:jc w:val="center"/>
              <w:rPr>
                <w:rFonts w:cs="Arial"/>
                <w:color w:val="000000"/>
                <w:sz w:val="18"/>
                <w:szCs w:val="18"/>
              </w:rPr>
            </w:pPr>
            <w:proofErr w:type="spellStart"/>
            <w:r w:rsidRPr="00C93F73">
              <w:rPr>
                <w:rFonts w:cs="Arial"/>
                <w:color w:val="000000"/>
                <w:sz w:val="18"/>
                <w:szCs w:val="18"/>
              </w:rPr>
              <w:t>nesoběstač</w:t>
            </w:r>
            <w:proofErr w:type="spellEnd"/>
            <w:r w:rsidRPr="00C93F73">
              <w:rPr>
                <w:rFonts w:cs="Arial"/>
                <w:color w:val="000000"/>
                <w:sz w:val="18"/>
                <w:szCs w:val="18"/>
              </w:rPr>
              <w:t xml:space="preserve">- </w:t>
            </w:r>
            <w:proofErr w:type="spellStart"/>
            <w:r w:rsidRPr="00C93F73">
              <w:rPr>
                <w:rFonts w:cs="Arial"/>
                <w:color w:val="000000"/>
                <w:sz w:val="18"/>
                <w:szCs w:val="18"/>
              </w:rPr>
              <w:t>nost</w:t>
            </w:r>
            <w:proofErr w:type="spellEnd"/>
            <w:r w:rsidRPr="00C93F73">
              <w:rPr>
                <w:rFonts w:cs="Arial"/>
                <w:color w:val="000000"/>
                <w:sz w:val="18"/>
                <w:szCs w:val="18"/>
              </w:rPr>
              <w:t xml:space="preserve"> (cca 24 hodin)</w:t>
            </w:r>
          </w:p>
        </w:tc>
        <w:tc>
          <w:tcPr>
            <w:tcW w:w="1004" w:type="dxa"/>
            <w:tcBorders>
              <w:top w:val="nil"/>
              <w:left w:val="nil"/>
              <w:bottom w:val="nil"/>
              <w:right w:val="single" w:sz="4" w:space="0" w:color="auto"/>
            </w:tcBorders>
            <w:shd w:val="clear" w:color="auto" w:fill="auto"/>
            <w:vAlign w:val="center"/>
            <w:hideMark/>
          </w:tcPr>
          <w:p w:rsidR="009C2DCF" w:rsidRPr="00C93F73" w:rsidRDefault="009C2DCF" w:rsidP="006C31BB">
            <w:pPr>
              <w:spacing w:before="0"/>
              <w:jc w:val="center"/>
              <w:rPr>
                <w:rFonts w:cs="Arial"/>
                <w:color w:val="000000"/>
                <w:sz w:val="18"/>
                <w:szCs w:val="18"/>
              </w:rPr>
            </w:pPr>
            <w:r w:rsidRPr="00C93F73">
              <w:rPr>
                <w:rFonts w:cs="Arial"/>
                <w:color w:val="000000"/>
                <w:sz w:val="18"/>
                <w:szCs w:val="18"/>
              </w:rPr>
              <w:t>není známo</w:t>
            </w:r>
          </w:p>
        </w:tc>
        <w:tc>
          <w:tcPr>
            <w:tcW w:w="1015" w:type="dxa"/>
            <w:tcBorders>
              <w:top w:val="nil"/>
              <w:left w:val="nil"/>
              <w:bottom w:val="nil"/>
              <w:right w:val="single" w:sz="4" w:space="0" w:color="auto"/>
            </w:tcBorders>
            <w:shd w:val="clear" w:color="auto" w:fill="auto"/>
            <w:vAlign w:val="center"/>
            <w:hideMark/>
          </w:tcPr>
          <w:p w:rsidR="009C2DCF" w:rsidRPr="00C93F73" w:rsidRDefault="009C2DCF" w:rsidP="006C31BB">
            <w:pPr>
              <w:spacing w:before="0"/>
              <w:jc w:val="center"/>
              <w:rPr>
                <w:rFonts w:cs="Arial"/>
                <w:color w:val="000000"/>
                <w:sz w:val="18"/>
                <w:szCs w:val="18"/>
              </w:rPr>
            </w:pPr>
            <w:r w:rsidRPr="00C93F73">
              <w:rPr>
                <w:rFonts w:cs="Arial"/>
                <w:color w:val="000000"/>
                <w:sz w:val="18"/>
                <w:szCs w:val="18"/>
              </w:rPr>
              <w:t>Celkem</w:t>
            </w:r>
          </w:p>
        </w:tc>
        <w:tc>
          <w:tcPr>
            <w:tcW w:w="1076" w:type="dxa"/>
            <w:tcBorders>
              <w:top w:val="nil"/>
              <w:left w:val="nil"/>
              <w:bottom w:val="nil"/>
              <w:right w:val="single" w:sz="4" w:space="0" w:color="auto"/>
            </w:tcBorders>
            <w:shd w:val="clear" w:color="auto" w:fill="auto"/>
            <w:vAlign w:val="center"/>
            <w:hideMark/>
          </w:tcPr>
          <w:p w:rsidR="009C2DCF" w:rsidRPr="00C93F73" w:rsidRDefault="009C2DCF" w:rsidP="006C31BB">
            <w:pPr>
              <w:spacing w:before="0"/>
              <w:jc w:val="center"/>
              <w:rPr>
                <w:rFonts w:cs="Arial"/>
                <w:b/>
                <w:color w:val="000000"/>
                <w:sz w:val="18"/>
                <w:szCs w:val="18"/>
              </w:rPr>
            </w:pPr>
            <w:r w:rsidRPr="00C93F73">
              <w:rPr>
                <w:rFonts w:cs="Arial"/>
                <w:b/>
                <w:color w:val="000000"/>
                <w:sz w:val="18"/>
                <w:szCs w:val="18"/>
              </w:rPr>
              <w:t xml:space="preserve">Průměrná míra </w:t>
            </w:r>
            <w:proofErr w:type="spellStart"/>
            <w:r w:rsidRPr="00C93F73">
              <w:rPr>
                <w:rFonts w:cs="Arial"/>
                <w:b/>
                <w:color w:val="000000"/>
                <w:sz w:val="18"/>
                <w:szCs w:val="18"/>
              </w:rPr>
              <w:t>soběstač</w:t>
            </w:r>
            <w:proofErr w:type="spellEnd"/>
            <w:r w:rsidRPr="00C93F73">
              <w:rPr>
                <w:rFonts w:cs="Arial"/>
                <w:b/>
                <w:color w:val="000000"/>
                <w:sz w:val="18"/>
                <w:szCs w:val="18"/>
              </w:rPr>
              <w:t xml:space="preserve">- </w:t>
            </w:r>
            <w:proofErr w:type="spellStart"/>
            <w:r w:rsidRPr="00C93F73">
              <w:rPr>
                <w:rFonts w:cs="Arial"/>
                <w:b/>
                <w:color w:val="000000"/>
                <w:sz w:val="18"/>
                <w:szCs w:val="18"/>
              </w:rPr>
              <w:t>nosti</w:t>
            </w:r>
            <w:proofErr w:type="spellEnd"/>
          </w:p>
        </w:tc>
      </w:tr>
      <w:tr w:rsidR="009C2DCF" w:rsidRPr="00C93F73" w:rsidTr="00491B15">
        <w:trPr>
          <w:trHeight w:val="300"/>
        </w:trPr>
        <w:tc>
          <w:tcPr>
            <w:tcW w:w="1291" w:type="dxa"/>
            <w:tcBorders>
              <w:top w:val="single" w:sz="4" w:space="0" w:color="auto"/>
              <w:left w:val="single" w:sz="4" w:space="0" w:color="auto"/>
              <w:bottom w:val="single" w:sz="4" w:space="0" w:color="auto"/>
              <w:right w:val="nil"/>
            </w:tcBorders>
            <w:shd w:val="clear" w:color="auto" w:fill="auto"/>
            <w:noWrap/>
            <w:vAlign w:val="bottom"/>
            <w:hideMark/>
          </w:tcPr>
          <w:p w:rsidR="009C2DCF" w:rsidRPr="00C93F73" w:rsidRDefault="009C2DCF" w:rsidP="006C31BB">
            <w:pPr>
              <w:spacing w:before="0"/>
              <w:jc w:val="left"/>
              <w:rPr>
                <w:rFonts w:cs="Arial"/>
                <w:color w:val="000000"/>
                <w:sz w:val="18"/>
                <w:szCs w:val="18"/>
              </w:rPr>
            </w:pPr>
            <w:r w:rsidRPr="00C93F73">
              <w:rPr>
                <w:rFonts w:cs="Arial"/>
                <w:color w:val="000000"/>
                <w:sz w:val="18"/>
                <w:szCs w:val="18"/>
              </w:rPr>
              <w:t>VŠPO 13 - % podíl</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41,3</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31,4</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13,6</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10,6</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3,1</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100,0</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0,69</w:t>
            </w:r>
          </w:p>
        </w:tc>
      </w:tr>
      <w:tr w:rsidR="009C2DCF" w:rsidRPr="00C93F73" w:rsidTr="00491B15">
        <w:trPr>
          <w:trHeight w:val="300"/>
        </w:trPr>
        <w:tc>
          <w:tcPr>
            <w:tcW w:w="1291" w:type="dxa"/>
            <w:tcBorders>
              <w:top w:val="nil"/>
              <w:left w:val="single" w:sz="4" w:space="0" w:color="auto"/>
              <w:bottom w:val="single" w:sz="4" w:space="0" w:color="auto"/>
              <w:right w:val="nil"/>
            </w:tcBorders>
            <w:shd w:val="clear" w:color="auto" w:fill="auto"/>
            <w:noWrap/>
            <w:vAlign w:val="bottom"/>
            <w:hideMark/>
          </w:tcPr>
          <w:p w:rsidR="009C2DCF" w:rsidRPr="00C93F73" w:rsidRDefault="009C2DCF" w:rsidP="006C31BB">
            <w:pPr>
              <w:spacing w:before="0"/>
              <w:jc w:val="left"/>
              <w:rPr>
                <w:rFonts w:cs="Arial"/>
                <w:color w:val="000000"/>
                <w:sz w:val="18"/>
                <w:szCs w:val="18"/>
              </w:rPr>
            </w:pPr>
            <w:r w:rsidRPr="00C93F73">
              <w:rPr>
                <w:rFonts w:cs="Arial"/>
                <w:color w:val="000000"/>
                <w:sz w:val="18"/>
                <w:szCs w:val="18"/>
              </w:rPr>
              <w:t>VŠPO 07 - % podíl</w:t>
            </w:r>
          </w:p>
        </w:tc>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44,3</w:t>
            </w:r>
          </w:p>
        </w:tc>
        <w:tc>
          <w:tcPr>
            <w:tcW w:w="1197" w:type="dxa"/>
            <w:tcBorders>
              <w:top w:val="nil"/>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35,3</w:t>
            </w:r>
          </w:p>
        </w:tc>
        <w:tc>
          <w:tcPr>
            <w:tcW w:w="1136" w:type="dxa"/>
            <w:tcBorders>
              <w:top w:val="nil"/>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12,7</w:t>
            </w:r>
          </w:p>
        </w:tc>
        <w:tc>
          <w:tcPr>
            <w:tcW w:w="1197" w:type="dxa"/>
            <w:tcBorders>
              <w:top w:val="nil"/>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7,7</w:t>
            </w:r>
          </w:p>
        </w:tc>
        <w:tc>
          <w:tcPr>
            <w:tcW w:w="1004" w:type="dxa"/>
            <w:tcBorders>
              <w:top w:val="nil"/>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0,0</w:t>
            </w:r>
          </w:p>
        </w:tc>
        <w:tc>
          <w:tcPr>
            <w:tcW w:w="1015" w:type="dxa"/>
            <w:tcBorders>
              <w:top w:val="nil"/>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100,0</w:t>
            </w:r>
          </w:p>
        </w:tc>
        <w:tc>
          <w:tcPr>
            <w:tcW w:w="1076" w:type="dxa"/>
            <w:tcBorders>
              <w:top w:val="nil"/>
              <w:left w:val="nil"/>
              <w:bottom w:val="single" w:sz="4" w:space="0" w:color="auto"/>
              <w:right w:val="single" w:sz="4" w:space="0" w:color="auto"/>
            </w:tcBorders>
            <w:shd w:val="clear" w:color="auto" w:fill="auto"/>
            <w:noWrap/>
            <w:vAlign w:val="bottom"/>
            <w:hideMark/>
          </w:tcPr>
          <w:p w:rsidR="009C2DCF" w:rsidRPr="00C93F73" w:rsidRDefault="009C2DCF" w:rsidP="006C31BB">
            <w:pPr>
              <w:spacing w:before="0"/>
              <w:jc w:val="right"/>
              <w:rPr>
                <w:rFonts w:cs="Arial"/>
                <w:color w:val="000000"/>
                <w:sz w:val="18"/>
                <w:szCs w:val="18"/>
              </w:rPr>
            </w:pPr>
            <w:r w:rsidRPr="00C93F73">
              <w:rPr>
                <w:rFonts w:cs="Arial"/>
                <w:color w:val="000000"/>
                <w:sz w:val="18"/>
                <w:szCs w:val="18"/>
              </w:rPr>
              <w:t>0,72</w:t>
            </w:r>
          </w:p>
        </w:tc>
      </w:tr>
      <w:tr w:rsidR="009C2DCF" w:rsidRPr="00C93F73" w:rsidTr="00491B15">
        <w:trPr>
          <w:trHeight w:val="300"/>
        </w:trPr>
        <w:tc>
          <w:tcPr>
            <w:tcW w:w="1291"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9C2DCF" w:rsidRPr="00C93F73" w:rsidRDefault="009C2DCF" w:rsidP="006C31BB">
            <w:pPr>
              <w:spacing w:before="0"/>
              <w:jc w:val="left"/>
              <w:rPr>
                <w:rFonts w:cs="Arial"/>
                <w:b/>
                <w:bCs/>
                <w:color w:val="000000"/>
                <w:sz w:val="18"/>
                <w:szCs w:val="18"/>
              </w:rPr>
            </w:pPr>
            <w:r w:rsidRPr="00C93F73">
              <w:rPr>
                <w:rFonts w:cs="Arial"/>
                <w:b/>
                <w:bCs/>
                <w:color w:val="000000"/>
                <w:sz w:val="18"/>
                <w:szCs w:val="18"/>
              </w:rPr>
              <w:t>Procentní body</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C2DCF" w:rsidRPr="00C93F73" w:rsidRDefault="009C2DCF" w:rsidP="006C31BB">
            <w:pPr>
              <w:spacing w:before="0"/>
              <w:jc w:val="right"/>
              <w:rPr>
                <w:rFonts w:cs="Arial"/>
                <w:b/>
                <w:bCs/>
                <w:color w:val="000000"/>
                <w:sz w:val="18"/>
                <w:szCs w:val="18"/>
              </w:rPr>
            </w:pPr>
            <w:r w:rsidRPr="00C93F73">
              <w:rPr>
                <w:rFonts w:cs="Arial"/>
                <w:b/>
                <w:bCs/>
                <w:color w:val="000000"/>
                <w:sz w:val="18"/>
                <w:szCs w:val="18"/>
              </w:rPr>
              <w:t>-3,0</w:t>
            </w:r>
          </w:p>
        </w:tc>
        <w:tc>
          <w:tcPr>
            <w:tcW w:w="11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C93F73" w:rsidRDefault="009C2DCF" w:rsidP="006C31BB">
            <w:pPr>
              <w:spacing w:before="0"/>
              <w:jc w:val="right"/>
              <w:rPr>
                <w:rFonts w:cs="Arial"/>
                <w:b/>
                <w:bCs/>
                <w:color w:val="000000"/>
                <w:sz w:val="18"/>
                <w:szCs w:val="18"/>
              </w:rPr>
            </w:pPr>
            <w:r w:rsidRPr="00C93F73">
              <w:rPr>
                <w:rFonts w:cs="Arial"/>
                <w:b/>
                <w:bCs/>
                <w:color w:val="000000"/>
                <w:sz w:val="18"/>
                <w:szCs w:val="18"/>
              </w:rPr>
              <w:t>-3,9</w:t>
            </w:r>
          </w:p>
        </w:tc>
        <w:tc>
          <w:tcPr>
            <w:tcW w:w="113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C93F73" w:rsidRDefault="009C2DCF" w:rsidP="006C31BB">
            <w:pPr>
              <w:spacing w:before="0"/>
              <w:jc w:val="right"/>
              <w:rPr>
                <w:rFonts w:cs="Arial"/>
                <w:b/>
                <w:bCs/>
                <w:color w:val="000000"/>
                <w:sz w:val="18"/>
                <w:szCs w:val="18"/>
              </w:rPr>
            </w:pPr>
            <w:r w:rsidRPr="00C93F73">
              <w:rPr>
                <w:rFonts w:cs="Arial"/>
                <w:b/>
                <w:bCs/>
                <w:color w:val="000000"/>
                <w:sz w:val="18"/>
                <w:szCs w:val="18"/>
              </w:rPr>
              <w:t>0,9</w:t>
            </w:r>
          </w:p>
        </w:tc>
        <w:tc>
          <w:tcPr>
            <w:tcW w:w="11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C93F73" w:rsidRDefault="009C2DCF" w:rsidP="006C31BB">
            <w:pPr>
              <w:spacing w:before="0"/>
              <w:jc w:val="right"/>
              <w:rPr>
                <w:rFonts w:cs="Arial"/>
                <w:b/>
                <w:bCs/>
                <w:color w:val="000000"/>
                <w:sz w:val="18"/>
                <w:szCs w:val="18"/>
              </w:rPr>
            </w:pPr>
            <w:r w:rsidRPr="00C93F73">
              <w:rPr>
                <w:rFonts w:cs="Arial"/>
                <w:b/>
                <w:bCs/>
                <w:color w:val="000000"/>
                <w:sz w:val="18"/>
                <w:szCs w:val="18"/>
              </w:rPr>
              <w:t>2,9</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C93F73" w:rsidRDefault="009C2DCF" w:rsidP="006C31BB">
            <w:pPr>
              <w:spacing w:before="0"/>
              <w:jc w:val="right"/>
              <w:rPr>
                <w:rFonts w:cs="Arial"/>
                <w:b/>
                <w:bCs/>
                <w:color w:val="000000"/>
                <w:sz w:val="18"/>
                <w:szCs w:val="18"/>
              </w:rPr>
            </w:pPr>
            <w:r w:rsidRPr="00C93F73">
              <w:rPr>
                <w:rFonts w:cs="Arial"/>
                <w:b/>
                <w:bCs/>
                <w:color w:val="000000"/>
                <w:sz w:val="18"/>
                <w:szCs w:val="18"/>
              </w:rPr>
              <w:t>3,1</w:t>
            </w:r>
          </w:p>
        </w:tc>
        <w:tc>
          <w:tcPr>
            <w:tcW w:w="10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C93F73" w:rsidRDefault="009C2DCF" w:rsidP="006C31BB">
            <w:pPr>
              <w:spacing w:before="0"/>
              <w:jc w:val="right"/>
              <w:rPr>
                <w:rFonts w:cs="Arial"/>
                <w:b/>
                <w:bCs/>
                <w:color w:val="000000"/>
                <w:sz w:val="18"/>
                <w:szCs w:val="18"/>
              </w:rPr>
            </w:pPr>
            <w:r w:rsidRPr="00C93F73">
              <w:rPr>
                <w:rFonts w:cs="Arial"/>
                <w:b/>
                <w:bCs/>
                <w:color w:val="000000"/>
                <w:sz w:val="18"/>
                <w:szCs w:val="18"/>
              </w:rPr>
              <w:t>0,0</w:t>
            </w:r>
          </w:p>
        </w:tc>
        <w:tc>
          <w:tcPr>
            <w:tcW w:w="10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C2DCF" w:rsidRPr="00C93F73" w:rsidRDefault="009C2DCF" w:rsidP="006C31BB">
            <w:pPr>
              <w:spacing w:before="0"/>
              <w:jc w:val="right"/>
              <w:rPr>
                <w:rFonts w:cs="Arial"/>
                <w:b/>
                <w:bCs/>
                <w:color w:val="000000"/>
                <w:sz w:val="18"/>
                <w:szCs w:val="18"/>
              </w:rPr>
            </w:pPr>
            <w:r w:rsidRPr="00C93F73">
              <w:rPr>
                <w:rFonts w:cs="Arial"/>
                <w:b/>
                <w:bCs/>
                <w:color w:val="000000"/>
                <w:sz w:val="18"/>
                <w:szCs w:val="18"/>
              </w:rPr>
              <w:t>-0,03</w:t>
            </w:r>
          </w:p>
        </w:tc>
      </w:tr>
    </w:tbl>
    <w:p w:rsidR="009C2DCF" w:rsidRDefault="009C2DCF" w:rsidP="009C2DCF">
      <w:pPr>
        <w:ind w:firstLine="567"/>
      </w:pPr>
      <w:r>
        <w:t xml:space="preserve">Na závěr </w:t>
      </w:r>
      <w:r w:rsidRPr="00CC3092">
        <w:t>ještě</w:t>
      </w:r>
      <w:r w:rsidRPr="00AA257F">
        <w:rPr>
          <w:b/>
        </w:rPr>
        <w:t xml:space="preserve"> </w:t>
      </w:r>
      <w:r>
        <w:rPr>
          <w:b/>
        </w:rPr>
        <w:t xml:space="preserve">doplňující hodnocení </w:t>
      </w:r>
      <w:r w:rsidRPr="00AA257F">
        <w:rPr>
          <w:b/>
        </w:rPr>
        <w:t>k průměrné míře soběstačnosti</w:t>
      </w:r>
      <w:r>
        <w:t xml:space="preserve">. </w:t>
      </w:r>
      <w:r w:rsidRPr="00AA257F">
        <w:rPr>
          <w:u w:val="single"/>
        </w:rPr>
        <w:t>Z hlediska pohlaví</w:t>
      </w:r>
      <w:r>
        <w:t xml:space="preserve"> se celkové snížení o 0,03 hodnoty projevilo u mužů snížením o 0,02 a o 0,04 u žen. </w:t>
      </w:r>
      <w:r w:rsidRPr="00AA257F">
        <w:rPr>
          <w:u w:val="single"/>
        </w:rPr>
        <w:t>Z pohledu věkových skupin</w:t>
      </w:r>
      <w:r>
        <w:t xml:space="preserve"> došlo ke snížení míry soběstačnosti ve čtyřech z pěti věkových skupin (nejvíce u věkového intervalu 30 – 44 let, a to o 0,06 hodnoty) a pouze u jediné věkové skupiny (15 – 29 let) došlo k jejímu nárůstu, i když jen o relativně zanedbatelnou výši (o 0,01 hodnoty).</w:t>
      </w:r>
    </w:p>
    <w:p w:rsidR="009C2DCF" w:rsidRDefault="009C2DCF" w:rsidP="009C2DCF">
      <w:pPr>
        <w:pStyle w:val="Nadpis2"/>
        <w:keepLines w:val="0"/>
        <w:numPr>
          <w:ilvl w:val="1"/>
          <w:numId w:val="10"/>
        </w:numPr>
        <w:spacing w:before="240" w:after="60"/>
        <w:jc w:val="both"/>
      </w:pPr>
      <w:bookmarkStart w:id="16" w:name="_Toc382812540"/>
      <w:r w:rsidRPr="00EB1180">
        <w:t>Pobírání dávek sociálního zabezpečení osobami se zdravotním postižením</w:t>
      </w:r>
      <w:bookmarkEnd w:id="16"/>
    </w:p>
    <w:p w:rsidR="009C2DCF" w:rsidRDefault="009C2DCF" w:rsidP="009C2DCF">
      <w:pPr>
        <w:ind w:firstLine="567"/>
      </w:pPr>
      <w:r>
        <w:t xml:space="preserve">Do úvodu problematiky dávek sociálního zabezpečení, přiznávaných osobám se zdravotním postižením, je nutné uvést, že </w:t>
      </w:r>
      <w:r w:rsidRPr="00EB1180">
        <w:rPr>
          <w:rStyle w:val="Zvraznn"/>
        </w:rPr>
        <w:t>před porovnáním s výsledky z minulého šetření VŠPO 07 bylo nutné provést určitá metodická zjednodušení, která však nemají na výsledky porovnání resp. na jejich případné zkreslení zásadní vliv.</w:t>
      </w:r>
    </w:p>
    <w:p w:rsidR="009C2DCF" w:rsidRDefault="009C2DCF" w:rsidP="009C2DCF">
      <w:pPr>
        <w:spacing w:after="120"/>
        <w:ind w:firstLine="567"/>
      </w:pPr>
      <w:r>
        <w:t xml:space="preserve">V této souvislosti je potřebné uvést </w:t>
      </w:r>
      <w:r w:rsidRPr="00780449">
        <w:rPr>
          <w:u w:val="single"/>
        </w:rPr>
        <w:t>následující</w:t>
      </w:r>
      <w:r>
        <w:t xml:space="preserve"> provedené </w:t>
      </w:r>
      <w:r w:rsidRPr="00780449">
        <w:rPr>
          <w:u w:val="single"/>
        </w:rPr>
        <w:t>úpravy</w:t>
      </w:r>
      <w:r>
        <w:t>:</w:t>
      </w:r>
    </w:p>
    <w:p w:rsidR="009C2DCF" w:rsidRDefault="009C2DCF" w:rsidP="009C2DCF">
      <w:pPr>
        <w:pStyle w:val="Odstavecseseznamem"/>
        <w:numPr>
          <w:ilvl w:val="0"/>
          <w:numId w:val="11"/>
        </w:numPr>
        <w:spacing w:after="200" w:line="276" w:lineRule="auto"/>
        <w:ind w:left="284" w:hanging="284"/>
      </w:pPr>
      <w:r>
        <w:t>byl sloučen 1. a 2. stupeň invalidního důchodu pro invaliditu, přičemž tento kumulativní výstup odpovídá částečnému invalidnímu důchodu (VŠPO 07),</w:t>
      </w:r>
    </w:p>
    <w:p w:rsidR="009C2DCF" w:rsidRDefault="009C2DCF" w:rsidP="009C2DCF">
      <w:pPr>
        <w:pStyle w:val="Odstavecseseznamem"/>
        <w:numPr>
          <w:ilvl w:val="0"/>
          <w:numId w:val="11"/>
        </w:numPr>
        <w:spacing w:after="120" w:line="276" w:lineRule="auto"/>
        <w:ind w:left="284" w:hanging="284"/>
      </w:pPr>
      <w:r>
        <w:lastRenderedPageBreak/>
        <w:t>sloučen byl rovněž příspěvek na mobilitu se státní sociální podporou, což odpovídá dávkám sociální péče (VŠPO 07).</w:t>
      </w:r>
    </w:p>
    <w:p w:rsidR="009C2DCF" w:rsidRDefault="009C2DCF" w:rsidP="009C2DCF">
      <w:pPr>
        <w:pStyle w:val="Odstavecseseznamem"/>
        <w:spacing w:after="120" w:line="120" w:lineRule="auto"/>
        <w:ind w:left="284"/>
      </w:pPr>
    </w:p>
    <w:p w:rsidR="009C2DCF" w:rsidRDefault="009C2DCF" w:rsidP="009C2DCF">
      <w:pPr>
        <w:pStyle w:val="Odstavecseseznamem"/>
        <w:spacing w:line="360" w:lineRule="auto"/>
        <w:ind w:left="0" w:firstLine="567"/>
      </w:pPr>
      <w:r w:rsidRPr="00780449">
        <w:rPr>
          <w:u w:val="single"/>
        </w:rPr>
        <w:t>Kromě toho</w:t>
      </w:r>
      <w:r>
        <w:t xml:space="preserve"> je ještě na doplnění potřebné upřesnit, že:</w:t>
      </w:r>
    </w:p>
    <w:p w:rsidR="009C2DCF" w:rsidRDefault="009C2DCF" w:rsidP="009C2DCF">
      <w:pPr>
        <w:pStyle w:val="Odstavecseseznamem"/>
        <w:numPr>
          <w:ilvl w:val="0"/>
          <w:numId w:val="12"/>
        </w:numPr>
        <w:spacing w:after="120" w:line="276" w:lineRule="auto"/>
        <w:ind w:left="284" w:hanging="284"/>
      </w:pPr>
      <w:r>
        <w:t>invalidní důchod 3. stupně invalidního důchodu pro invaliditu odpovídá plnému invalidnímu důchodu (VŠPO 07) a</w:t>
      </w:r>
    </w:p>
    <w:p w:rsidR="009C2DCF" w:rsidRDefault="009C2DCF" w:rsidP="0002482B">
      <w:pPr>
        <w:pStyle w:val="Odstavecseseznamem"/>
        <w:numPr>
          <w:ilvl w:val="0"/>
          <w:numId w:val="12"/>
        </w:numPr>
        <w:spacing w:after="240" w:line="276" w:lineRule="auto"/>
        <w:ind w:left="284" w:hanging="284"/>
      </w:pPr>
      <w:r>
        <w:t>pomoc v hmotné nouzi odpovídá jiným rodinným dávkám (VŠPO 07).</w:t>
      </w:r>
    </w:p>
    <w:p w:rsidR="0002482B" w:rsidRDefault="0002482B" w:rsidP="0002482B">
      <w:pPr>
        <w:pStyle w:val="Odstavecseseznamem"/>
        <w:spacing w:after="240" w:line="276" w:lineRule="auto"/>
        <w:ind w:left="284"/>
      </w:pPr>
    </w:p>
    <w:p w:rsidR="009C2DCF" w:rsidRDefault="009C2DCF" w:rsidP="00491B15">
      <w:pPr>
        <w:pStyle w:val="Odstavecseseznamem"/>
        <w:spacing w:before="0" w:after="120"/>
        <w:ind w:left="0" w:firstLine="567"/>
      </w:pPr>
      <w:r w:rsidRPr="009D78F5">
        <w:rPr>
          <w:u w:val="single"/>
        </w:rPr>
        <w:t>Z hlediska</w:t>
      </w:r>
      <w:r>
        <w:t xml:space="preserve"> porovnání </w:t>
      </w:r>
      <w:r w:rsidRPr="00780449">
        <w:rPr>
          <w:u w:val="single"/>
        </w:rPr>
        <w:t>celkových, rozhodujících výstupů</w:t>
      </w:r>
      <w:r>
        <w:t xml:space="preserve"> z obou šetření vyplývá, že </w:t>
      </w:r>
      <w:r w:rsidRPr="00780449">
        <w:rPr>
          <w:b/>
        </w:rPr>
        <w:t xml:space="preserve">podíl osob </w:t>
      </w:r>
      <w:r>
        <w:rPr>
          <w:b/>
        </w:rPr>
        <w:t>nepobírajících žádnou ze sociálních dávek</w:t>
      </w:r>
      <w:r w:rsidRPr="00780449">
        <w:rPr>
          <w:b/>
        </w:rPr>
        <w:t xml:space="preserve"> vzrostl o 3 procentní body</w:t>
      </w:r>
      <w:r>
        <w:t xml:space="preserve">. Na druhé straně </w:t>
      </w:r>
      <w:r w:rsidRPr="009D78F5">
        <w:rPr>
          <w:b/>
        </w:rPr>
        <w:t>podíl osob pobírajících minimálně jednu dávku sociálního zabezpečení klesl o 9,5 procentních bodů</w:t>
      </w:r>
      <w:r>
        <w:t xml:space="preserve"> (s tím úzce souvisí i indikátor – podíl osob pobírajících sociální dávky, který rovněž zaznamenal pokles</w:t>
      </w:r>
      <w:r w:rsidR="0002482B">
        <w:t>, a to o 4,3 procentních bodů).</w:t>
      </w:r>
    </w:p>
    <w:p w:rsidR="0002482B" w:rsidRDefault="0002482B" w:rsidP="009C2DCF">
      <w:pPr>
        <w:pStyle w:val="Odstavecseseznamem"/>
        <w:spacing w:after="120"/>
        <w:ind w:left="0" w:firstLine="567"/>
      </w:pPr>
    </w:p>
    <w:p w:rsidR="009C2DCF" w:rsidRDefault="009C2DCF" w:rsidP="00491B15">
      <w:pPr>
        <w:pStyle w:val="Odstavecseseznamem"/>
        <w:spacing w:before="240" w:after="240"/>
        <w:ind w:left="0" w:firstLine="567"/>
      </w:pPr>
      <w:r>
        <w:t>Podíváme-li se na pobírání dávek sociálního zabezpečení (minimálně jedné z nich) z hlediska jejich konkrétního charakteru, jsou změny ve výsledcích obou šetření (vyjádřené v procentních bodech) názorně patrné z následujícího grafu č. 12.</w:t>
      </w:r>
    </w:p>
    <w:p w:rsidR="009C2DCF" w:rsidRDefault="009C2DCF" w:rsidP="009C2DCF">
      <w:pPr>
        <w:pStyle w:val="Nzavtabulky"/>
      </w:pPr>
      <w:r>
        <w:t>Graf č. 12: Pobírání dávek sociálního zabezpečení (dle charakteru dávek)</w:t>
      </w:r>
    </w:p>
    <w:p w:rsidR="00591C64" w:rsidRPr="00591C64" w:rsidRDefault="00FE0929" w:rsidP="00591C64">
      <w:pPr>
        <w:rPr>
          <w:lang w:eastAsia="en-US"/>
        </w:rPr>
      </w:pPr>
      <w:r>
        <w:rPr>
          <w:noProof/>
        </w:rPr>
        <w:drawing>
          <wp:inline distT="0" distB="0" distL="0" distR="0">
            <wp:extent cx="5762625" cy="3371850"/>
            <wp:effectExtent l="19050" t="0" r="0"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67008" cy="3374415"/>
                    </a:xfrm>
                    <a:prstGeom prst="rect">
                      <a:avLst/>
                    </a:prstGeom>
                    <a:noFill/>
                  </pic:spPr>
                </pic:pic>
              </a:graphicData>
            </a:graphic>
          </wp:inline>
        </w:drawing>
      </w:r>
    </w:p>
    <w:p w:rsidR="00591C64" w:rsidRPr="00591C64" w:rsidRDefault="00591C64" w:rsidP="00591C64">
      <w:pPr>
        <w:rPr>
          <w:lang w:eastAsia="en-US"/>
        </w:rPr>
      </w:pPr>
    </w:p>
    <w:p w:rsidR="009C2DCF" w:rsidRDefault="009C2DCF" w:rsidP="0002482B">
      <w:pPr>
        <w:ind w:firstLine="567"/>
      </w:pPr>
      <w:r>
        <w:t xml:space="preserve">Z hodnot znázorněných v grafu je zřejmé, že </w:t>
      </w:r>
      <w:r w:rsidRPr="00591C64">
        <w:rPr>
          <w:rStyle w:val="Zvraznn"/>
        </w:rPr>
        <w:t>nejvyšší pokles nastal u dávek invalidního důchodu pro invaliditu 3. stupně (o 10 procentních bodů) a na druhé straně významně vzrostly dávky příspěvků na mobilitu a státní sociální podpory (o 10,1 procentních bodů)</w:t>
      </w:r>
      <w:r>
        <w:t xml:space="preserve">. </w:t>
      </w:r>
      <w:r w:rsidRPr="00A84693">
        <w:rPr>
          <w:b/>
        </w:rPr>
        <w:t xml:space="preserve">Důležitou skutečností však </w:t>
      </w:r>
      <w:r>
        <w:rPr>
          <w:b/>
        </w:rPr>
        <w:t xml:space="preserve">rovněž </w:t>
      </w:r>
      <w:r w:rsidRPr="00A84693">
        <w:rPr>
          <w:b/>
        </w:rPr>
        <w:t>je, že pokles nastal v kategorii jiný důchod z důchodového pojištění</w:t>
      </w:r>
      <w:r>
        <w:t xml:space="preserve"> (nejfrekventovanější druh dávek, důchodů – starobní, vdovský/vdovecký a sirotčí), váhově nejsilněji zastoupené dávce (konkrétně </w:t>
      </w:r>
      <w:r w:rsidRPr="00A84693">
        <w:rPr>
          <w:b/>
        </w:rPr>
        <w:t>o 1,6 procentních bodů</w:t>
      </w:r>
      <w:r>
        <w:t xml:space="preserve">). Na druhé straně je potřebné ještě zdůraznit skutečnost, že </w:t>
      </w:r>
      <w:r w:rsidRPr="00D648A1">
        <w:t xml:space="preserve">druhá váhově nejsilnější kategorie </w:t>
      </w:r>
      <w:r>
        <w:t xml:space="preserve">dávek </w:t>
      </w:r>
      <w:r w:rsidRPr="00D648A1">
        <w:t>(příspěvek na</w:t>
      </w:r>
      <w:r w:rsidR="00857D78">
        <w:t xml:space="preserve"> péči) zaznamenala nárůst o 2,8 </w:t>
      </w:r>
      <w:r w:rsidRPr="00D648A1">
        <w:t>procentních bodů</w:t>
      </w:r>
      <w:r>
        <w:t>.</w:t>
      </w:r>
    </w:p>
    <w:p w:rsidR="00EF719D" w:rsidRDefault="00EF719D"/>
    <w:sectPr w:rsidR="00EF719D" w:rsidSect="00CB0CC7">
      <w:headerReference w:type="even" r:id="rId14"/>
      <w:headerReference w:type="default" r:id="rId15"/>
      <w:footerReference w:type="default" r:id="rId16"/>
      <w:pgSz w:w="11906" w:h="16838"/>
      <w:pgMar w:top="1417" w:right="1417" w:bottom="1417" w:left="1417" w:header="708" w:footer="708"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6CE" w:rsidRDefault="004B56CE" w:rsidP="0088286C">
      <w:pPr>
        <w:spacing w:before="0"/>
      </w:pPr>
      <w:r>
        <w:separator/>
      </w:r>
    </w:p>
  </w:endnote>
  <w:endnote w:type="continuationSeparator" w:id="0">
    <w:p w:rsidR="004B56CE" w:rsidRDefault="004B56CE" w:rsidP="0088286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2896"/>
      <w:docPartObj>
        <w:docPartGallery w:val="Page Numbers (Bottom of Page)"/>
        <w:docPartUnique/>
      </w:docPartObj>
    </w:sdtPr>
    <w:sdtContent>
      <w:p w:rsidR="0088286C" w:rsidRDefault="00C5311D">
        <w:pPr>
          <w:pStyle w:val="Zpat"/>
          <w:jc w:val="right"/>
        </w:pPr>
        <w:fldSimple w:instr=" PAGE   \* MERGEFORMAT ">
          <w:r w:rsidR="00CB0CC7">
            <w:rPr>
              <w:noProof/>
            </w:rPr>
            <w:t>45</w:t>
          </w:r>
        </w:fldSimple>
      </w:p>
    </w:sdtContent>
  </w:sdt>
  <w:p w:rsidR="0088286C" w:rsidRDefault="0088286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6CE" w:rsidRDefault="004B56CE" w:rsidP="0088286C">
      <w:pPr>
        <w:spacing w:before="0"/>
      </w:pPr>
      <w:r>
        <w:separator/>
      </w:r>
    </w:p>
  </w:footnote>
  <w:footnote w:type="continuationSeparator" w:id="0">
    <w:p w:rsidR="004B56CE" w:rsidRDefault="004B56CE" w:rsidP="0088286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C7" w:rsidRDefault="00CB0CC7" w:rsidP="00CB0CC7">
    <w:pPr>
      <w:pStyle w:val="Zhlav"/>
    </w:pPr>
    <w:r>
      <w:tab/>
    </w:r>
    <w:r>
      <w:tab/>
      <w:t>Kód publikace: 260006-14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CC7" w:rsidRDefault="00CB0CC7" w:rsidP="00CB0CC7">
    <w:pPr>
      <w:pStyle w:val="Zhlav"/>
    </w:pPr>
    <w:r>
      <w:t>Kód publikace: 260006-14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1CA"/>
    <w:multiLevelType w:val="hybridMultilevel"/>
    <w:tmpl w:val="35E888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1718162A"/>
    <w:multiLevelType w:val="hybridMultilevel"/>
    <w:tmpl w:val="E2AEF0A4"/>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2">
    <w:nsid w:val="77E31025"/>
    <w:multiLevelType w:val="multilevel"/>
    <w:tmpl w:val="FC7E0A32"/>
    <w:lvl w:ilvl="0">
      <w:start w:val="4"/>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97B3369"/>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rsids>
    <w:rsidRoot w:val="009C2DCF"/>
    <w:rsid w:val="0002482B"/>
    <w:rsid w:val="00033D18"/>
    <w:rsid w:val="000835CE"/>
    <w:rsid w:val="00093BE7"/>
    <w:rsid w:val="000D5E30"/>
    <w:rsid w:val="00103EDA"/>
    <w:rsid w:val="00177683"/>
    <w:rsid w:val="002A56A0"/>
    <w:rsid w:val="003A6F4C"/>
    <w:rsid w:val="00433F63"/>
    <w:rsid w:val="00484466"/>
    <w:rsid w:val="00491B15"/>
    <w:rsid w:val="004A433E"/>
    <w:rsid w:val="004B56CE"/>
    <w:rsid w:val="004C22FA"/>
    <w:rsid w:val="00535E89"/>
    <w:rsid w:val="00591C64"/>
    <w:rsid w:val="005A1C7A"/>
    <w:rsid w:val="00604BF2"/>
    <w:rsid w:val="006145AC"/>
    <w:rsid w:val="00631828"/>
    <w:rsid w:val="00653DAA"/>
    <w:rsid w:val="007005DB"/>
    <w:rsid w:val="00857D78"/>
    <w:rsid w:val="00870A9A"/>
    <w:rsid w:val="0088286C"/>
    <w:rsid w:val="008A0203"/>
    <w:rsid w:val="009C2DCF"/>
    <w:rsid w:val="00AF3020"/>
    <w:rsid w:val="00B14E50"/>
    <w:rsid w:val="00B201AB"/>
    <w:rsid w:val="00BD727F"/>
    <w:rsid w:val="00C5311D"/>
    <w:rsid w:val="00CB0CC7"/>
    <w:rsid w:val="00CD7B13"/>
    <w:rsid w:val="00D72CAA"/>
    <w:rsid w:val="00D75460"/>
    <w:rsid w:val="00D81CBC"/>
    <w:rsid w:val="00DB634F"/>
    <w:rsid w:val="00DF7DB6"/>
    <w:rsid w:val="00E9677B"/>
    <w:rsid w:val="00EF719D"/>
    <w:rsid w:val="00F351B9"/>
    <w:rsid w:val="00F67EC7"/>
    <w:rsid w:val="00F807D7"/>
    <w:rsid w:val="00FE09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DCF"/>
    <w:pPr>
      <w:spacing w:before="120" w:after="0" w:line="240" w:lineRule="auto"/>
      <w:jc w:val="both"/>
    </w:pPr>
    <w:rPr>
      <w:rFonts w:ascii="Arial" w:eastAsia="Times New Roman" w:hAnsi="Arial" w:cs="Times New Roman"/>
      <w:sz w:val="20"/>
      <w:szCs w:val="24"/>
      <w:lang w:eastAsia="cs-CZ"/>
    </w:rPr>
  </w:style>
  <w:style w:type="paragraph" w:styleId="Nadpis1">
    <w:name w:val="heading 1"/>
    <w:aliases w:val="MODUL_nazev"/>
    <w:basedOn w:val="Bezmezer"/>
    <w:next w:val="Normln"/>
    <w:link w:val="Nadpis1Char"/>
    <w:uiPriority w:val="9"/>
    <w:qFormat/>
    <w:rsid w:val="009C2DCF"/>
    <w:pPr>
      <w:keepNext/>
      <w:keepLines/>
      <w:spacing w:before="480"/>
      <w:jc w:val="center"/>
      <w:outlineLvl w:val="0"/>
    </w:pPr>
    <w:rPr>
      <w:rFonts w:asciiTheme="majorHAnsi" w:eastAsiaTheme="majorEastAsia" w:hAnsiTheme="majorHAnsi" w:cstheme="majorBidi"/>
      <w:b/>
      <w:bCs/>
      <w:color w:val="BC091B"/>
      <w:sz w:val="32"/>
      <w:szCs w:val="28"/>
    </w:rPr>
  </w:style>
  <w:style w:type="paragraph" w:styleId="Nadpis2">
    <w:name w:val="heading 2"/>
    <w:aliases w:val="TEMATICKY BLOK"/>
    <w:basedOn w:val="Bezmezer"/>
    <w:next w:val="Normln"/>
    <w:link w:val="Nadpis2Char"/>
    <w:uiPriority w:val="9"/>
    <w:unhideWhenUsed/>
    <w:qFormat/>
    <w:rsid w:val="009C2DCF"/>
    <w:pPr>
      <w:keepNext/>
      <w:keepLines/>
      <w:spacing w:before="200"/>
      <w:outlineLvl w:val="1"/>
    </w:pPr>
    <w:rPr>
      <w:rFonts w:asciiTheme="majorHAnsi" w:eastAsiaTheme="majorEastAsia" w:hAnsiTheme="majorHAnsi" w:cstheme="majorBidi"/>
      <w:b/>
      <w:bCs/>
      <w:color w:val="BC091B"/>
      <w:sz w:val="26"/>
      <w:szCs w:val="26"/>
    </w:rPr>
  </w:style>
  <w:style w:type="paragraph" w:styleId="Nadpis3">
    <w:name w:val="heading 3"/>
    <w:basedOn w:val="Normln"/>
    <w:next w:val="Normln"/>
    <w:link w:val="Nadpis3Char"/>
    <w:uiPriority w:val="9"/>
    <w:unhideWhenUsed/>
    <w:qFormat/>
    <w:rsid w:val="00D75460"/>
    <w:pPr>
      <w:keepNext/>
      <w:keepLines/>
      <w:numPr>
        <w:ilvl w:val="2"/>
        <w:numId w:val="9"/>
      </w:numPr>
      <w:spacing w:before="200"/>
      <w:outlineLvl w:val="2"/>
    </w:pPr>
    <w:rPr>
      <w:rFonts w:asciiTheme="majorHAnsi" w:eastAsiaTheme="majorEastAsia" w:hAnsiTheme="majorHAnsi" w:cstheme="majorBidi"/>
      <w:b/>
      <w:bCs/>
      <w:color w:val="BC091B"/>
      <w:sz w:val="24"/>
    </w:rPr>
  </w:style>
  <w:style w:type="paragraph" w:styleId="Nadpis4">
    <w:name w:val="heading 4"/>
    <w:basedOn w:val="Normln"/>
    <w:next w:val="Normln"/>
    <w:link w:val="Nadpis4Char"/>
    <w:uiPriority w:val="9"/>
    <w:semiHidden/>
    <w:unhideWhenUsed/>
    <w:qFormat/>
    <w:rsid w:val="00033D18"/>
    <w:pPr>
      <w:keepNext/>
      <w:keepLines/>
      <w:numPr>
        <w:ilvl w:val="3"/>
        <w:numId w:val="9"/>
      </w:numPr>
      <w:spacing w:before="200"/>
      <w:outlineLvl w:val="3"/>
    </w:pPr>
    <w:rPr>
      <w:rFonts w:asciiTheme="majorHAnsi" w:eastAsiaTheme="majorEastAsia" w:hAnsiTheme="majorHAnsi" w:cstheme="majorBidi"/>
      <w:b/>
      <w:bCs/>
      <w:i/>
      <w:iCs/>
      <w:color w:val="0F6FC6" w:themeColor="accent1"/>
    </w:rPr>
  </w:style>
  <w:style w:type="paragraph" w:styleId="Nadpis5">
    <w:name w:val="heading 5"/>
    <w:basedOn w:val="Normln"/>
    <w:next w:val="Normln"/>
    <w:link w:val="Nadpis5Char"/>
    <w:uiPriority w:val="9"/>
    <w:semiHidden/>
    <w:unhideWhenUsed/>
    <w:qFormat/>
    <w:rsid w:val="00033D18"/>
    <w:pPr>
      <w:keepNext/>
      <w:keepLines/>
      <w:numPr>
        <w:ilvl w:val="4"/>
        <w:numId w:val="9"/>
      </w:numPr>
      <w:spacing w:before="200"/>
      <w:outlineLvl w:val="4"/>
    </w:pPr>
    <w:rPr>
      <w:rFonts w:asciiTheme="majorHAnsi" w:eastAsiaTheme="majorEastAsia" w:hAnsiTheme="majorHAnsi" w:cstheme="majorBidi"/>
      <w:color w:val="073662" w:themeColor="accent1" w:themeShade="7F"/>
    </w:rPr>
  </w:style>
  <w:style w:type="paragraph" w:styleId="Nadpis6">
    <w:name w:val="heading 6"/>
    <w:basedOn w:val="Normln"/>
    <w:next w:val="Normln"/>
    <w:link w:val="Nadpis6Char"/>
    <w:uiPriority w:val="9"/>
    <w:semiHidden/>
    <w:unhideWhenUsed/>
    <w:qFormat/>
    <w:rsid w:val="00033D18"/>
    <w:pPr>
      <w:keepNext/>
      <w:keepLines/>
      <w:numPr>
        <w:ilvl w:val="5"/>
        <w:numId w:val="9"/>
      </w:numPr>
      <w:spacing w:before="200"/>
      <w:outlineLvl w:val="5"/>
    </w:pPr>
    <w:rPr>
      <w:rFonts w:asciiTheme="majorHAnsi" w:eastAsiaTheme="majorEastAsia" w:hAnsiTheme="majorHAnsi" w:cstheme="majorBidi"/>
      <w:i/>
      <w:iCs/>
      <w:color w:val="073662" w:themeColor="accent1" w:themeShade="7F"/>
    </w:rPr>
  </w:style>
  <w:style w:type="paragraph" w:styleId="Nadpis7">
    <w:name w:val="heading 7"/>
    <w:basedOn w:val="Normln"/>
    <w:next w:val="Normln"/>
    <w:link w:val="Nadpis7Char"/>
    <w:uiPriority w:val="9"/>
    <w:semiHidden/>
    <w:unhideWhenUsed/>
    <w:qFormat/>
    <w:rsid w:val="00033D1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33D1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033D1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MODUL_nazev Char"/>
    <w:basedOn w:val="Standardnpsmoodstavce"/>
    <w:link w:val="Nadpis1"/>
    <w:uiPriority w:val="9"/>
    <w:rsid w:val="009C2DCF"/>
    <w:rPr>
      <w:rFonts w:asciiTheme="majorHAnsi" w:eastAsiaTheme="majorEastAsia" w:hAnsiTheme="majorHAnsi" w:cstheme="majorBidi"/>
      <w:b/>
      <w:bCs/>
      <w:color w:val="BC091B"/>
      <w:sz w:val="32"/>
      <w:szCs w:val="28"/>
    </w:rPr>
  </w:style>
  <w:style w:type="character" w:customStyle="1" w:styleId="Nadpis2Char">
    <w:name w:val="Nadpis 2 Char"/>
    <w:aliases w:val="TEMATICKY BLOK Char"/>
    <w:basedOn w:val="Standardnpsmoodstavce"/>
    <w:link w:val="Nadpis2"/>
    <w:uiPriority w:val="9"/>
    <w:rsid w:val="009C2DCF"/>
    <w:rPr>
      <w:rFonts w:asciiTheme="majorHAnsi" w:eastAsiaTheme="majorEastAsia" w:hAnsiTheme="majorHAnsi" w:cstheme="majorBidi"/>
      <w:b/>
      <w:bCs/>
      <w:color w:val="BC091B"/>
      <w:sz w:val="26"/>
      <w:szCs w:val="26"/>
    </w:rPr>
  </w:style>
  <w:style w:type="character" w:customStyle="1" w:styleId="Nadpis3Char">
    <w:name w:val="Nadpis 3 Char"/>
    <w:basedOn w:val="Standardnpsmoodstavce"/>
    <w:link w:val="Nadpis3"/>
    <w:uiPriority w:val="9"/>
    <w:rsid w:val="00D75460"/>
    <w:rPr>
      <w:rFonts w:asciiTheme="majorHAnsi" w:eastAsiaTheme="majorEastAsia" w:hAnsiTheme="majorHAnsi" w:cstheme="majorBidi"/>
      <w:b/>
      <w:bCs/>
      <w:color w:val="BC091B"/>
      <w:sz w:val="24"/>
      <w:szCs w:val="24"/>
      <w:lang w:eastAsia="cs-CZ"/>
    </w:rPr>
  </w:style>
  <w:style w:type="character" w:customStyle="1" w:styleId="Nadpis4Char">
    <w:name w:val="Nadpis 4 Char"/>
    <w:basedOn w:val="Standardnpsmoodstavce"/>
    <w:link w:val="Nadpis4"/>
    <w:uiPriority w:val="9"/>
    <w:semiHidden/>
    <w:rsid w:val="00033D18"/>
    <w:rPr>
      <w:rFonts w:asciiTheme="majorHAnsi" w:eastAsiaTheme="majorEastAsia" w:hAnsiTheme="majorHAnsi" w:cstheme="majorBidi"/>
      <w:b/>
      <w:bCs/>
      <w:i/>
      <w:iCs/>
      <w:color w:val="0F6FC6" w:themeColor="accent1"/>
    </w:rPr>
  </w:style>
  <w:style w:type="character" w:customStyle="1" w:styleId="Nadpis5Char">
    <w:name w:val="Nadpis 5 Char"/>
    <w:basedOn w:val="Standardnpsmoodstavce"/>
    <w:link w:val="Nadpis5"/>
    <w:uiPriority w:val="9"/>
    <w:semiHidden/>
    <w:rsid w:val="00033D18"/>
    <w:rPr>
      <w:rFonts w:asciiTheme="majorHAnsi" w:eastAsiaTheme="majorEastAsia" w:hAnsiTheme="majorHAnsi" w:cstheme="majorBidi"/>
      <w:color w:val="073662" w:themeColor="accent1" w:themeShade="7F"/>
    </w:rPr>
  </w:style>
  <w:style w:type="character" w:customStyle="1" w:styleId="Nadpis6Char">
    <w:name w:val="Nadpis 6 Char"/>
    <w:basedOn w:val="Standardnpsmoodstavce"/>
    <w:link w:val="Nadpis6"/>
    <w:uiPriority w:val="9"/>
    <w:semiHidden/>
    <w:rsid w:val="00033D18"/>
    <w:rPr>
      <w:rFonts w:asciiTheme="majorHAnsi" w:eastAsiaTheme="majorEastAsia" w:hAnsiTheme="majorHAnsi" w:cstheme="majorBidi"/>
      <w:i/>
      <w:iCs/>
      <w:color w:val="073662" w:themeColor="accent1" w:themeShade="7F"/>
    </w:rPr>
  </w:style>
  <w:style w:type="character" w:customStyle="1" w:styleId="Nadpis7Char">
    <w:name w:val="Nadpis 7 Char"/>
    <w:basedOn w:val="Standardnpsmoodstavce"/>
    <w:link w:val="Nadpis7"/>
    <w:uiPriority w:val="9"/>
    <w:semiHidden/>
    <w:rsid w:val="00033D1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3D1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3D18"/>
    <w:rPr>
      <w:rFonts w:asciiTheme="majorHAnsi" w:eastAsiaTheme="majorEastAsia" w:hAnsiTheme="majorHAnsi" w:cstheme="majorBidi"/>
      <w:i/>
      <w:iCs/>
      <w:color w:val="404040" w:themeColor="text1" w:themeTint="BF"/>
      <w:sz w:val="20"/>
      <w:szCs w:val="20"/>
    </w:rPr>
  </w:style>
  <w:style w:type="paragraph" w:styleId="Bezmezer">
    <w:name w:val="No Spacing"/>
    <w:uiPriority w:val="1"/>
    <w:qFormat/>
    <w:rsid w:val="00033D18"/>
    <w:pPr>
      <w:spacing w:after="0" w:line="240" w:lineRule="auto"/>
    </w:pPr>
  </w:style>
  <w:style w:type="paragraph" w:styleId="Odstavecseseznamem">
    <w:name w:val="List Paragraph"/>
    <w:basedOn w:val="Normln"/>
    <w:uiPriority w:val="34"/>
    <w:qFormat/>
    <w:rsid w:val="00033D18"/>
    <w:pPr>
      <w:ind w:left="720"/>
      <w:contextualSpacing/>
    </w:pPr>
  </w:style>
  <w:style w:type="paragraph" w:customStyle="1" w:styleId="Zkladnodstavec">
    <w:name w:val="[Základní odstavec]"/>
    <w:basedOn w:val="Normln"/>
    <w:uiPriority w:val="99"/>
    <w:rsid w:val="009C2DCF"/>
    <w:pPr>
      <w:autoSpaceDE w:val="0"/>
      <w:autoSpaceDN w:val="0"/>
      <w:adjustRightInd w:val="0"/>
      <w:spacing w:line="288" w:lineRule="auto"/>
      <w:jc w:val="left"/>
      <w:textAlignment w:val="center"/>
    </w:pPr>
    <w:rPr>
      <w:rFonts w:ascii="Minion Pro" w:eastAsia="Calibri" w:hAnsi="Minion Pro" w:cs="Minion Pro"/>
      <w:color w:val="000000"/>
      <w:sz w:val="24"/>
    </w:rPr>
  </w:style>
  <w:style w:type="character" w:styleId="Zvraznn">
    <w:name w:val="Emphasis"/>
    <w:basedOn w:val="Standardnpsmoodstavce"/>
    <w:uiPriority w:val="20"/>
    <w:qFormat/>
    <w:rsid w:val="009C2DCF"/>
    <w:rPr>
      <w:iCs/>
      <w:u w:val="single"/>
    </w:rPr>
  </w:style>
  <w:style w:type="paragraph" w:customStyle="1" w:styleId="Vysvtlivkyktabulkm">
    <w:name w:val="Vysvětlivky k tabulkám"/>
    <w:basedOn w:val="Normln"/>
    <w:next w:val="Normln"/>
    <w:qFormat/>
    <w:rsid w:val="009C2DCF"/>
    <w:rPr>
      <w:rFonts w:eastAsia="Calibri"/>
      <w:color w:val="000000"/>
      <w:sz w:val="16"/>
      <w:szCs w:val="22"/>
      <w:lang w:eastAsia="en-US"/>
    </w:rPr>
  </w:style>
  <w:style w:type="paragraph" w:customStyle="1" w:styleId="Nzavtabulky">
    <w:name w:val="Názav tabulky"/>
    <w:basedOn w:val="Normln"/>
    <w:next w:val="Vysvtlivkyktabulkm"/>
    <w:qFormat/>
    <w:rsid w:val="009C2DCF"/>
    <w:pPr>
      <w:keepNext/>
      <w:tabs>
        <w:tab w:val="left" w:pos="1531"/>
      </w:tabs>
      <w:spacing w:before="140" w:after="60" w:line="276" w:lineRule="auto"/>
      <w:ind w:left="1531" w:hanging="1531"/>
      <w:jc w:val="left"/>
    </w:pPr>
    <w:rPr>
      <w:rFonts w:eastAsia="Calibri"/>
      <w:b/>
      <w:color w:val="000000"/>
      <w:sz w:val="22"/>
      <w:szCs w:val="22"/>
      <w:lang w:eastAsia="en-US"/>
    </w:rPr>
  </w:style>
  <w:style w:type="paragraph" w:styleId="Textbubliny">
    <w:name w:val="Balloon Text"/>
    <w:basedOn w:val="Normln"/>
    <w:link w:val="TextbublinyChar"/>
    <w:uiPriority w:val="99"/>
    <w:semiHidden/>
    <w:unhideWhenUsed/>
    <w:rsid w:val="009C2DC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2DCF"/>
    <w:rPr>
      <w:rFonts w:ascii="Tahoma" w:eastAsia="Times New Roman" w:hAnsi="Tahoma" w:cs="Tahoma"/>
      <w:sz w:val="16"/>
      <w:szCs w:val="16"/>
      <w:lang w:eastAsia="cs-CZ"/>
    </w:rPr>
  </w:style>
  <w:style w:type="paragraph" w:styleId="Zhlav">
    <w:name w:val="header"/>
    <w:basedOn w:val="Normln"/>
    <w:link w:val="ZhlavChar"/>
    <w:uiPriority w:val="99"/>
    <w:unhideWhenUsed/>
    <w:rsid w:val="0088286C"/>
    <w:pPr>
      <w:tabs>
        <w:tab w:val="center" w:pos="4536"/>
        <w:tab w:val="right" w:pos="9072"/>
      </w:tabs>
      <w:spacing w:before="0"/>
    </w:pPr>
  </w:style>
  <w:style w:type="character" w:customStyle="1" w:styleId="ZhlavChar">
    <w:name w:val="Záhlaví Char"/>
    <w:basedOn w:val="Standardnpsmoodstavce"/>
    <w:link w:val="Zhlav"/>
    <w:uiPriority w:val="99"/>
    <w:rsid w:val="0088286C"/>
    <w:rPr>
      <w:rFonts w:ascii="Arial" w:eastAsia="Times New Roman" w:hAnsi="Arial" w:cs="Times New Roman"/>
      <w:sz w:val="20"/>
      <w:szCs w:val="24"/>
      <w:lang w:eastAsia="cs-CZ"/>
    </w:rPr>
  </w:style>
  <w:style w:type="paragraph" w:styleId="Zpat">
    <w:name w:val="footer"/>
    <w:basedOn w:val="Normln"/>
    <w:link w:val="ZpatChar"/>
    <w:uiPriority w:val="99"/>
    <w:unhideWhenUsed/>
    <w:rsid w:val="0088286C"/>
    <w:pPr>
      <w:tabs>
        <w:tab w:val="center" w:pos="4536"/>
        <w:tab w:val="right" w:pos="9072"/>
      </w:tabs>
      <w:spacing w:before="0"/>
    </w:pPr>
  </w:style>
  <w:style w:type="character" w:customStyle="1" w:styleId="ZpatChar">
    <w:name w:val="Zápatí Char"/>
    <w:basedOn w:val="Standardnpsmoodstavce"/>
    <w:link w:val="Zpat"/>
    <w:uiPriority w:val="99"/>
    <w:rsid w:val="0088286C"/>
    <w:rPr>
      <w:rFonts w:ascii="Arial" w:eastAsia="Times New Roman" w:hAnsi="Arial" w:cs="Times New Roman"/>
      <w:sz w:val="20"/>
      <w:szCs w:val="24"/>
      <w:lang w:eastAsia="cs-CZ"/>
    </w:rPr>
  </w:style>
</w:styles>
</file>

<file path=word/webSettings.xml><?xml version="1.0" encoding="utf-8"?>
<w:webSettings xmlns:r="http://schemas.openxmlformats.org/officeDocument/2006/relationships" xmlns:w="http://schemas.openxmlformats.org/wordprocessingml/2006/main">
  <w:divs>
    <w:div w:id="1281187168">
      <w:bodyDiv w:val="1"/>
      <w:marLeft w:val="0"/>
      <w:marRight w:val="0"/>
      <w:marTop w:val="0"/>
      <w:marBottom w:val="0"/>
      <w:divBdr>
        <w:top w:val="none" w:sz="0" w:space="0" w:color="auto"/>
        <w:left w:val="none" w:sz="0" w:space="0" w:color="auto"/>
        <w:bottom w:val="none" w:sz="0" w:space="0" w:color="auto"/>
        <w:right w:val="none" w:sz="0" w:space="0" w:color="auto"/>
      </w:divBdr>
    </w:div>
    <w:div w:id="18331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N:\Zdravotnictvi\VSPO13\Anal&#253;za\Analyza-upravy\VSPO_data_%20vahy_analyza_grafy_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N:\Zdravotnictvi\VSPO13\Anal&#253;za\Analyza-upravy\V&#253;stupn&#237;%20tabulky%20k%20V&#352;PO%2013%20-%20fin&#225;ln&#237;%20verze%20-proK%2026.2.2014.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E:\Zdravotnictvi\VSPO13\Anal&#253;za\Analyza-upravy\V&#253;stupn&#237;%20tabulky%20k%20V&#352;PO%2013%20-%20fin&#225;ln&#237;%20verze%20-proK%2026.2.2014.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E:\Zdravotnictvi\VSPO13\Anal&#253;za\Analyza-upravy\V&#253;stupn&#237;%20tabulky%20k%20V&#352;PO%2013%20-%20fin&#225;ln&#237;%20verze%20-proK%2026.2.2014.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26190017763873"/>
          <c:y val="6.51700329894358E-2"/>
          <c:w val="0.84098020864551593"/>
          <c:h val="0.85982122689624563"/>
        </c:manualLayout>
      </c:layout>
      <c:barChart>
        <c:barDir val="col"/>
        <c:grouping val="clustered"/>
        <c:ser>
          <c:idx val="0"/>
          <c:order val="0"/>
          <c:spPr>
            <a:solidFill>
              <a:srgbClr val="FF6600"/>
            </a:solidFill>
          </c:spPr>
          <c:dLbls>
            <c:dLbl>
              <c:idx val="0"/>
              <c:layout>
                <c:manualLayout>
                  <c:x val="2.2021767624684228E-17"/>
                  <c:y val="8.7102441340561054E-2"/>
                </c:manualLayout>
              </c:layout>
              <c:showVal val="1"/>
              <c:extLst>
                <c:ext xmlns:c15="http://schemas.microsoft.com/office/drawing/2012/chart" uri="{CE6537A1-D6FC-4f65-9D91-7224C49458BB}">
                  <c15:layout/>
                </c:ext>
              </c:extLst>
            </c:dLbl>
            <c:dLbl>
              <c:idx val="3"/>
              <c:layout>
                <c:manualLayout>
                  <c:x val="0"/>
                  <c:y val="-1.675041876046909E-2"/>
                </c:manualLayout>
              </c:layout>
              <c:showVal val="1"/>
              <c:extLst>
                <c:ext xmlns:c15="http://schemas.microsoft.com/office/drawing/2012/chart" uri="{CE6537A1-D6FC-4f65-9D91-7224C49458BB}">
                  <c15:layout/>
                </c:ext>
              </c:extLst>
            </c:dLbl>
            <c:dLbl>
              <c:idx val="4"/>
              <c:layout>
                <c:manualLayout>
                  <c:x val="0"/>
                  <c:y val="7.7051926298157492E-2"/>
                </c:manualLayout>
              </c:layout>
              <c:showVal val="1"/>
              <c:extLst>
                <c:ext xmlns:c15="http://schemas.microsoft.com/office/drawing/2012/chart" uri="{CE6537A1-D6FC-4f65-9D91-7224C49458BB}">
                  <c15:layout/>
                </c:ext>
              </c:extLst>
            </c:dLbl>
            <c:dLbl>
              <c:idx val="5"/>
              <c:layout>
                <c:manualLayout>
                  <c:x val="0"/>
                  <c:y val="2.010050251256284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'Graf 2'!$G$4:$G$9</c:f>
              <c:strCache>
                <c:ptCount val="6"/>
                <c:pt idx="0">
                  <c:v>bez vzdělání</c:v>
                </c:pt>
                <c:pt idx="1">
                  <c:v>základní</c:v>
                </c:pt>
                <c:pt idx="2">
                  <c:v>střední bez maturity</c:v>
                </c:pt>
                <c:pt idx="3">
                  <c:v>střední s maturitou</c:v>
                </c:pt>
                <c:pt idx="4">
                  <c:v>vyšší odborné</c:v>
                </c:pt>
                <c:pt idx="5">
                  <c:v>vysokoškolské</c:v>
                </c:pt>
              </c:strCache>
            </c:strRef>
          </c:cat>
          <c:val>
            <c:numRef>
              <c:f>'Graf 2'!$H$4:$H$9</c:f>
              <c:numCache>
                <c:formatCode>0.0</c:formatCode>
                <c:ptCount val="6"/>
                <c:pt idx="0">
                  <c:v>-0.30000000000000032</c:v>
                </c:pt>
                <c:pt idx="1">
                  <c:v>-8.1307055242304109</c:v>
                </c:pt>
                <c:pt idx="2">
                  <c:v>3.8</c:v>
                </c:pt>
                <c:pt idx="3">
                  <c:v>3.4398790329013469</c:v>
                </c:pt>
                <c:pt idx="4">
                  <c:v>-9.4047981218387144E-2</c:v>
                </c:pt>
                <c:pt idx="5">
                  <c:v>1.2731644120885086</c:v>
                </c:pt>
              </c:numCache>
            </c:numRef>
          </c:val>
        </c:ser>
        <c:axId val="95057408"/>
        <c:axId val="95058944"/>
      </c:barChart>
      <c:catAx>
        <c:axId val="95057408"/>
        <c:scaling>
          <c:orientation val="minMax"/>
        </c:scaling>
        <c:axPos val="b"/>
        <c:numFmt formatCode="General" sourceLinked="0"/>
        <c:majorTickMark val="none"/>
        <c:tickLblPos val="nextTo"/>
        <c:txPr>
          <a:bodyPr rot="-5400000" vert="horz"/>
          <a:lstStyle/>
          <a:p>
            <a:pPr>
              <a:defRPr/>
            </a:pPr>
            <a:endParaRPr lang="cs-CZ"/>
          </a:p>
        </c:txPr>
        <c:crossAx val="95058944"/>
        <c:crosses val="autoZero"/>
        <c:auto val="1"/>
        <c:lblAlgn val="ctr"/>
        <c:lblOffset val="100"/>
      </c:catAx>
      <c:valAx>
        <c:axId val="95058944"/>
        <c:scaling>
          <c:orientation val="minMax"/>
        </c:scaling>
        <c:axPos val="l"/>
        <c:majorGridlines/>
        <c:title>
          <c:tx>
            <c:rich>
              <a:bodyPr rot="-5400000" vert="horz"/>
              <a:lstStyle/>
              <a:p>
                <a:pPr>
                  <a:defRPr/>
                </a:pPr>
                <a:r>
                  <a:rPr lang="cs-CZ"/>
                  <a:t>procentní body</a:t>
                </a:r>
              </a:p>
            </c:rich>
          </c:tx>
          <c:layout>
            <c:manualLayout>
              <c:xMode val="edge"/>
              <c:yMode val="edge"/>
              <c:x val="1.5536281019366339E-2"/>
              <c:y val="0.25524387708048091"/>
            </c:manualLayout>
          </c:layout>
        </c:title>
        <c:numFmt formatCode="General" sourceLinked="0"/>
        <c:majorTickMark val="none"/>
        <c:tickLblPos val="nextTo"/>
        <c:crossAx val="95057408"/>
        <c:crosses val="autoZero"/>
        <c:crossBetween val="between"/>
      </c:valAx>
      <c:spPr>
        <a:solidFill>
          <a:srgbClr val="FFFFCC"/>
        </a:solidFill>
        <a:ln>
          <a:solidFill>
            <a:sysClr val="windowText" lastClr="000000"/>
          </a:solidFill>
        </a:ln>
      </c:spPr>
    </c:plotArea>
    <c:plotVisOnly val="1"/>
    <c:dispBlanksAs val="gap"/>
  </c:chart>
  <c:spPr>
    <a:solidFill>
      <a:srgbClr val="FFFFCC"/>
    </a:solidFill>
    <a:ln w="15875">
      <a:solidFill>
        <a:sysClr val="windowText" lastClr="000000"/>
      </a:solidFill>
    </a:ln>
  </c:spPr>
  <c:txPr>
    <a:bodyPr/>
    <a:lstStyle/>
    <a:p>
      <a:pPr>
        <a:defRPr sz="1100">
          <a:latin typeface="Arial" pitchFamily="34" charset="0"/>
          <a:cs typeface="Arial" pitchFamily="34" charset="0"/>
        </a:defRPr>
      </a:pPr>
      <a:endParaRPr lang="cs-CZ"/>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12432129383578062"/>
          <c:y val="5.2430446194225724E-2"/>
          <c:w val="0.83204255182326259"/>
          <c:h val="0.78766990489825139"/>
        </c:manualLayout>
      </c:layout>
      <c:lineChart>
        <c:grouping val="standard"/>
        <c:ser>
          <c:idx val="0"/>
          <c:order val="0"/>
          <c:tx>
            <c:strRef>
              <c:f>'Tab. 18+g3'!$F$18</c:f>
              <c:strCache>
                <c:ptCount val="1"/>
                <c:pt idx="0">
                  <c:v>VŠPO 07</c:v>
                </c:pt>
              </c:strCache>
            </c:strRef>
          </c:tx>
          <c:spPr>
            <a:ln>
              <a:solidFill>
                <a:srgbClr val="F79646">
                  <a:lumMod val="75000"/>
                </a:srgbClr>
              </a:solidFill>
            </a:ln>
          </c:spPr>
          <c:marker>
            <c:symbol val="diamond"/>
            <c:size val="9"/>
            <c:spPr>
              <a:solidFill>
                <a:schemeClr val="accent6">
                  <a:lumMod val="75000"/>
                </a:schemeClr>
              </a:solidFill>
              <a:ln>
                <a:solidFill>
                  <a:schemeClr val="accent6">
                    <a:lumMod val="75000"/>
                  </a:schemeClr>
                </a:solidFill>
              </a:ln>
            </c:spPr>
          </c:marker>
          <c:cat>
            <c:strRef>
              <c:f>'Tab. 18+g3'!$E$19:$E$24</c:f>
              <c:strCache>
                <c:ptCount val="6"/>
                <c:pt idx="0">
                  <c:v>  0–14</c:v>
                </c:pt>
                <c:pt idx="1">
                  <c:v>15–29</c:v>
                </c:pt>
                <c:pt idx="2">
                  <c:v>30–44</c:v>
                </c:pt>
                <c:pt idx="3">
                  <c:v>45–59</c:v>
                </c:pt>
                <c:pt idx="4">
                  <c:v>60–74</c:v>
                </c:pt>
                <c:pt idx="5">
                  <c:v>75 +</c:v>
                </c:pt>
              </c:strCache>
            </c:strRef>
          </c:cat>
          <c:val>
            <c:numRef>
              <c:f>'Tab. 18+g3'!$F$19:$F$24</c:f>
              <c:numCache>
                <c:formatCode>General</c:formatCode>
                <c:ptCount val="6"/>
                <c:pt idx="0">
                  <c:v>5.42</c:v>
                </c:pt>
                <c:pt idx="1">
                  <c:v>14</c:v>
                </c:pt>
                <c:pt idx="2">
                  <c:v>22.34</c:v>
                </c:pt>
                <c:pt idx="3">
                  <c:v>22</c:v>
                </c:pt>
                <c:pt idx="4">
                  <c:v>12.42</c:v>
                </c:pt>
                <c:pt idx="5">
                  <c:v>4.67</c:v>
                </c:pt>
              </c:numCache>
            </c:numRef>
          </c:val>
        </c:ser>
        <c:ser>
          <c:idx val="1"/>
          <c:order val="1"/>
          <c:tx>
            <c:strRef>
              <c:f>'Tab. 18+g3'!$G$18</c:f>
              <c:strCache>
                <c:ptCount val="1"/>
                <c:pt idx="0">
                  <c:v>VŠPO 13</c:v>
                </c:pt>
              </c:strCache>
            </c:strRef>
          </c:tx>
          <c:spPr>
            <a:ln>
              <a:solidFill>
                <a:srgbClr val="008000"/>
              </a:solidFill>
            </a:ln>
          </c:spPr>
          <c:marker>
            <c:symbol val="square"/>
            <c:size val="7"/>
            <c:spPr>
              <a:solidFill>
                <a:srgbClr val="008000"/>
              </a:solidFill>
              <a:ln>
                <a:solidFill>
                  <a:srgbClr val="008000"/>
                </a:solidFill>
              </a:ln>
            </c:spPr>
          </c:marker>
          <c:cat>
            <c:strRef>
              <c:f>'Tab. 18+g3'!$E$19:$E$24</c:f>
              <c:strCache>
                <c:ptCount val="6"/>
                <c:pt idx="0">
                  <c:v>  0–14</c:v>
                </c:pt>
                <c:pt idx="1">
                  <c:v>15–29</c:v>
                </c:pt>
                <c:pt idx="2">
                  <c:v>30–44</c:v>
                </c:pt>
                <c:pt idx="3">
                  <c:v>45–59</c:v>
                </c:pt>
                <c:pt idx="4">
                  <c:v>60–74</c:v>
                </c:pt>
                <c:pt idx="5">
                  <c:v>75 +</c:v>
                </c:pt>
              </c:strCache>
            </c:strRef>
          </c:cat>
          <c:val>
            <c:numRef>
              <c:f>'Tab. 18+g3'!$G$19:$G$24</c:f>
              <c:numCache>
                <c:formatCode>General</c:formatCode>
                <c:ptCount val="6"/>
                <c:pt idx="0">
                  <c:v>3.0840000000000001</c:v>
                </c:pt>
                <c:pt idx="1">
                  <c:v>16.5</c:v>
                </c:pt>
                <c:pt idx="2">
                  <c:v>17.84</c:v>
                </c:pt>
                <c:pt idx="3">
                  <c:v>18.584</c:v>
                </c:pt>
                <c:pt idx="4">
                  <c:v>11.42</c:v>
                </c:pt>
                <c:pt idx="5">
                  <c:v>5.5</c:v>
                </c:pt>
              </c:numCache>
            </c:numRef>
          </c:val>
        </c:ser>
        <c:marker val="1"/>
        <c:axId val="95082752"/>
        <c:axId val="95355264"/>
      </c:lineChart>
      <c:catAx>
        <c:axId val="95082752"/>
        <c:scaling>
          <c:orientation val="minMax"/>
        </c:scaling>
        <c:axPos val="b"/>
        <c:numFmt formatCode="General" sourceLinked="0"/>
        <c:majorTickMark val="cross"/>
        <c:tickLblPos val="nextTo"/>
        <c:crossAx val="95355264"/>
        <c:crosses val="autoZero"/>
        <c:auto val="1"/>
        <c:lblAlgn val="ctr"/>
        <c:lblOffset val="100"/>
      </c:catAx>
      <c:valAx>
        <c:axId val="95355264"/>
        <c:scaling>
          <c:orientation val="minMax"/>
        </c:scaling>
        <c:axPos val="l"/>
        <c:majorGridlines/>
        <c:title>
          <c:tx>
            <c:rich>
              <a:bodyPr rot="-5400000" vert="horz"/>
              <a:lstStyle/>
              <a:p>
                <a:pPr>
                  <a:defRPr/>
                </a:pPr>
                <a:r>
                  <a:rPr lang="cs-CZ"/>
                  <a:t>doba pobytu v letech</a:t>
                </a:r>
              </a:p>
            </c:rich>
          </c:tx>
          <c:layout>
            <c:manualLayout>
              <c:xMode val="edge"/>
              <c:yMode val="edge"/>
              <c:x val="2.6290526252122731E-2"/>
              <c:y val="0.25100217910427236"/>
            </c:manualLayout>
          </c:layout>
        </c:title>
        <c:numFmt formatCode="General" sourceLinked="1"/>
        <c:majorTickMark val="none"/>
        <c:tickLblPos val="nextTo"/>
        <c:crossAx val="95082752"/>
        <c:crosses val="autoZero"/>
        <c:crossBetween val="midCat"/>
      </c:valAx>
      <c:spPr>
        <a:solidFill>
          <a:srgbClr val="FFFFCC"/>
        </a:solidFill>
        <a:ln>
          <a:solidFill>
            <a:schemeClr val="tx1"/>
          </a:solidFill>
        </a:ln>
      </c:spPr>
    </c:plotArea>
    <c:legend>
      <c:legendPos val="r"/>
      <c:layout>
        <c:manualLayout>
          <c:xMode val="edge"/>
          <c:yMode val="edge"/>
          <c:x val="0.74865422326882192"/>
          <c:y val="6.8635238776971072E-2"/>
          <c:w val="0.18809253834906425"/>
          <c:h val="0.13542870777516491"/>
        </c:manualLayout>
      </c:layout>
    </c:legend>
    <c:plotVisOnly val="1"/>
    <c:dispBlanksAs val="gap"/>
  </c:chart>
  <c:spPr>
    <a:solidFill>
      <a:srgbClr val="FFFFCC"/>
    </a:solidFill>
    <a:ln w="15875">
      <a:solidFill>
        <a:sysClr val="windowText" lastClr="000000"/>
      </a:solidFill>
    </a:ln>
  </c:spPr>
  <c:txPr>
    <a:bodyPr/>
    <a:lstStyle/>
    <a:p>
      <a:pPr>
        <a:defRPr sz="1100">
          <a:latin typeface="Arial" pitchFamily="34" charset="0"/>
          <a:cs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30275326322466"/>
          <c:y val="7.9764496651034036E-2"/>
          <c:w val="0.71900808539872163"/>
          <c:h val="0.75228920155472645"/>
        </c:manualLayout>
      </c:layout>
      <c:barChart>
        <c:barDir val="col"/>
        <c:grouping val="clustered"/>
        <c:ser>
          <c:idx val="0"/>
          <c:order val="0"/>
          <c:tx>
            <c:strRef>
              <c:f>'Tab. 10+g4'!$C$36</c:f>
              <c:strCache>
                <c:ptCount val="1"/>
                <c:pt idx="0">
                  <c:v>VŠPO 07</c:v>
                </c:pt>
              </c:strCache>
            </c:strRef>
          </c:tx>
          <c:spPr>
            <a:solidFill>
              <a:srgbClr val="F79646">
                <a:lumMod val="75000"/>
              </a:srgbClr>
            </a:solidFill>
          </c:spPr>
          <c:cat>
            <c:strRef>
              <c:f>'Tab. 10+g4'!$B$37:$B$39</c:f>
              <c:strCache>
                <c:ptCount val="3"/>
                <c:pt idx="0">
                  <c:v>celkem</c:v>
                </c:pt>
                <c:pt idx="1">
                  <c:v>muži</c:v>
                </c:pt>
                <c:pt idx="2">
                  <c:v>ženy</c:v>
                </c:pt>
              </c:strCache>
            </c:strRef>
          </c:cat>
          <c:val>
            <c:numRef>
              <c:f>'Tab. 10+g4'!$C$37:$C$39</c:f>
              <c:numCache>
                <c:formatCode>0%</c:formatCode>
                <c:ptCount val="3"/>
                <c:pt idx="0">
                  <c:v>0.1155141022522842</c:v>
                </c:pt>
                <c:pt idx="1">
                  <c:v>0.13146879096994399</c:v>
                </c:pt>
                <c:pt idx="2">
                  <c:v>0.10061207855325539</c:v>
                </c:pt>
              </c:numCache>
            </c:numRef>
          </c:val>
        </c:ser>
        <c:ser>
          <c:idx val="1"/>
          <c:order val="1"/>
          <c:tx>
            <c:strRef>
              <c:f>'Tab. 10+g4'!$D$36</c:f>
              <c:strCache>
                <c:ptCount val="1"/>
                <c:pt idx="0">
                  <c:v>VŠPO 13</c:v>
                </c:pt>
              </c:strCache>
            </c:strRef>
          </c:tx>
          <c:spPr>
            <a:solidFill>
              <a:srgbClr val="008000"/>
            </a:solidFill>
          </c:spPr>
          <c:cat>
            <c:strRef>
              <c:f>'Tab. 10+g4'!$B$37:$B$39</c:f>
              <c:strCache>
                <c:ptCount val="3"/>
                <c:pt idx="0">
                  <c:v>celkem</c:v>
                </c:pt>
                <c:pt idx="1">
                  <c:v>muži</c:v>
                </c:pt>
                <c:pt idx="2">
                  <c:v>ženy</c:v>
                </c:pt>
              </c:strCache>
            </c:strRef>
          </c:cat>
          <c:val>
            <c:numRef>
              <c:f>'Tab. 10+g4'!$D$37:$D$39</c:f>
              <c:numCache>
                <c:formatCode>0%</c:formatCode>
                <c:ptCount val="3"/>
                <c:pt idx="0">
                  <c:v>0.13747862292179538</c:v>
                </c:pt>
                <c:pt idx="1">
                  <c:v>0.16352452702136083</c:v>
                </c:pt>
                <c:pt idx="2">
                  <c:v>0.11383719942221089</c:v>
                </c:pt>
              </c:numCache>
            </c:numRef>
          </c:val>
        </c:ser>
        <c:axId val="95403392"/>
        <c:axId val="95298688"/>
      </c:barChart>
      <c:catAx>
        <c:axId val="95403392"/>
        <c:scaling>
          <c:orientation val="minMax"/>
        </c:scaling>
        <c:axPos val="b"/>
        <c:numFmt formatCode="General" sourceLinked="0"/>
        <c:majorTickMark val="none"/>
        <c:tickLblPos val="nextTo"/>
        <c:txPr>
          <a:bodyPr rot="0" vert="horz"/>
          <a:lstStyle/>
          <a:p>
            <a:pPr>
              <a:defRPr/>
            </a:pPr>
            <a:endParaRPr lang="cs-CZ"/>
          </a:p>
        </c:txPr>
        <c:crossAx val="95298688"/>
        <c:crosses val="autoZero"/>
        <c:auto val="1"/>
        <c:lblAlgn val="ctr"/>
        <c:lblOffset val="100"/>
      </c:catAx>
      <c:valAx>
        <c:axId val="95298688"/>
        <c:scaling>
          <c:orientation val="minMax"/>
        </c:scaling>
        <c:axPos val="l"/>
        <c:majorGridlines/>
        <c:numFmt formatCode="0%" sourceLinked="0"/>
        <c:majorTickMark val="none"/>
        <c:tickLblPos val="nextTo"/>
        <c:crossAx val="95403392"/>
        <c:crosses val="autoZero"/>
        <c:crossBetween val="between"/>
      </c:valAx>
      <c:spPr>
        <a:solidFill>
          <a:srgbClr val="FFFFCC"/>
        </a:solidFill>
        <a:ln>
          <a:solidFill>
            <a:sysClr val="windowText" lastClr="000000"/>
          </a:solidFill>
        </a:ln>
      </c:spPr>
    </c:plotArea>
    <c:legend>
      <c:legendPos val="r"/>
      <c:layout>
        <c:manualLayout>
          <c:xMode val="edge"/>
          <c:yMode val="edge"/>
          <c:x val="0.82898958938857792"/>
          <c:y val="0.44700715689227377"/>
          <c:w val="0.16875795491317008"/>
          <c:h val="0.13526817300011421"/>
        </c:manualLayout>
      </c:layout>
    </c:legend>
    <c:plotVisOnly val="1"/>
    <c:dispBlanksAs val="gap"/>
  </c:chart>
  <c:spPr>
    <a:solidFill>
      <a:srgbClr val="FFFFCC"/>
    </a:solidFill>
    <a:ln>
      <a:solidFill>
        <a:sysClr val="windowText" lastClr="000000"/>
      </a:solidFill>
    </a:ln>
  </c:spPr>
  <c:txPr>
    <a:bodyPr/>
    <a:lstStyle/>
    <a:p>
      <a:pPr>
        <a:defRPr sz="1100">
          <a:latin typeface="Arial" pitchFamily="34" charset="0"/>
          <a:cs typeface="Arial" pitchFamily="34" charset="0"/>
        </a:defRPr>
      </a:pPr>
      <a:endParaRPr lang="cs-CZ"/>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508179628231431E-2"/>
          <c:y val="6.8855414812278914E-2"/>
          <c:w val="0.77265343544386456"/>
          <c:h val="0.77741384229145272"/>
        </c:manualLayout>
      </c:layout>
      <c:barChart>
        <c:barDir val="col"/>
        <c:grouping val="clustered"/>
        <c:ser>
          <c:idx val="0"/>
          <c:order val="0"/>
          <c:tx>
            <c:strRef>
              <c:f>'Tab. 10+g4'!$C$45</c:f>
              <c:strCache>
                <c:ptCount val="1"/>
                <c:pt idx="0">
                  <c:v>VŠPO 07</c:v>
                </c:pt>
              </c:strCache>
            </c:strRef>
          </c:tx>
          <c:spPr>
            <a:solidFill>
              <a:srgbClr val="F79646">
                <a:lumMod val="75000"/>
              </a:srgbClr>
            </a:solidFill>
          </c:spPr>
          <c:cat>
            <c:strRef>
              <c:f>'Tab. 10+g4'!$B$46:$B$48</c:f>
              <c:strCache>
                <c:ptCount val="3"/>
                <c:pt idx="0">
                  <c:v>celkem</c:v>
                </c:pt>
                <c:pt idx="1">
                  <c:v>muži</c:v>
                </c:pt>
                <c:pt idx="2">
                  <c:v>ženy</c:v>
                </c:pt>
              </c:strCache>
            </c:strRef>
          </c:cat>
          <c:val>
            <c:numRef>
              <c:f>'Tab. 10+g4'!$C$46:$C$48</c:f>
              <c:numCache>
                <c:formatCode>0.0"    ";;\-"    "</c:formatCode>
                <c:ptCount val="3"/>
                <c:pt idx="0">
                  <c:v>13.580961227854225</c:v>
                </c:pt>
                <c:pt idx="1">
                  <c:v>13.411981619206752</c:v>
                </c:pt>
                <c:pt idx="2">
                  <c:v>13.736283072923888</c:v>
                </c:pt>
              </c:numCache>
            </c:numRef>
          </c:val>
        </c:ser>
        <c:ser>
          <c:idx val="1"/>
          <c:order val="1"/>
          <c:tx>
            <c:strRef>
              <c:f>'Tab. 10+g4'!$D$45</c:f>
              <c:strCache>
                <c:ptCount val="1"/>
                <c:pt idx="0">
                  <c:v>VŠPO 13</c:v>
                </c:pt>
              </c:strCache>
            </c:strRef>
          </c:tx>
          <c:spPr>
            <a:solidFill>
              <a:srgbClr val="008000"/>
            </a:solidFill>
          </c:spPr>
          <c:cat>
            <c:strRef>
              <c:f>'Tab. 10+g4'!$B$46:$B$48</c:f>
              <c:strCache>
                <c:ptCount val="3"/>
                <c:pt idx="0">
                  <c:v>celkem</c:v>
                </c:pt>
                <c:pt idx="1">
                  <c:v>muži</c:v>
                </c:pt>
                <c:pt idx="2">
                  <c:v>ženy</c:v>
                </c:pt>
              </c:strCache>
            </c:strRef>
          </c:cat>
          <c:val>
            <c:numRef>
              <c:f>'Tab. 10+g4'!$D$46:$D$48</c:f>
              <c:numCache>
                <c:formatCode>0.0"    ";;\-"    "</c:formatCode>
                <c:ptCount val="3"/>
                <c:pt idx="0">
                  <c:v>12.41</c:v>
                </c:pt>
                <c:pt idx="1">
                  <c:v>11.878778897451097</c:v>
                </c:pt>
                <c:pt idx="2">
                  <c:v>12.56</c:v>
                </c:pt>
              </c:numCache>
            </c:numRef>
          </c:val>
        </c:ser>
        <c:axId val="95323264"/>
        <c:axId val="95324800"/>
      </c:barChart>
      <c:catAx>
        <c:axId val="95323264"/>
        <c:scaling>
          <c:orientation val="minMax"/>
        </c:scaling>
        <c:axPos val="b"/>
        <c:numFmt formatCode="General" sourceLinked="0"/>
        <c:majorTickMark val="none"/>
        <c:tickLblPos val="nextTo"/>
        <c:txPr>
          <a:bodyPr rot="0" vert="horz"/>
          <a:lstStyle/>
          <a:p>
            <a:pPr>
              <a:defRPr/>
            </a:pPr>
            <a:endParaRPr lang="cs-CZ"/>
          </a:p>
        </c:txPr>
        <c:crossAx val="95324800"/>
        <c:crosses val="autoZero"/>
        <c:auto val="1"/>
        <c:lblAlgn val="ctr"/>
        <c:lblOffset val="100"/>
      </c:catAx>
      <c:valAx>
        <c:axId val="95324800"/>
        <c:scaling>
          <c:orientation val="minMax"/>
          <c:min val="0"/>
        </c:scaling>
        <c:axPos val="l"/>
        <c:majorGridlines/>
        <c:numFmt formatCode="General" sourceLinked="0"/>
        <c:majorTickMark val="none"/>
        <c:tickLblPos val="nextTo"/>
        <c:crossAx val="95323264"/>
        <c:crosses val="autoZero"/>
        <c:crossBetween val="between"/>
        <c:majorUnit val="1"/>
      </c:valAx>
      <c:spPr>
        <a:solidFill>
          <a:srgbClr val="FFFFCC"/>
        </a:solidFill>
        <a:ln>
          <a:solidFill>
            <a:sysClr val="windowText" lastClr="000000"/>
          </a:solidFill>
        </a:ln>
      </c:spPr>
    </c:plotArea>
    <c:legend>
      <c:legendPos val="r"/>
      <c:layout>
        <c:manualLayout>
          <c:xMode val="edge"/>
          <c:yMode val="edge"/>
          <c:x val="0.82895894006399884"/>
          <c:y val="0.37620649321009036"/>
          <c:w val="0.16875795491317008"/>
          <c:h val="0.12439860778272289"/>
        </c:manualLayout>
      </c:layout>
    </c:legend>
    <c:plotVisOnly val="1"/>
    <c:dispBlanksAs val="gap"/>
  </c:chart>
  <c:spPr>
    <a:solidFill>
      <a:srgbClr val="FFFFCC"/>
    </a:solidFill>
  </c:spPr>
  <c:txPr>
    <a:bodyPr/>
    <a:lstStyle/>
    <a:p>
      <a:pPr>
        <a:defRPr sz="1100">
          <a:latin typeface="Arial" pitchFamily="34" charset="0"/>
          <a:cs typeface="Arial" pitchFamily="34" charset="0"/>
        </a:defRPr>
      </a:pPr>
      <a:endParaRPr lang="cs-CZ"/>
    </a:p>
  </c:txPr>
  <c:externalData r:id="rId2"/>
</c:chartSpace>
</file>

<file path=word/theme/theme1.xml><?xml version="1.0" encoding="utf-8"?>
<a:theme xmlns:a="http://schemas.openxmlformats.org/drawingml/2006/main" name="Motiv sady Office">
  <a:themeElements>
    <a:clrScheme name="Tok">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C8110-446A-4D62-826E-2E4BF3B6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4387</Words>
  <Characters>25889</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Morávková Hana</dc:creator>
  <cp:lastModifiedBy>Morávková Hana</cp:lastModifiedBy>
  <cp:revision>5</cp:revision>
  <dcterms:created xsi:type="dcterms:W3CDTF">2014-04-30T07:25:00Z</dcterms:created>
  <dcterms:modified xsi:type="dcterms:W3CDTF">2014-04-30T08:45:00Z</dcterms:modified>
</cp:coreProperties>
</file>