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F2" w:rsidRPr="004A47F2" w:rsidRDefault="00503311" w:rsidP="002D0DAD">
      <w:pPr>
        <w:shd w:val="clear" w:color="auto" w:fill="F5F3F7"/>
        <w:tabs>
          <w:tab w:val="left" w:pos="851"/>
          <w:tab w:val="left" w:pos="1418"/>
          <w:tab w:val="left" w:pos="1701"/>
        </w:tabs>
        <w:spacing w:after="40"/>
        <w:jc w:val="both"/>
        <w:rPr>
          <w:rFonts w:ascii="Arial" w:eastAsia="Calibri" w:hAnsi="Arial" w:cs="Arial"/>
          <w:b/>
          <w:color w:val="940094"/>
          <w:sz w:val="20"/>
          <w:szCs w:val="20"/>
        </w:rPr>
      </w:pPr>
      <w:r w:rsidRPr="004A47F2">
        <w:rPr>
          <w:rFonts w:ascii="Arial" w:eastAsia="Calibri" w:hAnsi="Arial" w:cs="Arial"/>
          <w:b/>
          <w:color w:val="940094"/>
          <w:sz w:val="20"/>
          <w:szCs w:val="20"/>
        </w:rPr>
        <w:t>Vývoj zahraničního obchod</w:t>
      </w:r>
      <w:r w:rsidR="00B918EA" w:rsidRPr="004A47F2">
        <w:rPr>
          <w:rFonts w:ascii="Arial" w:eastAsia="Calibri" w:hAnsi="Arial" w:cs="Arial"/>
          <w:b/>
          <w:color w:val="940094"/>
          <w:sz w:val="20"/>
          <w:szCs w:val="20"/>
        </w:rPr>
        <w:t>u</w:t>
      </w:r>
      <w:r w:rsidRPr="004A47F2">
        <w:rPr>
          <w:rFonts w:ascii="Arial" w:eastAsia="Calibri" w:hAnsi="Arial" w:cs="Arial"/>
          <w:b/>
          <w:color w:val="940094"/>
          <w:sz w:val="20"/>
          <w:szCs w:val="20"/>
        </w:rPr>
        <w:t xml:space="preserve"> České republiky</w:t>
      </w:r>
    </w:p>
    <w:p w:rsidR="00C923E9" w:rsidRPr="004A47F2" w:rsidRDefault="00503311" w:rsidP="002D0DAD">
      <w:pPr>
        <w:shd w:val="clear" w:color="auto" w:fill="F5F3F7"/>
        <w:tabs>
          <w:tab w:val="left" w:pos="851"/>
          <w:tab w:val="left" w:pos="1418"/>
          <w:tab w:val="left" w:pos="1701"/>
        </w:tabs>
        <w:jc w:val="both"/>
        <w:rPr>
          <w:rFonts w:ascii="Arial" w:eastAsia="Calibri" w:hAnsi="Arial" w:cs="Arial"/>
          <w:b/>
          <w:color w:val="940094"/>
          <w:sz w:val="20"/>
          <w:szCs w:val="20"/>
        </w:rPr>
      </w:pPr>
      <w:r w:rsidRPr="004A47F2">
        <w:rPr>
          <w:rFonts w:ascii="Arial" w:eastAsia="Calibri" w:hAnsi="Arial" w:cs="Arial"/>
          <w:b/>
          <w:color w:val="940094"/>
          <w:sz w:val="20"/>
          <w:szCs w:val="20"/>
        </w:rPr>
        <w:t>od jejího vstupu do E</w:t>
      </w:r>
      <w:r w:rsidR="004A47F2" w:rsidRPr="004A47F2">
        <w:rPr>
          <w:rFonts w:ascii="Arial" w:eastAsia="Calibri" w:hAnsi="Arial" w:cs="Arial"/>
          <w:b/>
          <w:color w:val="940094"/>
          <w:sz w:val="20"/>
          <w:szCs w:val="20"/>
        </w:rPr>
        <w:t>vropské unie</w:t>
      </w:r>
      <w:r w:rsidRPr="004A47F2">
        <w:rPr>
          <w:rFonts w:ascii="Arial" w:eastAsia="Calibri" w:hAnsi="Arial" w:cs="Arial"/>
          <w:b/>
          <w:color w:val="940094"/>
          <w:sz w:val="20"/>
          <w:szCs w:val="20"/>
        </w:rPr>
        <w:t xml:space="preserve"> </w:t>
      </w:r>
      <w:r w:rsidR="00493053" w:rsidRPr="004A47F2">
        <w:rPr>
          <w:rFonts w:ascii="Arial" w:eastAsia="Calibri" w:hAnsi="Arial" w:cs="Arial"/>
          <w:b/>
          <w:color w:val="940094"/>
          <w:sz w:val="20"/>
          <w:szCs w:val="20"/>
        </w:rPr>
        <w:t>do roku 2013</w:t>
      </w:r>
    </w:p>
    <w:p w:rsidR="00BB1EB9" w:rsidRDefault="007049DA" w:rsidP="00C553D4">
      <w:pPr>
        <w:pStyle w:val="Nadpis1"/>
        <w:spacing w:before="0" w:after="120"/>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Předložená datová sada poskytuje uživateli údaje o zahraničním obchodě České repub</w:t>
      </w:r>
      <w:r w:rsidR="00A368C9">
        <w:rPr>
          <w:rFonts w:ascii="Arial" w:eastAsiaTheme="minorHAnsi" w:hAnsi="Arial" w:cs="Arial"/>
          <w:b w:val="0"/>
          <w:bCs w:val="0"/>
          <w:sz w:val="18"/>
          <w:szCs w:val="18"/>
        </w:rPr>
        <w:t>liky a jeho vývoji od vstupu do </w:t>
      </w:r>
      <w:r w:rsidRPr="004A47F2">
        <w:rPr>
          <w:rFonts w:ascii="Arial" w:eastAsiaTheme="minorHAnsi" w:hAnsi="Arial" w:cs="Arial"/>
          <w:b w:val="0"/>
          <w:bCs w:val="0"/>
          <w:sz w:val="18"/>
          <w:szCs w:val="18"/>
        </w:rPr>
        <w:t xml:space="preserve">Evropské unie v </w:t>
      </w:r>
      <w:r w:rsidR="0061614D">
        <w:rPr>
          <w:rFonts w:ascii="Arial" w:eastAsiaTheme="minorHAnsi" w:hAnsi="Arial" w:cs="Arial"/>
          <w:b w:val="0"/>
          <w:bCs w:val="0"/>
          <w:sz w:val="18"/>
          <w:szCs w:val="18"/>
        </w:rPr>
        <w:t>roce</w:t>
      </w:r>
      <w:r w:rsidRPr="004A47F2">
        <w:rPr>
          <w:rFonts w:ascii="Arial" w:eastAsiaTheme="minorHAnsi" w:hAnsi="Arial" w:cs="Arial"/>
          <w:b w:val="0"/>
          <w:bCs w:val="0"/>
          <w:sz w:val="18"/>
          <w:szCs w:val="18"/>
        </w:rPr>
        <w:t xml:space="preserve"> 2004. Uvedené tabulky popisují zahraniční obchod Č</w:t>
      </w:r>
      <w:r w:rsidR="00BB1EB9">
        <w:rPr>
          <w:rFonts w:ascii="Arial" w:eastAsiaTheme="minorHAnsi" w:hAnsi="Arial" w:cs="Arial"/>
          <w:b w:val="0"/>
          <w:bCs w:val="0"/>
          <w:sz w:val="18"/>
          <w:szCs w:val="18"/>
        </w:rPr>
        <w:t>eské republiky</w:t>
      </w:r>
      <w:r w:rsidRPr="004A47F2">
        <w:rPr>
          <w:rFonts w:ascii="Arial" w:eastAsiaTheme="minorHAnsi" w:hAnsi="Arial" w:cs="Arial"/>
          <w:b w:val="0"/>
          <w:bCs w:val="0"/>
          <w:sz w:val="18"/>
          <w:szCs w:val="18"/>
        </w:rPr>
        <w:t xml:space="preserve"> </w:t>
      </w:r>
      <w:r w:rsidR="00957F11">
        <w:rPr>
          <w:rFonts w:ascii="Arial" w:eastAsiaTheme="minorHAnsi" w:hAnsi="Arial" w:cs="Arial"/>
          <w:b w:val="0"/>
          <w:bCs w:val="0"/>
          <w:sz w:val="18"/>
          <w:szCs w:val="18"/>
        </w:rPr>
        <w:t>podle pohybu zboží z </w:t>
      </w:r>
      <w:r w:rsidRPr="004A47F2">
        <w:rPr>
          <w:rFonts w:ascii="Arial" w:eastAsiaTheme="minorHAnsi" w:hAnsi="Arial" w:cs="Arial"/>
          <w:b w:val="0"/>
          <w:bCs w:val="0"/>
          <w:sz w:val="18"/>
          <w:szCs w:val="18"/>
        </w:rPr>
        <w:t>různých pohledů. Jsou rozděleny podle témat do několika částí</w:t>
      </w:r>
      <w:r w:rsidR="00BB1EB9">
        <w:rPr>
          <w:rFonts w:ascii="Arial" w:eastAsiaTheme="minorHAnsi" w:hAnsi="Arial" w:cs="Arial"/>
          <w:b w:val="0"/>
          <w:bCs w:val="0"/>
          <w:sz w:val="18"/>
          <w:szCs w:val="18"/>
        </w:rPr>
        <w:t>:</w:t>
      </w:r>
    </w:p>
    <w:p w:rsidR="00BB1EB9" w:rsidRDefault="007049DA"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hlavní ukazatel</w:t>
      </w:r>
      <w:r w:rsidR="00A368C9">
        <w:rPr>
          <w:rFonts w:ascii="Arial" w:eastAsiaTheme="minorHAnsi" w:hAnsi="Arial" w:cs="Arial"/>
          <w:b w:val="0"/>
          <w:bCs w:val="0"/>
          <w:sz w:val="18"/>
          <w:szCs w:val="18"/>
        </w:rPr>
        <w:t>e</w:t>
      </w:r>
      <w:r w:rsidRPr="004A47F2">
        <w:rPr>
          <w:rFonts w:ascii="Arial" w:eastAsiaTheme="minorHAnsi" w:hAnsi="Arial" w:cs="Arial"/>
          <w:b w:val="0"/>
          <w:bCs w:val="0"/>
          <w:sz w:val="18"/>
          <w:szCs w:val="18"/>
        </w:rPr>
        <w:t xml:space="preserve"> zahraničního obchodu</w:t>
      </w:r>
      <w:r w:rsidR="00BB1EB9">
        <w:rPr>
          <w:rFonts w:ascii="Arial" w:eastAsiaTheme="minorHAnsi" w:hAnsi="Arial" w:cs="Arial"/>
          <w:b w:val="0"/>
          <w:bCs w:val="0"/>
          <w:sz w:val="18"/>
          <w:szCs w:val="18"/>
        </w:rPr>
        <w:t>,</w:t>
      </w:r>
    </w:p>
    <w:p w:rsidR="00BB1EB9" w:rsidRDefault="007049DA"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 xml:space="preserve">zahraniční obchod </w:t>
      </w:r>
      <w:r w:rsidR="00BB1EB9">
        <w:rPr>
          <w:rFonts w:ascii="Arial" w:eastAsiaTheme="minorHAnsi" w:hAnsi="Arial" w:cs="Arial"/>
          <w:b w:val="0"/>
          <w:bCs w:val="0"/>
          <w:sz w:val="18"/>
          <w:szCs w:val="18"/>
        </w:rPr>
        <w:t>v jednotlivých obdobích,</w:t>
      </w:r>
    </w:p>
    <w:p w:rsidR="00BB1EB9" w:rsidRDefault="00BB1EB9"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rPr>
      </w:pPr>
      <w:r>
        <w:rPr>
          <w:rFonts w:ascii="Arial" w:eastAsiaTheme="minorHAnsi" w:hAnsi="Arial" w:cs="Arial"/>
          <w:b w:val="0"/>
          <w:bCs w:val="0"/>
          <w:sz w:val="18"/>
          <w:szCs w:val="18"/>
        </w:rPr>
        <w:t>teritoriální struktura</w:t>
      </w:r>
      <w:r w:rsidR="00B5659F">
        <w:rPr>
          <w:rFonts w:ascii="Arial" w:eastAsiaTheme="minorHAnsi" w:hAnsi="Arial" w:cs="Arial"/>
          <w:b w:val="0"/>
          <w:bCs w:val="0"/>
          <w:sz w:val="18"/>
          <w:szCs w:val="18"/>
        </w:rPr>
        <w:t xml:space="preserve"> zahraničního obchodu</w:t>
      </w:r>
      <w:r w:rsidR="007049DA" w:rsidRPr="004A47F2">
        <w:rPr>
          <w:rFonts w:ascii="Arial" w:eastAsiaTheme="minorHAnsi" w:hAnsi="Arial" w:cs="Arial"/>
          <w:b w:val="0"/>
          <w:bCs w:val="0"/>
          <w:sz w:val="18"/>
          <w:szCs w:val="18"/>
        </w:rPr>
        <w:t xml:space="preserve">, </w:t>
      </w:r>
    </w:p>
    <w:p w:rsidR="00BB1EB9" w:rsidRDefault="007049DA" w:rsidP="0061614D">
      <w:pPr>
        <w:pStyle w:val="Nadpis1"/>
        <w:numPr>
          <w:ilvl w:val="0"/>
          <w:numId w:val="4"/>
        </w:numPr>
        <w:spacing w:before="0" w:after="80" w:line="240" w:lineRule="auto"/>
        <w:ind w:left="993" w:hanging="426"/>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hla</w:t>
      </w:r>
      <w:r w:rsidR="0061614D">
        <w:rPr>
          <w:rFonts w:ascii="Arial" w:eastAsiaTheme="minorHAnsi" w:hAnsi="Arial" w:cs="Arial"/>
          <w:b w:val="0"/>
          <w:bCs w:val="0"/>
          <w:sz w:val="18"/>
          <w:szCs w:val="18"/>
        </w:rPr>
        <w:t>vní zahraničněobchodní partneři</w:t>
      </w:r>
      <w:r w:rsidRPr="004A47F2">
        <w:rPr>
          <w:rFonts w:ascii="Arial" w:eastAsiaTheme="minorHAnsi" w:hAnsi="Arial" w:cs="Arial"/>
          <w:b w:val="0"/>
          <w:bCs w:val="0"/>
          <w:sz w:val="18"/>
          <w:szCs w:val="18"/>
        </w:rPr>
        <w:t>,</w:t>
      </w:r>
    </w:p>
    <w:p w:rsidR="00BB1EB9" w:rsidRPr="00BB1EB9" w:rsidRDefault="007049DA" w:rsidP="0061614D">
      <w:pPr>
        <w:pStyle w:val="Nadpis1"/>
        <w:numPr>
          <w:ilvl w:val="0"/>
          <w:numId w:val="4"/>
        </w:numPr>
        <w:spacing w:before="0" w:after="120" w:line="240" w:lineRule="auto"/>
        <w:ind w:left="993" w:hanging="426"/>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zbožová struktura zahraničního obchodu.</w:t>
      </w:r>
      <w:r w:rsidRPr="004A47F2">
        <w:rPr>
          <w:rFonts w:ascii="Arial" w:hAnsi="Arial" w:cs="Arial"/>
          <w:sz w:val="18"/>
          <w:szCs w:val="18"/>
        </w:rPr>
        <w:t xml:space="preserve"> </w:t>
      </w:r>
    </w:p>
    <w:p w:rsidR="00030D32" w:rsidRDefault="007049DA" w:rsidP="00BB1EB9">
      <w:pPr>
        <w:pStyle w:val="Nadpis1"/>
        <w:spacing w:before="0" w:after="120"/>
        <w:jc w:val="both"/>
        <w:rPr>
          <w:rFonts w:ascii="Arial" w:eastAsiaTheme="minorHAnsi" w:hAnsi="Arial" w:cs="Arial"/>
          <w:b w:val="0"/>
          <w:bCs w:val="0"/>
          <w:sz w:val="18"/>
          <w:szCs w:val="18"/>
        </w:rPr>
      </w:pPr>
      <w:r w:rsidRPr="004A47F2">
        <w:rPr>
          <w:rFonts w:ascii="Arial" w:eastAsiaTheme="minorHAnsi" w:hAnsi="Arial" w:cs="Arial"/>
          <w:b w:val="0"/>
          <w:bCs w:val="0"/>
          <w:sz w:val="18"/>
          <w:szCs w:val="18"/>
        </w:rPr>
        <w:t>Údaje uvedené v tabulkách jsou definitivní, všechna období v představené dato</w:t>
      </w:r>
      <w:r w:rsidR="0061614D">
        <w:rPr>
          <w:rFonts w:ascii="Arial" w:eastAsiaTheme="minorHAnsi" w:hAnsi="Arial" w:cs="Arial"/>
          <w:b w:val="0"/>
          <w:bCs w:val="0"/>
          <w:sz w:val="18"/>
          <w:szCs w:val="18"/>
        </w:rPr>
        <w:t>vé sadě jsou uzavřená a </w:t>
      </w:r>
      <w:r w:rsidRPr="004A47F2">
        <w:rPr>
          <w:rFonts w:ascii="Arial" w:eastAsiaTheme="minorHAnsi" w:hAnsi="Arial" w:cs="Arial"/>
          <w:b w:val="0"/>
          <w:bCs w:val="0"/>
          <w:sz w:val="18"/>
          <w:szCs w:val="18"/>
        </w:rPr>
        <w:t xml:space="preserve">statistická data se tak již nebudou měnit. </w:t>
      </w:r>
    </w:p>
    <w:p w:rsidR="00B918EA" w:rsidRPr="00DF1547" w:rsidRDefault="00B918EA" w:rsidP="0061614D">
      <w:pPr>
        <w:pStyle w:val="Nadpis1"/>
        <w:numPr>
          <w:ilvl w:val="0"/>
          <w:numId w:val="1"/>
        </w:numPr>
        <w:spacing w:before="240" w:after="120"/>
        <w:ind w:left="567" w:hanging="567"/>
        <w:rPr>
          <w:rFonts w:ascii="Arial" w:eastAsia="Calibri" w:hAnsi="Arial" w:cs="Arial"/>
          <w:bCs w:val="0"/>
          <w:color w:val="940094"/>
          <w:sz w:val="19"/>
          <w:szCs w:val="19"/>
        </w:rPr>
      </w:pPr>
      <w:r w:rsidRPr="00DF1547">
        <w:rPr>
          <w:rFonts w:ascii="Arial" w:eastAsia="Calibri" w:hAnsi="Arial" w:cs="Arial"/>
          <w:bCs w:val="0"/>
          <w:color w:val="940094"/>
          <w:sz w:val="19"/>
          <w:szCs w:val="19"/>
        </w:rPr>
        <w:t>Hlavní ukazatel</w:t>
      </w:r>
      <w:r w:rsidR="007049DA" w:rsidRPr="00DF1547">
        <w:rPr>
          <w:rFonts w:ascii="Arial" w:eastAsia="Calibri" w:hAnsi="Arial" w:cs="Arial"/>
          <w:bCs w:val="0"/>
          <w:color w:val="940094"/>
          <w:sz w:val="19"/>
          <w:szCs w:val="19"/>
        </w:rPr>
        <w:t>é</w:t>
      </w:r>
      <w:r w:rsidRPr="00DF1547">
        <w:rPr>
          <w:rFonts w:ascii="Arial" w:eastAsia="Calibri" w:hAnsi="Arial" w:cs="Arial"/>
          <w:bCs w:val="0"/>
          <w:color w:val="940094"/>
          <w:sz w:val="19"/>
          <w:szCs w:val="19"/>
        </w:rPr>
        <w:t xml:space="preserve"> zahraničního obchodu</w:t>
      </w:r>
      <w:r w:rsidR="00515CA6">
        <w:rPr>
          <w:rFonts w:ascii="Arial" w:eastAsia="Calibri" w:hAnsi="Arial" w:cs="Arial"/>
          <w:bCs w:val="0"/>
          <w:color w:val="940094"/>
          <w:sz w:val="19"/>
          <w:szCs w:val="19"/>
        </w:rPr>
        <w:t xml:space="preserve"> </w:t>
      </w:r>
    </w:p>
    <w:p w:rsidR="00DF1547" w:rsidRPr="008D494F" w:rsidRDefault="00DF1547" w:rsidP="008D494F">
      <w:pPr>
        <w:shd w:val="clear" w:color="auto" w:fill="E5E0EC"/>
        <w:jc w:val="center"/>
        <w:rPr>
          <w:rFonts w:ascii="Arial" w:eastAsia="Calibri" w:hAnsi="Arial" w:cs="Arial"/>
          <w:b/>
          <w:color w:val="940094"/>
          <w:sz w:val="18"/>
          <w:szCs w:val="18"/>
        </w:rPr>
      </w:pPr>
      <w:r w:rsidRPr="008D494F">
        <w:rPr>
          <w:rFonts w:ascii="Arial" w:eastAsia="Calibri" w:hAnsi="Arial" w:cs="Arial"/>
          <w:b/>
          <w:color w:val="940094"/>
          <w:sz w:val="18"/>
          <w:szCs w:val="18"/>
        </w:rPr>
        <w:t>1993 - 2013</w:t>
      </w:r>
    </w:p>
    <w:p w:rsidR="0086029F" w:rsidRDefault="00493053" w:rsidP="0086029F">
      <w:pPr>
        <w:spacing w:after="120"/>
        <w:jc w:val="both"/>
        <w:rPr>
          <w:rFonts w:ascii="Arial" w:hAnsi="Arial" w:cs="Arial"/>
          <w:sz w:val="18"/>
          <w:szCs w:val="18"/>
        </w:rPr>
      </w:pPr>
      <w:r w:rsidRPr="004A47F2">
        <w:rPr>
          <w:rFonts w:ascii="Arial" w:hAnsi="Arial" w:cs="Arial"/>
          <w:sz w:val="18"/>
          <w:szCs w:val="18"/>
        </w:rPr>
        <w:t xml:space="preserve">Vývoj zahraničního obchodu mezi léty 1993 a 2013 ukazuje tabulka 1.1. Významný </w:t>
      </w:r>
      <w:r w:rsidR="008D494F">
        <w:rPr>
          <w:rFonts w:ascii="Arial" w:hAnsi="Arial" w:cs="Arial"/>
          <w:sz w:val="18"/>
          <w:szCs w:val="18"/>
        </w:rPr>
        <w:t>zlom je zde vidět neprodleně po </w:t>
      </w:r>
      <w:r w:rsidRPr="004A47F2">
        <w:rPr>
          <w:rFonts w:ascii="Arial" w:hAnsi="Arial" w:cs="Arial"/>
          <w:sz w:val="18"/>
          <w:szCs w:val="18"/>
        </w:rPr>
        <w:t>vstupu Č</w:t>
      </w:r>
      <w:r w:rsidR="008D494F">
        <w:rPr>
          <w:rFonts w:ascii="Arial" w:hAnsi="Arial" w:cs="Arial"/>
          <w:sz w:val="18"/>
          <w:szCs w:val="18"/>
        </w:rPr>
        <w:t>eské republiky</w:t>
      </w:r>
      <w:r w:rsidRPr="004A47F2">
        <w:rPr>
          <w:rFonts w:ascii="Arial" w:hAnsi="Arial" w:cs="Arial"/>
          <w:sz w:val="18"/>
          <w:szCs w:val="18"/>
        </w:rPr>
        <w:t xml:space="preserve"> do E</w:t>
      </w:r>
      <w:r w:rsidR="008D494F">
        <w:rPr>
          <w:rFonts w:ascii="Arial" w:hAnsi="Arial" w:cs="Arial"/>
          <w:sz w:val="18"/>
          <w:szCs w:val="18"/>
        </w:rPr>
        <w:t>vropské unie</w:t>
      </w:r>
      <w:r w:rsidR="005065F4" w:rsidRPr="004A47F2">
        <w:rPr>
          <w:rFonts w:ascii="Arial" w:hAnsi="Arial" w:cs="Arial"/>
          <w:sz w:val="18"/>
          <w:szCs w:val="18"/>
        </w:rPr>
        <w:t xml:space="preserve">, v roce 2005, kdy vývoz začal mírně převyšovat dovoz a obchodní bilance se tak dostala do </w:t>
      </w:r>
      <w:r w:rsidR="00646FB1">
        <w:rPr>
          <w:rFonts w:ascii="Arial" w:hAnsi="Arial" w:cs="Arial"/>
          <w:sz w:val="18"/>
          <w:szCs w:val="18"/>
        </w:rPr>
        <w:t xml:space="preserve">prvního </w:t>
      </w:r>
      <w:r w:rsidR="005065F4" w:rsidRPr="004A47F2">
        <w:rPr>
          <w:rFonts w:ascii="Arial" w:hAnsi="Arial" w:cs="Arial"/>
          <w:sz w:val="18"/>
          <w:szCs w:val="18"/>
        </w:rPr>
        <w:t xml:space="preserve">přebytku </w:t>
      </w:r>
      <w:r w:rsidR="000F1141">
        <w:rPr>
          <w:rFonts w:ascii="Arial" w:hAnsi="Arial" w:cs="Arial"/>
          <w:sz w:val="18"/>
          <w:szCs w:val="18"/>
        </w:rPr>
        <w:t>(</w:t>
      </w:r>
      <w:r w:rsidR="0064643A" w:rsidRPr="004A47F2">
        <w:rPr>
          <w:rFonts w:ascii="Arial" w:hAnsi="Arial" w:cs="Arial"/>
          <w:sz w:val="18"/>
          <w:szCs w:val="18"/>
        </w:rPr>
        <w:t>38,</w:t>
      </w:r>
      <w:r w:rsidR="004B684B">
        <w:rPr>
          <w:rFonts w:ascii="Arial" w:hAnsi="Arial" w:cs="Arial"/>
          <w:sz w:val="18"/>
          <w:szCs w:val="18"/>
        </w:rPr>
        <w:t>6</w:t>
      </w:r>
      <w:r w:rsidR="0064643A" w:rsidRPr="004A47F2">
        <w:rPr>
          <w:rFonts w:ascii="Arial" w:hAnsi="Arial" w:cs="Arial"/>
          <w:sz w:val="18"/>
          <w:szCs w:val="18"/>
        </w:rPr>
        <w:t xml:space="preserve"> mld. Kč</w:t>
      </w:r>
      <w:r w:rsidR="000F1141">
        <w:rPr>
          <w:rFonts w:ascii="Arial" w:hAnsi="Arial" w:cs="Arial"/>
          <w:sz w:val="18"/>
          <w:szCs w:val="18"/>
        </w:rPr>
        <w:t>)</w:t>
      </w:r>
      <w:r w:rsidR="00646FB1">
        <w:rPr>
          <w:rFonts w:ascii="Arial" w:hAnsi="Arial" w:cs="Arial"/>
          <w:sz w:val="18"/>
          <w:szCs w:val="18"/>
        </w:rPr>
        <w:t xml:space="preserve"> od vzniku samostatné republiky</w:t>
      </w:r>
      <w:r w:rsidR="0064643A" w:rsidRPr="004A47F2">
        <w:rPr>
          <w:rFonts w:ascii="Arial" w:hAnsi="Arial" w:cs="Arial"/>
          <w:sz w:val="18"/>
          <w:szCs w:val="18"/>
        </w:rPr>
        <w:t xml:space="preserve">. </w:t>
      </w:r>
      <w:r w:rsidR="0086029F">
        <w:rPr>
          <w:rFonts w:ascii="Arial" w:hAnsi="Arial" w:cs="Arial"/>
          <w:sz w:val="18"/>
          <w:szCs w:val="18"/>
        </w:rPr>
        <w:t>V roce 2013</w:t>
      </w:r>
      <w:r w:rsidR="0086029F" w:rsidRPr="0086029F">
        <w:rPr>
          <w:rFonts w:ascii="Arial" w:hAnsi="Arial" w:cs="Arial"/>
          <w:sz w:val="18"/>
          <w:szCs w:val="18"/>
        </w:rPr>
        <w:t xml:space="preserve"> </w:t>
      </w:r>
      <w:r w:rsidR="0086029F" w:rsidRPr="004A47F2">
        <w:rPr>
          <w:rFonts w:ascii="Arial" w:hAnsi="Arial" w:cs="Arial"/>
          <w:sz w:val="18"/>
          <w:szCs w:val="18"/>
        </w:rPr>
        <w:t>dosáhla bilance hodnoty 351</w:t>
      </w:r>
      <w:r w:rsidR="0086029F">
        <w:rPr>
          <w:rFonts w:ascii="Arial" w:hAnsi="Arial" w:cs="Arial"/>
          <w:sz w:val="18"/>
          <w:szCs w:val="18"/>
        </w:rPr>
        <w:t>,2</w:t>
      </w:r>
      <w:r w:rsidR="0086029F" w:rsidRPr="004A47F2">
        <w:rPr>
          <w:rFonts w:ascii="Arial" w:hAnsi="Arial" w:cs="Arial"/>
          <w:sz w:val="18"/>
          <w:szCs w:val="18"/>
        </w:rPr>
        <w:t xml:space="preserve"> mld. Kč.</w:t>
      </w:r>
    </w:p>
    <w:p w:rsidR="00493053" w:rsidRDefault="0086029F" w:rsidP="00C553D4">
      <w:pPr>
        <w:jc w:val="both"/>
        <w:rPr>
          <w:rFonts w:ascii="Arial" w:hAnsi="Arial" w:cs="Arial"/>
          <w:sz w:val="18"/>
          <w:szCs w:val="18"/>
        </w:rPr>
      </w:pPr>
      <w:r>
        <w:rPr>
          <w:rFonts w:ascii="Arial" w:hAnsi="Arial" w:cs="Arial"/>
          <w:sz w:val="18"/>
          <w:szCs w:val="18"/>
        </w:rPr>
        <w:t>Ve sledovaných</w:t>
      </w:r>
      <w:r w:rsidR="0064643A" w:rsidRPr="004A47F2">
        <w:rPr>
          <w:rFonts w:ascii="Arial" w:hAnsi="Arial" w:cs="Arial"/>
          <w:sz w:val="18"/>
          <w:szCs w:val="18"/>
        </w:rPr>
        <w:t xml:space="preserve"> letech docházelo k růstu </w:t>
      </w:r>
      <w:r w:rsidR="00646FB1">
        <w:rPr>
          <w:rFonts w:ascii="Arial" w:hAnsi="Arial" w:cs="Arial"/>
          <w:sz w:val="18"/>
          <w:szCs w:val="18"/>
        </w:rPr>
        <w:t xml:space="preserve">obratu zahraničního obchodu </w:t>
      </w:r>
      <w:r w:rsidR="0064643A" w:rsidRPr="004A47F2">
        <w:rPr>
          <w:rFonts w:ascii="Arial" w:hAnsi="Arial" w:cs="Arial"/>
          <w:sz w:val="18"/>
          <w:szCs w:val="18"/>
        </w:rPr>
        <w:t>s výjimkou krizov</w:t>
      </w:r>
      <w:r>
        <w:rPr>
          <w:rFonts w:ascii="Arial" w:hAnsi="Arial" w:cs="Arial"/>
          <w:sz w:val="18"/>
          <w:szCs w:val="18"/>
        </w:rPr>
        <w:t>é</w:t>
      </w:r>
      <w:r w:rsidR="00646FB1">
        <w:rPr>
          <w:rFonts w:ascii="Arial" w:hAnsi="Arial" w:cs="Arial"/>
          <w:sz w:val="18"/>
          <w:szCs w:val="18"/>
        </w:rPr>
        <w:t>ho</w:t>
      </w:r>
      <w:r w:rsidR="0064643A" w:rsidRPr="004A47F2">
        <w:rPr>
          <w:rFonts w:ascii="Arial" w:hAnsi="Arial" w:cs="Arial"/>
          <w:sz w:val="18"/>
          <w:szCs w:val="18"/>
        </w:rPr>
        <w:t xml:space="preserve"> </w:t>
      </w:r>
      <w:r w:rsidR="00646FB1">
        <w:rPr>
          <w:rFonts w:ascii="Arial" w:hAnsi="Arial" w:cs="Arial"/>
          <w:sz w:val="18"/>
          <w:szCs w:val="18"/>
        </w:rPr>
        <w:t>roku 2009</w:t>
      </w:r>
      <w:r w:rsidR="0013766B">
        <w:rPr>
          <w:rFonts w:ascii="Arial" w:hAnsi="Arial" w:cs="Arial"/>
          <w:sz w:val="18"/>
          <w:szCs w:val="18"/>
        </w:rPr>
        <w:t>. Ve srovnání s </w:t>
      </w:r>
      <w:r>
        <w:rPr>
          <w:rFonts w:ascii="Arial" w:hAnsi="Arial" w:cs="Arial"/>
          <w:sz w:val="18"/>
          <w:szCs w:val="18"/>
        </w:rPr>
        <w:t xml:space="preserve">rokem 1993 se jeho hodnota v roce 2013 navýšila </w:t>
      </w:r>
      <w:r w:rsidR="00A368C9">
        <w:rPr>
          <w:rFonts w:ascii="Arial" w:hAnsi="Arial" w:cs="Arial"/>
          <w:sz w:val="18"/>
          <w:szCs w:val="18"/>
        </w:rPr>
        <w:t>sedminásobně</w:t>
      </w:r>
      <w:r>
        <w:rPr>
          <w:rFonts w:ascii="Arial" w:hAnsi="Arial" w:cs="Arial"/>
          <w:sz w:val="18"/>
          <w:szCs w:val="18"/>
        </w:rPr>
        <w:t xml:space="preserve"> a dosáhla 5 998,2 mld. Kč.</w:t>
      </w:r>
      <w:r w:rsidR="0064643A" w:rsidRPr="004A47F2">
        <w:rPr>
          <w:rFonts w:ascii="Arial" w:hAnsi="Arial" w:cs="Arial"/>
          <w:sz w:val="18"/>
          <w:szCs w:val="18"/>
        </w:rPr>
        <w:t xml:space="preserve"> </w:t>
      </w:r>
    </w:p>
    <w:p w:rsidR="008D494F" w:rsidRPr="008D494F" w:rsidRDefault="008D494F" w:rsidP="008D494F">
      <w:pPr>
        <w:shd w:val="clear" w:color="auto" w:fill="E5E0EC"/>
        <w:jc w:val="center"/>
        <w:rPr>
          <w:rFonts w:ascii="Arial" w:eastAsia="Calibri" w:hAnsi="Arial" w:cs="Arial"/>
          <w:b/>
          <w:color w:val="940094"/>
          <w:sz w:val="18"/>
          <w:szCs w:val="18"/>
        </w:rPr>
      </w:pPr>
      <w:r>
        <w:rPr>
          <w:rFonts w:ascii="Arial" w:eastAsia="Calibri" w:hAnsi="Arial" w:cs="Arial"/>
          <w:b/>
          <w:color w:val="940094"/>
          <w:sz w:val="18"/>
          <w:szCs w:val="18"/>
        </w:rPr>
        <w:t>2004</w:t>
      </w:r>
      <w:r w:rsidRPr="008D494F">
        <w:rPr>
          <w:rFonts w:ascii="Arial" w:eastAsia="Calibri" w:hAnsi="Arial" w:cs="Arial"/>
          <w:b/>
          <w:color w:val="940094"/>
          <w:sz w:val="18"/>
          <w:szCs w:val="18"/>
        </w:rPr>
        <w:t xml:space="preserve"> - 2013</w:t>
      </w:r>
    </w:p>
    <w:p w:rsidR="0061614D" w:rsidRDefault="0061614D" w:rsidP="00345F1E">
      <w:pPr>
        <w:jc w:val="both"/>
        <w:rPr>
          <w:rFonts w:ascii="Arial" w:hAnsi="Arial" w:cs="Arial"/>
          <w:sz w:val="18"/>
          <w:szCs w:val="18"/>
        </w:rPr>
      </w:pPr>
      <w:r w:rsidRPr="004A47F2">
        <w:rPr>
          <w:rFonts w:ascii="Arial" w:hAnsi="Arial" w:cs="Arial"/>
          <w:sz w:val="18"/>
          <w:szCs w:val="18"/>
        </w:rPr>
        <w:t xml:space="preserve">Od vstupu České republiky do Evropské unie uplynulo v květnu 2014 deset let. Za tuto dobu došlo díky volnému trhu </w:t>
      </w:r>
      <w:r>
        <w:rPr>
          <w:rFonts w:ascii="Arial" w:hAnsi="Arial" w:cs="Arial"/>
          <w:sz w:val="18"/>
          <w:szCs w:val="18"/>
        </w:rPr>
        <w:t>v </w:t>
      </w:r>
      <w:r w:rsidRPr="004A47F2">
        <w:rPr>
          <w:rFonts w:ascii="Arial" w:hAnsi="Arial" w:cs="Arial"/>
          <w:sz w:val="18"/>
          <w:szCs w:val="18"/>
        </w:rPr>
        <w:t>rámci EU k udržení významného podílu obchodu Č</w:t>
      </w:r>
      <w:r>
        <w:rPr>
          <w:rFonts w:ascii="Arial" w:hAnsi="Arial" w:cs="Arial"/>
          <w:sz w:val="18"/>
          <w:szCs w:val="18"/>
        </w:rPr>
        <w:t xml:space="preserve">eska </w:t>
      </w:r>
      <w:r w:rsidRPr="004A47F2">
        <w:rPr>
          <w:rFonts w:ascii="Arial" w:hAnsi="Arial" w:cs="Arial"/>
          <w:sz w:val="18"/>
          <w:szCs w:val="18"/>
        </w:rPr>
        <w:t>s ostatními evropskými státy a také k dosažení dlouhodobé kladné bilance zahraničního obchodu. Dlouhodobě jsou pro zahraniční obchod České republiky velmi významné sousední státy, jež jsou všechny členskými státy E</w:t>
      </w:r>
      <w:r w:rsidR="00C553D4">
        <w:rPr>
          <w:rFonts w:ascii="Arial" w:hAnsi="Arial" w:cs="Arial"/>
          <w:sz w:val="18"/>
          <w:szCs w:val="18"/>
        </w:rPr>
        <w:t>vropské unie</w:t>
      </w:r>
      <w:r w:rsidRPr="004A47F2">
        <w:rPr>
          <w:rFonts w:ascii="Arial" w:hAnsi="Arial" w:cs="Arial"/>
          <w:sz w:val="18"/>
          <w:szCs w:val="18"/>
        </w:rPr>
        <w:t xml:space="preserve">. </w:t>
      </w:r>
    </w:p>
    <w:p w:rsidR="000F1141" w:rsidRPr="000F1141" w:rsidRDefault="000F1141" w:rsidP="00345F1E">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Graf 1</w:t>
      </w:r>
      <w:r w:rsidRPr="000F1141">
        <w:rPr>
          <w:rFonts w:ascii="Arial" w:hAnsi="Arial" w:cs="Arial"/>
          <w:color w:val="940094"/>
          <w:sz w:val="18"/>
          <w:szCs w:val="18"/>
        </w:rPr>
        <w:tab/>
      </w:r>
      <w:r w:rsidRPr="000F1141">
        <w:rPr>
          <w:rFonts w:ascii="Arial" w:hAnsi="Arial" w:cs="Arial"/>
          <w:color w:val="940094"/>
          <w:sz w:val="18"/>
          <w:szCs w:val="18"/>
        </w:rPr>
        <w:tab/>
        <w:t>Zahraniční obchod, 2004 - 2013</w:t>
      </w:r>
    </w:p>
    <w:p w:rsidR="000F1141" w:rsidRDefault="003A73AE" w:rsidP="00345F1E">
      <w:pPr>
        <w:spacing w:after="120"/>
        <w:jc w:val="both"/>
        <w:rPr>
          <w:rFonts w:ascii="Arial" w:hAnsi="Arial" w:cs="Arial"/>
          <w:sz w:val="18"/>
          <w:szCs w:val="18"/>
        </w:rPr>
      </w:pPr>
      <w:r w:rsidRPr="003A73AE">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64.4pt">
            <v:imagedata r:id="rId8" o:title=""/>
          </v:shape>
        </w:pict>
      </w:r>
    </w:p>
    <w:p w:rsidR="001142E8" w:rsidRPr="001142E8" w:rsidRDefault="001142E8" w:rsidP="001142E8">
      <w:pPr>
        <w:spacing w:after="0"/>
        <w:jc w:val="both"/>
        <w:rPr>
          <w:rFonts w:ascii="Arial" w:hAnsi="Arial" w:cs="Arial"/>
          <w:sz w:val="8"/>
          <w:szCs w:val="8"/>
        </w:rPr>
      </w:pPr>
    </w:p>
    <w:p w:rsidR="000F1141" w:rsidRDefault="0061614D" w:rsidP="001142E8">
      <w:pPr>
        <w:jc w:val="both"/>
        <w:rPr>
          <w:rFonts w:ascii="Arial" w:hAnsi="Arial" w:cs="Arial"/>
          <w:sz w:val="18"/>
          <w:szCs w:val="18"/>
        </w:rPr>
      </w:pPr>
      <w:r>
        <w:rPr>
          <w:rFonts w:ascii="Arial" w:hAnsi="Arial" w:cs="Arial"/>
          <w:sz w:val="18"/>
          <w:szCs w:val="18"/>
        </w:rPr>
        <w:t>Úvodní</w:t>
      </w:r>
      <w:r w:rsidR="004C2121" w:rsidRPr="004A47F2">
        <w:rPr>
          <w:rFonts w:ascii="Arial" w:hAnsi="Arial" w:cs="Arial"/>
          <w:sz w:val="18"/>
          <w:szCs w:val="18"/>
        </w:rPr>
        <w:t xml:space="preserve"> tabulky 2.1</w:t>
      </w:r>
      <w:r w:rsidR="00456A8B" w:rsidRPr="004A47F2">
        <w:rPr>
          <w:rFonts w:ascii="Arial" w:hAnsi="Arial" w:cs="Arial"/>
          <w:sz w:val="18"/>
          <w:szCs w:val="18"/>
        </w:rPr>
        <w:t>,</w:t>
      </w:r>
      <w:r w:rsidR="004C2121" w:rsidRPr="004A47F2">
        <w:rPr>
          <w:rFonts w:ascii="Arial" w:hAnsi="Arial" w:cs="Arial"/>
          <w:sz w:val="18"/>
          <w:szCs w:val="18"/>
        </w:rPr>
        <w:t xml:space="preserve"> 2.2 </w:t>
      </w:r>
      <w:r w:rsidR="00456A8B" w:rsidRPr="004A47F2">
        <w:rPr>
          <w:rFonts w:ascii="Arial" w:hAnsi="Arial" w:cs="Arial"/>
          <w:sz w:val="18"/>
          <w:szCs w:val="18"/>
        </w:rPr>
        <w:t xml:space="preserve">a 2.3 </w:t>
      </w:r>
      <w:r>
        <w:rPr>
          <w:rFonts w:ascii="Arial" w:hAnsi="Arial" w:cs="Arial"/>
          <w:sz w:val="18"/>
          <w:szCs w:val="18"/>
        </w:rPr>
        <w:t>představí</w:t>
      </w:r>
      <w:r w:rsidR="004C2121" w:rsidRPr="004A47F2">
        <w:rPr>
          <w:rFonts w:ascii="Arial" w:hAnsi="Arial" w:cs="Arial"/>
          <w:sz w:val="18"/>
          <w:szCs w:val="18"/>
        </w:rPr>
        <w:t xml:space="preserve"> zahraniční obchod České republiky se státy EU</w:t>
      </w:r>
      <w:r w:rsidR="00C553D4">
        <w:rPr>
          <w:rStyle w:val="Znakapoznpodarou"/>
          <w:rFonts w:ascii="Arial" w:hAnsi="Arial" w:cs="Arial"/>
          <w:sz w:val="18"/>
          <w:szCs w:val="18"/>
        </w:rPr>
        <w:footnoteReference w:id="1"/>
      </w:r>
      <w:r w:rsidR="004C2121" w:rsidRPr="004A47F2">
        <w:rPr>
          <w:rFonts w:ascii="Arial" w:hAnsi="Arial" w:cs="Arial"/>
          <w:sz w:val="18"/>
          <w:szCs w:val="18"/>
        </w:rPr>
        <w:t xml:space="preserve"> a mimo EU v </w:t>
      </w:r>
      <w:r w:rsidR="00456A8B" w:rsidRPr="004A47F2">
        <w:rPr>
          <w:rFonts w:ascii="Arial" w:hAnsi="Arial" w:cs="Arial"/>
          <w:sz w:val="18"/>
          <w:szCs w:val="18"/>
        </w:rPr>
        <w:t xml:space="preserve">Kč, </w:t>
      </w:r>
      <w:r w:rsidR="004C2121" w:rsidRPr="004A47F2">
        <w:rPr>
          <w:rFonts w:ascii="Arial" w:hAnsi="Arial" w:cs="Arial"/>
          <w:sz w:val="18"/>
          <w:szCs w:val="18"/>
        </w:rPr>
        <w:t>EUR</w:t>
      </w:r>
      <w:r w:rsidR="00456A8B" w:rsidRPr="004A47F2">
        <w:rPr>
          <w:rFonts w:ascii="Arial" w:hAnsi="Arial" w:cs="Arial"/>
          <w:sz w:val="18"/>
          <w:szCs w:val="18"/>
        </w:rPr>
        <w:t xml:space="preserve"> respektive USD</w:t>
      </w:r>
      <w:r w:rsidR="004C2121" w:rsidRPr="004A47F2">
        <w:rPr>
          <w:rFonts w:ascii="Arial" w:hAnsi="Arial" w:cs="Arial"/>
          <w:sz w:val="18"/>
          <w:szCs w:val="18"/>
        </w:rPr>
        <w:t>. Od vstupu Č</w:t>
      </w:r>
      <w:r w:rsidR="004B684B">
        <w:rPr>
          <w:rFonts w:ascii="Arial" w:hAnsi="Arial" w:cs="Arial"/>
          <w:sz w:val="18"/>
          <w:szCs w:val="18"/>
        </w:rPr>
        <w:t>eska</w:t>
      </w:r>
      <w:r w:rsidR="004C2121" w:rsidRPr="004A47F2">
        <w:rPr>
          <w:rFonts w:ascii="Arial" w:hAnsi="Arial" w:cs="Arial"/>
          <w:sz w:val="18"/>
          <w:szCs w:val="18"/>
        </w:rPr>
        <w:t xml:space="preserve"> do EU došlo percentuálně k poklesu </w:t>
      </w:r>
      <w:r w:rsidR="0013766B">
        <w:rPr>
          <w:rFonts w:ascii="Arial" w:hAnsi="Arial" w:cs="Arial"/>
          <w:sz w:val="18"/>
          <w:szCs w:val="18"/>
        </w:rPr>
        <w:t xml:space="preserve">podílu </w:t>
      </w:r>
      <w:r w:rsidR="00C3412D">
        <w:rPr>
          <w:rFonts w:ascii="Arial" w:hAnsi="Arial" w:cs="Arial"/>
          <w:sz w:val="18"/>
          <w:szCs w:val="18"/>
        </w:rPr>
        <w:t>vý</w:t>
      </w:r>
      <w:r w:rsidR="004C2121" w:rsidRPr="004A47F2">
        <w:rPr>
          <w:rFonts w:ascii="Arial" w:hAnsi="Arial" w:cs="Arial"/>
          <w:sz w:val="18"/>
          <w:szCs w:val="18"/>
        </w:rPr>
        <w:t xml:space="preserve">vozu i </w:t>
      </w:r>
      <w:r w:rsidR="00C3412D">
        <w:rPr>
          <w:rFonts w:ascii="Arial" w:hAnsi="Arial" w:cs="Arial"/>
          <w:sz w:val="18"/>
          <w:szCs w:val="18"/>
        </w:rPr>
        <w:t>do</w:t>
      </w:r>
      <w:r w:rsidR="004C2121" w:rsidRPr="004A47F2">
        <w:rPr>
          <w:rFonts w:ascii="Arial" w:hAnsi="Arial" w:cs="Arial"/>
          <w:sz w:val="18"/>
          <w:szCs w:val="18"/>
        </w:rPr>
        <w:t xml:space="preserve">vozu do EU a potažmo i obratu zahraničního obchodu se státy </w:t>
      </w:r>
      <w:r w:rsidR="006C5645" w:rsidRPr="004A47F2">
        <w:rPr>
          <w:rFonts w:ascii="Arial" w:hAnsi="Arial" w:cs="Arial"/>
          <w:sz w:val="18"/>
          <w:szCs w:val="18"/>
        </w:rPr>
        <w:t xml:space="preserve">EU. Zatímco v roce 2004 obrat se státy EU </w:t>
      </w:r>
      <w:r w:rsidR="00C3412D">
        <w:rPr>
          <w:rFonts w:ascii="Arial" w:hAnsi="Arial" w:cs="Arial"/>
          <w:sz w:val="18"/>
          <w:szCs w:val="18"/>
        </w:rPr>
        <w:t>činil</w:t>
      </w:r>
      <w:r w:rsidR="006C5645" w:rsidRPr="004A47F2">
        <w:rPr>
          <w:rFonts w:ascii="Arial" w:hAnsi="Arial" w:cs="Arial"/>
          <w:sz w:val="18"/>
          <w:szCs w:val="18"/>
        </w:rPr>
        <w:t xml:space="preserve"> </w:t>
      </w:r>
      <w:r w:rsidR="00C3412D" w:rsidRPr="004A47F2">
        <w:rPr>
          <w:rFonts w:ascii="Arial" w:hAnsi="Arial" w:cs="Arial"/>
          <w:sz w:val="18"/>
          <w:szCs w:val="18"/>
        </w:rPr>
        <w:t>80</w:t>
      </w:r>
      <w:r w:rsidR="00C3412D">
        <w:rPr>
          <w:rFonts w:ascii="Arial" w:hAnsi="Arial" w:cs="Arial"/>
          <w:sz w:val="18"/>
          <w:szCs w:val="18"/>
        </w:rPr>
        <w:t xml:space="preserve">,0 % </w:t>
      </w:r>
      <w:r w:rsidR="006C5645" w:rsidRPr="004A47F2">
        <w:rPr>
          <w:rFonts w:ascii="Arial" w:hAnsi="Arial" w:cs="Arial"/>
          <w:sz w:val="18"/>
          <w:szCs w:val="18"/>
        </w:rPr>
        <w:t>celkové</w:t>
      </w:r>
      <w:r w:rsidR="00C3412D">
        <w:rPr>
          <w:rFonts w:ascii="Arial" w:hAnsi="Arial" w:cs="Arial"/>
          <w:sz w:val="18"/>
          <w:szCs w:val="18"/>
        </w:rPr>
        <w:t>ho</w:t>
      </w:r>
      <w:r w:rsidR="006C5645" w:rsidRPr="004A47F2">
        <w:rPr>
          <w:rFonts w:ascii="Arial" w:hAnsi="Arial" w:cs="Arial"/>
          <w:sz w:val="18"/>
          <w:szCs w:val="18"/>
        </w:rPr>
        <w:t xml:space="preserve"> obratu </w:t>
      </w:r>
      <w:r w:rsidR="00C3412D">
        <w:rPr>
          <w:rFonts w:ascii="Arial" w:hAnsi="Arial" w:cs="Arial"/>
          <w:sz w:val="18"/>
          <w:szCs w:val="18"/>
        </w:rPr>
        <w:t>Česka</w:t>
      </w:r>
      <w:r w:rsidR="0013766B">
        <w:rPr>
          <w:rFonts w:ascii="Arial" w:hAnsi="Arial" w:cs="Arial"/>
          <w:sz w:val="18"/>
          <w:szCs w:val="18"/>
        </w:rPr>
        <w:t>, v </w:t>
      </w:r>
      <w:r w:rsidR="006C5645" w:rsidRPr="004A47F2">
        <w:rPr>
          <w:rFonts w:ascii="Arial" w:hAnsi="Arial" w:cs="Arial"/>
          <w:sz w:val="18"/>
          <w:szCs w:val="18"/>
        </w:rPr>
        <w:t>roce 2013 již 73,6 %</w:t>
      </w:r>
      <w:r w:rsidR="00C3412D">
        <w:rPr>
          <w:rFonts w:ascii="Arial" w:hAnsi="Arial" w:cs="Arial"/>
          <w:sz w:val="18"/>
          <w:szCs w:val="18"/>
        </w:rPr>
        <w:t xml:space="preserve">. V </w:t>
      </w:r>
      <w:r w:rsidR="006C5645" w:rsidRPr="004A47F2">
        <w:rPr>
          <w:rFonts w:ascii="Arial" w:hAnsi="Arial" w:cs="Arial"/>
          <w:sz w:val="18"/>
          <w:szCs w:val="18"/>
        </w:rPr>
        <w:t xml:space="preserve">průběhu deseti let se tedy jedná o pokles přesahující 6 p. b. </w:t>
      </w:r>
      <w:r w:rsidR="00456A8B" w:rsidRPr="004A47F2">
        <w:rPr>
          <w:rFonts w:ascii="Arial" w:hAnsi="Arial" w:cs="Arial"/>
          <w:sz w:val="18"/>
          <w:szCs w:val="18"/>
        </w:rPr>
        <w:t xml:space="preserve">Adekvátně tomuto poklesu zaznamenáváme nárůst v celkovém obchodě s mimoevropskými státy, kde jsou významnými obchodními partnery především Čína, Rusko a USA. Dynamicky rostl v průběhu sledovaných let především obchod s Čínou. </w:t>
      </w:r>
    </w:p>
    <w:p w:rsidR="00456A8B" w:rsidRDefault="00456A8B" w:rsidP="0061614D">
      <w:pPr>
        <w:jc w:val="both"/>
        <w:rPr>
          <w:rFonts w:ascii="Arial" w:hAnsi="Arial" w:cs="Arial"/>
          <w:sz w:val="18"/>
          <w:szCs w:val="18"/>
        </w:rPr>
      </w:pPr>
      <w:r w:rsidRPr="004A47F2">
        <w:rPr>
          <w:rFonts w:ascii="Arial" w:hAnsi="Arial" w:cs="Arial"/>
          <w:sz w:val="18"/>
          <w:szCs w:val="18"/>
        </w:rPr>
        <w:lastRenderedPageBreak/>
        <w:t>Bilance zahraničního obchodu se státy mimo EU se naopak vyznačuje zápor</w:t>
      </w:r>
      <w:r w:rsidR="00FF1D07">
        <w:rPr>
          <w:rFonts w:ascii="Arial" w:hAnsi="Arial" w:cs="Arial"/>
          <w:sz w:val="18"/>
          <w:szCs w:val="18"/>
        </w:rPr>
        <w:t>nou obchodní bilancí, ČR tedy z </w:t>
      </w:r>
      <w:r w:rsidRPr="004A47F2">
        <w:rPr>
          <w:rFonts w:ascii="Arial" w:hAnsi="Arial" w:cs="Arial"/>
          <w:sz w:val="18"/>
          <w:szCs w:val="18"/>
        </w:rPr>
        <w:t>mimoevropských zemí více dováží (v roce 2013 dovezla zboží v hodnotě 968</w:t>
      </w:r>
      <w:r w:rsidR="0013766B">
        <w:rPr>
          <w:rFonts w:ascii="Arial" w:hAnsi="Arial" w:cs="Arial"/>
          <w:sz w:val="18"/>
          <w:szCs w:val="18"/>
        </w:rPr>
        <w:t>,4</w:t>
      </w:r>
      <w:r w:rsidRPr="004A47F2">
        <w:rPr>
          <w:rFonts w:ascii="Arial" w:hAnsi="Arial" w:cs="Arial"/>
          <w:sz w:val="18"/>
          <w:szCs w:val="18"/>
        </w:rPr>
        <w:t xml:space="preserve"> mld. Kč) než vyváží (vývoz do zemí mimo EU v </w:t>
      </w:r>
      <w:r w:rsidRPr="0013766B">
        <w:rPr>
          <w:rFonts w:ascii="Arial" w:hAnsi="Arial" w:cs="Arial"/>
          <w:sz w:val="18"/>
          <w:szCs w:val="18"/>
        </w:rPr>
        <w:t xml:space="preserve">roce 2013 </w:t>
      </w:r>
      <w:r w:rsidR="0013766B" w:rsidRPr="0013766B">
        <w:rPr>
          <w:rFonts w:ascii="Arial" w:hAnsi="Arial" w:cs="Arial"/>
          <w:sz w:val="18"/>
          <w:szCs w:val="18"/>
        </w:rPr>
        <w:t xml:space="preserve">činil </w:t>
      </w:r>
      <w:r w:rsidRPr="0013766B">
        <w:rPr>
          <w:rFonts w:ascii="Arial" w:hAnsi="Arial" w:cs="Arial"/>
          <w:sz w:val="18"/>
          <w:szCs w:val="18"/>
        </w:rPr>
        <w:t>599</w:t>
      </w:r>
      <w:r w:rsidR="0013766B">
        <w:rPr>
          <w:rFonts w:ascii="Arial" w:hAnsi="Arial" w:cs="Arial"/>
          <w:sz w:val="18"/>
          <w:szCs w:val="18"/>
        </w:rPr>
        <w:t>,3</w:t>
      </w:r>
      <w:r w:rsidRPr="0013766B">
        <w:rPr>
          <w:rFonts w:ascii="Arial" w:hAnsi="Arial" w:cs="Arial"/>
          <w:sz w:val="18"/>
          <w:szCs w:val="18"/>
        </w:rPr>
        <w:t xml:space="preserve"> mld. Kč).</w:t>
      </w:r>
      <w:r w:rsidRPr="004A47F2">
        <w:rPr>
          <w:rFonts w:ascii="Arial" w:hAnsi="Arial" w:cs="Arial"/>
          <w:sz w:val="18"/>
          <w:szCs w:val="18"/>
        </w:rPr>
        <w:t xml:space="preserve"> </w:t>
      </w:r>
    </w:p>
    <w:p w:rsidR="000F1141" w:rsidRPr="000F1141" w:rsidRDefault="000F1141" w:rsidP="00345F1E">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2</w:t>
      </w:r>
      <w:r w:rsidRPr="000F1141">
        <w:rPr>
          <w:rFonts w:ascii="Arial" w:hAnsi="Arial" w:cs="Arial"/>
          <w:color w:val="940094"/>
          <w:sz w:val="18"/>
          <w:szCs w:val="18"/>
        </w:rPr>
        <w:tab/>
      </w:r>
      <w:r w:rsidRPr="000F1141">
        <w:rPr>
          <w:rFonts w:ascii="Arial" w:hAnsi="Arial" w:cs="Arial"/>
          <w:color w:val="940094"/>
          <w:sz w:val="18"/>
          <w:szCs w:val="18"/>
        </w:rPr>
        <w:tab/>
        <w:t xml:space="preserve">Obchodní bilance celkem, se státy EU a se státy mimo EU, 2004 </w:t>
      </w:r>
      <w:r>
        <w:rPr>
          <w:rFonts w:ascii="Arial" w:hAnsi="Arial" w:cs="Arial"/>
          <w:color w:val="940094"/>
          <w:sz w:val="18"/>
          <w:szCs w:val="18"/>
        </w:rPr>
        <w:t>-</w:t>
      </w:r>
      <w:r w:rsidRPr="000F1141">
        <w:rPr>
          <w:rFonts w:ascii="Arial" w:hAnsi="Arial" w:cs="Arial"/>
          <w:color w:val="940094"/>
          <w:sz w:val="18"/>
          <w:szCs w:val="18"/>
        </w:rPr>
        <w:t xml:space="preserve"> 2013</w:t>
      </w:r>
    </w:p>
    <w:p w:rsidR="000F1141" w:rsidRDefault="00F31766" w:rsidP="000F1141">
      <w:pPr>
        <w:tabs>
          <w:tab w:val="left" w:pos="851"/>
          <w:tab w:val="left" w:pos="1418"/>
          <w:tab w:val="left" w:pos="1701"/>
        </w:tabs>
        <w:spacing w:after="0"/>
        <w:jc w:val="both"/>
        <w:rPr>
          <w:color w:val="940094"/>
        </w:rPr>
      </w:pPr>
      <w:r w:rsidRPr="003A73AE">
        <w:rPr>
          <w:color w:val="940094"/>
        </w:rPr>
        <w:pict>
          <v:shape id="_x0000_i1026" type="#_x0000_t75" style="width:482.25pt;height:150.8pt">
            <v:imagedata r:id="rId9" o:title=""/>
          </v:shape>
        </w:pict>
      </w:r>
    </w:p>
    <w:p w:rsidR="00B918EA" w:rsidRDefault="00B918EA" w:rsidP="00FF1D07">
      <w:pPr>
        <w:pStyle w:val="Nadpis2"/>
        <w:numPr>
          <w:ilvl w:val="0"/>
          <w:numId w:val="1"/>
        </w:numPr>
        <w:spacing w:before="240" w:after="120"/>
        <w:ind w:left="567" w:hanging="567"/>
        <w:rPr>
          <w:rFonts w:ascii="Arial" w:eastAsia="Calibri" w:hAnsi="Arial" w:cs="Arial"/>
          <w:bCs w:val="0"/>
          <w:color w:val="940094"/>
          <w:sz w:val="19"/>
          <w:szCs w:val="19"/>
        </w:rPr>
      </w:pPr>
      <w:r w:rsidRPr="00BB1EB9">
        <w:rPr>
          <w:rFonts w:ascii="Arial" w:eastAsia="Calibri" w:hAnsi="Arial" w:cs="Arial"/>
          <w:bCs w:val="0"/>
          <w:color w:val="940094"/>
          <w:sz w:val="19"/>
          <w:szCs w:val="19"/>
        </w:rPr>
        <w:t>Zahraniční obchod Č</w:t>
      </w:r>
      <w:r w:rsidR="00646FB1">
        <w:rPr>
          <w:rFonts w:ascii="Arial" w:eastAsia="Calibri" w:hAnsi="Arial" w:cs="Arial"/>
          <w:bCs w:val="0"/>
          <w:color w:val="940094"/>
          <w:sz w:val="19"/>
          <w:szCs w:val="19"/>
        </w:rPr>
        <w:t xml:space="preserve">eské republiky </w:t>
      </w:r>
    </w:p>
    <w:p w:rsidR="00CB5411" w:rsidRPr="00C3100B" w:rsidRDefault="00CB5411" w:rsidP="00C3100B">
      <w:pPr>
        <w:spacing w:after="120"/>
        <w:rPr>
          <w:rFonts w:ascii="Arial" w:hAnsi="Arial" w:cs="Arial"/>
          <w:sz w:val="18"/>
          <w:szCs w:val="18"/>
        </w:rPr>
      </w:pPr>
      <w:r w:rsidRPr="00C3100B">
        <w:rPr>
          <w:rFonts w:ascii="Arial" w:hAnsi="Arial" w:cs="Arial"/>
          <w:sz w:val="18"/>
          <w:szCs w:val="18"/>
        </w:rPr>
        <w:t>Součástí dat</w:t>
      </w:r>
      <w:r w:rsidR="00C3100B">
        <w:rPr>
          <w:rFonts w:ascii="Arial" w:hAnsi="Arial" w:cs="Arial"/>
          <w:sz w:val="18"/>
          <w:szCs w:val="18"/>
        </w:rPr>
        <w:t>o</w:t>
      </w:r>
      <w:r w:rsidRPr="00C3100B">
        <w:rPr>
          <w:rFonts w:ascii="Arial" w:hAnsi="Arial" w:cs="Arial"/>
          <w:sz w:val="18"/>
          <w:szCs w:val="18"/>
        </w:rPr>
        <w:t>vé sady jsou také tabulky</w:t>
      </w:r>
      <w:r w:rsidR="00C3100B">
        <w:rPr>
          <w:rFonts w:ascii="Arial" w:hAnsi="Arial" w:cs="Arial"/>
          <w:sz w:val="18"/>
          <w:szCs w:val="18"/>
        </w:rPr>
        <w:t>, které obsahují:</w:t>
      </w:r>
    </w:p>
    <w:p w:rsidR="0086029F" w:rsidRPr="00A747FD" w:rsidRDefault="00A747FD" w:rsidP="00A368C9">
      <w:pPr>
        <w:pStyle w:val="Nadpis1"/>
        <w:numPr>
          <w:ilvl w:val="0"/>
          <w:numId w:val="4"/>
        </w:numPr>
        <w:spacing w:before="0" w:after="40" w:line="240" w:lineRule="auto"/>
        <w:ind w:left="993" w:hanging="426"/>
        <w:jc w:val="both"/>
        <w:rPr>
          <w:rFonts w:ascii="Arial" w:eastAsiaTheme="minorHAnsi" w:hAnsi="Arial" w:cs="Arial"/>
          <w:b w:val="0"/>
          <w:bCs w:val="0"/>
          <w:sz w:val="18"/>
          <w:szCs w:val="18"/>
        </w:rPr>
      </w:pPr>
      <w:r w:rsidRPr="00A747FD">
        <w:rPr>
          <w:rFonts w:ascii="Arial" w:eastAsiaTheme="minorHAnsi" w:hAnsi="Arial" w:cs="Arial"/>
          <w:b w:val="0"/>
          <w:bCs w:val="0"/>
          <w:sz w:val="18"/>
          <w:szCs w:val="18"/>
        </w:rPr>
        <w:t>m</w:t>
      </w:r>
      <w:r w:rsidR="0086029F" w:rsidRPr="00A747FD">
        <w:rPr>
          <w:rFonts w:ascii="Arial" w:eastAsiaTheme="minorHAnsi" w:hAnsi="Arial" w:cs="Arial"/>
          <w:b w:val="0"/>
          <w:bCs w:val="0"/>
          <w:sz w:val="18"/>
          <w:szCs w:val="18"/>
        </w:rPr>
        <w:t>ěsí</w:t>
      </w:r>
      <w:r>
        <w:rPr>
          <w:rFonts w:ascii="Arial" w:eastAsiaTheme="minorHAnsi" w:hAnsi="Arial" w:cs="Arial"/>
          <w:b w:val="0"/>
          <w:bCs w:val="0"/>
          <w:sz w:val="18"/>
          <w:szCs w:val="18"/>
        </w:rPr>
        <w:t>ční</w:t>
      </w:r>
      <w:r w:rsidR="0086029F" w:rsidRPr="00A747FD">
        <w:rPr>
          <w:rFonts w:ascii="Arial" w:eastAsiaTheme="minorHAnsi" w:hAnsi="Arial" w:cs="Arial"/>
          <w:b w:val="0"/>
          <w:bCs w:val="0"/>
          <w:sz w:val="18"/>
          <w:szCs w:val="18"/>
        </w:rPr>
        <w:t>,</w:t>
      </w:r>
    </w:p>
    <w:p w:rsidR="0086029F" w:rsidRPr="00A747FD" w:rsidRDefault="0086029F" w:rsidP="00A368C9">
      <w:pPr>
        <w:pStyle w:val="Nadpis1"/>
        <w:numPr>
          <w:ilvl w:val="0"/>
          <w:numId w:val="4"/>
        </w:numPr>
        <w:spacing w:before="0" w:after="40" w:line="240" w:lineRule="auto"/>
        <w:ind w:left="993" w:hanging="426"/>
        <w:jc w:val="both"/>
        <w:rPr>
          <w:rFonts w:ascii="Arial" w:eastAsiaTheme="minorHAnsi" w:hAnsi="Arial" w:cs="Arial"/>
          <w:b w:val="0"/>
          <w:bCs w:val="0"/>
          <w:sz w:val="18"/>
          <w:szCs w:val="18"/>
        </w:rPr>
      </w:pPr>
      <w:r w:rsidRPr="00A747FD">
        <w:rPr>
          <w:rFonts w:ascii="Arial" w:eastAsiaTheme="minorHAnsi" w:hAnsi="Arial" w:cs="Arial"/>
          <w:b w:val="0"/>
          <w:bCs w:val="0"/>
          <w:sz w:val="18"/>
          <w:szCs w:val="18"/>
        </w:rPr>
        <w:t>čtvrtlet</w:t>
      </w:r>
      <w:r w:rsidR="00A747FD">
        <w:rPr>
          <w:rFonts w:ascii="Arial" w:eastAsiaTheme="minorHAnsi" w:hAnsi="Arial" w:cs="Arial"/>
          <w:b w:val="0"/>
          <w:bCs w:val="0"/>
          <w:sz w:val="18"/>
          <w:szCs w:val="18"/>
        </w:rPr>
        <w:t>ní</w:t>
      </w:r>
      <w:r w:rsidRPr="00A747FD">
        <w:rPr>
          <w:rFonts w:ascii="Arial" w:eastAsiaTheme="minorHAnsi" w:hAnsi="Arial" w:cs="Arial"/>
          <w:b w:val="0"/>
          <w:bCs w:val="0"/>
          <w:sz w:val="18"/>
          <w:szCs w:val="18"/>
        </w:rPr>
        <w:t>,</w:t>
      </w:r>
    </w:p>
    <w:p w:rsidR="0086029F" w:rsidRPr="00A747FD" w:rsidRDefault="0086029F" w:rsidP="00CB5411">
      <w:pPr>
        <w:pStyle w:val="Nadpis1"/>
        <w:numPr>
          <w:ilvl w:val="0"/>
          <w:numId w:val="4"/>
        </w:numPr>
        <w:spacing w:before="0" w:after="200" w:line="240" w:lineRule="auto"/>
        <w:ind w:left="993" w:hanging="426"/>
        <w:jc w:val="both"/>
        <w:rPr>
          <w:rFonts w:ascii="Arial" w:eastAsiaTheme="minorHAnsi" w:hAnsi="Arial" w:cs="Arial"/>
          <w:b w:val="0"/>
          <w:bCs w:val="0"/>
          <w:sz w:val="18"/>
          <w:szCs w:val="18"/>
        </w:rPr>
      </w:pPr>
      <w:r w:rsidRPr="00A747FD">
        <w:rPr>
          <w:rFonts w:ascii="Arial" w:eastAsiaTheme="minorHAnsi" w:hAnsi="Arial" w:cs="Arial"/>
          <w:b w:val="0"/>
          <w:bCs w:val="0"/>
          <w:sz w:val="18"/>
          <w:szCs w:val="18"/>
        </w:rPr>
        <w:t>pololet</w:t>
      </w:r>
      <w:r w:rsidR="00A747FD">
        <w:rPr>
          <w:rFonts w:ascii="Arial" w:eastAsiaTheme="minorHAnsi" w:hAnsi="Arial" w:cs="Arial"/>
          <w:b w:val="0"/>
          <w:bCs w:val="0"/>
          <w:sz w:val="18"/>
          <w:szCs w:val="18"/>
        </w:rPr>
        <w:t>ní údaje.</w:t>
      </w:r>
    </w:p>
    <w:p w:rsidR="00B918EA" w:rsidRDefault="004738ED" w:rsidP="00FF1D07">
      <w:pPr>
        <w:spacing w:after="240"/>
        <w:jc w:val="both"/>
        <w:rPr>
          <w:rFonts w:ascii="Arial" w:hAnsi="Arial" w:cs="Arial"/>
          <w:sz w:val="18"/>
          <w:szCs w:val="18"/>
        </w:rPr>
      </w:pPr>
      <w:r w:rsidRPr="004A47F2">
        <w:rPr>
          <w:rFonts w:ascii="Arial" w:hAnsi="Arial" w:cs="Arial"/>
          <w:sz w:val="18"/>
          <w:szCs w:val="18"/>
        </w:rPr>
        <w:t>Vývoj zahraničního obchodu v jednotlivých pololetí</w:t>
      </w:r>
      <w:r w:rsidR="0013766B">
        <w:rPr>
          <w:rFonts w:ascii="Arial" w:hAnsi="Arial" w:cs="Arial"/>
          <w:sz w:val="18"/>
          <w:szCs w:val="18"/>
        </w:rPr>
        <w:t>ch</w:t>
      </w:r>
      <w:r w:rsidRPr="004A47F2">
        <w:rPr>
          <w:rFonts w:ascii="Arial" w:hAnsi="Arial" w:cs="Arial"/>
          <w:sz w:val="18"/>
          <w:szCs w:val="18"/>
        </w:rPr>
        <w:t xml:space="preserve"> sledovaných let ukazuje tabulka 3.1 v CZK, EUR a USD. </w:t>
      </w:r>
      <w:r w:rsidR="0041085B" w:rsidRPr="004A47F2">
        <w:rPr>
          <w:rFonts w:ascii="Arial" w:hAnsi="Arial" w:cs="Arial"/>
          <w:sz w:val="18"/>
          <w:szCs w:val="18"/>
        </w:rPr>
        <w:t xml:space="preserve">U vývozu, dovozu i obratu </w:t>
      </w:r>
      <w:r w:rsidR="007473AB" w:rsidRPr="004A47F2">
        <w:rPr>
          <w:rFonts w:ascii="Arial" w:hAnsi="Arial" w:cs="Arial"/>
          <w:sz w:val="18"/>
          <w:szCs w:val="18"/>
        </w:rPr>
        <w:t>obecně převažuje silnější 2. pololetí roku, s výjimkou let 2008 a 2012</w:t>
      </w:r>
      <w:r w:rsidR="0013766B">
        <w:rPr>
          <w:rFonts w:ascii="Arial" w:hAnsi="Arial" w:cs="Arial"/>
          <w:sz w:val="18"/>
          <w:szCs w:val="18"/>
        </w:rPr>
        <w:t>,</w:t>
      </w:r>
      <w:r w:rsidR="007473AB" w:rsidRPr="004A47F2">
        <w:rPr>
          <w:rFonts w:ascii="Arial" w:hAnsi="Arial" w:cs="Arial"/>
          <w:sz w:val="18"/>
          <w:szCs w:val="18"/>
        </w:rPr>
        <w:t xml:space="preserve"> kdy </w:t>
      </w:r>
      <w:r w:rsidR="00C3412D">
        <w:rPr>
          <w:rFonts w:ascii="Arial" w:hAnsi="Arial" w:cs="Arial"/>
          <w:sz w:val="18"/>
          <w:szCs w:val="18"/>
        </w:rPr>
        <w:t>výv</w:t>
      </w:r>
      <w:r w:rsidR="007473AB" w:rsidRPr="004A47F2">
        <w:rPr>
          <w:rFonts w:ascii="Arial" w:hAnsi="Arial" w:cs="Arial"/>
          <w:sz w:val="18"/>
          <w:szCs w:val="18"/>
        </w:rPr>
        <w:t xml:space="preserve">oz i </w:t>
      </w:r>
      <w:r w:rsidR="00C3412D">
        <w:rPr>
          <w:rFonts w:ascii="Arial" w:hAnsi="Arial" w:cs="Arial"/>
          <w:sz w:val="18"/>
          <w:szCs w:val="18"/>
        </w:rPr>
        <w:t>do</w:t>
      </w:r>
      <w:r w:rsidR="007473AB" w:rsidRPr="004A47F2">
        <w:rPr>
          <w:rFonts w:ascii="Arial" w:hAnsi="Arial" w:cs="Arial"/>
          <w:sz w:val="18"/>
          <w:szCs w:val="18"/>
        </w:rPr>
        <w:t xml:space="preserve">voz dosahoval vyšších hodnot v 1. pololetí. </w:t>
      </w:r>
      <w:r w:rsidR="0041085B" w:rsidRPr="004A47F2">
        <w:rPr>
          <w:rFonts w:ascii="Arial" w:hAnsi="Arial" w:cs="Arial"/>
          <w:sz w:val="18"/>
          <w:szCs w:val="18"/>
        </w:rPr>
        <w:t>V 1. pololetí roku 2012 bylo vyvezeno zboží v hodnotě 1 556</w:t>
      </w:r>
      <w:r w:rsidR="002C3BA1">
        <w:rPr>
          <w:rFonts w:ascii="Arial" w:hAnsi="Arial" w:cs="Arial"/>
          <w:sz w:val="18"/>
          <w:szCs w:val="18"/>
        </w:rPr>
        <w:t>,8 mld. Kč, přičemž ve 2. </w:t>
      </w:r>
      <w:r w:rsidR="0041085B" w:rsidRPr="004A47F2">
        <w:rPr>
          <w:rFonts w:ascii="Arial" w:hAnsi="Arial" w:cs="Arial"/>
          <w:sz w:val="18"/>
          <w:szCs w:val="18"/>
        </w:rPr>
        <w:t xml:space="preserve">pololetí </w:t>
      </w:r>
      <w:r w:rsidR="000C6D28">
        <w:rPr>
          <w:rFonts w:ascii="Arial" w:hAnsi="Arial" w:cs="Arial"/>
          <w:sz w:val="18"/>
          <w:szCs w:val="18"/>
        </w:rPr>
        <w:t xml:space="preserve">za </w:t>
      </w:r>
      <w:r w:rsidR="0041085B" w:rsidRPr="004A47F2">
        <w:rPr>
          <w:rFonts w:ascii="Arial" w:hAnsi="Arial" w:cs="Arial"/>
          <w:sz w:val="18"/>
          <w:szCs w:val="18"/>
        </w:rPr>
        <w:t>1 515</w:t>
      </w:r>
      <w:r w:rsidR="002C3BA1">
        <w:rPr>
          <w:rFonts w:ascii="Arial" w:hAnsi="Arial" w:cs="Arial"/>
          <w:sz w:val="18"/>
          <w:szCs w:val="18"/>
        </w:rPr>
        <w:t>,8</w:t>
      </w:r>
      <w:r w:rsidR="0041085B" w:rsidRPr="004A47F2">
        <w:rPr>
          <w:rFonts w:ascii="Arial" w:hAnsi="Arial" w:cs="Arial"/>
          <w:sz w:val="18"/>
          <w:szCs w:val="18"/>
        </w:rPr>
        <w:t xml:space="preserve"> mld. Kč. </w:t>
      </w:r>
    </w:p>
    <w:p w:rsidR="008828BF" w:rsidRPr="000F1141" w:rsidRDefault="008828BF" w:rsidP="008828BF">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3</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Porovnání obchodní bilance v 1. a 2 pololetí</w:t>
      </w:r>
      <w:r w:rsidRPr="000F1141">
        <w:rPr>
          <w:rFonts w:ascii="Arial" w:hAnsi="Arial" w:cs="Arial"/>
          <w:color w:val="940094"/>
          <w:sz w:val="18"/>
          <w:szCs w:val="18"/>
        </w:rPr>
        <w:t xml:space="preserve">, 2004 </w:t>
      </w:r>
      <w:r>
        <w:rPr>
          <w:rFonts w:ascii="Arial" w:hAnsi="Arial" w:cs="Arial"/>
          <w:color w:val="940094"/>
          <w:sz w:val="18"/>
          <w:szCs w:val="18"/>
        </w:rPr>
        <w:t>-</w:t>
      </w:r>
      <w:r w:rsidRPr="000F1141">
        <w:rPr>
          <w:rFonts w:ascii="Arial" w:hAnsi="Arial" w:cs="Arial"/>
          <w:color w:val="940094"/>
          <w:sz w:val="18"/>
          <w:szCs w:val="18"/>
        </w:rPr>
        <w:t xml:space="preserve"> 2013</w:t>
      </w:r>
    </w:p>
    <w:p w:rsidR="008828BF" w:rsidRDefault="00B46D38" w:rsidP="001E7748">
      <w:pPr>
        <w:spacing w:after="0"/>
        <w:jc w:val="both"/>
        <w:rPr>
          <w:rFonts w:ascii="Arial" w:hAnsi="Arial" w:cs="Arial"/>
          <w:sz w:val="18"/>
          <w:szCs w:val="18"/>
        </w:rPr>
      </w:pPr>
      <w:r>
        <w:rPr>
          <w:rFonts w:ascii="Arial" w:hAnsi="Arial" w:cs="Arial"/>
          <w:sz w:val="18"/>
          <w:szCs w:val="18"/>
        </w:rPr>
        <w:pict>
          <v:shape id="_x0000_i1040" type="#_x0000_t75" style="width:487pt;height:164.4pt">
            <v:imagedata r:id="rId10" o:title=""/>
          </v:shape>
        </w:pict>
      </w:r>
    </w:p>
    <w:p w:rsidR="00FF1D07" w:rsidRDefault="00FF1D07" w:rsidP="00FF1D07">
      <w:pPr>
        <w:spacing w:after="0"/>
        <w:jc w:val="both"/>
        <w:rPr>
          <w:rFonts w:ascii="Arial" w:hAnsi="Arial" w:cs="Arial"/>
          <w:sz w:val="18"/>
          <w:szCs w:val="18"/>
        </w:rPr>
      </w:pPr>
    </w:p>
    <w:p w:rsidR="00FF1D07" w:rsidRDefault="00FF1D07" w:rsidP="00FF1D07">
      <w:pPr>
        <w:spacing w:after="120"/>
        <w:jc w:val="both"/>
        <w:rPr>
          <w:rFonts w:ascii="Arial" w:hAnsi="Arial" w:cs="Arial"/>
          <w:sz w:val="18"/>
          <w:szCs w:val="18"/>
        </w:rPr>
      </w:pPr>
      <w:r w:rsidRPr="004A47F2">
        <w:rPr>
          <w:rFonts w:ascii="Arial" w:hAnsi="Arial" w:cs="Arial"/>
          <w:sz w:val="18"/>
          <w:szCs w:val="18"/>
        </w:rPr>
        <w:t xml:space="preserve">Vývoj hlavních ukazatelů zahraničního obchodu v letech 2004 </w:t>
      </w:r>
      <w:r>
        <w:rPr>
          <w:rFonts w:ascii="Arial" w:hAnsi="Arial" w:cs="Arial"/>
          <w:sz w:val="18"/>
          <w:szCs w:val="18"/>
        </w:rPr>
        <w:t>až</w:t>
      </w:r>
      <w:r w:rsidRPr="004A47F2">
        <w:rPr>
          <w:rFonts w:ascii="Arial" w:hAnsi="Arial" w:cs="Arial"/>
          <w:sz w:val="18"/>
          <w:szCs w:val="18"/>
        </w:rPr>
        <w:t xml:space="preserve"> 2013 po jednotlivých měsících a následně v seskupení po čtvrtletích ukazuje tabulka 3.2.</w:t>
      </w:r>
      <w:r>
        <w:rPr>
          <w:rFonts w:ascii="Arial" w:hAnsi="Arial" w:cs="Arial"/>
          <w:sz w:val="18"/>
          <w:szCs w:val="18"/>
        </w:rPr>
        <w:t xml:space="preserve"> </w:t>
      </w:r>
      <w:r w:rsidRPr="004A47F2">
        <w:rPr>
          <w:rFonts w:ascii="Arial" w:hAnsi="Arial" w:cs="Arial"/>
          <w:sz w:val="18"/>
          <w:szCs w:val="18"/>
        </w:rPr>
        <w:t>Obecně nejsilnějšími měsíci jsou předvánoční měsíce září, říjen a listopad. Naopak slabšími obdobími roku jsou začátek roku, kdy dojde k oslabení obchodu po vánočních svátcích, a také prázdninov</w:t>
      </w:r>
      <w:r>
        <w:rPr>
          <w:rFonts w:ascii="Arial" w:hAnsi="Arial" w:cs="Arial"/>
          <w:sz w:val="18"/>
          <w:szCs w:val="18"/>
        </w:rPr>
        <w:t>é</w:t>
      </w:r>
      <w:r w:rsidRPr="004A47F2">
        <w:rPr>
          <w:rFonts w:ascii="Arial" w:hAnsi="Arial" w:cs="Arial"/>
          <w:sz w:val="18"/>
          <w:szCs w:val="18"/>
        </w:rPr>
        <w:t xml:space="preserve"> </w:t>
      </w:r>
      <w:r>
        <w:rPr>
          <w:rFonts w:ascii="Arial" w:hAnsi="Arial" w:cs="Arial"/>
          <w:sz w:val="18"/>
          <w:szCs w:val="18"/>
        </w:rPr>
        <w:t>měsíce (</w:t>
      </w:r>
      <w:r w:rsidRPr="004A47F2">
        <w:rPr>
          <w:rFonts w:ascii="Arial" w:hAnsi="Arial" w:cs="Arial"/>
          <w:sz w:val="18"/>
          <w:szCs w:val="18"/>
        </w:rPr>
        <w:t>červenec</w:t>
      </w:r>
      <w:r>
        <w:rPr>
          <w:rFonts w:ascii="Arial" w:hAnsi="Arial" w:cs="Arial"/>
          <w:sz w:val="18"/>
          <w:szCs w:val="18"/>
        </w:rPr>
        <w:t xml:space="preserve"> a srpen)</w:t>
      </w:r>
      <w:r w:rsidRPr="004A47F2">
        <w:rPr>
          <w:rFonts w:ascii="Arial" w:hAnsi="Arial" w:cs="Arial"/>
          <w:sz w:val="18"/>
          <w:szCs w:val="18"/>
        </w:rPr>
        <w:t xml:space="preserve">, kdy mívají velké výrobní společnosti celopodnikovou dovolenou. </w:t>
      </w:r>
    </w:p>
    <w:p w:rsidR="00B918EA" w:rsidRDefault="002C3BA1" w:rsidP="00FF1D07">
      <w:pPr>
        <w:jc w:val="both"/>
        <w:rPr>
          <w:rFonts w:ascii="Arial" w:hAnsi="Arial" w:cs="Arial"/>
          <w:sz w:val="18"/>
          <w:szCs w:val="18"/>
        </w:rPr>
      </w:pPr>
      <w:r>
        <w:rPr>
          <w:rFonts w:ascii="Arial" w:hAnsi="Arial" w:cs="Arial"/>
          <w:sz w:val="18"/>
          <w:szCs w:val="18"/>
        </w:rPr>
        <w:t>Sezónnost</w:t>
      </w:r>
      <w:r w:rsidR="008170A6" w:rsidRPr="004A47F2">
        <w:rPr>
          <w:rFonts w:ascii="Arial" w:hAnsi="Arial" w:cs="Arial"/>
          <w:sz w:val="18"/>
          <w:szCs w:val="18"/>
        </w:rPr>
        <w:t xml:space="preserve"> se odráží také v bilanci zahraničního obchodu, v prosinci je obvykle přebytek bilance nejnižší, v některých letech (2004 </w:t>
      </w:r>
      <w:r w:rsidR="00CB5411">
        <w:rPr>
          <w:rFonts w:ascii="Arial" w:hAnsi="Arial" w:cs="Arial"/>
          <w:sz w:val="18"/>
          <w:szCs w:val="18"/>
        </w:rPr>
        <w:t xml:space="preserve">až </w:t>
      </w:r>
      <w:r w:rsidR="008170A6" w:rsidRPr="004A47F2">
        <w:rPr>
          <w:rFonts w:ascii="Arial" w:hAnsi="Arial" w:cs="Arial"/>
          <w:sz w:val="18"/>
          <w:szCs w:val="18"/>
        </w:rPr>
        <w:t xml:space="preserve">2008) byl v prosinci zaznamenán deficit </w:t>
      </w:r>
      <w:r w:rsidR="00CB5411">
        <w:rPr>
          <w:rFonts w:ascii="Arial" w:hAnsi="Arial" w:cs="Arial"/>
          <w:sz w:val="18"/>
          <w:szCs w:val="18"/>
        </w:rPr>
        <w:t xml:space="preserve">obchodní </w:t>
      </w:r>
      <w:r w:rsidR="008170A6" w:rsidRPr="004A47F2">
        <w:rPr>
          <w:rFonts w:ascii="Arial" w:hAnsi="Arial" w:cs="Arial"/>
          <w:sz w:val="18"/>
          <w:szCs w:val="18"/>
        </w:rPr>
        <w:t>bilance. V roce 2013 dosahovala bilance v listopadu 36</w:t>
      </w:r>
      <w:r w:rsidR="00DA752F">
        <w:rPr>
          <w:rFonts w:ascii="Arial" w:hAnsi="Arial" w:cs="Arial"/>
          <w:sz w:val="18"/>
          <w:szCs w:val="18"/>
        </w:rPr>
        <w:t>,0</w:t>
      </w:r>
      <w:r w:rsidR="008170A6" w:rsidRPr="004A47F2">
        <w:rPr>
          <w:rFonts w:ascii="Arial" w:hAnsi="Arial" w:cs="Arial"/>
          <w:sz w:val="18"/>
          <w:szCs w:val="18"/>
        </w:rPr>
        <w:t xml:space="preserve"> mld. Kč a v prosinci byl přebytek pouze 9</w:t>
      </w:r>
      <w:r w:rsidR="00DA752F">
        <w:rPr>
          <w:rFonts w:ascii="Arial" w:hAnsi="Arial" w:cs="Arial"/>
          <w:sz w:val="18"/>
          <w:szCs w:val="18"/>
        </w:rPr>
        <w:t>,2</w:t>
      </w:r>
      <w:r w:rsidR="008170A6" w:rsidRPr="004A47F2">
        <w:rPr>
          <w:rFonts w:ascii="Arial" w:hAnsi="Arial" w:cs="Arial"/>
          <w:sz w:val="18"/>
          <w:szCs w:val="18"/>
        </w:rPr>
        <w:t xml:space="preserve"> mld. Kč. </w:t>
      </w:r>
      <w:r w:rsidR="00ED71E9" w:rsidRPr="004A47F2">
        <w:rPr>
          <w:rFonts w:ascii="Arial" w:hAnsi="Arial" w:cs="Arial"/>
          <w:sz w:val="18"/>
          <w:szCs w:val="18"/>
        </w:rPr>
        <w:t>Obecně se trend přebytku bilance (v posledních letech lze vždy hovořit o přebytku) v posledních čtvrtletí</w:t>
      </w:r>
      <w:r w:rsidR="000C6D28">
        <w:rPr>
          <w:rFonts w:ascii="Arial" w:hAnsi="Arial" w:cs="Arial"/>
          <w:sz w:val="18"/>
          <w:szCs w:val="18"/>
        </w:rPr>
        <w:t>ch</w:t>
      </w:r>
      <w:r w:rsidR="00ED71E9" w:rsidRPr="004A47F2">
        <w:rPr>
          <w:rFonts w:ascii="Arial" w:hAnsi="Arial" w:cs="Arial"/>
          <w:sz w:val="18"/>
          <w:szCs w:val="18"/>
        </w:rPr>
        <w:t xml:space="preserve"> v jednotlivých letech liší. V roce 2009 dosáhla bilance v 1. i 4. čtvrtletí zhruba stejné hodnoty 3</w:t>
      </w:r>
      <w:r w:rsidR="00DA752F">
        <w:rPr>
          <w:rFonts w:ascii="Arial" w:hAnsi="Arial" w:cs="Arial"/>
          <w:sz w:val="18"/>
          <w:szCs w:val="18"/>
        </w:rPr>
        <w:t>4,0</w:t>
      </w:r>
      <w:r w:rsidR="00ED71E9" w:rsidRPr="004A47F2">
        <w:rPr>
          <w:rFonts w:ascii="Arial" w:hAnsi="Arial" w:cs="Arial"/>
          <w:sz w:val="18"/>
          <w:szCs w:val="18"/>
        </w:rPr>
        <w:t xml:space="preserve"> mld. Kč, již v roce 2010 se obě hodnoty výrazně lišily, kdy bilance v 1. čtv</w:t>
      </w:r>
      <w:r w:rsidR="00457491" w:rsidRPr="004A47F2">
        <w:rPr>
          <w:rFonts w:ascii="Arial" w:hAnsi="Arial" w:cs="Arial"/>
          <w:sz w:val="18"/>
          <w:szCs w:val="18"/>
        </w:rPr>
        <w:t>r</w:t>
      </w:r>
      <w:r w:rsidR="00C3100B">
        <w:rPr>
          <w:rFonts w:ascii="Arial" w:hAnsi="Arial" w:cs="Arial"/>
          <w:sz w:val="18"/>
          <w:szCs w:val="18"/>
        </w:rPr>
        <w:t>tletí dosáhla hodnoty 49,5 </w:t>
      </w:r>
      <w:r w:rsidR="00ED71E9" w:rsidRPr="004A47F2">
        <w:rPr>
          <w:rFonts w:ascii="Arial" w:hAnsi="Arial" w:cs="Arial"/>
          <w:sz w:val="18"/>
          <w:szCs w:val="18"/>
        </w:rPr>
        <w:t>mld. Kč, zatímco poslední čtvrtletí roku 23, 6 mld. Kč. Naopak v roce 2011 dosáhla bilance v závěrečném čtvrtletí roku nejvyšší přebytek celého roku, a to 57,</w:t>
      </w:r>
      <w:r w:rsidR="00DA752F">
        <w:rPr>
          <w:rFonts w:ascii="Arial" w:hAnsi="Arial" w:cs="Arial"/>
          <w:sz w:val="18"/>
          <w:szCs w:val="18"/>
        </w:rPr>
        <w:t>7</w:t>
      </w:r>
      <w:r w:rsidR="00ED71E9" w:rsidRPr="004A47F2">
        <w:rPr>
          <w:rFonts w:ascii="Arial" w:hAnsi="Arial" w:cs="Arial"/>
          <w:sz w:val="18"/>
          <w:szCs w:val="18"/>
        </w:rPr>
        <w:t xml:space="preserve"> mld. Kč. V následujících letech dosahuje ukazatel zhruba o 20 mld. Kč nižší hodnotu ve 4. čtvrtletí, než je tomu v 1. </w:t>
      </w:r>
      <w:r w:rsidR="00CB5411">
        <w:rPr>
          <w:rFonts w:ascii="Arial" w:hAnsi="Arial" w:cs="Arial"/>
          <w:sz w:val="18"/>
          <w:szCs w:val="18"/>
        </w:rPr>
        <w:t>čtvrtletí.</w:t>
      </w:r>
    </w:p>
    <w:p w:rsidR="00CB5411" w:rsidRDefault="00CB5411" w:rsidP="00CB5411">
      <w:pPr>
        <w:pStyle w:val="Nadpis1"/>
        <w:numPr>
          <w:ilvl w:val="0"/>
          <w:numId w:val="1"/>
        </w:numPr>
        <w:spacing w:before="0" w:after="120"/>
        <w:ind w:left="567" w:hanging="567"/>
        <w:rPr>
          <w:rFonts w:ascii="Arial" w:eastAsia="Calibri" w:hAnsi="Arial" w:cs="Arial"/>
          <w:bCs w:val="0"/>
          <w:color w:val="940094"/>
          <w:sz w:val="19"/>
          <w:szCs w:val="19"/>
        </w:rPr>
      </w:pPr>
      <w:r>
        <w:rPr>
          <w:rFonts w:ascii="Arial" w:eastAsia="Calibri" w:hAnsi="Arial" w:cs="Arial"/>
          <w:bCs w:val="0"/>
          <w:color w:val="940094"/>
          <w:sz w:val="19"/>
          <w:szCs w:val="19"/>
        </w:rPr>
        <w:lastRenderedPageBreak/>
        <w:t>Teritoriální struktura</w:t>
      </w:r>
      <w:r w:rsidR="00C3100B">
        <w:rPr>
          <w:rFonts w:ascii="Arial" w:eastAsia="Calibri" w:hAnsi="Arial" w:cs="Arial"/>
          <w:bCs w:val="0"/>
          <w:color w:val="940094"/>
          <w:sz w:val="19"/>
          <w:szCs w:val="19"/>
        </w:rPr>
        <w:t xml:space="preserve"> zahraničního obchodu České republiky</w:t>
      </w:r>
    </w:p>
    <w:p w:rsidR="00C3100B" w:rsidRDefault="00C3100B" w:rsidP="00C31CA9">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t>O</w:t>
      </w:r>
      <w:r w:rsidRPr="00C3100B">
        <w:rPr>
          <w:rFonts w:ascii="Arial" w:eastAsia="Calibri" w:hAnsi="Arial" w:cs="Arial"/>
          <w:b/>
          <w:color w:val="940094"/>
          <w:sz w:val="18"/>
          <w:szCs w:val="18"/>
        </w:rPr>
        <w:t xml:space="preserve">bchod se státy Evropské unie </w:t>
      </w:r>
    </w:p>
    <w:p w:rsidR="0093516B" w:rsidRDefault="00043A11" w:rsidP="0093516B">
      <w:pPr>
        <w:spacing w:after="120"/>
        <w:jc w:val="both"/>
        <w:rPr>
          <w:rFonts w:ascii="Arial" w:hAnsi="Arial" w:cs="Arial"/>
          <w:sz w:val="18"/>
          <w:szCs w:val="18"/>
        </w:rPr>
      </w:pPr>
      <w:r w:rsidRPr="004A47F2">
        <w:rPr>
          <w:rFonts w:ascii="Arial" w:hAnsi="Arial" w:cs="Arial"/>
          <w:sz w:val="18"/>
          <w:szCs w:val="18"/>
        </w:rPr>
        <w:t>Zahraniční obchod Č</w:t>
      </w:r>
      <w:r w:rsidR="0093516B">
        <w:rPr>
          <w:rFonts w:ascii="Arial" w:hAnsi="Arial" w:cs="Arial"/>
          <w:sz w:val="18"/>
          <w:szCs w:val="18"/>
        </w:rPr>
        <w:t>eské republiky</w:t>
      </w:r>
      <w:r w:rsidRPr="004A47F2">
        <w:rPr>
          <w:rFonts w:ascii="Arial" w:hAnsi="Arial" w:cs="Arial"/>
          <w:sz w:val="18"/>
          <w:szCs w:val="18"/>
        </w:rPr>
        <w:t xml:space="preserve"> dle skupin s</w:t>
      </w:r>
      <w:r w:rsidR="0093516B">
        <w:rPr>
          <w:rFonts w:ascii="Arial" w:hAnsi="Arial" w:cs="Arial"/>
          <w:sz w:val="18"/>
          <w:szCs w:val="18"/>
        </w:rPr>
        <w:t>tátů podle toho, jak přistupovaly k Evropské unii</w:t>
      </w:r>
      <w:r w:rsidRPr="004A47F2">
        <w:rPr>
          <w:rFonts w:ascii="Arial" w:hAnsi="Arial" w:cs="Arial"/>
          <w:sz w:val="18"/>
          <w:szCs w:val="18"/>
        </w:rPr>
        <w:t>, je ukázán v tabulce 3.3</w:t>
      </w:r>
      <w:r w:rsidR="008828BF">
        <w:rPr>
          <w:rFonts w:ascii="Arial" w:hAnsi="Arial" w:cs="Arial"/>
          <w:sz w:val="18"/>
          <w:szCs w:val="18"/>
        </w:rPr>
        <w:t>, ukazatele jsou uvedeny v mil. </w:t>
      </w:r>
      <w:r w:rsidRPr="004A47F2">
        <w:rPr>
          <w:rFonts w:ascii="Arial" w:hAnsi="Arial" w:cs="Arial"/>
          <w:sz w:val="18"/>
          <w:szCs w:val="18"/>
        </w:rPr>
        <w:t>Kč, v % a pomocí indexu. V tabulce se potvrzuje fakt, který byl zmíně</w:t>
      </w:r>
      <w:r w:rsidR="0093516B">
        <w:rPr>
          <w:rFonts w:ascii="Arial" w:hAnsi="Arial" w:cs="Arial"/>
          <w:sz w:val="18"/>
          <w:szCs w:val="18"/>
        </w:rPr>
        <w:t xml:space="preserve">n již </w:t>
      </w:r>
      <w:r w:rsidR="00213C12">
        <w:rPr>
          <w:rFonts w:ascii="Arial" w:hAnsi="Arial" w:cs="Arial"/>
          <w:sz w:val="18"/>
          <w:szCs w:val="18"/>
        </w:rPr>
        <w:t>dříve</w:t>
      </w:r>
      <w:r w:rsidR="0093516B">
        <w:rPr>
          <w:rFonts w:ascii="Arial" w:hAnsi="Arial" w:cs="Arial"/>
          <w:sz w:val="18"/>
          <w:szCs w:val="18"/>
        </w:rPr>
        <w:t>, podíl EU celkově na </w:t>
      </w:r>
      <w:r w:rsidRPr="004A47F2">
        <w:rPr>
          <w:rFonts w:ascii="Arial" w:hAnsi="Arial" w:cs="Arial"/>
          <w:sz w:val="18"/>
          <w:szCs w:val="18"/>
        </w:rPr>
        <w:t>obchodě Česk</w:t>
      </w:r>
      <w:r w:rsidR="0093516B">
        <w:rPr>
          <w:rFonts w:ascii="Arial" w:hAnsi="Arial" w:cs="Arial"/>
          <w:sz w:val="18"/>
          <w:szCs w:val="18"/>
        </w:rPr>
        <w:t>a</w:t>
      </w:r>
      <w:r w:rsidRPr="004A47F2">
        <w:rPr>
          <w:rFonts w:ascii="Arial" w:hAnsi="Arial" w:cs="Arial"/>
          <w:sz w:val="18"/>
          <w:szCs w:val="18"/>
        </w:rPr>
        <w:t xml:space="preserve"> klesá. </w:t>
      </w:r>
    </w:p>
    <w:p w:rsidR="0093516B" w:rsidRDefault="00043A11" w:rsidP="00F52158">
      <w:pPr>
        <w:jc w:val="both"/>
        <w:rPr>
          <w:rFonts w:ascii="Arial" w:hAnsi="Arial" w:cs="Arial"/>
          <w:sz w:val="18"/>
          <w:szCs w:val="18"/>
        </w:rPr>
      </w:pPr>
      <w:r w:rsidRPr="004A47F2">
        <w:rPr>
          <w:rFonts w:ascii="Arial" w:hAnsi="Arial" w:cs="Arial"/>
          <w:sz w:val="18"/>
          <w:szCs w:val="18"/>
        </w:rPr>
        <w:t>Na dovozu se v roce 2013 ze 47,5 % podílelo 15 států EU</w:t>
      </w:r>
      <w:r w:rsidR="00CD5272">
        <w:rPr>
          <w:rFonts w:ascii="Arial" w:hAnsi="Arial" w:cs="Arial"/>
          <w:sz w:val="18"/>
          <w:szCs w:val="18"/>
        </w:rPr>
        <w:t>. Od</w:t>
      </w:r>
      <w:r w:rsidRPr="004A47F2">
        <w:rPr>
          <w:rFonts w:ascii="Arial" w:hAnsi="Arial" w:cs="Arial"/>
          <w:sz w:val="18"/>
          <w:szCs w:val="18"/>
        </w:rPr>
        <w:t xml:space="preserve"> roku 2005</w:t>
      </w:r>
      <w:r w:rsidR="00CD5272">
        <w:rPr>
          <w:rFonts w:ascii="Arial" w:hAnsi="Arial" w:cs="Arial"/>
          <w:sz w:val="18"/>
          <w:szCs w:val="18"/>
        </w:rPr>
        <w:t xml:space="preserve"> (</w:t>
      </w:r>
      <w:r w:rsidRPr="004A47F2">
        <w:rPr>
          <w:rFonts w:ascii="Arial" w:hAnsi="Arial" w:cs="Arial"/>
          <w:sz w:val="18"/>
          <w:szCs w:val="18"/>
        </w:rPr>
        <w:t>první celý rok členství ČR v EU</w:t>
      </w:r>
      <w:r w:rsidR="00CD5272">
        <w:rPr>
          <w:rFonts w:ascii="Arial" w:hAnsi="Arial" w:cs="Arial"/>
          <w:sz w:val="18"/>
          <w:szCs w:val="18"/>
        </w:rPr>
        <w:t>)</w:t>
      </w:r>
      <w:r w:rsidRPr="004A47F2">
        <w:rPr>
          <w:rFonts w:ascii="Arial" w:hAnsi="Arial" w:cs="Arial"/>
          <w:sz w:val="18"/>
          <w:szCs w:val="18"/>
        </w:rPr>
        <w:t xml:space="preserve"> se podíl EU15 na dovozu snížil o 10</w:t>
      </w:r>
      <w:r w:rsidR="00CD5272">
        <w:rPr>
          <w:rFonts w:ascii="Arial" w:hAnsi="Arial" w:cs="Arial"/>
          <w:sz w:val="18"/>
          <w:szCs w:val="18"/>
        </w:rPr>
        <w:t>,2</w:t>
      </w:r>
      <w:r w:rsidRPr="004A47F2">
        <w:rPr>
          <w:rFonts w:ascii="Arial" w:hAnsi="Arial" w:cs="Arial"/>
          <w:sz w:val="18"/>
          <w:szCs w:val="18"/>
        </w:rPr>
        <w:t xml:space="preserve"> p. b. V</w:t>
      </w:r>
      <w:r w:rsidR="00CD5272">
        <w:rPr>
          <w:rFonts w:ascii="Arial" w:hAnsi="Arial" w:cs="Arial"/>
          <w:sz w:val="18"/>
          <w:szCs w:val="18"/>
        </w:rPr>
        <w:t xml:space="preserve"> roce 2013</w:t>
      </w:r>
      <w:r w:rsidRPr="004A47F2">
        <w:rPr>
          <w:rFonts w:ascii="Arial" w:hAnsi="Arial" w:cs="Arial"/>
          <w:sz w:val="18"/>
          <w:szCs w:val="18"/>
        </w:rPr>
        <w:t xml:space="preserve"> tvořil podíl EU25 na dovozu Č</w:t>
      </w:r>
      <w:r w:rsidR="001142E8">
        <w:rPr>
          <w:rFonts w:ascii="Arial" w:hAnsi="Arial" w:cs="Arial"/>
          <w:sz w:val="18"/>
          <w:szCs w:val="18"/>
        </w:rPr>
        <w:t>eské republiky</w:t>
      </w:r>
      <w:r w:rsidRPr="004A47F2">
        <w:rPr>
          <w:rFonts w:ascii="Arial" w:hAnsi="Arial" w:cs="Arial"/>
          <w:sz w:val="18"/>
          <w:szCs w:val="18"/>
        </w:rPr>
        <w:t xml:space="preserve"> 63,9 %, v tomto je samozřejmě zahrnut obchod s EU15, který s necelými 48 % tvoří většinu dovozu EU25. Poslední dva státy </w:t>
      </w:r>
      <w:r w:rsidR="00A81D33">
        <w:rPr>
          <w:rFonts w:ascii="Arial" w:hAnsi="Arial" w:cs="Arial"/>
          <w:sz w:val="18"/>
          <w:szCs w:val="18"/>
        </w:rPr>
        <w:t>Bulharsko a Rumunsko</w:t>
      </w:r>
      <w:r w:rsidRPr="004A47F2">
        <w:rPr>
          <w:rFonts w:ascii="Arial" w:hAnsi="Arial" w:cs="Arial"/>
          <w:sz w:val="18"/>
          <w:szCs w:val="18"/>
        </w:rPr>
        <w:t xml:space="preserve"> </w:t>
      </w:r>
      <w:r w:rsidR="00A81D33">
        <w:rPr>
          <w:rFonts w:ascii="Arial" w:hAnsi="Arial" w:cs="Arial"/>
          <w:sz w:val="18"/>
          <w:szCs w:val="18"/>
        </w:rPr>
        <w:t>(</w:t>
      </w:r>
      <w:r w:rsidR="00A81D33" w:rsidRPr="004A47F2">
        <w:rPr>
          <w:rFonts w:ascii="Arial" w:hAnsi="Arial" w:cs="Arial"/>
          <w:sz w:val="18"/>
          <w:szCs w:val="18"/>
        </w:rPr>
        <w:t>EU27</w:t>
      </w:r>
      <w:r w:rsidR="00A81D33">
        <w:rPr>
          <w:rFonts w:ascii="Arial" w:hAnsi="Arial" w:cs="Arial"/>
          <w:sz w:val="18"/>
          <w:szCs w:val="18"/>
        </w:rPr>
        <w:t>) a </w:t>
      </w:r>
      <w:r w:rsidR="001142E8">
        <w:rPr>
          <w:rFonts w:ascii="Arial" w:hAnsi="Arial" w:cs="Arial"/>
          <w:sz w:val="18"/>
          <w:szCs w:val="18"/>
        </w:rPr>
        <w:t xml:space="preserve">naposled </w:t>
      </w:r>
      <w:r w:rsidRPr="004A47F2">
        <w:rPr>
          <w:rFonts w:ascii="Arial" w:hAnsi="Arial" w:cs="Arial"/>
          <w:sz w:val="18"/>
          <w:szCs w:val="18"/>
        </w:rPr>
        <w:t xml:space="preserve">Chorvatsko (EU28) přistoupily do EU po roce 2004, dovoz z EU27 v roce 2013 </w:t>
      </w:r>
      <w:r w:rsidR="00A81D33" w:rsidRPr="004A47F2">
        <w:rPr>
          <w:rFonts w:ascii="Arial" w:hAnsi="Arial" w:cs="Arial"/>
          <w:sz w:val="18"/>
          <w:szCs w:val="18"/>
        </w:rPr>
        <w:t xml:space="preserve">tvořil </w:t>
      </w:r>
      <w:r w:rsidRPr="004A47F2">
        <w:rPr>
          <w:rFonts w:ascii="Arial" w:hAnsi="Arial" w:cs="Arial"/>
          <w:sz w:val="18"/>
          <w:szCs w:val="18"/>
        </w:rPr>
        <w:t xml:space="preserve">65,1 % dovozu, oproti EU25 je tedy vidět pouze vzrůst podílu dovozu. </w:t>
      </w:r>
    </w:p>
    <w:p w:rsidR="00F52158" w:rsidRDefault="00F52158" w:rsidP="00F52158">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4</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Teritoriální struktura vývozu a dovozu v roce 2013 (podíly v %)</w:t>
      </w:r>
    </w:p>
    <w:p w:rsidR="00F52158" w:rsidRDefault="00F52158" w:rsidP="00F52158">
      <w:pPr>
        <w:spacing w:after="80"/>
        <w:ind w:left="1416" w:firstLine="708"/>
        <w:jc w:val="both"/>
        <w:rPr>
          <w:rFonts w:ascii="Arial" w:hAnsi="Arial" w:cs="Arial"/>
          <w:color w:val="940094"/>
          <w:sz w:val="18"/>
          <w:szCs w:val="18"/>
        </w:rPr>
      </w:pPr>
      <w:r>
        <w:rPr>
          <w:rFonts w:ascii="Arial" w:hAnsi="Arial" w:cs="Arial"/>
          <w:color w:val="940094"/>
          <w:sz w:val="18"/>
          <w:szCs w:val="18"/>
        </w:rPr>
        <w:t>vývoz</w:t>
      </w:r>
      <w:r>
        <w:rPr>
          <w:rFonts w:ascii="Arial" w:hAnsi="Arial" w:cs="Arial"/>
          <w:color w:val="940094"/>
          <w:sz w:val="18"/>
          <w:szCs w:val="18"/>
        </w:rPr>
        <w:tab/>
        <w:t xml:space="preserve">                                        </w:t>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t>dovoz</w:t>
      </w:r>
    </w:p>
    <w:p w:rsidR="00F52158" w:rsidRDefault="00F52158" w:rsidP="0093516B">
      <w:pPr>
        <w:spacing w:after="120"/>
        <w:jc w:val="both"/>
        <w:rPr>
          <w:rFonts w:ascii="Arial" w:hAnsi="Arial" w:cs="Arial"/>
          <w:sz w:val="18"/>
          <w:szCs w:val="18"/>
        </w:rPr>
      </w:pPr>
      <w:r>
        <w:rPr>
          <w:rFonts w:ascii="Arial" w:hAnsi="Arial" w:cs="Arial"/>
          <w:sz w:val="18"/>
          <w:szCs w:val="18"/>
        </w:rPr>
        <w:t xml:space="preserve">     </w:t>
      </w:r>
      <w:r w:rsidR="00F31766" w:rsidRPr="003A73AE">
        <w:rPr>
          <w:rFonts w:ascii="Arial" w:hAnsi="Arial" w:cs="Arial"/>
          <w:sz w:val="18"/>
          <w:szCs w:val="18"/>
        </w:rPr>
        <w:pict>
          <v:shape id="_x0000_i1027" type="#_x0000_t75" style="width:177.3pt;height:130.4pt">
            <v:imagedata r:id="rId11" o:title=""/>
          </v:shape>
        </w:pict>
      </w:r>
      <w:r>
        <w:rPr>
          <w:rFonts w:ascii="Arial" w:hAnsi="Arial" w:cs="Arial"/>
          <w:sz w:val="18"/>
          <w:szCs w:val="18"/>
        </w:rPr>
        <w:t xml:space="preserve">                           </w:t>
      </w:r>
      <w:r w:rsidRPr="00F52158">
        <w:rPr>
          <w:noProof/>
          <w:lang w:eastAsia="cs-CZ"/>
        </w:rPr>
        <w:t xml:space="preserve"> </w:t>
      </w:r>
      <w:r w:rsidRPr="00F52158">
        <w:rPr>
          <w:rFonts w:ascii="Arial" w:hAnsi="Arial" w:cs="Arial"/>
          <w:noProof/>
          <w:sz w:val="18"/>
          <w:szCs w:val="18"/>
          <w:lang w:eastAsia="cs-CZ"/>
        </w:rPr>
        <w:drawing>
          <wp:inline distT="0" distB="0" distL="0" distR="0">
            <wp:extent cx="2238375" cy="16478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2158" w:rsidRDefault="00F52158" w:rsidP="00F52158">
      <w:pPr>
        <w:spacing w:before="240" w:after="120"/>
        <w:jc w:val="both"/>
        <w:rPr>
          <w:rFonts w:ascii="Arial" w:hAnsi="Arial" w:cs="Arial"/>
          <w:sz w:val="18"/>
          <w:szCs w:val="18"/>
        </w:rPr>
      </w:pPr>
      <w:r w:rsidRPr="004A47F2">
        <w:rPr>
          <w:rFonts w:ascii="Arial" w:hAnsi="Arial" w:cs="Arial"/>
          <w:sz w:val="18"/>
          <w:szCs w:val="18"/>
        </w:rPr>
        <w:t>Č</w:t>
      </w:r>
      <w:r>
        <w:rPr>
          <w:rFonts w:ascii="Arial" w:hAnsi="Arial" w:cs="Arial"/>
          <w:sz w:val="18"/>
          <w:szCs w:val="18"/>
        </w:rPr>
        <w:t>eská republika</w:t>
      </w:r>
      <w:r w:rsidRPr="004A47F2">
        <w:rPr>
          <w:rFonts w:ascii="Arial" w:hAnsi="Arial" w:cs="Arial"/>
          <w:sz w:val="18"/>
          <w:szCs w:val="18"/>
        </w:rPr>
        <w:t xml:space="preserve"> do EU obecně vyváží vyšší podíl zboží, než z ní dováží, tento trend je ovlivněn dynamickým růstem dovozu z mimoevropských států, především Asie, obzvlášť potom z Číny. Vývoz do států EU15 v roce 2013 tvořil </w:t>
      </w:r>
      <w:r>
        <w:rPr>
          <w:rFonts w:ascii="Arial" w:hAnsi="Arial" w:cs="Arial"/>
          <w:sz w:val="18"/>
          <w:szCs w:val="18"/>
        </w:rPr>
        <w:t>60,3 </w:t>
      </w:r>
      <w:r w:rsidRPr="004A47F2">
        <w:rPr>
          <w:rFonts w:ascii="Arial" w:hAnsi="Arial" w:cs="Arial"/>
          <w:sz w:val="18"/>
          <w:szCs w:val="18"/>
        </w:rPr>
        <w:t>% celkového vývozu ČR, v roce 2005 to bylo 66</w:t>
      </w:r>
      <w:r w:rsidR="009D5385">
        <w:rPr>
          <w:rFonts w:ascii="Arial" w:hAnsi="Arial" w:cs="Arial"/>
          <w:sz w:val="18"/>
          <w:szCs w:val="18"/>
        </w:rPr>
        <w:t xml:space="preserve"> </w:t>
      </w:r>
      <w:r w:rsidRPr="004A47F2">
        <w:rPr>
          <w:rFonts w:ascii="Arial" w:hAnsi="Arial" w:cs="Arial"/>
          <w:sz w:val="18"/>
          <w:szCs w:val="18"/>
        </w:rPr>
        <w:t xml:space="preserve">%, pokles podílu exportu byl tedy nižší než v případě dovozu. </w:t>
      </w:r>
    </w:p>
    <w:p w:rsidR="00F52158" w:rsidRDefault="00F52158" w:rsidP="00F52158">
      <w:pPr>
        <w:spacing w:after="240"/>
        <w:jc w:val="both"/>
        <w:rPr>
          <w:rFonts w:ascii="Arial" w:hAnsi="Arial" w:cs="Arial"/>
          <w:sz w:val="18"/>
          <w:szCs w:val="18"/>
        </w:rPr>
      </w:pPr>
      <w:r w:rsidRPr="004A47F2">
        <w:rPr>
          <w:rFonts w:ascii="Arial" w:hAnsi="Arial" w:cs="Arial"/>
          <w:sz w:val="18"/>
          <w:szCs w:val="18"/>
        </w:rPr>
        <w:t>V případě vývozu do EU25 se rozdíl oproti EU15 pohybuje okolo 20 p. b. Vlivy ekonomické krize</w:t>
      </w:r>
      <w:r>
        <w:rPr>
          <w:rFonts w:ascii="Arial" w:hAnsi="Arial" w:cs="Arial"/>
          <w:sz w:val="18"/>
          <w:szCs w:val="18"/>
        </w:rPr>
        <w:t xml:space="preserve"> jsou jasně zřejmé v </w:t>
      </w:r>
      <w:r w:rsidRPr="004A47F2">
        <w:rPr>
          <w:rFonts w:ascii="Arial" w:hAnsi="Arial" w:cs="Arial"/>
          <w:sz w:val="18"/>
          <w:szCs w:val="18"/>
        </w:rPr>
        <w:t xml:space="preserve">části vyjádřené indexy, v roce 2008 a 2009 docházelo oproti minulému roku k poklesu ve všech ukazatelích, bez ohledu na počet států EU. Následující roky rostly naopak ukazatele poměrně rychlým tempem oproti minulým létům, přičemž tempa růstu se při rozdělení EU na jednotlivá uskupení států nijak výrazně nelišila, mírně pomalejší růst zaznamenala samotná EU15 v dovozu i vývozu a potažmo obratu. </w:t>
      </w:r>
    </w:p>
    <w:p w:rsidR="0094002B" w:rsidRDefault="0094002B" w:rsidP="0094002B">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sidR="00F52158">
        <w:rPr>
          <w:rFonts w:ascii="Arial" w:hAnsi="Arial" w:cs="Arial"/>
          <w:color w:val="940094"/>
          <w:sz w:val="18"/>
          <w:szCs w:val="18"/>
        </w:rPr>
        <w:t>5</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Zahraniční obchod se státy EU a se státy mimo EU</w:t>
      </w:r>
      <w:r w:rsidR="00202001">
        <w:rPr>
          <w:rFonts w:ascii="Arial" w:hAnsi="Arial" w:cs="Arial"/>
          <w:color w:val="940094"/>
          <w:sz w:val="18"/>
          <w:szCs w:val="18"/>
        </w:rPr>
        <w:t xml:space="preserve"> v mld. Kč</w:t>
      </w:r>
      <w:r w:rsidRPr="000F1141">
        <w:rPr>
          <w:rFonts w:ascii="Arial" w:hAnsi="Arial" w:cs="Arial"/>
          <w:color w:val="940094"/>
          <w:sz w:val="18"/>
          <w:szCs w:val="18"/>
        </w:rPr>
        <w:t xml:space="preserve">, 2004 </w:t>
      </w:r>
      <w:r>
        <w:rPr>
          <w:rFonts w:ascii="Arial" w:hAnsi="Arial" w:cs="Arial"/>
          <w:color w:val="940094"/>
          <w:sz w:val="18"/>
          <w:szCs w:val="18"/>
        </w:rPr>
        <w:t>–</w:t>
      </w:r>
      <w:r w:rsidRPr="000F1141">
        <w:rPr>
          <w:rFonts w:ascii="Arial" w:hAnsi="Arial" w:cs="Arial"/>
          <w:color w:val="940094"/>
          <w:sz w:val="18"/>
          <w:szCs w:val="18"/>
        </w:rPr>
        <w:t xml:space="preserve"> 2013</w:t>
      </w:r>
    </w:p>
    <w:p w:rsidR="0094002B" w:rsidRPr="000F1141" w:rsidRDefault="0094002B" w:rsidP="0094002B">
      <w:pPr>
        <w:tabs>
          <w:tab w:val="left" w:pos="851"/>
          <w:tab w:val="left" w:pos="1418"/>
          <w:tab w:val="left" w:pos="1701"/>
        </w:tabs>
        <w:spacing w:after="40"/>
        <w:jc w:val="both"/>
        <w:rPr>
          <w:rFonts w:ascii="Arial" w:hAnsi="Arial" w:cs="Arial"/>
          <w:color w:val="940094"/>
          <w:sz w:val="18"/>
          <w:szCs w:val="18"/>
        </w:rPr>
      </w:pP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t>vývoz</w:t>
      </w:r>
      <w:r>
        <w:rPr>
          <w:rFonts w:ascii="Arial" w:hAnsi="Arial" w:cs="Arial"/>
          <w:color w:val="940094"/>
          <w:sz w:val="18"/>
          <w:szCs w:val="18"/>
        </w:rPr>
        <w:tab/>
        <w:t xml:space="preserve">                                        </w:t>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t>dovoz</w:t>
      </w:r>
    </w:p>
    <w:p w:rsidR="0094002B" w:rsidRDefault="00F31766" w:rsidP="0094002B">
      <w:pPr>
        <w:spacing w:after="0"/>
        <w:jc w:val="both"/>
        <w:rPr>
          <w:rFonts w:ascii="Arial" w:hAnsi="Arial" w:cs="Arial"/>
          <w:sz w:val="18"/>
          <w:szCs w:val="18"/>
        </w:rPr>
      </w:pPr>
      <w:r w:rsidRPr="003A73AE">
        <w:rPr>
          <w:rFonts w:ascii="Arial" w:hAnsi="Arial" w:cs="Arial"/>
          <w:sz w:val="18"/>
          <w:szCs w:val="18"/>
        </w:rPr>
        <w:pict>
          <v:shape id="_x0000_i1028" type="#_x0000_t75" style="width:247.9pt;height:157.6pt">
            <v:imagedata r:id="rId13" o:title=""/>
          </v:shape>
        </w:pict>
      </w:r>
      <w:r w:rsidR="0094002B">
        <w:rPr>
          <w:rFonts w:ascii="Arial" w:hAnsi="Arial" w:cs="Arial"/>
          <w:sz w:val="18"/>
          <w:szCs w:val="18"/>
        </w:rPr>
        <w:t xml:space="preserve">   </w:t>
      </w:r>
      <w:r w:rsidRPr="003A73AE">
        <w:rPr>
          <w:rFonts w:ascii="Arial" w:hAnsi="Arial" w:cs="Arial"/>
          <w:sz w:val="18"/>
          <w:szCs w:val="18"/>
        </w:rPr>
        <w:pict>
          <v:shape id="_x0000_i1029" type="#_x0000_t75" style="width:225.5pt;height:157.6pt">
            <v:imagedata r:id="rId14" o:title=""/>
          </v:shape>
        </w:pict>
      </w:r>
    </w:p>
    <w:p w:rsidR="00F52158" w:rsidRDefault="00F52158" w:rsidP="00F52158">
      <w:pPr>
        <w:spacing w:after="0"/>
        <w:jc w:val="both"/>
        <w:rPr>
          <w:rFonts w:ascii="Arial" w:hAnsi="Arial" w:cs="Arial"/>
          <w:sz w:val="18"/>
          <w:szCs w:val="18"/>
        </w:rPr>
      </w:pPr>
    </w:p>
    <w:p w:rsidR="00043A11" w:rsidRPr="004A47F2" w:rsidRDefault="00043A11" w:rsidP="00F52158">
      <w:pPr>
        <w:spacing w:before="120"/>
        <w:jc w:val="both"/>
        <w:rPr>
          <w:rFonts w:ascii="Arial" w:hAnsi="Arial" w:cs="Arial"/>
          <w:sz w:val="18"/>
          <w:szCs w:val="18"/>
        </w:rPr>
      </w:pPr>
      <w:r w:rsidRPr="004A47F2">
        <w:rPr>
          <w:rFonts w:ascii="Arial" w:hAnsi="Arial" w:cs="Arial"/>
          <w:sz w:val="18"/>
          <w:szCs w:val="18"/>
        </w:rPr>
        <w:t>V posledních dvou letech (2012 a 201</w:t>
      </w:r>
      <w:r w:rsidR="0093516B">
        <w:rPr>
          <w:rFonts w:ascii="Arial" w:hAnsi="Arial" w:cs="Arial"/>
          <w:sz w:val="18"/>
          <w:szCs w:val="18"/>
        </w:rPr>
        <w:t>3</w:t>
      </w:r>
      <w:r w:rsidRPr="004A47F2">
        <w:rPr>
          <w:rFonts w:ascii="Arial" w:hAnsi="Arial" w:cs="Arial"/>
          <w:sz w:val="18"/>
          <w:szCs w:val="18"/>
        </w:rPr>
        <w:t xml:space="preserve">) se tempa růstu </w:t>
      </w:r>
      <w:r w:rsidR="004E53DD">
        <w:rPr>
          <w:rFonts w:ascii="Arial" w:hAnsi="Arial" w:cs="Arial"/>
          <w:sz w:val="18"/>
          <w:szCs w:val="18"/>
        </w:rPr>
        <w:t xml:space="preserve">zahraničního obchodu České republiky </w:t>
      </w:r>
      <w:r w:rsidRPr="004A47F2">
        <w:rPr>
          <w:rFonts w:ascii="Arial" w:hAnsi="Arial" w:cs="Arial"/>
          <w:sz w:val="18"/>
          <w:szCs w:val="18"/>
        </w:rPr>
        <w:t xml:space="preserve">zpomalila a oproti minulým létům zaznamenává obrat v roce 2012 </w:t>
      </w:r>
      <w:r w:rsidR="004E53DD">
        <w:rPr>
          <w:rFonts w:ascii="Arial" w:hAnsi="Arial" w:cs="Arial"/>
          <w:sz w:val="18"/>
          <w:szCs w:val="18"/>
        </w:rPr>
        <w:t>meziroční přírůstek o necelých 5 %</w:t>
      </w:r>
      <w:r w:rsidRPr="004A47F2">
        <w:rPr>
          <w:rFonts w:ascii="Arial" w:hAnsi="Arial" w:cs="Arial"/>
          <w:sz w:val="18"/>
          <w:szCs w:val="18"/>
        </w:rPr>
        <w:t xml:space="preserve">, a v roce 2013 o 2,7 </w:t>
      </w:r>
      <w:r w:rsidR="004E53DD">
        <w:rPr>
          <w:rFonts w:ascii="Arial" w:hAnsi="Arial" w:cs="Arial"/>
          <w:sz w:val="18"/>
          <w:szCs w:val="18"/>
        </w:rPr>
        <w:t>%. Export rostl v </w:t>
      </w:r>
      <w:r w:rsidRPr="004A47F2">
        <w:rPr>
          <w:rFonts w:ascii="Arial" w:hAnsi="Arial" w:cs="Arial"/>
          <w:sz w:val="18"/>
          <w:szCs w:val="18"/>
        </w:rPr>
        <w:t xml:space="preserve">roce 2012 výrazněji o 6,7 </w:t>
      </w:r>
      <w:r w:rsidR="004E53DD">
        <w:rPr>
          <w:rFonts w:ascii="Arial" w:hAnsi="Arial" w:cs="Arial"/>
          <w:sz w:val="18"/>
          <w:szCs w:val="18"/>
        </w:rPr>
        <w:t>%</w:t>
      </w:r>
      <w:r w:rsidRPr="004A47F2">
        <w:rPr>
          <w:rFonts w:ascii="Arial" w:hAnsi="Arial" w:cs="Arial"/>
          <w:sz w:val="18"/>
          <w:szCs w:val="18"/>
        </w:rPr>
        <w:t xml:space="preserve">, z toho státy EU15 přispěly k růstu 3 </w:t>
      </w:r>
      <w:r w:rsidR="004E53DD">
        <w:rPr>
          <w:rFonts w:ascii="Arial" w:hAnsi="Arial" w:cs="Arial"/>
          <w:sz w:val="18"/>
          <w:szCs w:val="18"/>
        </w:rPr>
        <w:t>%</w:t>
      </w:r>
      <w:r w:rsidRPr="004A47F2">
        <w:rPr>
          <w:rFonts w:ascii="Arial" w:hAnsi="Arial" w:cs="Arial"/>
          <w:sz w:val="18"/>
          <w:szCs w:val="18"/>
        </w:rPr>
        <w:t xml:space="preserve">. V roce 2013 vývoz celkově vzrostl o 3,3 </w:t>
      </w:r>
      <w:r w:rsidR="004E53DD">
        <w:rPr>
          <w:rFonts w:ascii="Arial" w:hAnsi="Arial" w:cs="Arial"/>
          <w:sz w:val="18"/>
          <w:szCs w:val="18"/>
        </w:rPr>
        <w:t>%</w:t>
      </w:r>
      <w:r w:rsidRPr="004A47F2">
        <w:rPr>
          <w:rFonts w:ascii="Arial" w:hAnsi="Arial" w:cs="Arial"/>
          <w:sz w:val="18"/>
          <w:szCs w:val="18"/>
        </w:rPr>
        <w:t xml:space="preserve"> oproti roku 2012 a EU15 se na růstu podílela 2,7 </w:t>
      </w:r>
      <w:r w:rsidR="004E53DD">
        <w:rPr>
          <w:rFonts w:ascii="Arial" w:hAnsi="Arial" w:cs="Arial"/>
          <w:sz w:val="18"/>
          <w:szCs w:val="18"/>
        </w:rPr>
        <w:t>%</w:t>
      </w:r>
      <w:r w:rsidRPr="004A47F2">
        <w:rPr>
          <w:rFonts w:ascii="Arial" w:hAnsi="Arial" w:cs="Arial"/>
          <w:sz w:val="18"/>
          <w:szCs w:val="18"/>
        </w:rPr>
        <w:t xml:space="preserve">. Celkový dovoz vzrostl v roce 2012 o 3 </w:t>
      </w:r>
      <w:r w:rsidR="004E53DD">
        <w:rPr>
          <w:rFonts w:ascii="Arial" w:hAnsi="Arial" w:cs="Arial"/>
          <w:sz w:val="18"/>
          <w:szCs w:val="18"/>
        </w:rPr>
        <w:t>%</w:t>
      </w:r>
      <w:r w:rsidRPr="004A47F2">
        <w:rPr>
          <w:rFonts w:ascii="Arial" w:hAnsi="Arial" w:cs="Arial"/>
          <w:sz w:val="18"/>
          <w:szCs w:val="18"/>
        </w:rPr>
        <w:t xml:space="preserve"> op</w:t>
      </w:r>
      <w:r w:rsidR="004E53DD">
        <w:rPr>
          <w:rFonts w:ascii="Arial" w:hAnsi="Arial" w:cs="Arial"/>
          <w:sz w:val="18"/>
          <w:szCs w:val="18"/>
        </w:rPr>
        <w:t>roti roku 2011, a v roce 2013 o </w:t>
      </w:r>
      <w:r w:rsidRPr="004A47F2">
        <w:rPr>
          <w:rFonts w:ascii="Arial" w:hAnsi="Arial" w:cs="Arial"/>
          <w:sz w:val="18"/>
          <w:szCs w:val="18"/>
        </w:rPr>
        <w:t xml:space="preserve">2 </w:t>
      </w:r>
      <w:r w:rsidR="004E53DD">
        <w:rPr>
          <w:rFonts w:ascii="Arial" w:hAnsi="Arial" w:cs="Arial"/>
          <w:sz w:val="18"/>
          <w:szCs w:val="18"/>
        </w:rPr>
        <w:t>%</w:t>
      </w:r>
      <w:r w:rsidRPr="004A47F2">
        <w:rPr>
          <w:rFonts w:ascii="Arial" w:hAnsi="Arial" w:cs="Arial"/>
          <w:sz w:val="18"/>
          <w:szCs w:val="18"/>
        </w:rPr>
        <w:t xml:space="preserve"> oproti roku 2012. </w:t>
      </w:r>
    </w:p>
    <w:p w:rsidR="00C3100B" w:rsidRDefault="00C3100B" w:rsidP="0094002B">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lastRenderedPageBreak/>
        <w:t>O</w:t>
      </w:r>
      <w:r w:rsidRPr="00C3100B">
        <w:rPr>
          <w:rFonts w:ascii="Arial" w:eastAsia="Calibri" w:hAnsi="Arial" w:cs="Arial"/>
          <w:b/>
          <w:color w:val="940094"/>
          <w:sz w:val="18"/>
          <w:szCs w:val="18"/>
        </w:rPr>
        <w:t xml:space="preserve">bchod se státy </w:t>
      </w:r>
      <w:r w:rsidR="00D22CD7">
        <w:rPr>
          <w:rFonts w:ascii="Arial" w:eastAsia="Calibri" w:hAnsi="Arial" w:cs="Arial"/>
          <w:b/>
          <w:color w:val="940094"/>
          <w:sz w:val="18"/>
          <w:szCs w:val="18"/>
        </w:rPr>
        <w:t>e</w:t>
      </w:r>
      <w:r w:rsidRPr="00C3100B">
        <w:rPr>
          <w:rFonts w:ascii="Arial" w:eastAsia="Calibri" w:hAnsi="Arial" w:cs="Arial"/>
          <w:b/>
          <w:color w:val="940094"/>
          <w:sz w:val="18"/>
          <w:szCs w:val="18"/>
        </w:rPr>
        <w:t>urozóny</w:t>
      </w:r>
    </w:p>
    <w:p w:rsidR="00D22CD7" w:rsidRDefault="00043A11" w:rsidP="00D22CD7">
      <w:pPr>
        <w:spacing w:after="120"/>
        <w:jc w:val="both"/>
        <w:rPr>
          <w:rFonts w:ascii="Arial" w:hAnsi="Arial" w:cs="Arial"/>
          <w:sz w:val="18"/>
          <w:szCs w:val="18"/>
        </w:rPr>
      </w:pPr>
      <w:r w:rsidRPr="004A47F2">
        <w:rPr>
          <w:rFonts w:ascii="Arial" w:hAnsi="Arial" w:cs="Arial"/>
          <w:sz w:val="18"/>
          <w:szCs w:val="18"/>
        </w:rPr>
        <w:t xml:space="preserve">Zahraničním obchodem ČR se státy </w:t>
      </w:r>
      <w:r w:rsidR="00D22CD7">
        <w:rPr>
          <w:rFonts w:ascii="Arial" w:hAnsi="Arial" w:cs="Arial"/>
          <w:sz w:val="18"/>
          <w:szCs w:val="18"/>
        </w:rPr>
        <w:t>e</w:t>
      </w:r>
      <w:r w:rsidRPr="004A47F2">
        <w:rPr>
          <w:rFonts w:ascii="Arial" w:hAnsi="Arial" w:cs="Arial"/>
          <w:sz w:val="18"/>
          <w:szCs w:val="18"/>
        </w:rPr>
        <w:t xml:space="preserve">urozóny v mil. Kč a také dle podílů v % se zabývá tabulka 3.4. Česká republika členem </w:t>
      </w:r>
      <w:r w:rsidR="00D22CD7">
        <w:rPr>
          <w:rFonts w:ascii="Arial" w:hAnsi="Arial" w:cs="Arial"/>
          <w:sz w:val="18"/>
          <w:szCs w:val="18"/>
        </w:rPr>
        <w:t>e</w:t>
      </w:r>
      <w:r w:rsidRPr="004A47F2">
        <w:rPr>
          <w:rFonts w:ascii="Arial" w:hAnsi="Arial" w:cs="Arial"/>
          <w:sz w:val="18"/>
          <w:szCs w:val="18"/>
        </w:rPr>
        <w:t xml:space="preserve">urozóny není. Také zde se projevuje slábnoucí zastoupení zemí eurozóny na obratu, dovozu i vývozu ČR. </w:t>
      </w:r>
    </w:p>
    <w:p w:rsidR="00FE30CC" w:rsidRDefault="00043A11" w:rsidP="00FE30CC">
      <w:pPr>
        <w:jc w:val="both"/>
        <w:rPr>
          <w:rFonts w:ascii="Arial" w:hAnsi="Arial" w:cs="Arial"/>
          <w:sz w:val="18"/>
          <w:szCs w:val="18"/>
        </w:rPr>
      </w:pPr>
      <w:r w:rsidRPr="004A47F2">
        <w:rPr>
          <w:rFonts w:ascii="Arial" w:hAnsi="Arial" w:cs="Arial"/>
          <w:sz w:val="18"/>
          <w:szCs w:val="18"/>
        </w:rPr>
        <w:t>Prvních 12 členských zemí eurozóny se v roce 2013 podílelo na vývozu ČR 53,2 % a na dovozu 44,1 %. Krytí dovozu vývozem v roce 2013 u těchto zemí dosahovalo 135,7 %. Zde se situace od roku 2004 zlepšila, tehdy dosahoval ukazatel hodnoty 112,5 % a v průběhu sledovaných let docházelo ke kontinuálním</w:t>
      </w:r>
      <w:r w:rsidR="00EF10BA">
        <w:rPr>
          <w:rFonts w:ascii="Arial" w:hAnsi="Arial" w:cs="Arial"/>
          <w:sz w:val="18"/>
          <w:szCs w:val="18"/>
        </w:rPr>
        <w:t>u růstu krytí dovozu vývozem, v </w:t>
      </w:r>
      <w:r w:rsidRPr="004A47F2">
        <w:rPr>
          <w:rFonts w:ascii="Arial" w:hAnsi="Arial" w:cs="Arial"/>
          <w:sz w:val="18"/>
          <w:szCs w:val="18"/>
        </w:rPr>
        <w:t xml:space="preserve">krizovém roce 2009 překročil hranici 130 %. </w:t>
      </w:r>
    </w:p>
    <w:p w:rsidR="00FE30CC" w:rsidRDefault="00FE30CC" w:rsidP="00FE30CC">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6</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Obrat České republiky se státy eurozóny</w:t>
      </w:r>
    </w:p>
    <w:p w:rsidR="00FE30CC" w:rsidRDefault="00F31766" w:rsidP="0060062D">
      <w:pPr>
        <w:spacing w:after="120"/>
        <w:jc w:val="both"/>
        <w:rPr>
          <w:rFonts w:ascii="Arial" w:hAnsi="Arial" w:cs="Arial"/>
          <w:sz w:val="18"/>
          <w:szCs w:val="18"/>
        </w:rPr>
      </w:pPr>
      <w:r w:rsidRPr="003A73AE">
        <w:rPr>
          <w:rFonts w:ascii="Arial" w:hAnsi="Arial" w:cs="Arial"/>
          <w:sz w:val="18"/>
          <w:szCs w:val="18"/>
        </w:rPr>
        <w:pict>
          <v:shape id="_x0000_i1030" type="#_x0000_t75" style="width:487pt;height:158.95pt">
            <v:imagedata r:id="rId15" o:title=""/>
          </v:shape>
        </w:pict>
      </w:r>
    </w:p>
    <w:p w:rsidR="00043A11" w:rsidRPr="004A47F2" w:rsidRDefault="00DD4432" w:rsidP="00DD4432">
      <w:pPr>
        <w:spacing w:after="240"/>
        <w:jc w:val="both"/>
        <w:rPr>
          <w:rFonts w:ascii="Arial" w:hAnsi="Arial" w:cs="Arial"/>
          <w:sz w:val="18"/>
          <w:szCs w:val="18"/>
        </w:rPr>
      </w:pPr>
      <w:r>
        <w:rPr>
          <w:rFonts w:ascii="Arial" w:hAnsi="Arial" w:cs="Arial"/>
          <w:sz w:val="18"/>
          <w:szCs w:val="18"/>
        </w:rPr>
        <w:t>R</w:t>
      </w:r>
      <w:r w:rsidR="00043A11" w:rsidRPr="004A47F2">
        <w:rPr>
          <w:rFonts w:ascii="Arial" w:hAnsi="Arial" w:cs="Arial"/>
          <w:sz w:val="18"/>
          <w:szCs w:val="18"/>
        </w:rPr>
        <w:t xml:space="preserve">ozdíl mezi zeměmi </w:t>
      </w:r>
      <w:r w:rsidR="00D22CD7">
        <w:rPr>
          <w:rFonts w:ascii="Arial" w:hAnsi="Arial" w:cs="Arial"/>
          <w:sz w:val="18"/>
          <w:szCs w:val="18"/>
        </w:rPr>
        <w:t>e</w:t>
      </w:r>
      <w:r w:rsidR="00043A11" w:rsidRPr="004A47F2">
        <w:rPr>
          <w:rFonts w:ascii="Arial" w:hAnsi="Arial" w:cs="Arial"/>
          <w:sz w:val="18"/>
          <w:szCs w:val="18"/>
        </w:rPr>
        <w:t xml:space="preserve">urozóny 12 a 18 </w:t>
      </w:r>
      <w:r>
        <w:rPr>
          <w:rFonts w:ascii="Arial" w:hAnsi="Arial" w:cs="Arial"/>
          <w:sz w:val="18"/>
          <w:szCs w:val="18"/>
        </w:rPr>
        <w:t xml:space="preserve">v podílu na zahraničním obchodu České republiky </w:t>
      </w:r>
      <w:r w:rsidR="00043A11" w:rsidRPr="004A47F2">
        <w:rPr>
          <w:rFonts w:ascii="Arial" w:hAnsi="Arial" w:cs="Arial"/>
          <w:sz w:val="18"/>
          <w:szCs w:val="18"/>
        </w:rPr>
        <w:t>není markantní</w:t>
      </w:r>
      <w:r>
        <w:rPr>
          <w:rFonts w:ascii="Arial" w:hAnsi="Arial" w:cs="Arial"/>
          <w:sz w:val="18"/>
          <w:szCs w:val="18"/>
        </w:rPr>
        <w:t xml:space="preserve">. </w:t>
      </w:r>
      <w:r w:rsidR="00043A11" w:rsidRPr="004A47F2">
        <w:rPr>
          <w:rFonts w:ascii="Arial" w:hAnsi="Arial" w:cs="Arial"/>
          <w:sz w:val="18"/>
          <w:szCs w:val="18"/>
        </w:rPr>
        <w:t xml:space="preserve">18 zemí </w:t>
      </w:r>
      <w:r w:rsidR="00D22CD7">
        <w:rPr>
          <w:rFonts w:ascii="Arial" w:hAnsi="Arial" w:cs="Arial"/>
          <w:sz w:val="18"/>
          <w:szCs w:val="18"/>
        </w:rPr>
        <w:t>e</w:t>
      </w:r>
      <w:r w:rsidR="00043A11" w:rsidRPr="004A47F2">
        <w:rPr>
          <w:rFonts w:ascii="Arial" w:hAnsi="Arial" w:cs="Arial"/>
          <w:sz w:val="18"/>
          <w:szCs w:val="18"/>
        </w:rPr>
        <w:t xml:space="preserve">urozóny v roce 2013 </w:t>
      </w:r>
      <w:r w:rsidRPr="004A47F2">
        <w:rPr>
          <w:rFonts w:ascii="Arial" w:hAnsi="Arial" w:cs="Arial"/>
          <w:sz w:val="18"/>
          <w:szCs w:val="18"/>
        </w:rPr>
        <w:t xml:space="preserve">tvořilo </w:t>
      </w:r>
      <w:r w:rsidR="00043A11" w:rsidRPr="004A47F2">
        <w:rPr>
          <w:rFonts w:ascii="Arial" w:hAnsi="Arial" w:cs="Arial"/>
          <w:sz w:val="18"/>
          <w:szCs w:val="18"/>
        </w:rPr>
        <w:t>57</w:t>
      </w:r>
      <w:r>
        <w:rPr>
          <w:rFonts w:ascii="Arial" w:hAnsi="Arial" w:cs="Arial"/>
          <w:sz w:val="18"/>
          <w:szCs w:val="18"/>
        </w:rPr>
        <w:t>,0</w:t>
      </w:r>
      <w:r w:rsidR="00043A11" w:rsidRPr="004A47F2">
        <w:rPr>
          <w:rFonts w:ascii="Arial" w:hAnsi="Arial" w:cs="Arial"/>
          <w:sz w:val="18"/>
          <w:szCs w:val="18"/>
        </w:rPr>
        <w:t xml:space="preserve"> % obratu, přičemž 12 států </w:t>
      </w:r>
      <w:r w:rsidR="00D22CD7">
        <w:rPr>
          <w:rFonts w:ascii="Arial" w:hAnsi="Arial" w:cs="Arial"/>
          <w:sz w:val="18"/>
          <w:szCs w:val="18"/>
        </w:rPr>
        <w:t>e</w:t>
      </w:r>
      <w:r w:rsidR="00043A11" w:rsidRPr="004A47F2">
        <w:rPr>
          <w:rFonts w:ascii="Arial" w:hAnsi="Arial" w:cs="Arial"/>
          <w:sz w:val="18"/>
          <w:szCs w:val="18"/>
        </w:rPr>
        <w:t xml:space="preserve">urozóny tvořilo 48,9 %. V roce 2004 tvořil rozdíl mezi státy </w:t>
      </w:r>
      <w:r>
        <w:rPr>
          <w:rFonts w:ascii="Arial" w:hAnsi="Arial" w:cs="Arial"/>
          <w:sz w:val="18"/>
          <w:szCs w:val="18"/>
        </w:rPr>
        <w:t xml:space="preserve">těchto seskupení </w:t>
      </w:r>
      <w:r w:rsidR="00043A11" w:rsidRPr="004A47F2">
        <w:rPr>
          <w:rFonts w:ascii="Arial" w:hAnsi="Arial" w:cs="Arial"/>
          <w:sz w:val="18"/>
          <w:szCs w:val="18"/>
        </w:rPr>
        <w:t xml:space="preserve">7,6 p. b. </w:t>
      </w:r>
    </w:p>
    <w:p w:rsidR="00C3100B" w:rsidRDefault="00C3100B" w:rsidP="00D22CD7">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t>O</w:t>
      </w:r>
      <w:r w:rsidRPr="00C3100B">
        <w:rPr>
          <w:rFonts w:ascii="Arial" w:eastAsia="Calibri" w:hAnsi="Arial" w:cs="Arial"/>
          <w:b/>
          <w:color w:val="940094"/>
          <w:sz w:val="18"/>
          <w:szCs w:val="18"/>
        </w:rPr>
        <w:t>bchod podle kontinentů</w:t>
      </w:r>
    </w:p>
    <w:p w:rsidR="00EC0F6F" w:rsidRDefault="00043A11" w:rsidP="00EC0F6F">
      <w:pPr>
        <w:spacing w:after="120"/>
        <w:jc w:val="both"/>
        <w:rPr>
          <w:rFonts w:ascii="Arial" w:hAnsi="Arial" w:cs="Arial"/>
          <w:sz w:val="18"/>
          <w:szCs w:val="18"/>
        </w:rPr>
      </w:pPr>
      <w:r w:rsidRPr="004A47F2">
        <w:rPr>
          <w:rFonts w:ascii="Arial" w:hAnsi="Arial" w:cs="Arial"/>
          <w:sz w:val="18"/>
          <w:szCs w:val="18"/>
        </w:rPr>
        <w:t xml:space="preserve">Zahraniční obchod podle kontinentů ukazuje tabulka 3.5 v mil. Kč, podílem v % a indexem. Zdaleka nejvíce Česká republika obchoduje s dalšími státy evropského kontinentu, vývoz do Evropy v roce 2013 </w:t>
      </w:r>
      <w:r w:rsidR="00EF10BA">
        <w:rPr>
          <w:rFonts w:ascii="Arial" w:hAnsi="Arial" w:cs="Arial"/>
          <w:sz w:val="18"/>
          <w:szCs w:val="18"/>
        </w:rPr>
        <w:t xml:space="preserve">tvořil </w:t>
      </w:r>
      <w:r w:rsidRPr="004A47F2">
        <w:rPr>
          <w:rFonts w:ascii="Arial" w:hAnsi="Arial" w:cs="Arial"/>
          <w:sz w:val="18"/>
          <w:szCs w:val="18"/>
        </w:rPr>
        <w:t>90</w:t>
      </w:r>
      <w:r w:rsidR="00DD4432">
        <w:rPr>
          <w:rFonts w:ascii="Arial" w:hAnsi="Arial" w:cs="Arial"/>
          <w:sz w:val="18"/>
          <w:szCs w:val="18"/>
        </w:rPr>
        <w:t>,0</w:t>
      </w:r>
      <w:r w:rsidRPr="004A47F2">
        <w:rPr>
          <w:rFonts w:ascii="Arial" w:hAnsi="Arial" w:cs="Arial"/>
          <w:sz w:val="18"/>
          <w:szCs w:val="18"/>
        </w:rPr>
        <w:t xml:space="preserve"> % </w:t>
      </w:r>
      <w:r w:rsidR="00EF10BA">
        <w:rPr>
          <w:rFonts w:ascii="Arial" w:hAnsi="Arial" w:cs="Arial"/>
          <w:sz w:val="18"/>
          <w:szCs w:val="18"/>
        </w:rPr>
        <w:t xml:space="preserve">z </w:t>
      </w:r>
      <w:r w:rsidRPr="004A47F2">
        <w:rPr>
          <w:rFonts w:ascii="Arial" w:hAnsi="Arial" w:cs="Arial"/>
          <w:sz w:val="18"/>
          <w:szCs w:val="18"/>
        </w:rPr>
        <w:t>celkového vývozu a 75</w:t>
      </w:r>
      <w:r w:rsidR="00DD4432">
        <w:rPr>
          <w:rFonts w:ascii="Arial" w:hAnsi="Arial" w:cs="Arial"/>
          <w:sz w:val="18"/>
          <w:szCs w:val="18"/>
        </w:rPr>
        <w:t>,0</w:t>
      </w:r>
      <w:r w:rsidRPr="004A47F2">
        <w:rPr>
          <w:rFonts w:ascii="Arial" w:hAnsi="Arial" w:cs="Arial"/>
          <w:sz w:val="18"/>
          <w:szCs w:val="18"/>
        </w:rPr>
        <w:t xml:space="preserve"> %</w:t>
      </w:r>
      <w:r w:rsidR="00EF10BA">
        <w:rPr>
          <w:rFonts w:ascii="Arial" w:hAnsi="Arial" w:cs="Arial"/>
          <w:sz w:val="18"/>
          <w:szCs w:val="18"/>
        </w:rPr>
        <w:t xml:space="preserve"> dovozu</w:t>
      </w:r>
      <w:r w:rsidRPr="004A47F2">
        <w:rPr>
          <w:rFonts w:ascii="Arial" w:hAnsi="Arial" w:cs="Arial"/>
          <w:sz w:val="18"/>
          <w:szCs w:val="18"/>
        </w:rPr>
        <w:t xml:space="preserve">. </w:t>
      </w:r>
    </w:p>
    <w:p w:rsidR="00A35436" w:rsidRDefault="00043A11" w:rsidP="00EF10BA">
      <w:pPr>
        <w:jc w:val="both"/>
        <w:rPr>
          <w:rFonts w:ascii="Arial" w:hAnsi="Arial" w:cs="Arial"/>
          <w:sz w:val="18"/>
          <w:szCs w:val="18"/>
        </w:rPr>
      </w:pPr>
      <w:r w:rsidRPr="004A47F2">
        <w:rPr>
          <w:rFonts w:ascii="Arial" w:hAnsi="Arial" w:cs="Arial"/>
          <w:sz w:val="18"/>
          <w:szCs w:val="18"/>
        </w:rPr>
        <w:t>Právě dovoz je ovlivněn poměrně vysokým dovozem z Asie, který v roce 2013 tvořil již 20,4 % celkového dovozu, přičemž v ro</w:t>
      </w:r>
      <w:r w:rsidR="001F580C">
        <w:rPr>
          <w:rFonts w:ascii="Arial" w:hAnsi="Arial" w:cs="Arial"/>
          <w:sz w:val="18"/>
          <w:szCs w:val="18"/>
        </w:rPr>
        <w:t xml:space="preserve">ce 2004 to bylo o 6 p. b. </w:t>
      </w:r>
      <w:proofErr w:type="gramStart"/>
      <w:r w:rsidR="001F580C">
        <w:rPr>
          <w:rFonts w:ascii="Arial" w:hAnsi="Arial" w:cs="Arial"/>
          <w:sz w:val="18"/>
          <w:szCs w:val="18"/>
        </w:rPr>
        <w:t>méně</w:t>
      </w:r>
      <w:proofErr w:type="gramEnd"/>
      <w:r w:rsidR="001F580C">
        <w:rPr>
          <w:rFonts w:ascii="Arial" w:hAnsi="Arial" w:cs="Arial"/>
          <w:sz w:val="18"/>
          <w:szCs w:val="18"/>
        </w:rPr>
        <w:t>.</w:t>
      </w:r>
    </w:p>
    <w:p w:rsidR="00F93F2A" w:rsidRDefault="00F93F2A" w:rsidP="00F93F2A">
      <w:pPr>
        <w:shd w:val="clear" w:color="auto" w:fill="F5F3F7"/>
        <w:tabs>
          <w:tab w:val="left" w:pos="851"/>
          <w:tab w:val="left" w:pos="1418"/>
          <w:tab w:val="left" w:pos="1701"/>
        </w:tabs>
        <w:spacing w:after="120"/>
        <w:jc w:val="both"/>
        <w:rPr>
          <w:rFonts w:ascii="Arial" w:hAnsi="Arial" w:cs="Arial"/>
          <w:color w:val="940094"/>
          <w:sz w:val="18"/>
          <w:szCs w:val="18"/>
        </w:rPr>
      </w:pPr>
      <w:r w:rsidRPr="000F1141">
        <w:rPr>
          <w:rFonts w:ascii="Arial" w:hAnsi="Arial" w:cs="Arial"/>
          <w:color w:val="940094"/>
          <w:sz w:val="18"/>
          <w:szCs w:val="18"/>
        </w:rPr>
        <w:t xml:space="preserve">Graf </w:t>
      </w:r>
      <w:r w:rsidR="00FE30CC">
        <w:rPr>
          <w:rFonts w:ascii="Arial" w:hAnsi="Arial" w:cs="Arial"/>
          <w:color w:val="940094"/>
          <w:sz w:val="18"/>
          <w:szCs w:val="18"/>
        </w:rPr>
        <w:t>7</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Dovoz do České republiky z jednotlivých kontinentů</w:t>
      </w:r>
    </w:p>
    <w:p w:rsidR="00F93F2A" w:rsidRDefault="00F31766" w:rsidP="00EF10BA">
      <w:pPr>
        <w:spacing w:after="0"/>
        <w:jc w:val="both"/>
        <w:rPr>
          <w:rFonts w:ascii="Arial" w:hAnsi="Arial" w:cs="Arial"/>
          <w:sz w:val="18"/>
          <w:szCs w:val="18"/>
        </w:rPr>
      </w:pPr>
      <w:r w:rsidRPr="003A73AE">
        <w:rPr>
          <w:rFonts w:ascii="Arial" w:hAnsi="Arial" w:cs="Arial"/>
          <w:sz w:val="18"/>
          <w:szCs w:val="18"/>
        </w:rPr>
        <w:pict>
          <v:shape id="_x0000_i1031" type="#_x0000_t75" style="width:487pt;height:158.95pt">
            <v:imagedata r:id="rId16" o:title=""/>
          </v:shape>
        </w:pict>
      </w:r>
    </w:p>
    <w:p w:rsidR="00EC0F6F" w:rsidRDefault="00043A11" w:rsidP="00B5659F">
      <w:pPr>
        <w:spacing w:before="240" w:after="120"/>
        <w:jc w:val="both"/>
        <w:rPr>
          <w:rFonts w:ascii="Arial" w:hAnsi="Arial" w:cs="Arial"/>
          <w:sz w:val="18"/>
          <w:szCs w:val="18"/>
        </w:rPr>
      </w:pPr>
      <w:r w:rsidRPr="004A47F2">
        <w:rPr>
          <w:rFonts w:ascii="Arial" w:hAnsi="Arial" w:cs="Arial"/>
          <w:sz w:val="18"/>
          <w:szCs w:val="18"/>
        </w:rPr>
        <w:t>Hranici 20% podílu na dovozu překročil obchod s Asií v roce 2009, v roce 2010 tento podíl ještě vzrostl na 23,2 %, ovšem počínaje následující</w:t>
      </w:r>
      <w:r w:rsidR="00213C12">
        <w:rPr>
          <w:rFonts w:ascii="Arial" w:hAnsi="Arial" w:cs="Arial"/>
          <w:sz w:val="18"/>
          <w:szCs w:val="18"/>
        </w:rPr>
        <w:t>m</w:t>
      </w:r>
      <w:r w:rsidRPr="004A47F2">
        <w:rPr>
          <w:rFonts w:ascii="Arial" w:hAnsi="Arial" w:cs="Arial"/>
          <w:sz w:val="18"/>
          <w:szCs w:val="18"/>
        </w:rPr>
        <w:t xml:space="preserve"> rokem až do současnosti podíl mírně klesá. </w:t>
      </w:r>
    </w:p>
    <w:p w:rsidR="00043A11" w:rsidRDefault="00DD4432" w:rsidP="00FE30CC">
      <w:pPr>
        <w:spacing w:before="120"/>
        <w:jc w:val="both"/>
        <w:rPr>
          <w:rFonts w:ascii="Arial" w:hAnsi="Arial" w:cs="Arial"/>
          <w:sz w:val="18"/>
          <w:szCs w:val="18"/>
        </w:rPr>
      </w:pPr>
      <w:r>
        <w:rPr>
          <w:rFonts w:ascii="Arial" w:hAnsi="Arial" w:cs="Arial"/>
          <w:sz w:val="18"/>
          <w:szCs w:val="18"/>
        </w:rPr>
        <w:t>Podíl výv</w:t>
      </w:r>
      <w:r w:rsidR="00043A11" w:rsidRPr="004A47F2">
        <w:rPr>
          <w:rFonts w:ascii="Arial" w:hAnsi="Arial" w:cs="Arial"/>
          <w:sz w:val="18"/>
          <w:szCs w:val="18"/>
        </w:rPr>
        <w:t>o</w:t>
      </w:r>
      <w:r>
        <w:rPr>
          <w:rFonts w:ascii="Arial" w:hAnsi="Arial" w:cs="Arial"/>
          <w:sz w:val="18"/>
          <w:szCs w:val="18"/>
        </w:rPr>
        <w:t>zu</w:t>
      </w:r>
      <w:r w:rsidR="00043A11" w:rsidRPr="004A47F2">
        <w:rPr>
          <w:rFonts w:ascii="Arial" w:hAnsi="Arial" w:cs="Arial"/>
          <w:sz w:val="18"/>
          <w:szCs w:val="18"/>
        </w:rPr>
        <w:t xml:space="preserve"> i </w:t>
      </w:r>
      <w:r>
        <w:rPr>
          <w:rFonts w:ascii="Arial" w:hAnsi="Arial" w:cs="Arial"/>
          <w:sz w:val="18"/>
          <w:szCs w:val="18"/>
        </w:rPr>
        <w:t>do</w:t>
      </w:r>
      <w:r w:rsidR="00043A11" w:rsidRPr="004A47F2">
        <w:rPr>
          <w:rFonts w:ascii="Arial" w:hAnsi="Arial" w:cs="Arial"/>
          <w:sz w:val="18"/>
          <w:szCs w:val="18"/>
        </w:rPr>
        <w:t>voz</w:t>
      </w:r>
      <w:r>
        <w:rPr>
          <w:rFonts w:ascii="Arial" w:hAnsi="Arial" w:cs="Arial"/>
          <w:sz w:val="18"/>
          <w:szCs w:val="18"/>
        </w:rPr>
        <w:t>u</w:t>
      </w:r>
      <w:r w:rsidR="00043A11" w:rsidRPr="004A47F2">
        <w:rPr>
          <w:rFonts w:ascii="Arial" w:hAnsi="Arial" w:cs="Arial"/>
          <w:sz w:val="18"/>
          <w:szCs w:val="18"/>
        </w:rPr>
        <w:t xml:space="preserve"> z Ameriky se v roce 2013 pohyboval v obou směrech nad hranicí 3 %.  Podíl dovozu z Ameriky ale od vstupu ČR do EU klesl, zatímco podíl vývozu v průběhu sledovaných let mírně vzrostl. Od roku 2010 zaznamenáváme u obou ukazatelů a všech kontinentů růst, pouze dovoz</w:t>
      </w:r>
      <w:r>
        <w:rPr>
          <w:rFonts w:ascii="Arial" w:hAnsi="Arial" w:cs="Arial"/>
          <w:sz w:val="18"/>
          <w:szCs w:val="18"/>
        </w:rPr>
        <w:t xml:space="preserve"> z</w:t>
      </w:r>
      <w:r w:rsidR="00043A11" w:rsidRPr="004A47F2">
        <w:rPr>
          <w:rFonts w:ascii="Arial" w:hAnsi="Arial" w:cs="Arial"/>
          <w:sz w:val="18"/>
          <w:szCs w:val="18"/>
        </w:rPr>
        <w:t xml:space="preserve"> Asie od roku 2012 oproti minulému roku klesá. </w:t>
      </w:r>
    </w:p>
    <w:p w:rsidR="00C3100B" w:rsidRDefault="00C3100B" w:rsidP="0060062D">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lastRenderedPageBreak/>
        <w:t>O</w:t>
      </w:r>
      <w:r w:rsidRPr="00C3100B">
        <w:rPr>
          <w:rFonts w:ascii="Arial" w:eastAsia="Calibri" w:hAnsi="Arial" w:cs="Arial"/>
          <w:b/>
          <w:color w:val="940094"/>
          <w:sz w:val="18"/>
          <w:szCs w:val="18"/>
        </w:rPr>
        <w:t>bchod se sousedními státy Česka</w:t>
      </w:r>
    </w:p>
    <w:p w:rsidR="00EF10BA" w:rsidRDefault="00B103D5" w:rsidP="00F23EAF">
      <w:pPr>
        <w:jc w:val="both"/>
        <w:rPr>
          <w:rFonts w:ascii="Arial" w:hAnsi="Arial" w:cs="Arial"/>
          <w:sz w:val="18"/>
          <w:szCs w:val="18"/>
        </w:rPr>
      </w:pPr>
      <w:r w:rsidRPr="004A47F2">
        <w:rPr>
          <w:rFonts w:ascii="Arial" w:hAnsi="Arial" w:cs="Arial"/>
          <w:sz w:val="18"/>
          <w:szCs w:val="18"/>
        </w:rPr>
        <w:t xml:space="preserve">Sousední státy tvoří velmi významnou část obchodu České republiky, dlouhodobě je Německo nejvýznamnějším obchodním partnerem České republiky v dovozu i </w:t>
      </w:r>
      <w:r w:rsidR="00CE6B92" w:rsidRPr="004A47F2">
        <w:rPr>
          <w:rFonts w:ascii="Arial" w:hAnsi="Arial" w:cs="Arial"/>
          <w:sz w:val="18"/>
          <w:szCs w:val="18"/>
        </w:rPr>
        <w:t xml:space="preserve">ve </w:t>
      </w:r>
      <w:r w:rsidRPr="004A47F2">
        <w:rPr>
          <w:rFonts w:ascii="Arial" w:hAnsi="Arial" w:cs="Arial"/>
          <w:sz w:val="18"/>
          <w:szCs w:val="18"/>
        </w:rPr>
        <w:t xml:space="preserve">vývozu. </w:t>
      </w:r>
      <w:r w:rsidR="00EE3D6B" w:rsidRPr="004A47F2">
        <w:rPr>
          <w:rFonts w:ascii="Arial" w:hAnsi="Arial" w:cs="Arial"/>
          <w:sz w:val="18"/>
          <w:szCs w:val="18"/>
        </w:rPr>
        <w:t>To potvrzuje i tabulka 3.6 - z</w:t>
      </w:r>
      <w:r w:rsidR="00213C12">
        <w:rPr>
          <w:rFonts w:ascii="Arial" w:hAnsi="Arial" w:cs="Arial"/>
          <w:sz w:val="18"/>
          <w:szCs w:val="18"/>
        </w:rPr>
        <w:t>ahraniční obchod ČR se </w:t>
      </w:r>
      <w:r w:rsidRPr="004A47F2">
        <w:rPr>
          <w:rFonts w:ascii="Arial" w:hAnsi="Arial" w:cs="Arial"/>
          <w:sz w:val="18"/>
          <w:szCs w:val="18"/>
        </w:rPr>
        <w:t xml:space="preserve">sousedními státy v mil. Kč a podílech v %. </w:t>
      </w:r>
    </w:p>
    <w:p w:rsidR="0060062D" w:rsidRDefault="0060062D" w:rsidP="0060062D">
      <w:pPr>
        <w:shd w:val="clear" w:color="auto" w:fill="F5F3F7"/>
        <w:tabs>
          <w:tab w:val="left" w:pos="851"/>
          <w:tab w:val="left" w:pos="1418"/>
          <w:tab w:val="left" w:pos="1701"/>
        </w:tabs>
        <w:spacing w:after="80"/>
        <w:jc w:val="both"/>
        <w:rPr>
          <w:rFonts w:ascii="Arial" w:hAnsi="Arial" w:cs="Arial"/>
          <w:color w:val="940094"/>
          <w:sz w:val="18"/>
          <w:szCs w:val="18"/>
        </w:rPr>
      </w:pPr>
      <w:r w:rsidRPr="000F1141">
        <w:rPr>
          <w:rFonts w:ascii="Arial" w:hAnsi="Arial" w:cs="Arial"/>
          <w:color w:val="940094"/>
          <w:sz w:val="18"/>
          <w:szCs w:val="18"/>
        </w:rPr>
        <w:t xml:space="preserve">Graf </w:t>
      </w:r>
      <w:r w:rsidR="0079163B">
        <w:rPr>
          <w:rFonts w:ascii="Arial" w:hAnsi="Arial" w:cs="Arial"/>
          <w:color w:val="940094"/>
          <w:sz w:val="18"/>
          <w:szCs w:val="18"/>
        </w:rPr>
        <w:t>8</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Zahraniční obchod se sousedními státy v roce 2013</w:t>
      </w:r>
      <w:r w:rsidR="00B536A4">
        <w:rPr>
          <w:rFonts w:ascii="Arial" w:hAnsi="Arial" w:cs="Arial"/>
          <w:color w:val="940094"/>
          <w:sz w:val="18"/>
          <w:szCs w:val="18"/>
        </w:rPr>
        <w:t xml:space="preserve"> (podíly v %)</w:t>
      </w:r>
    </w:p>
    <w:p w:rsidR="0060062D" w:rsidRDefault="0060062D" w:rsidP="0060062D">
      <w:pPr>
        <w:spacing w:after="0"/>
        <w:ind w:left="1416" w:firstLine="708"/>
        <w:jc w:val="both"/>
        <w:rPr>
          <w:rFonts w:ascii="Arial" w:hAnsi="Arial" w:cs="Arial"/>
          <w:color w:val="940094"/>
          <w:sz w:val="18"/>
          <w:szCs w:val="18"/>
        </w:rPr>
      </w:pPr>
      <w:r>
        <w:rPr>
          <w:rFonts w:ascii="Arial" w:hAnsi="Arial" w:cs="Arial"/>
          <w:color w:val="940094"/>
          <w:sz w:val="18"/>
          <w:szCs w:val="18"/>
        </w:rPr>
        <w:t>vývoz</w:t>
      </w:r>
      <w:r>
        <w:rPr>
          <w:rFonts w:ascii="Arial" w:hAnsi="Arial" w:cs="Arial"/>
          <w:color w:val="940094"/>
          <w:sz w:val="18"/>
          <w:szCs w:val="18"/>
        </w:rPr>
        <w:tab/>
        <w:t xml:space="preserve">                                        </w:t>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t>dovoz</w:t>
      </w:r>
    </w:p>
    <w:p w:rsidR="0060062D" w:rsidRDefault="0060062D" w:rsidP="0060062D">
      <w:pPr>
        <w:spacing w:after="0"/>
        <w:jc w:val="both"/>
        <w:rPr>
          <w:rFonts w:ascii="Arial" w:hAnsi="Arial" w:cs="Arial"/>
          <w:sz w:val="18"/>
          <w:szCs w:val="18"/>
        </w:rPr>
      </w:pPr>
      <w:r>
        <w:rPr>
          <w:rFonts w:ascii="Arial" w:hAnsi="Arial" w:cs="Arial"/>
          <w:color w:val="940094"/>
          <w:sz w:val="18"/>
          <w:szCs w:val="18"/>
        </w:rPr>
        <w:t xml:space="preserve">                 </w:t>
      </w:r>
      <w:r w:rsidR="00F31766" w:rsidRPr="003A73AE">
        <w:rPr>
          <w:rFonts w:ascii="Arial" w:hAnsi="Arial" w:cs="Arial"/>
          <w:color w:val="940094"/>
          <w:sz w:val="18"/>
          <w:szCs w:val="18"/>
        </w:rPr>
        <w:pict>
          <v:shape id="_x0000_i1032" type="#_x0000_t75" style="width:241.8pt;height:122.95pt">
            <v:imagedata r:id="rId17" o:title=""/>
          </v:shape>
        </w:pict>
      </w:r>
      <w:r>
        <w:rPr>
          <w:rFonts w:ascii="Arial" w:hAnsi="Arial" w:cs="Arial"/>
          <w:color w:val="940094"/>
          <w:sz w:val="18"/>
          <w:szCs w:val="18"/>
        </w:rPr>
        <w:t xml:space="preserve">     </w:t>
      </w:r>
      <w:r w:rsidR="00F31766" w:rsidRPr="003A73AE">
        <w:rPr>
          <w:rFonts w:ascii="Arial" w:hAnsi="Arial" w:cs="Arial"/>
          <w:color w:val="940094"/>
          <w:sz w:val="18"/>
          <w:szCs w:val="18"/>
        </w:rPr>
        <w:pict>
          <v:shape id="_x0000_i1033" type="#_x0000_t75" style="width:148.1pt;height:122.95pt">
            <v:imagedata r:id="rId18" o:title=""/>
          </v:shape>
        </w:pict>
      </w:r>
    </w:p>
    <w:p w:rsidR="00B103D5" w:rsidRDefault="00CE6B92" w:rsidP="001142E8">
      <w:pPr>
        <w:spacing w:before="120"/>
        <w:jc w:val="both"/>
        <w:rPr>
          <w:rFonts w:ascii="Arial" w:hAnsi="Arial" w:cs="Arial"/>
          <w:sz w:val="18"/>
          <w:szCs w:val="18"/>
        </w:rPr>
      </w:pPr>
      <w:r w:rsidRPr="004A47F2">
        <w:rPr>
          <w:rFonts w:ascii="Arial" w:hAnsi="Arial" w:cs="Arial"/>
          <w:sz w:val="18"/>
          <w:szCs w:val="18"/>
        </w:rPr>
        <w:t>V roce vstupu ČR do EU tvořil vývoz do Německa 64,7 % vývozu do sousedních států a 36,2 % celkového vývozu České republiky. Dovoz do Německa zaujímal v roce 2004 vyšší podíl než vývoz a tvořil 69,2</w:t>
      </w:r>
      <w:r w:rsidR="00DD4432">
        <w:rPr>
          <w:rFonts w:ascii="Arial" w:hAnsi="Arial" w:cs="Arial"/>
          <w:sz w:val="18"/>
          <w:szCs w:val="18"/>
        </w:rPr>
        <w:t xml:space="preserve"> % dovozu do sousedních států a </w:t>
      </w:r>
      <w:r w:rsidRPr="004A47F2">
        <w:rPr>
          <w:rFonts w:ascii="Arial" w:hAnsi="Arial" w:cs="Arial"/>
          <w:sz w:val="18"/>
          <w:szCs w:val="18"/>
        </w:rPr>
        <w:t>zároveň 31,7 % celkového dovozu ČR. Německý podíl se v průběhu sledované doby mírně snížil, ovšem Německo si zachovalo postavení nejsilnějšího obchodního partnera České republiky</w:t>
      </w:r>
      <w:r w:rsidR="0060062D">
        <w:rPr>
          <w:rStyle w:val="Znakapoznpodarou"/>
          <w:rFonts w:ascii="Arial" w:hAnsi="Arial" w:cs="Arial"/>
          <w:sz w:val="18"/>
          <w:szCs w:val="18"/>
        </w:rPr>
        <w:footnoteReference w:id="2"/>
      </w:r>
      <w:r w:rsidRPr="004A47F2">
        <w:rPr>
          <w:rFonts w:ascii="Arial" w:hAnsi="Arial" w:cs="Arial"/>
          <w:sz w:val="18"/>
          <w:szCs w:val="18"/>
        </w:rPr>
        <w:t xml:space="preserve">. </w:t>
      </w:r>
      <w:r w:rsidR="00D82702" w:rsidRPr="004A47F2">
        <w:rPr>
          <w:rFonts w:ascii="Arial" w:hAnsi="Arial" w:cs="Arial"/>
          <w:sz w:val="18"/>
          <w:szCs w:val="18"/>
        </w:rPr>
        <w:t>Z ostatních sousedních států jsou velmi významné také Slovensko a Polsko, jejichž podíl na vývozu i dovozu ČR se v rám</w:t>
      </w:r>
      <w:r w:rsidR="00DD4432">
        <w:rPr>
          <w:rFonts w:ascii="Arial" w:hAnsi="Arial" w:cs="Arial"/>
          <w:sz w:val="18"/>
          <w:szCs w:val="18"/>
        </w:rPr>
        <w:t>ci ostatních sousedních států i </w:t>
      </w:r>
      <w:r w:rsidR="00D82702" w:rsidRPr="004A47F2">
        <w:rPr>
          <w:rFonts w:ascii="Arial" w:hAnsi="Arial" w:cs="Arial"/>
          <w:sz w:val="18"/>
          <w:szCs w:val="18"/>
        </w:rPr>
        <w:t>celkového obchodu ČR</w:t>
      </w:r>
      <w:r w:rsidR="00EF318C" w:rsidRPr="004A47F2">
        <w:rPr>
          <w:rFonts w:ascii="Arial" w:hAnsi="Arial" w:cs="Arial"/>
          <w:sz w:val="18"/>
          <w:szCs w:val="18"/>
        </w:rPr>
        <w:t xml:space="preserve"> zvyšuje, a to především podíl vývozu do těchto zemí. </w:t>
      </w:r>
    </w:p>
    <w:p w:rsidR="00EF318C" w:rsidRPr="00EC0F6F" w:rsidRDefault="00EF318C" w:rsidP="00EC0F6F">
      <w:pPr>
        <w:pStyle w:val="Nadpis1"/>
        <w:numPr>
          <w:ilvl w:val="0"/>
          <w:numId w:val="1"/>
        </w:numPr>
        <w:spacing w:before="120" w:after="120"/>
        <w:ind w:left="567" w:hanging="567"/>
        <w:rPr>
          <w:rFonts w:ascii="Arial" w:eastAsia="Calibri" w:hAnsi="Arial" w:cs="Arial"/>
          <w:bCs w:val="0"/>
          <w:color w:val="940094"/>
          <w:sz w:val="19"/>
          <w:szCs w:val="19"/>
        </w:rPr>
      </w:pPr>
      <w:r w:rsidRPr="00EC0F6F">
        <w:rPr>
          <w:rFonts w:ascii="Arial" w:eastAsia="Calibri" w:hAnsi="Arial" w:cs="Arial"/>
          <w:bCs w:val="0"/>
          <w:color w:val="940094"/>
          <w:sz w:val="19"/>
          <w:szCs w:val="19"/>
        </w:rPr>
        <w:t>Hlavní zahraničněobchodní partneři ČR</w:t>
      </w:r>
    </w:p>
    <w:p w:rsidR="00EC0F6F" w:rsidRDefault="00EF318C" w:rsidP="00EC0F6F">
      <w:pPr>
        <w:spacing w:after="120"/>
        <w:jc w:val="both"/>
        <w:rPr>
          <w:rFonts w:ascii="Arial" w:hAnsi="Arial" w:cs="Arial"/>
          <w:sz w:val="18"/>
          <w:szCs w:val="18"/>
        </w:rPr>
      </w:pPr>
      <w:r w:rsidRPr="004A47F2">
        <w:rPr>
          <w:rFonts w:ascii="Arial" w:hAnsi="Arial" w:cs="Arial"/>
          <w:sz w:val="18"/>
          <w:szCs w:val="18"/>
        </w:rPr>
        <w:t xml:space="preserve">Mezi hlavní zahraničněobchodní partnery České republiky patří převážně členské země EU, ovšem na předních místech statistik ve významnosti jednotlivých států lze vidět z mimoevropských států i Čínu, Ruskou federaci, Spojené státy nebo Japonsko. </w:t>
      </w:r>
    </w:p>
    <w:p w:rsidR="00EC0F6F" w:rsidRDefault="00EF318C" w:rsidP="00EC0F6F">
      <w:pPr>
        <w:spacing w:after="120"/>
        <w:jc w:val="both"/>
        <w:rPr>
          <w:rFonts w:ascii="Arial" w:hAnsi="Arial" w:cs="Arial"/>
          <w:sz w:val="18"/>
          <w:szCs w:val="18"/>
        </w:rPr>
      </w:pPr>
      <w:r w:rsidRPr="004A47F2">
        <w:rPr>
          <w:rFonts w:ascii="Arial" w:hAnsi="Arial" w:cs="Arial"/>
          <w:sz w:val="18"/>
          <w:szCs w:val="18"/>
        </w:rPr>
        <w:t xml:space="preserve">Tabulky 4.1 </w:t>
      </w:r>
      <w:r w:rsidR="00EC0F6F">
        <w:rPr>
          <w:rFonts w:ascii="Arial" w:hAnsi="Arial" w:cs="Arial"/>
          <w:sz w:val="18"/>
          <w:szCs w:val="18"/>
        </w:rPr>
        <w:t>-</w:t>
      </w:r>
      <w:r w:rsidRPr="004A47F2">
        <w:rPr>
          <w:rFonts w:ascii="Arial" w:hAnsi="Arial" w:cs="Arial"/>
          <w:sz w:val="18"/>
          <w:szCs w:val="18"/>
        </w:rPr>
        <w:t xml:space="preserve"> 4.4 poskytují přehled hlavních zahraničněobchodních partnerů ČR v letech 2004, 2007, 2010 a 2013. Jak již bylo patrné v tabulkách výše, ve všech zmíněných letech bylo nejvýznamnějším obchodním partnerem České republiky Německo </w:t>
      </w:r>
      <w:r w:rsidR="009E680B" w:rsidRPr="004A47F2">
        <w:rPr>
          <w:rFonts w:ascii="Arial" w:hAnsi="Arial" w:cs="Arial"/>
          <w:sz w:val="18"/>
          <w:szCs w:val="18"/>
        </w:rPr>
        <w:t xml:space="preserve">a to jak z pohledu vývozu, dovozu a s tím souvisejícího obratu. V roce 2004 bylo druhým nejvýznamnějším obchodním partnerem ČR Slovensko a to ve všech výše zmíněných ukazatelích, jeho podíl na obratu ČR byl 6,9 %. Již v roce 2007 se na druhé příčce v dovozu ČR usadila Čína s podílem 7,8 % na celkovém dovozu ČR. </w:t>
      </w:r>
    </w:p>
    <w:p w:rsidR="00EC0F6F" w:rsidRDefault="009E680B" w:rsidP="001142E8">
      <w:pPr>
        <w:spacing w:after="240"/>
        <w:jc w:val="both"/>
        <w:rPr>
          <w:rFonts w:ascii="Arial" w:hAnsi="Arial" w:cs="Arial"/>
          <w:sz w:val="18"/>
          <w:szCs w:val="18"/>
        </w:rPr>
      </w:pPr>
      <w:r w:rsidRPr="004A47F2">
        <w:rPr>
          <w:rFonts w:ascii="Arial" w:hAnsi="Arial" w:cs="Arial"/>
          <w:sz w:val="18"/>
          <w:szCs w:val="18"/>
        </w:rPr>
        <w:t>Obchod České republiky s Čínou je specifický výrazně zápornou bilancí ZO ČR, dovoz z Číny dosahuje vysokých hodnot, přičemž vývoz do Číny se ve sledovaném roce 2007 umístil až na 21. příčce v hodnocení nejvýznamnějších zahraničněobchodních partnerů ČR. Tento fakt zapříči</w:t>
      </w:r>
      <w:r w:rsidR="00DD4432">
        <w:rPr>
          <w:rFonts w:ascii="Arial" w:hAnsi="Arial" w:cs="Arial"/>
          <w:sz w:val="18"/>
          <w:szCs w:val="18"/>
        </w:rPr>
        <w:t>ni</w:t>
      </w:r>
      <w:r w:rsidRPr="004A47F2">
        <w:rPr>
          <w:rFonts w:ascii="Arial" w:hAnsi="Arial" w:cs="Arial"/>
          <w:sz w:val="18"/>
          <w:szCs w:val="18"/>
        </w:rPr>
        <w:t xml:space="preserve">l, že obrat obchodu se Slovenskem zůstával i v roce 2007 velmi vysoký v hodnotě 342,6 mld. Kč a zůstal tak na druhém místě s podílem 7 % na celkovém obratu ČR, přičemž Čína zaujímala </w:t>
      </w:r>
      <w:r w:rsidR="00EC0F6F">
        <w:rPr>
          <w:rFonts w:ascii="Arial" w:hAnsi="Arial" w:cs="Arial"/>
          <w:sz w:val="18"/>
          <w:szCs w:val="18"/>
        </w:rPr>
        <w:t>sedmou</w:t>
      </w:r>
      <w:r w:rsidRPr="004A47F2">
        <w:rPr>
          <w:rFonts w:ascii="Arial" w:hAnsi="Arial" w:cs="Arial"/>
          <w:sz w:val="18"/>
          <w:szCs w:val="18"/>
        </w:rPr>
        <w:t xml:space="preserve"> pozici. </w:t>
      </w:r>
      <w:r w:rsidR="00D7420F" w:rsidRPr="004A47F2">
        <w:rPr>
          <w:rFonts w:ascii="Arial" w:hAnsi="Arial" w:cs="Arial"/>
          <w:sz w:val="18"/>
          <w:szCs w:val="18"/>
        </w:rPr>
        <w:t xml:space="preserve">Stejné zastoupení států na 2. místě zůstalo zachováno i v následujících sledovaných letech. </w:t>
      </w:r>
    </w:p>
    <w:p w:rsidR="00987341" w:rsidRPr="00987341" w:rsidRDefault="00987341" w:rsidP="00987341">
      <w:pPr>
        <w:shd w:val="clear" w:color="auto" w:fill="F5F3F7"/>
        <w:tabs>
          <w:tab w:val="left" w:pos="851"/>
          <w:tab w:val="left" w:pos="1418"/>
          <w:tab w:val="left" w:pos="1701"/>
        </w:tabs>
        <w:spacing w:after="120"/>
        <w:jc w:val="both"/>
        <w:rPr>
          <w:rFonts w:ascii="Arial" w:hAnsi="Arial" w:cs="Arial"/>
          <w:color w:val="940094"/>
          <w:sz w:val="18"/>
          <w:szCs w:val="18"/>
        </w:rPr>
      </w:pPr>
      <w:r w:rsidRPr="00987341">
        <w:rPr>
          <w:rFonts w:ascii="Arial" w:hAnsi="Arial" w:cs="Arial"/>
          <w:color w:val="940094"/>
          <w:sz w:val="18"/>
          <w:szCs w:val="18"/>
        </w:rPr>
        <w:t xml:space="preserve">Tabulka </w:t>
      </w:r>
      <w:r>
        <w:rPr>
          <w:rFonts w:ascii="Arial" w:hAnsi="Arial" w:cs="Arial"/>
          <w:color w:val="940094"/>
          <w:sz w:val="18"/>
          <w:szCs w:val="18"/>
        </w:rPr>
        <w:t>1</w:t>
      </w:r>
      <w:r w:rsidRPr="00987341">
        <w:rPr>
          <w:rFonts w:ascii="Arial" w:hAnsi="Arial" w:cs="Arial"/>
          <w:color w:val="940094"/>
          <w:sz w:val="18"/>
          <w:szCs w:val="18"/>
        </w:rPr>
        <w:tab/>
      </w:r>
      <w:r w:rsidRPr="00987341">
        <w:rPr>
          <w:rFonts w:ascii="Arial" w:hAnsi="Arial" w:cs="Arial"/>
          <w:color w:val="940094"/>
          <w:sz w:val="18"/>
          <w:szCs w:val="18"/>
        </w:rPr>
        <w:tab/>
        <w:t>Pořadí jednotlivých států ve vývoz</w:t>
      </w:r>
      <w:r w:rsidR="00DD4432">
        <w:rPr>
          <w:rFonts w:ascii="Arial" w:hAnsi="Arial" w:cs="Arial"/>
          <w:color w:val="940094"/>
          <w:sz w:val="18"/>
          <w:szCs w:val="18"/>
        </w:rPr>
        <w:t>u</w:t>
      </w:r>
      <w:r w:rsidRPr="00987341">
        <w:rPr>
          <w:rFonts w:ascii="Arial" w:hAnsi="Arial" w:cs="Arial"/>
          <w:color w:val="940094"/>
          <w:sz w:val="18"/>
          <w:szCs w:val="18"/>
        </w:rPr>
        <w:t xml:space="preserve"> z České republiky</w:t>
      </w:r>
    </w:p>
    <w:tbl>
      <w:tblPr>
        <w:tblStyle w:val="Mkatabulky"/>
        <w:tblW w:w="9639" w:type="dxa"/>
        <w:jc w:val="center"/>
        <w:tblBorders>
          <w:left w:val="none" w:sz="0" w:space="0" w:color="auto"/>
          <w:right w:val="none" w:sz="0" w:space="0" w:color="auto"/>
        </w:tblBorders>
        <w:tblLook w:val="04A0"/>
      </w:tblPr>
      <w:tblGrid>
        <w:gridCol w:w="568"/>
        <w:gridCol w:w="1511"/>
        <w:gridCol w:w="1512"/>
        <w:gridCol w:w="1512"/>
        <w:gridCol w:w="1512"/>
        <w:gridCol w:w="1512"/>
        <w:gridCol w:w="1512"/>
      </w:tblGrid>
      <w:tr w:rsidR="00987341" w:rsidRPr="00987341" w:rsidTr="008A5CD4">
        <w:trPr>
          <w:trHeight w:val="369"/>
          <w:jc w:val="center"/>
        </w:trPr>
        <w:tc>
          <w:tcPr>
            <w:tcW w:w="568" w:type="dxa"/>
            <w:tcBorders>
              <w:top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2004</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2006</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2008</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2010</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2012</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2013</w:t>
            </w:r>
          </w:p>
        </w:tc>
      </w:tr>
      <w:tr w:rsidR="00987341" w:rsidRPr="00987341" w:rsidTr="008A5CD4">
        <w:trPr>
          <w:trHeight w:val="283"/>
          <w:jc w:val="center"/>
        </w:trPr>
        <w:tc>
          <w:tcPr>
            <w:tcW w:w="568" w:type="dxa"/>
            <w:tcBorders>
              <w:top w:val="single" w:sz="4" w:space="0" w:color="940094"/>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1.</w:t>
            </w:r>
          </w:p>
        </w:tc>
        <w:tc>
          <w:tcPr>
            <w:tcW w:w="151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3.</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Rakousko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4.</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Francie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Francie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Francie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Francie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Francie</w:t>
            </w:r>
          </w:p>
        </w:tc>
      </w:tr>
      <w:tr w:rsid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5.</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 xml:space="preserve">Spoj. </w:t>
            </w:r>
            <w:proofErr w:type="gramStart"/>
            <w:r w:rsidRPr="00987341">
              <w:rPr>
                <w:rFonts w:ascii="Arial" w:hAnsi="Arial" w:cs="Arial"/>
                <w:sz w:val="18"/>
                <w:szCs w:val="18"/>
              </w:rPr>
              <w:t>království</w:t>
            </w:r>
            <w:proofErr w:type="gramEnd"/>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Rakousko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 xml:space="preserve">Spoj. </w:t>
            </w:r>
            <w:proofErr w:type="gramStart"/>
            <w:r w:rsidRPr="00987341">
              <w:rPr>
                <w:rFonts w:ascii="Arial" w:hAnsi="Arial" w:cs="Arial"/>
                <w:sz w:val="18"/>
                <w:szCs w:val="18"/>
              </w:rPr>
              <w:t>království</w:t>
            </w:r>
            <w:proofErr w:type="gramEnd"/>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 xml:space="preserve">Spoj. </w:t>
            </w:r>
            <w:proofErr w:type="gramStart"/>
            <w:r w:rsidRPr="00987341">
              <w:rPr>
                <w:rFonts w:ascii="Arial" w:hAnsi="Arial" w:cs="Arial"/>
                <w:sz w:val="18"/>
                <w:szCs w:val="18"/>
              </w:rPr>
              <w:t>království</w:t>
            </w:r>
            <w:proofErr w:type="gramEnd"/>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 xml:space="preserve">Spoj. </w:t>
            </w:r>
            <w:proofErr w:type="gramStart"/>
            <w:r w:rsidRPr="00987341">
              <w:rPr>
                <w:rFonts w:ascii="Arial" w:hAnsi="Arial" w:cs="Arial"/>
                <w:sz w:val="18"/>
                <w:szCs w:val="18"/>
              </w:rPr>
              <w:t>království</w:t>
            </w:r>
            <w:proofErr w:type="gramEnd"/>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 xml:space="preserve">Spoj. </w:t>
            </w:r>
            <w:proofErr w:type="gramStart"/>
            <w:r w:rsidRPr="00987341">
              <w:rPr>
                <w:rFonts w:ascii="Arial" w:hAnsi="Arial" w:cs="Arial"/>
                <w:sz w:val="18"/>
                <w:szCs w:val="18"/>
              </w:rPr>
              <w:t>království</w:t>
            </w:r>
            <w:proofErr w:type="gramEnd"/>
          </w:p>
        </w:tc>
      </w:tr>
    </w:tbl>
    <w:p w:rsidR="00987341" w:rsidRDefault="00987341" w:rsidP="00EC0F6F">
      <w:pPr>
        <w:spacing w:after="120"/>
        <w:jc w:val="both"/>
        <w:rPr>
          <w:rFonts w:ascii="Arial" w:hAnsi="Arial" w:cs="Arial"/>
          <w:sz w:val="18"/>
          <w:szCs w:val="18"/>
        </w:rPr>
      </w:pPr>
    </w:p>
    <w:p w:rsidR="00EC0F6F" w:rsidRDefault="005D096F" w:rsidP="00EC0F6F">
      <w:pPr>
        <w:spacing w:after="120"/>
        <w:jc w:val="both"/>
        <w:rPr>
          <w:rFonts w:ascii="Arial" w:hAnsi="Arial" w:cs="Arial"/>
          <w:sz w:val="18"/>
          <w:szCs w:val="18"/>
        </w:rPr>
      </w:pPr>
      <w:r w:rsidRPr="004A47F2">
        <w:rPr>
          <w:rFonts w:ascii="Arial" w:hAnsi="Arial" w:cs="Arial"/>
          <w:sz w:val="18"/>
          <w:szCs w:val="18"/>
        </w:rPr>
        <w:t>V roce 2004 tvořil vývoz Č</w:t>
      </w:r>
      <w:r w:rsidR="004A14B2">
        <w:rPr>
          <w:rFonts w:ascii="Arial" w:hAnsi="Arial" w:cs="Arial"/>
          <w:sz w:val="18"/>
          <w:szCs w:val="18"/>
        </w:rPr>
        <w:t>eska</w:t>
      </w:r>
      <w:r w:rsidRPr="004A47F2">
        <w:rPr>
          <w:rFonts w:ascii="Arial" w:hAnsi="Arial" w:cs="Arial"/>
          <w:sz w:val="18"/>
          <w:szCs w:val="18"/>
        </w:rPr>
        <w:t xml:space="preserve"> do Rakouska 6</w:t>
      </w:r>
      <w:r w:rsidR="004A14B2">
        <w:rPr>
          <w:rFonts w:ascii="Arial" w:hAnsi="Arial" w:cs="Arial"/>
          <w:sz w:val="18"/>
          <w:szCs w:val="18"/>
        </w:rPr>
        <w:t>,0</w:t>
      </w:r>
      <w:r w:rsidRPr="004A47F2">
        <w:rPr>
          <w:rFonts w:ascii="Arial" w:hAnsi="Arial" w:cs="Arial"/>
          <w:sz w:val="18"/>
          <w:szCs w:val="18"/>
        </w:rPr>
        <w:t xml:space="preserve"> % celkového vývozu a i obrat obchodu s Rakouskem byl významný, dosahoval hodnoty 173,</w:t>
      </w:r>
      <w:r w:rsidR="004A14B2">
        <w:rPr>
          <w:rFonts w:ascii="Arial" w:hAnsi="Arial" w:cs="Arial"/>
          <w:sz w:val="18"/>
          <w:szCs w:val="18"/>
        </w:rPr>
        <w:t>8</w:t>
      </w:r>
      <w:r w:rsidRPr="004A47F2">
        <w:rPr>
          <w:rFonts w:ascii="Arial" w:hAnsi="Arial" w:cs="Arial"/>
          <w:sz w:val="18"/>
          <w:szCs w:val="18"/>
        </w:rPr>
        <w:t xml:space="preserve"> mld. Kč, což představovalo celkově 5% podíl na celkovém obratu. </w:t>
      </w:r>
    </w:p>
    <w:p w:rsidR="00B5659F" w:rsidRDefault="00EC0F6F" w:rsidP="00CD5272">
      <w:pPr>
        <w:spacing w:after="120"/>
        <w:jc w:val="both"/>
        <w:rPr>
          <w:rFonts w:ascii="Arial" w:hAnsi="Arial" w:cs="Arial"/>
          <w:sz w:val="18"/>
          <w:szCs w:val="18"/>
        </w:rPr>
      </w:pPr>
      <w:r>
        <w:rPr>
          <w:rFonts w:ascii="Arial" w:hAnsi="Arial" w:cs="Arial"/>
          <w:sz w:val="18"/>
          <w:szCs w:val="18"/>
        </w:rPr>
        <w:t>Třetím</w:t>
      </w:r>
      <w:r w:rsidR="005D096F" w:rsidRPr="004A47F2">
        <w:rPr>
          <w:rFonts w:ascii="Arial" w:hAnsi="Arial" w:cs="Arial"/>
          <w:sz w:val="18"/>
          <w:szCs w:val="18"/>
        </w:rPr>
        <w:t xml:space="preserve"> nejvýznamnějším dovozním partnerem byla v roce 2004 Itálie s podílem 5,</w:t>
      </w:r>
      <w:r w:rsidR="00D029E4">
        <w:rPr>
          <w:rFonts w:ascii="Arial" w:hAnsi="Arial" w:cs="Arial"/>
          <w:sz w:val="18"/>
          <w:szCs w:val="18"/>
        </w:rPr>
        <w:t>3 % na celkovém dovozu ČR. Po </w:t>
      </w:r>
      <w:r w:rsidR="005D096F" w:rsidRPr="004A47F2">
        <w:rPr>
          <w:rFonts w:ascii="Arial" w:hAnsi="Arial" w:cs="Arial"/>
          <w:sz w:val="18"/>
          <w:szCs w:val="18"/>
        </w:rPr>
        <w:t xml:space="preserve">vstupu do EU se ale tento trend změnil a stále větší význam v obchodě ČR získávalo Polsko, které se v roce 2007 umístilo na </w:t>
      </w:r>
      <w:r>
        <w:rPr>
          <w:rFonts w:ascii="Arial" w:hAnsi="Arial" w:cs="Arial"/>
          <w:sz w:val="18"/>
          <w:szCs w:val="18"/>
        </w:rPr>
        <w:t>třetí</w:t>
      </w:r>
      <w:r w:rsidR="005D096F" w:rsidRPr="004A47F2">
        <w:rPr>
          <w:rFonts w:ascii="Arial" w:hAnsi="Arial" w:cs="Arial"/>
          <w:sz w:val="18"/>
          <w:szCs w:val="18"/>
        </w:rPr>
        <w:t xml:space="preserve"> příčce ve všech sledovaných ukazatelích s podílem mírně pod 6 % v obratu i vývozu, v dovozu</w:t>
      </w:r>
      <w:r w:rsidR="004A14B2">
        <w:rPr>
          <w:rFonts w:ascii="Arial" w:hAnsi="Arial" w:cs="Arial"/>
          <w:sz w:val="18"/>
          <w:szCs w:val="18"/>
        </w:rPr>
        <w:t xml:space="preserve"> </w:t>
      </w:r>
      <w:r w:rsidR="004A14B2" w:rsidRPr="004A47F2">
        <w:rPr>
          <w:rFonts w:ascii="Arial" w:hAnsi="Arial" w:cs="Arial"/>
          <w:sz w:val="18"/>
          <w:szCs w:val="18"/>
        </w:rPr>
        <w:t>5,7 %</w:t>
      </w:r>
      <w:r w:rsidR="005D096F" w:rsidRPr="004A47F2">
        <w:rPr>
          <w:rFonts w:ascii="Arial" w:hAnsi="Arial" w:cs="Arial"/>
          <w:sz w:val="18"/>
          <w:szCs w:val="18"/>
        </w:rPr>
        <w:t xml:space="preserve">. </w:t>
      </w:r>
    </w:p>
    <w:p w:rsidR="00987341" w:rsidRPr="00987341" w:rsidRDefault="00987341" w:rsidP="00987341">
      <w:pPr>
        <w:shd w:val="clear" w:color="auto" w:fill="F5F3F7"/>
        <w:tabs>
          <w:tab w:val="left" w:pos="851"/>
          <w:tab w:val="left" w:pos="1418"/>
          <w:tab w:val="left" w:pos="1701"/>
        </w:tabs>
        <w:spacing w:after="120"/>
        <w:jc w:val="both"/>
        <w:rPr>
          <w:rFonts w:ascii="Arial" w:hAnsi="Arial" w:cs="Arial"/>
          <w:color w:val="940094"/>
          <w:sz w:val="18"/>
          <w:szCs w:val="18"/>
        </w:rPr>
      </w:pPr>
      <w:r w:rsidRPr="00987341">
        <w:rPr>
          <w:rFonts w:ascii="Arial" w:hAnsi="Arial" w:cs="Arial"/>
          <w:color w:val="940094"/>
          <w:sz w:val="18"/>
          <w:szCs w:val="18"/>
        </w:rPr>
        <w:t>Tabulka 2</w:t>
      </w:r>
      <w:r w:rsidRPr="00987341">
        <w:rPr>
          <w:rFonts w:ascii="Arial" w:hAnsi="Arial" w:cs="Arial"/>
          <w:color w:val="940094"/>
          <w:sz w:val="18"/>
          <w:szCs w:val="18"/>
        </w:rPr>
        <w:tab/>
      </w:r>
      <w:r w:rsidRPr="00987341">
        <w:rPr>
          <w:rFonts w:ascii="Arial" w:hAnsi="Arial" w:cs="Arial"/>
          <w:color w:val="940094"/>
          <w:sz w:val="18"/>
          <w:szCs w:val="18"/>
        </w:rPr>
        <w:tab/>
        <w:t>Pořadí jednotlivých států v dovozu do České republiky</w:t>
      </w:r>
    </w:p>
    <w:tbl>
      <w:tblPr>
        <w:tblStyle w:val="Mkatabulky"/>
        <w:tblW w:w="9639" w:type="dxa"/>
        <w:jc w:val="center"/>
        <w:tblBorders>
          <w:left w:val="none" w:sz="0" w:space="0" w:color="auto"/>
          <w:right w:val="none" w:sz="0" w:space="0" w:color="auto"/>
        </w:tblBorders>
        <w:tblLook w:val="04A0"/>
      </w:tblPr>
      <w:tblGrid>
        <w:gridCol w:w="568"/>
        <w:gridCol w:w="1511"/>
        <w:gridCol w:w="1512"/>
        <w:gridCol w:w="1512"/>
        <w:gridCol w:w="1512"/>
        <w:gridCol w:w="1512"/>
        <w:gridCol w:w="1512"/>
      </w:tblGrid>
      <w:tr w:rsidR="00987341" w:rsidRPr="00987341" w:rsidTr="008A5CD4">
        <w:trPr>
          <w:trHeight w:val="369"/>
          <w:jc w:val="center"/>
        </w:trPr>
        <w:tc>
          <w:tcPr>
            <w:tcW w:w="568" w:type="dxa"/>
            <w:tcBorders>
              <w:top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2004</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2006</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2008</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2010</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2012</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2013</w:t>
            </w:r>
          </w:p>
        </w:tc>
      </w:tr>
      <w:tr w:rsidR="00987341" w:rsidRPr="00987341" w:rsidTr="008A5CD4">
        <w:trPr>
          <w:trHeight w:val="283"/>
          <w:jc w:val="center"/>
        </w:trPr>
        <w:tc>
          <w:tcPr>
            <w:tcW w:w="568" w:type="dxa"/>
            <w:tcBorders>
              <w:top w:val="single" w:sz="4" w:space="0" w:color="940094"/>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1.</w:t>
            </w:r>
          </w:p>
        </w:tc>
        <w:tc>
          <w:tcPr>
            <w:tcW w:w="151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c>
          <w:tcPr>
            <w:tcW w:w="1512" w:type="dxa"/>
            <w:tcBorders>
              <w:top w:val="single" w:sz="4" w:space="0" w:color="940094"/>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Německo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2.</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3.</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Itálie</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4.</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Čína</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r>
      <w:tr w:rsidR="00987341" w:rsidRPr="00987341" w:rsidTr="008A5CD4">
        <w:trPr>
          <w:trHeight w:val="283"/>
          <w:jc w:val="center"/>
        </w:trPr>
        <w:tc>
          <w:tcPr>
            <w:tcW w:w="56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jc w:val="center"/>
              <w:rPr>
                <w:rFonts w:ascii="Arial" w:hAnsi="Arial" w:cs="Arial"/>
                <w:sz w:val="18"/>
                <w:szCs w:val="18"/>
              </w:rPr>
            </w:pPr>
            <w:r w:rsidRPr="00987341">
              <w:rPr>
                <w:rFonts w:ascii="Arial" w:hAnsi="Arial" w:cs="Arial"/>
                <w:sz w:val="18"/>
                <w:szCs w:val="18"/>
              </w:rPr>
              <w:t>5.</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Polsko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Slovensko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Rusko</w:t>
            </w:r>
          </w:p>
        </w:tc>
        <w:tc>
          <w:tcPr>
            <w:tcW w:w="1512"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987341" w:rsidRPr="00987341" w:rsidRDefault="00987341" w:rsidP="008A5CD4">
            <w:pPr>
              <w:rPr>
                <w:rFonts w:ascii="Arial" w:hAnsi="Arial" w:cs="Arial"/>
                <w:sz w:val="18"/>
                <w:szCs w:val="18"/>
              </w:rPr>
            </w:pPr>
            <w:r w:rsidRPr="00987341">
              <w:rPr>
                <w:rFonts w:ascii="Arial" w:hAnsi="Arial" w:cs="Arial"/>
                <w:sz w:val="18"/>
                <w:szCs w:val="18"/>
              </w:rPr>
              <w:t>Rusko</w:t>
            </w:r>
          </w:p>
        </w:tc>
      </w:tr>
    </w:tbl>
    <w:p w:rsidR="00987341" w:rsidRPr="004A47F2" w:rsidRDefault="00987341" w:rsidP="00CD5272">
      <w:pPr>
        <w:spacing w:after="0"/>
        <w:jc w:val="both"/>
        <w:rPr>
          <w:rFonts w:ascii="Arial" w:hAnsi="Arial" w:cs="Arial"/>
          <w:sz w:val="18"/>
          <w:szCs w:val="18"/>
        </w:rPr>
      </w:pPr>
    </w:p>
    <w:p w:rsidR="00192772" w:rsidRPr="004A47F2" w:rsidRDefault="00192772" w:rsidP="00192772">
      <w:pPr>
        <w:spacing w:after="120"/>
        <w:jc w:val="both"/>
        <w:rPr>
          <w:rFonts w:ascii="Arial" w:hAnsi="Arial" w:cs="Arial"/>
          <w:sz w:val="18"/>
          <w:szCs w:val="18"/>
        </w:rPr>
      </w:pPr>
      <w:r w:rsidRPr="004A47F2">
        <w:rPr>
          <w:rFonts w:ascii="Arial" w:hAnsi="Arial" w:cs="Arial"/>
          <w:sz w:val="18"/>
          <w:szCs w:val="18"/>
        </w:rPr>
        <w:t xml:space="preserve">V období po ekonomické krizi v roce 2010 se na </w:t>
      </w:r>
      <w:r>
        <w:rPr>
          <w:rFonts w:ascii="Arial" w:hAnsi="Arial" w:cs="Arial"/>
          <w:sz w:val="18"/>
          <w:szCs w:val="18"/>
        </w:rPr>
        <w:t>třetí</w:t>
      </w:r>
      <w:r w:rsidRPr="004A47F2">
        <w:rPr>
          <w:rFonts w:ascii="Arial" w:hAnsi="Arial" w:cs="Arial"/>
          <w:sz w:val="18"/>
          <w:szCs w:val="18"/>
        </w:rPr>
        <w:t xml:space="preserve"> pozici v obratu </w:t>
      </w:r>
      <w:r>
        <w:rPr>
          <w:rFonts w:ascii="Arial" w:hAnsi="Arial" w:cs="Arial"/>
          <w:sz w:val="18"/>
          <w:szCs w:val="18"/>
        </w:rPr>
        <w:t>zahraničního ob</w:t>
      </w:r>
      <w:r w:rsidR="00957F11">
        <w:rPr>
          <w:rFonts w:ascii="Arial" w:hAnsi="Arial" w:cs="Arial"/>
          <w:sz w:val="18"/>
          <w:szCs w:val="18"/>
        </w:rPr>
        <w:t>ch</w:t>
      </w:r>
      <w:r>
        <w:rPr>
          <w:rFonts w:ascii="Arial" w:hAnsi="Arial" w:cs="Arial"/>
          <w:sz w:val="18"/>
          <w:szCs w:val="18"/>
        </w:rPr>
        <w:t>odu</w:t>
      </w:r>
      <w:r w:rsidRPr="004A47F2">
        <w:rPr>
          <w:rFonts w:ascii="Arial" w:hAnsi="Arial" w:cs="Arial"/>
          <w:sz w:val="18"/>
          <w:szCs w:val="18"/>
        </w:rPr>
        <w:t xml:space="preserve"> ČR dostala Čína, její podíl na dovozu se od roku 2007 téměř zdvojnásobil a i přestože se Čína umístila </w:t>
      </w:r>
      <w:r>
        <w:rPr>
          <w:rFonts w:ascii="Arial" w:hAnsi="Arial" w:cs="Arial"/>
          <w:sz w:val="18"/>
          <w:szCs w:val="18"/>
        </w:rPr>
        <w:t>na 17. místě v celkovém exportu</w:t>
      </w:r>
      <w:r w:rsidRPr="004A47F2">
        <w:rPr>
          <w:rFonts w:ascii="Arial" w:hAnsi="Arial" w:cs="Arial"/>
          <w:sz w:val="18"/>
          <w:szCs w:val="18"/>
        </w:rPr>
        <w:t xml:space="preserve">, celkový obrat s Čínou v roce 2010 tvořil 6,5 % celkového obratu </w:t>
      </w:r>
      <w:r>
        <w:rPr>
          <w:rFonts w:ascii="Arial" w:hAnsi="Arial" w:cs="Arial"/>
          <w:sz w:val="18"/>
          <w:szCs w:val="18"/>
        </w:rPr>
        <w:t>zahraničního obchodu</w:t>
      </w:r>
      <w:r w:rsidRPr="004A47F2">
        <w:rPr>
          <w:rFonts w:ascii="Arial" w:hAnsi="Arial" w:cs="Arial"/>
          <w:sz w:val="18"/>
          <w:szCs w:val="18"/>
        </w:rPr>
        <w:t xml:space="preserve"> ČR. V roce 2013 se před Čínu v obratu dostalo opět Polsko. </w:t>
      </w:r>
    </w:p>
    <w:p w:rsidR="00192772" w:rsidRDefault="00192772" w:rsidP="00192772">
      <w:pPr>
        <w:spacing w:after="120"/>
        <w:jc w:val="both"/>
        <w:rPr>
          <w:rFonts w:ascii="Arial" w:hAnsi="Arial" w:cs="Arial"/>
          <w:sz w:val="18"/>
          <w:szCs w:val="18"/>
        </w:rPr>
      </w:pPr>
      <w:r w:rsidRPr="004A47F2">
        <w:rPr>
          <w:rFonts w:ascii="Arial" w:hAnsi="Arial" w:cs="Arial"/>
          <w:sz w:val="18"/>
          <w:szCs w:val="18"/>
        </w:rPr>
        <w:t xml:space="preserve">Následující tabulka 4.5 doplňuje předchozí tabulky a přehledně ukazuje pořadí jednotlivých států ve vývozu a dovozu ČR a percentuálně vyjádření jejich podílu na celkovém exportu respektive importu ČR. </w:t>
      </w:r>
    </w:p>
    <w:p w:rsidR="003A4319" w:rsidRDefault="003A4319" w:rsidP="0079163B">
      <w:pPr>
        <w:jc w:val="both"/>
        <w:rPr>
          <w:rFonts w:ascii="Arial" w:hAnsi="Arial" w:cs="Arial"/>
          <w:sz w:val="18"/>
          <w:szCs w:val="18"/>
        </w:rPr>
      </w:pPr>
      <w:r w:rsidRPr="004A47F2">
        <w:rPr>
          <w:rFonts w:ascii="Arial" w:hAnsi="Arial" w:cs="Arial"/>
          <w:sz w:val="18"/>
          <w:szCs w:val="18"/>
        </w:rPr>
        <w:t>Členství v Evropské unii nabízí, že se český zahraniční obchod soustřeďuje právě na obchod s členskými státy, k čemuž přispívá i volný obchod mezi státy EU. Je pravda, že nejvýznamnějšími obchodními partnery Č</w:t>
      </w:r>
      <w:r w:rsidR="00D029E4">
        <w:rPr>
          <w:rFonts w:ascii="Arial" w:hAnsi="Arial" w:cs="Arial"/>
          <w:sz w:val="18"/>
          <w:szCs w:val="18"/>
        </w:rPr>
        <w:t>eské republiky</w:t>
      </w:r>
      <w:r w:rsidRPr="004A47F2">
        <w:rPr>
          <w:rFonts w:ascii="Arial" w:hAnsi="Arial" w:cs="Arial"/>
          <w:sz w:val="18"/>
          <w:szCs w:val="18"/>
        </w:rPr>
        <w:t xml:space="preserve"> jsou členské státy EU, ale mezi významnými zahraničněobchodními partnery ČR se v posledních letech výrazněji objevují i mimoevropské státy, především asijské. </w:t>
      </w:r>
    </w:p>
    <w:p w:rsidR="00CD5272" w:rsidRDefault="00CD5272" w:rsidP="00F31766">
      <w:pPr>
        <w:shd w:val="clear" w:color="auto" w:fill="F5F3F7"/>
        <w:spacing w:after="120"/>
        <w:jc w:val="both"/>
        <w:rPr>
          <w:rFonts w:ascii="Arial" w:hAnsi="Arial" w:cs="Arial"/>
          <w:color w:val="940094"/>
          <w:sz w:val="18"/>
          <w:szCs w:val="18"/>
        </w:rPr>
      </w:pPr>
      <w:r w:rsidRPr="000F1141">
        <w:rPr>
          <w:rFonts w:ascii="Arial" w:hAnsi="Arial" w:cs="Arial"/>
          <w:color w:val="940094"/>
          <w:sz w:val="18"/>
          <w:szCs w:val="18"/>
        </w:rPr>
        <w:t xml:space="preserve">Graf </w:t>
      </w:r>
      <w:r w:rsidR="0079163B">
        <w:rPr>
          <w:rFonts w:ascii="Arial" w:hAnsi="Arial" w:cs="Arial"/>
          <w:color w:val="940094"/>
          <w:sz w:val="18"/>
          <w:szCs w:val="18"/>
        </w:rPr>
        <w:t>9</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Nejvýznamnější obchodní partneři v roce 2013</w:t>
      </w:r>
    </w:p>
    <w:p w:rsidR="00CD5272" w:rsidRDefault="0079163B" w:rsidP="0079163B">
      <w:pPr>
        <w:spacing w:after="120"/>
        <w:ind w:left="1416" w:firstLine="708"/>
        <w:jc w:val="both"/>
        <w:rPr>
          <w:rFonts w:ascii="Arial" w:hAnsi="Arial" w:cs="Arial"/>
          <w:color w:val="940094"/>
          <w:sz w:val="18"/>
          <w:szCs w:val="18"/>
        </w:rPr>
      </w:pPr>
      <w:r>
        <w:rPr>
          <w:rFonts w:ascii="Arial" w:hAnsi="Arial" w:cs="Arial"/>
          <w:color w:val="940094"/>
          <w:sz w:val="18"/>
          <w:szCs w:val="18"/>
        </w:rPr>
        <w:t xml:space="preserve">     </w:t>
      </w:r>
      <w:r w:rsidR="00CD5272">
        <w:rPr>
          <w:rFonts w:ascii="Arial" w:hAnsi="Arial" w:cs="Arial"/>
          <w:color w:val="940094"/>
          <w:sz w:val="18"/>
          <w:szCs w:val="18"/>
        </w:rPr>
        <w:t>vývoz</w:t>
      </w:r>
      <w:r w:rsidR="00CD5272">
        <w:rPr>
          <w:rFonts w:ascii="Arial" w:hAnsi="Arial" w:cs="Arial"/>
          <w:color w:val="940094"/>
          <w:sz w:val="18"/>
          <w:szCs w:val="18"/>
        </w:rPr>
        <w:tab/>
        <w:t xml:space="preserve">                                        </w:t>
      </w:r>
      <w:r w:rsidR="00CD5272">
        <w:rPr>
          <w:rFonts w:ascii="Arial" w:hAnsi="Arial" w:cs="Arial"/>
          <w:color w:val="940094"/>
          <w:sz w:val="18"/>
          <w:szCs w:val="18"/>
        </w:rPr>
        <w:tab/>
      </w:r>
      <w:r w:rsidR="00CD5272">
        <w:rPr>
          <w:rFonts w:ascii="Arial" w:hAnsi="Arial" w:cs="Arial"/>
          <w:color w:val="940094"/>
          <w:sz w:val="18"/>
          <w:szCs w:val="18"/>
        </w:rPr>
        <w:tab/>
      </w:r>
      <w:r w:rsidR="00CD5272">
        <w:rPr>
          <w:rFonts w:ascii="Arial" w:hAnsi="Arial" w:cs="Arial"/>
          <w:color w:val="940094"/>
          <w:sz w:val="18"/>
          <w:szCs w:val="18"/>
        </w:rPr>
        <w:tab/>
      </w:r>
      <w:r>
        <w:rPr>
          <w:rFonts w:ascii="Arial" w:hAnsi="Arial" w:cs="Arial"/>
          <w:color w:val="940094"/>
          <w:sz w:val="18"/>
          <w:szCs w:val="18"/>
        </w:rPr>
        <w:t xml:space="preserve">    d</w:t>
      </w:r>
      <w:r w:rsidR="00CD5272">
        <w:rPr>
          <w:rFonts w:ascii="Arial" w:hAnsi="Arial" w:cs="Arial"/>
          <w:color w:val="940094"/>
          <w:sz w:val="18"/>
          <w:szCs w:val="18"/>
        </w:rPr>
        <w:t>ovoz</w:t>
      </w:r>
    </w:p>
    <w:p w:rsidR="00CD5272" w:rsidRPr="004A47F2" w:rsidRDefault="00F31766" w:rsidP="004F0369">
      <w:pPr>
        <w:spacing w:after="120"/>
        <w:jc w:val="both"/>
        <w:rPr>
          <w:rFonts w:ascii="Arial" w:hAnsi="Arial" w:cs="Arial"/>
          <w:sz w:val="18"/>
          <w:szCs w:val="18"/>
        </w:rPr>
      </w:pPr>
      <w:r w:rsidRPr="003A73AE">
        <w:rPr>
          <w:rFonts w:ascii="Arial" w:hAnsi="Arial" w:cs="Arial"/>
          <w:sz w:val="18"/>
          <w:szCs w:val="18"/>
        </w:rPr>
        <w:pict>
          <v:shape id="_x0000_i1034" type="#_x0000_t75" style="width:237.05pt;height:197pt">
            <v:imagedata r:id="rId19" o:title=""/>
          </v:shape>
        </w:pict>
      </w:r>
      <w:r w:rsidR="00CD5272">
        <w:rPr>
          <w:rFonts w:ascii="Arial" w:hAnsi="Arial" w:cs="Arial"/>
          <w:sz w:val="18"/>
          <w:szCs w:val="18"/>
        </w:rPr>
        <w:t xml:space="preserve"> </w:t>
      </w:r>
      <w:r w:rsidR="0079163B">
        <w:rPr>
          <w:rFonts w:ascii="Arial" w:hAnsi="Arial" w:cs="Arial"/>
          <w:sz w:val="18"/>
          <w:szCs w:val="18"/>
        </w:rPr>
        <w:t xml:space="preserve">  </w:t>
      </w:r>
      <w:r w:rsidRPr="003A73AE">
        <w:rPr>
          <w:rFonts w:ascii="Arial" w:hAnsi="Arial" w:cs="Arial"/>
          <w:sz w:val="18"/>
          <w:szCs w:val="18"/>
        </w:rPr>
        <w:pict>
          <v:shape id="_x0000_i1035" type="#_x0000_t75" style="width:237.05pt;height:197pt">
            <v:imagedata r:id="rId20" o:title=""/>
          </v:shape>
        </w:pict>
      </w:r>
    </w:p>
    <w:p w:rsidR="0079163B" w:rsidRDefault="0079163B" w:rsidP="0079163B">
      <w:pPr>
        <w:spacing w:after="0"/>
        <w:jc w:val="both"/>
        <w:rPr>
          <w:rFonts w:ascii="Arial" w:hAnsi="Arial" w:cs="Arial"/>
          <w:sz w:val="18"/>
          <w:szCs w:val="18"/>
        </w:rPr>
      </w:pPr>
    </w:p>
    <w:p w:rsidR="00FC471C" w:rsidRDefault="003A4319" w:rsidP="00FC471C">
      <w:pPr>
        <w:spacing w:after="120"/>
        <w:jc w:val="both"/>
        <w:rPr>
          <w:rFonts w:ascii="Arial" w:hAnsi="Arial" w:cs="Arial"/>
          <w:sz w:val="18"/>
          <w:szCs w:val="18"/>
        </w:rPr>
      </w:pPr>
      <w:r w:rsidRPr="004A47F2">
        <w:rPr>
          <w:rFonts w:ascii="Arial" w:hAnsi="Arial" w:cs="Arial"/>
          <w:sz w:val="18"/>
          <w:szCs w:val="18"/>
        </w:rPr>
        <w:t>Obrat</w:t>
      </w:r>
      <w:r w:rsidR="001D5E6E" w:rsidRPr="004A47F2">
        <w:rPr>
          <w:rFonts w:ascii="Arial" w:hAnsi="Arial" w:cs="Arial"/>
          <w:sz w:val="18"/>
          <w:szCs w:val="18"/>
        </w:rPr>
        <w:t xml:space="preserve">, vývoz, dovoz a bilanci </w:t>
      </w:r>
      <w:r w:rsidR="00192772">
        <w:rPr>
          <w:rFonts w:ascii="Arial" w:hAnsi="Arial" w:cs="Arial"/>
          <w:sz w:val="18"/>
          <w:szCs w:val="18"/>
        </w:rPr>
        <w:t>zahraničního obchodu</w:t>
      </w:r>
      <w:r w:rsidRPr="004A47F2">
        <w:rPr>
          <w:rFonts w:ascii="Arial" w:hAnsi="Arial" w:cs="Arial"/>
          <w:sz w:val="18"/>
          <w:szCs w:val="18"/>
        </w:rPr>
        <w:t xml:space="preserve"> Č</w:t>
      </w:r>
      <w:r w:rsidR="00192772">
        <w:rPr>
          <w:rFonts w:ascii="Arial" w:hAnsi="Arial" w:cs="Arial"/>
          <w:sz w:val="18"/>
          <w:szCs w:val="18"/>
        </w:rPr>
        <w:t>eské republiky</w:t>
      </w:r>
      <w:r w:rsidRPr="004A47F2">
        <w:rPr>
          <w:rFonts w:ascii="Arial" w:hAnsi="Arial" w:cs="Arial"/>
          <w:sz w:val="18"/>
          <w:szCs w:val="18"/>
        </w:rPr>
        <w:t xml:space="preserve"> s vybranými státy z celého světa </w:t>
      </w:r>
      <w:r w:rsidR="001D5E6E" w:rsidRPr="004A47F2">
        <w:rPr>
          <w:rFonts w:ascii="Arial" w:hAnsi="Arial" w:cs="Arial"/>
          <w:sz w:val="18"/>
          <w:szCs w:val="18"/>
        </w:rPr>
        <w:t>jsou uvedeny postupně</w:t>
      </w:r>
      <w:r w:rsidRPr="004A47F2">
        <w:rPr>
          <w:rFonts w:ascii="Arial" w:hAnsi="Arial" w:cs="Arial"/>
          <w:sz w:val="18"/>
          <w:szCs w:val="18"/>
        </w:rPr>
        <w:t xml:space="preserve"> v tabul</w:t>
      </w:r>
      <w:r w:rsidR="001D5E6E" w:rsidRPr="004A47F2">
        <w:rPr>
          <w:rFonts w:ascii="Arial" w:hAnsi="Arial" w:cs="Arial"/>
          <w:sz w:val="18"/>
          <w:szCs w:val="18"/>
        </w:rPr>
        <w:t>kách</w:t>
      </w:r>
      <w:r w:rsidRPr="004A47F2">
        <w:rPr>
          <w:rFonts w:ascii="Arial" w:hAnsi="Arial" w:cs="Arial"/>
          <w:sz w:val="18"/>
          <w:szCs w:val="18"/>
        </w:rPr>
        <w:t xml:space="preserve"> 5.1.</w:t>
      </w:r>
      <w:r w:rsidR="001D5E6E" w:rsidRPr="004A47F2">
        <w:rPr>
          <w:rFonts w:ascii="Arial" w:hAnsi="Arial" w:cs="Arial"/>
          <w:sz w:val="18"/>
          <w:szCs w:val="18"/>
        </w:rPr>
        <w:t xml:space="preserve"> - 5.4.</w:t>
      </w:r>
      <w:r w:rsidRPr="004A47F2">
        <w:rPr>
          <w:rFonts w:ascii="Arial" w:hAnsi="Arial" w:cs="Arial"/>
          <w:sz w:val="18"/>
          <w:szCs w:val="18"/>
        </w:rPr>
        <w:t xml:space="preserve"> Tabulk</w:t>
      </w:r>
      <w:r w:rsidR="001D5E6E" w:rsidRPr="004A47F2">
        <w:rPr>
          <w:rFonts w:ascii="Arial" w:hAnsi="Arial" w:cs="Arial"/>
          <w:sz w:val="18"/>
          <w:szCs w:val="18"/>
        </w:rPr>
        <w:t>y</w:t>
      </w:r>
      <w:r w:rsidRPr="004A47F2">
        <w:rPr>
          <w:rFonts w:ascii="Arial" w:hAnsi="Arial" w:cs="Arial"/>
          <w:sz w:val="18"/>
          <w:szCs w:val="18"/>
        </w:rPr>
        <w:t xml:space="preserve"> ukazuj</w:t>
      </w:r>
      <w:r w:rsidR="001D5E6E" w:rsidRPr="004A47F2">
        <w:rPr>
          <w:rFonts w:ascii="Arial" w:hAnsi="Arial" w:cs="Arial"/>
          <w:sz w:val="18"/>
          <w:szCs w:val="18"/>
        </w:rPr>
        <w:t>í</w:t>
      </w:r>
      <w:r w:rsidRPr="004A47F2">
        <w:rPr>
          <w:rFonts w:ascii="Arial" w:hAnsi="Arial" w:cs="Arial"/>
          <w:sz w:val="18"/>
          <w:szCs w:val="18"/>
        </w:rPr>
        <w:t xml:space="preserve"> meziroční změnu </w:t>
      </w:r>
      <w:r w:rsidR="001D5E6E" w:rsidRPr="004A47F2">
        <w:rPr>
          <w:rFonts w:ascii="Arial" w:hAnsi="Arial" w:cs="Arial"/>
          <w:sz w:val="18"/>
          <w:szCs w:val="18"/>
        </w:rPr>
        <w:t>daného ukazatele</w:t>
      </w:r>
      <w:r w:rsidRPr="004A47F2">
        <w:rPr>
          <w:rFonts w:ascii="Arial" w:hAnsi="Arial" w:cs="Arial"/>
          <w:sz w:val="18"/>
          <w:szCs w:val="18"/>
        </w:rPr>
        <w:t xml:space="preserve"> a změnu oproti roku 2004 v mil. Kč, meziroční index a podíl </w:t>
      </w:r>
      <w:r w:rsidR="001D5E6E" w:rsidRPr="004A47F2">
        <w:rPr>
          <w:rFonts w:ascii="Arial" w:hAnsi="Arial" w:cs="Arial"/>
          <w:sz w:val="18"/>
          <w:szCs w:val="18"/>
        </w:rPr>
        <w:t>vybraného ukazatele</w:t>
      </w:r>
      <w:r w:rsidRPr="004A47F2">
        <w:rPr>
          <w:rFonts w:ascii="Arial" w:hAnsi="Arial" w:cs="Arial"/>
          <w:sz w:val="18"/>
          <w:szCs w:val="18"/>
        </w:rPr>
        <w:t xml:space="preserve"> s vybraným státem na </w:t>
      </w:r>
      <w:r w:rsidR="001D5E6E" w:rsidRPr="004A47F2">
        <w:rPr>
          <w:rFonts w:ascii="Arial" w:hAnsi="Arial" w:cs="Arial"/>
          <w:sz w:val="18"/>
          <w:szCs w:val="18"/>
        </w:rPr>
        <w:t>celkové hodnotě Č</w:t>
      </w:r>
      <w:r w:rsidR="00192772">
        <w:rPr>
          <w:rFonts w:ascii="Arial" w:hAnsi="Arial" w:cs="Arial"/>
          <w:sz w:val="18"/>
          <w:szCs w:val="18"/>
        </w:rPr>
        <w:t>eska</w:t>
      </w:r>
      <w:r w:rsidRPr="004A47F2">
        <w:rPr>
          <w:rFonts w:ascii="Arial" w:hAnsi="Arial" w:cs="Arial"/>
          <w:sz w:val="18"/>
          <w:szCs w:val="18"/>
        </w:rPr>
        <w:t xml:space="preserve">. </w:t>
      </w:r>
    </w:p>
    <w:p w:rsidR="003A4319" w:rsidRPr="004A47F2" w:rsidRDefault="001D5E6E" w:rsidP="0079163B">
      <w:pPr>
        <w:jc w:val="both"/>
        <w:rPr>
          <w:rFonts w:ascii="Arial" w:hAnsi="Arial" w:cs="Arial"/>
          <w:sz w:val="18"/>
          <w:szCs w:val="18"/>
        </w:rPr>
      </w:pPr>
      <w:r w:rsidRPr="004A47F2">
        <w:rPr>
          <w:rFonts w:ascii="Arial" w:hAnsi="Arial" w:cs="Arial"/>
          <w:sz w:val="18"/>
          <w:szCs w:val="18"/>
        </w:rPr>
        <w:t xml:space="preserve">Tabulka 5.5 poskytuje ucelený přehled výše zmíněných ukazatelů </w:t>
      </w:r>
      <w:r w:rsidR="00164580" w:rsidRPr="004A47F2">
        <w:rPr>
          <w:rFonts w:ascii="Arial" w:hAnsi="Arial" w:cs="Arial"/>
          <w:sz w:val="18"/>
          <w:szCs w:val="18"/>
        </w:rPr>
        <w:t>v mil. Kč. Bilance zahraničního obchodu České republiky je v celkovém vyjádření kladná, převládá tedy vývoz nad dovozem. Ovšem pro obchod především s asijskými státy je typický spí</w:t>
      </w:r>
      <w:r w:rsidR="005C6FCE">
        <w:rPr>
          <w:rFonts w:ascii="Arial" w:hAnsi="Arial" w:cs="Arial"/>
          <w:sz w:val="18"/>
          <w:szCs w:val="18"/>
        </w:rPr>
        <w:t xml:space="preserve">še deficit </w:t>
      </w:r>
      <w:r w:rsidR="00192772">
        <w:rPr>
          <w:rFonts w:ascii="Arial" w:hAnsi="Arial" w:cs="Arial"/>
          <w:sz w:val="18"/>
          <w:szCs w:val="18"/>
        </w:rPr>
        <w:t xml:space="preserve">obchodní </w:t>
      </w:r>
      <w:r w:rsidR="005C6FCE">
        <w:rPr>
          <w:rFonts w:ascii="Arial" w:hAnsi="Arial" w:cs="Arial"/>
          <w:sz w:val="18"/>
          <w:szCs w:val="18"/>
        </w:rPr>
        <w:t>bilance pro ČR, v </w:t>
      </w:r>
      <w:r w:rsidR="00164580" w:rsidRPr="004A47F2">
        <w:rPr>
          <w:rFonts w:ascii="Arial" w:hAnsi="Arial" w:cs="Arial"/>
          <w:sz w:val="18"/>
          <w:szCs w:val="18"/>
        </w:rPr>
        <w:t>roce 2013 zaznamenala Česká republika deficit bilance například v obchodě s Čínou</w:t>
      </w:r>
      <w:r w:rsidR="008F319D" w:rsidRPr="004A47F2">
        <w:rPr>
          <w:rFonts w:ascii="Arial" w:hAnsi="Arial" w:cs="Arial"/>
          <w:sz w:val="18"/>
          <w:szCs w:val="18"/>
        </w:rPr>
        <w:t xml:space="preserve"> (26</w:t>
      </w:r>
      <w:r w:rsidR="004A14B2">
        <w:rPr>
          <w:rFonts w:ascii="Arial" w:hAnsi="Arial" w:cs="Arial"/>
          <w:sz w:val="18"/>
          <w:szCs w:val="18"/>
        </w:rPr>
        <w:t>5,8</w:t>
      </w:r>
      <w:r w:rsidR="008F319D" w:rsidRPr="004A47F2">
        <w:rPr>
          <w:rFonts w:ascii="Arial" w:hAnsi="Arial" w:cs="Arial"/>
          <w:sz w:val="18"/>
          <w:szCs w:val="18"/>
        </w:rPr>
        <w:t xml:space="preserve"> mld. Kč)</w:t>
      </w:r>
      <w:r w:rsidR="00164580" w:rsidRPr="004A47F2">
        <w:rPr>
          <w:rFonts w:ascii="Arial" w:hAnsi="Arial" w:cs="Arial"/>
          <w:sz w:val="18"/>
          <w:szCs w:val="18"/>
        </w:rPr>
        <w:t>, Tchaj-wanem</w:t>
      </w:r>
      <w:r w:rsidR="008F319D" w:rsidRPr="004A47F2">
        <w:rPr>
          <w:rFonts w:ascii="Arial" w:hAnsi="Arial" w:cs="Arial"/>
          <w:sz w:val="18"/>
          <w:szCs w:val="18"/>
        </w:rPr>
        <w:t xml:space="preserve"> (1</w:t>
      </w:r>
      <w:r w:rsidR="004A14B2">
        <w:rPr>
          <w:rFonts w:ascii="Arial" w:hAnsi="Arial" w:cs="Arial"/>
          <w:sz w:val="18"/>
          <w:szCs w:val="18"/>
        </w:rPr>
        <w:t>8,8</w:t>
      </w:r>
      <w:r w:rsidR="008F319D" w:rsidRPr="004A47F2">
        <w:rPr>
          <w:rFonts w:ascii="Arial" w:hAnsi="Arial" w:cs="Arial"/>
          <w:sz w:val="18"/>
          <w:szCs w:val="18"/>
        </w:rPr>
        <w:t xml:space="preserve"> mld. Kč)</w:t>
      </w:r>
      <w:r w:rsidR="00164580" w:rsidRPr="004A47F2">
        <w:rPr>
          <w:rFonts w:ascii="Arial" w:hAnsi="Arial" w:cs="Arial"/>
          <w:sz w:val="18"/>
          <w:szCs w:val="18"/>
        </w:rPr>
        <w:t>, Thajskem</w:t>
      </w:r>
      <w:r w:rsidR="008F319D" w:rsidRPr="004A47F2">
        <w:rPr>
          <w:rFonts w:ascii="Arial" w:hAnsi="Arial" w:cs="Arial"/>
          <w:sz w:val="18"/>
          <w:szCs w:val="18"/>
        </w:rPr>
        <w:t xml:space="preserve"> (19</w:t>
      </w:r>
      <w:r w:rsidR="004A14B2">
        <w:rPr>
          <w:rFonts w:ascii="Arial" w:hAnsi="Arial" w:cs="Arial"/>
          <w:sz w:val="18"/>
          <w:szCs w:val="18"/>
        </w:rPr>
        <w:t>,1</w:t>
      </w:r>
      <w:r w:rsidR="008F319D" w:rsidRPr="004A47F2">
        <w:rPr>
          <w:rFonts w:ascii="Arial" w:hAnsi="Arial" w:cs="Arial"/>
          <w:sz w:val="18"/>
          <w:szCs w:val="18"/>
        </w:rPr>
        <w:t xml:space="preserve"> mld. Kč)</w:t>
      </w:r>
      <w:r w:rsidR="00164580" w:rsidRPr="004A47F2">
        <w:rPr>
          <w:rFonts w:ascii="Arial" w:hAnsi="Arial" w:cs="Arial"/>
          <w:sz w:val="18"/>
          <w:szCs w:val="18"/>
        </w:rPr>
        <w:t>, Malajsií</w:t>
      </w:r>
      <w:r w:rsidR="008F319D" w:rsidRPr="004A47F2">
        <w:rPr>
          <w:rFonts w:ascii="Arial" w:hAnsi="Arial" w:cs="Arial"/>
          <w:sz w:val="18"/>
          <w:szCs w:val="18"/>
        </w:rPr>
        <w:t xml:space="preserve"> (12</w:t>
      </w:r>
      <w:r w:rsidR="004A14B2">
        <w:rPr>
          <w:rFonts w:ascii="Arial" w:hAnsi="Arial" w:cs="Arial"/>
          <w:sz w:val="18"/>
          <w:szCs w:val="18"/>
        </w:rPr>
        <w:t>,4</w:t>
      </w:r>
      <w:r w:rsidR="008F319D" w:rsidRPr="004A47F2">
        <w:rPr>
          <w:rFonts w:ascii="Arial" w:hAnsi="Arial" w:cs="Arial"/>
          <w:sz w:val="18"/>
          <w:szCs w:val="18"/>
        </w:rPr>
        <w:t xml:space="preserve"> mld. Kč)</w:t>
      </w:r>
      <w:r w:rsidR="00164580" w:rsidRPr="004A47F2">
        <w:rPr>
          <w:rFonts w:ascii="Arial" w:hAnsi="Arial" w:cs="Arial"/>
          <w:sz w:val="18"/>
          <w:szCs w:val="18"/>
        </w:rPr>
        <w:t>, Korejskou republikou</w:t>
      </w:r>
      <w:r w:rsidR="008F319D" w:rsidRPr="004A47F2">
        <w:rPr>
          <w:rFonts w:ascii="Arial" w:hAnsi="Arial" w:cs="Arial"/>
          <w:sz w:val="18"/>
          <w:szCs w:val="18"/>
        </w:rPr>
        <w:t xml:space="preserve"> (47</w:t>
      </w:r>
      <w:r w:rsidR="004A14B2">
        <w:rPr>
          <w:rFonts w:ascii="Arial" w:hAnsi="Arial" w:cs="Arial"/>
          <w:sz w:val="18"/>
          <w:szCs w:val="18"/>
        </w:rPr>
        <w:t>,4</w:t>
      </w:r>
      <w:r w:rsidR="008F319D" w:rsidRPr="004A47F2">
        <w:rPr>
          <w:rFonts w:ascii="Arial" w:hAnsi="Arial" w:cs="Arial"/>
          <w:sz w:val="18"/>
          <w:szCs w:val="18"/>
        </w:rPr>
        <w:t xml:space="preserve"> mld. Kč)</w:t>
      </w:r>
      <w:r w:rsidR="00164580" w:rsidRPr="004A47F2">
        <w:rPr>
          <w:rFonts w:ascii="Arial" w:hAnsi="Arial" w:cs="Arial"/>
          <w:sz w:val="18"/>
          <w:szCs w:val="18"/>
        </w:rPr>
        <w:t xml:space="preserve">, Japonskem </w:t>
      </w:r>
      <w:r w:rsidR="008F319D" w:rsidRPr="004A47F2">
        <w:rPr>
          <w:rFonts w:ascii="Arial" w:hAnsi="Arial" w:cs="Arial"/>
          <w:sz w:val="18"/>
          <w:szCs w:val="18"/>
        </w:rPr>
        <w:t>(3</w:t>
      </w:r>
      <w:r w:rsidR="004A14B2">
        <w:rPr>
          <w:rFonts w:ascii="Arial" w:hAnsi="Arial" w:cs="Arial"/>
          <w:sz w:val="18"/>
          <w:szCs w:val="18"/>
        </w:rPr>
        <w:t>4,9</w:t>
      </w:r>
      <w:r w:rsidR="008F319D" w:rsidRPr="004A47F2">
        <w:rPr>
          <w:rFonts w:ascii="Arial" w:hAnsi="Arial" w:cs="Arial"/>
          <w:sz w:val="18"/>
          <w:szCs w:val="18"/>
        </w:rPr>
        <w:t xml:space="preserve"> mld. Kč) </w:t>
      </w:r>
      <w:r w:rsidR="00164580" w:rsidRPr="004A47F2">
        <w:rPr>
          <w:rFonts w:ascii="Arial" w:hAnsi="Arial" w:cs="Arial"/>
          <w:sz w:val="18"/>
          <w:szCs w:val="18"/>
        </w:rPr>
        <w:t>nebo Ázerbájdžánem</w:t>
      </w:r>
      <w:r w:rsidR="008F319D" w:rsidRPr="004A47F2">
        <w:rPr>
          <w:rFonts w:ascii="Arial" w:hAnsi="Arial" w:cs="Arial"/>
          <w:sz w:val="18"/>
          <w:szCs w:val="18"/>
        </w:rPr>
        <w:t xml:space="preserve"> (23,</w:t>
      </w:r>
      <w:r w:rsidR="004A14B2">
        <w:rPr>
          <w:rFonts w:ascii="Arial" w:hAnsi="Arial" w:cs="Arial"/>
          <w:sz w:val="18"/>
          <w:szCs w:val="18"/>
        </w:rPr>
        <w:t>6</w:t>
      </w:r>
      <w:r w:rsidR="008F319D" w:rsidRPr="004A47F2">
        <w:rPr>
          <w:rFonts w:ascii="Arial" w:hAnsi="Arial" w:cs="Arial"/>
          <w:sz w:val="18"/>
          <w:szCs w:val="18"/>
        </w:rPr>
        <w:t xml:space="preserve"> mld. Kč)</w:t>
      </w:r>
      <w:r w:rsidR="00164580" w:rsidRPr="004A47F2">
        <w:rPr>
          <w:rFonts w:ascii="Arial" w:hAnsi="Arial" w:cs="Arial"/>
          <w:sz w:val="18"/>
          <w:szCs w:val="18"/>
        </w:rPr>
        <w:t xml:space="preserve">. </w:t>
      </w:r>
    </w:p>
    <w:p w:rsidR="008A44CD" w:rsidRDefault="008A44CD" w:rsidP="004F0369">
      <w:pPr>
        <w:pStyle w:val="Nadpis1"/>
        <w:numPr>
          <w:ilvl w:val="0"/>
          <w:numId w:val="1"/>
        </w:numPr>
        <w:spacing w:before="120" w:after="120"/>
        <w:ind w:left="567" w:hanging="567"/>
        <w:rPr>
          <w:rFonts w:ascii="Arial" w:eastAsia="Calibri" w:hAnsi="Arial" w:cs="Arial"/>
          <w:bCs w:val="0"/>
          <w:color w:val="940094"/>
          <w:sz w:val="19"/>
          <w:szCs w:val="19"/>
        </w:rPr>
      </w:pPr>
      <w:r w:rsidRPr="00EC0F6F">
        <w:rPr>
          <w:rFonts w:ascii="Arial" w:eastAsia="Calibri" w:hAnsi="Arial" w:cs="Arial"/>
          <w:bCs w:val="0"/>
          <w:color w:val="940094"/>
          <w:sz w:val="19"/>
          <w:szCs w:val="19"/>
        </w:rPr>
        <w:lastRenderedPageBreak/>
        <w:t>Zbožová struktura zahraničního obchodu Č</w:t>
      </w:r>
      <w:r w:rsidR="004F0369">
        <w:rPr>
          <w:rFonts w:ascii="Arial" w:eastAsia="Calibri" w:hAnsi="Arial" w:cs="Arial"/>
          <w:bCs w:val="0"/>
          <w:color w:val="940094"/>
          <w:sz w:val="19"/>
          <w:szCs w:val="19"/>
        </w:rPr>
        <w:t>eské republiky</w:t>
      </w:r>
    </w:p>
    <w:p w:rsidR="00CB0BED" w:rsidRDefault="0079163B" w:rsidP="0079163B">
      <w:pPr>
        <w:spacing w:after="120"/>
        <w:jc w:val="both"/>
        <w:rPr>
          <w:rFonts w:ascii="Arial" w:hAnsi="Arial" w:cs="Arial"/>
          <w:sz w:val="18"/>
          <w:szCs w:val="18"/>
        </w:rPr>
      </w:pPr>
      <w:r w:rsidRPr="004A47F2">
        <w:rPr>
          <w:rFonts w:ascii="Arial" w:hAnsi="Arial" w:cs="Arial"/>
          <w:sz w:val="18"/>
          <w:szCs w:val="18"/>
        </w:rPr>
        <w:t>Statistická data bývají z hlediska komoditní struktury členěn</w:t>
      </w:r>
      <w:r w:rsidR="00213C12">
        <w:rPr>
          <w:rFonts w:ascii="Arial" w:hAnsi="Arial" w:cs="Arial"/>
          <w:sz w:val="18"/>
          <w:szCs w:val="18"/>
        </w:rPr>
        <w:t>a</w:t>
      </w:r>
      <w:r w:rsidRPr="004A47F2">
        <w:rPr>
          <w:rFonts w:ascii="Arial" w:hAnsi="Arial" w:cs="Arial"/>
          <w:sz w:val="18"/>
          <w:szCs w:val="18"/>
        </w:rPr>
        <w:t xml:space="preserve"> podle různých klasifikací. </w:t>
      </w:r>
    </w:p>
    <w:p w:rsidR="0079163B" w:rsidRDefault="0079163B" w:rsidP="0079163B">
      <w:pPr>
        <w:spacing w:after="120"/>
        <w:jc w:val="both"/>
        <w:rPr>
          <w:rFonts w:ascii="Arial" w:hAnsi="Arial" w:cs="Arial"/>
          <w:sz w:val="18"/>
          <w:szCs w:val="18"/>
        </w:rPr>
      </w:pPr>
      <w:r w:rsidRPr="004A47F2">
        <w:rPr>
          <w:rFonts w:ascii="Arial" w:hAnsi="Arial" w:cs="Arial"/>
          <w:sz w:val="18"/>
          <w:szCs w:val="18"/>
        </w:rPr>
        <w:t xml:space="preserve">Klasifikace široce mezinárodně používaná např. Organizací spojených národů se nazývá Standardní mezinárodní klasifikace zboží a na úrovni SITC </w:t>
      </w:r>
      <w:r>
        <w:rPr>
          <w:rFonts w:ascii="Arial" w:hAnsi="Arial" w:cs="Arial"/>
          <w:sz w:val="18"/>
          <w:szCs w:val="18"/>
        </w:rPr>
        <w:t xml:space="preserve">na jedno místo </w:t>
      </w:r>
      <w:r w:rsidRPr="004A47F2">
        <w:rPr>
          <w:rFonts w:ascii="Arial" w:hAnsi="Arial" w:cs="Arial"/>
          <w:sz w:val="18"/>
          <w:szCs w:val="18"/>
        </w:rPr>
        <w:t xml:space="preserve">podává základní přehled o </w:t>
      </w:r>
      <w:r>
        <w:rPr>
          <w:rFonts w:ascii="Arial" w:hAnsi="Arial" w:cs="Arial"/>
          <w:sz w:val="18"/>
          <w:szCs w:val="18"/>
        </w:rPr>
        <w:t>třídách</w:t>
      </w:r>
      <w:r w:rsidRPr="004A47F2">
        <w:rPr>
          <w:rFonts w:ascii="Arial" w:hAnsi="Arial" w:cs="Arial"/>
          <w:sz w:val="18"/>
          <w:szCs w:val="18"/>
        </w:rPr>
        <w:t xml:space="preserve"> </w:t>
      </w:r>
      <w:bookmarkStart w:id="0" w:name="_GoBack"/>
      <w:bookmarkEnd w:id="0"/>
      <w:r w:rsidRPr="004A47F2">
        <w:rPr>
          <w:rFonts w:ascii="Arial" w:hAnsi="Arial" w:cs="Arial"/>
          <w:sz w:val="18"/>
          <w:szCs w:val="18"/>
        </w:rPr>
        <w:t xml:space="preserve">zboží vstupujících do zahraničního obchodu. Klasifikace na úrovni SITC </w:t>
      </w:r>
      <w:r>
        <w:rPr>
          <w:rFonts w:ascii="Arial" w:hAnsi="Arial" w:cs="Arial"/>
          <w:sz w:val="18"/>
          <w:szCs w:val="18"/>
        </w:rPr>
        <w:t>na dvě místa</w:t>
      </w:r>
      <w:r w:rsidRPr="004A47F2">
        <w:rPr>
          <w:rFonts w:ascii="Arial" w:hAnsi="Arial" w:cs="Arial"/>
          <w:sz w:val="18"/>
          <w:szCs w:val="18"/>
        </w:rPr>
        <w:t xml:space="preserve">, taktéž používaná v následujících tabulkách, podává podrobnější popis jednotlivých komodit. </w:t>
      </w:r>
    </w:p>
    <w:p w:rsidR="0079163B" w:rsidRPr="004A47F2" w:rsidRDefault="0079163B" w:rsidP="0079163B">
      <w:pPr>
        <w:spacing w:after="120"/>
        <w:jc w:val="both"/>
        <w:rPr>
          <w:rFonts w:ascii="Arial" w:hAnsi="Arial" w:cs="Arial"/>
          <w:sz w:val="18"/>
          <w:szCs w:val="18"/>
        </w:rPr>
      </w:pPr>
      <w:r w:rsidRPr="004A47F2">
        <w:rPr>
          <w:rFonts w:ascii="Arial" w:hAnsi="Arial" w:cs="Arial"/>
          <w:sz w:val="18"/>
          <w:szCs w:val="18"/>
        </w:rPr>
        <w:t>Na úrovni Evropské unie se běžně používá klasifikace nazývaná Kombinovaná nomenklatura, respektive Harmonizovaný systém. K</w:t>
      </w:r>
      <w:r>
        <w:rPr>
          <w:rFonts w:ascii="Arial" w:hAnsi="Arial" w:cs="Arial"/>
          <w:sz w:val="18"/>
          <w:szCs w:val="18"/>
        </w:rPr>
        <w:t>ombinovaná nomenklatura je sestavena</w:t>
      </w:r>
      <w:r w:rsidRPr="004A47F2">
        <w:rPr>
          <w:rFonts w:ascii="Arial" w:hAnsi="Arial" w:cs="Arial"/>
          <w:sz w:val="18"/>
          <w:szCs w:val="18"/>
        </w:rPr>
        <w:t xml:space="preserve"> z osmičíselného kódu a umožňuje tak </w:t>
      </w:r>
      <w:r>
        <w:rPr>
          <w:rFonts w:ascii="Arial" w:hAnsi="Arial" w:cs="Arial"/>
          <w:sz w:val="18"/>
          <w:szCs w:val="18"/>
        </w:rPr>
        <w:t xml:space="preserve">nejpodrobnější </w:t>
      </w:r>
      <w:r w:rsidRPr="004A47F2">
        <w:rPr>
          <w:rFonts w:ascii="Arial" w:hAnsi="Arial" w:cs="Arial"/>
          <w:sz w:val="18"/>
          <w:szCs w:val="18"/>
        </w:rPr>
        <w:t xml:space="preserve">zařazení jednotlivých </w:t>
      </w:r>
      <w:r>
        <w:rPr>
          <w:rFonts w:ascii="Arial" w:hAnsi="Arial" w:cs="Arial"/>
          <w:sz w:val="18"/>
          <w:szCs w:val="18"/>
        </w:rPr>
        <w:t>druhů zboží</w:t>
      </w:r>
      <w:r w:rsidRPr="004A47F2">
        <w:rPr>
          <w:rFonts w:ascii="Arial" w:hAnsi="Arial" w:cs="Arial"/>
          <w:sz w:val="18"/>
          <w:szCs w:val="18"/>
        </w:rPr>
        <w:t xml:space="preserve">. </w:t>
      </w:r>
    </w:p>
    <w:p w:rsidR="00EF5174" w:rsidRDefault="00EF5174" w:rsidP="00EF5174">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t>O</w:t>
      </w:r>
      <w:r w:rsidRPr="00C3100B">
        <w:rPr>
          <w:rFonts w:ascii="Arial" w:eastAsia="Calibri" w:hAnsi="Arial" w:cs="Arial"/>
          <w:b/>
          <w:color w:val="940094"/>
          <w:sz w:val="18"/>
          <w:szCs w:val="18"/>
        </w:rPr>
        <w:t xml:space="preserve">bchod </w:t>
      </w:r>
      <w:r>
        <w:rPr>
          <w:rFonts w:ascii="Arial" w:eastAsia="Calibri" w:hAnsi="Arial" w:cs="Arial"/>
          <w:b/>
          <w:color w:val="940094"/>
          <w:sz w:val="18"/>
          <w:szCs w:val="18"/>
        </w:rPr>
        <w:t xml:space="preserve">podle </w:t>
      </w:r>
      <w:r w:rsidRPr="00EF5174">
        <w:rPr>
          <w:rFonts w:ascii="Arial" w:eastAsia="Calibri" w:hAnsi="Arial" w:cs="Arial"/>
          <w:b/>
          <w:color w:val="940094"/>
          <w:sz w:val="18"/>
          <w:szCs w:val="18"/>
        </w:rPr>
        <w:t>Standardní mezinárodní klasifikace zboží</w:t>
      </w:r>
      <w:r w:rsidRPr="00C3100B">
        <w:rPr>
          <w:rFonts w:ascii="Arial" w:eastAsia="Calibri" w:hAnsi="Arial" w:cs="Arial"/>
          <w:b/>
          <w:color w:val="940094"/>
          <w:sz w:val="18"/>
          <w:szCs w:val="18"/>
        </w:rPr>
        <w:t xml:space="preserve"> </w:t>
      </w:r>
    </w:p>
    <w:p w:rsidR="00FC471C" w:rsidRDefault="008F35DB" w:rsidP="0095696D">
      <w:pPr>
        <w:spacing w:after="120"/>
        <w:jc w:val="both"/>
        <w:rPr>
          <w:rFonts w:ascii="Arial" w:hAnsi="Arial" w:cs="Arial"/>
          <w:sz w:val="18"/>
          <w:szCs w:val="18"/>
        </w:rPr>
      </w:pPr>
      <w:r w:rsidRPr="004A47F2">
        <w:rPr>
          <w:rFonts w:ascii="Arial" w:hAnsi="Arial" w:cs="Arial"/>
          <w:sz w:val="18"/>
          <w:szCs w:val="18"/>
        </w:rPr>
        <w:t xml:space="preserve">Zahraniční obchod podle SITC popisuje tabulka 6.1. </w:t>
      </w:r>
      <w:r w:rsidR="002217F1" w:rsidRPr="004A47F2">
        <w:rPr>
          <w:rFonts w:ascii="Arial" w:hAnsi="Arial" w:cs="Arial"/>
          <w:sz w:val="18"/>
          <w:szCs w:val="18"/>
        </w:rPr>
        <w:t>Je zde uveden obrat, dovoz</w:t>
      </w:r>
      <w:r w:rsidR="009E5034">
        <w:rPr>
          <w:rFonts w:ascii="Arial" w:hAnsi="Arial" w:cs="Arial"/>
          <w:sz w:val="18"/>
          <w:szCs w:val="18"/>
        </w:rPr>
        <w:t>,</w:t>
      </w:r>
      <w:r w:rsidR="002217F1" w:rsidRPr="004A47F2">
        <w:rPr>
          <w:rFonts w:ascii="Arial" w:hAnsi="Arial" w:cs="Arial"/>
          <w:sz w:val="18"/>
          <w:szCs w:val="18"/>
        </w:rPr>
        <w:t xml:space="preserve"> vývoz</w:t>
      </w:r>
      <w:r w:rsidR="009E5034">
        <w:rPr>
          <w:rFonts w:ascii="Arial" w:hAnsi="Arial" w:cs="Arial"/>
          <w:sz w:val="18"/>
          <w:szCs w:val="18"/>
        </w:rPr>
        <w:t xml:space="preserve"> a bilance</w:t>
      </w:r>
      <w:r w:rsidR="002217F1" w:rsidRPr="004A47F2">
        <w:rPr>
          <w:rFonts w:ascii="Arial" w:hAnsi="Arial" w:cs="Arial"/>
          <w:sz w:val="18"/>
          <w:szCs w:val="18"/>
        </w:rPr>
        <w:t xml:space="preserve"> v mil. Kč, stejně jako meziroční index vývoje dané třídy SITC a podíl jejího zastoupení v %. </w:t>
      </w:r>
    </w:p>
    <w:p w:rsidR="0095696D" w:rsidRDefault="0095696D" w:rsidP="0095696D">
      <w:pPr>
        <w:spacing w:before="120"/>
        <w:jc w:val="both"/>
        <w:rPr>
          <w:rFonts w:ascii="Arial" w:hAnsi="Arial" w:cs="Arial"/>
          <w:sz w:val="18"/>
          <w:szCs w:val="18"/>
        </w:rPr>
      </w:pPr>
      <w:r w:rsidRPr="004A47F2">
        <w:rPr>
          <w:rFonts w:ascii="Arial" w:hAnsi="Arial" w:cs="Arial"/>
          <w:sz w:val="18"/>
          <w:szCs w:val="18"/>
        </w:rPr>
        <w:t>Celkově nejvíce obchodované jsou v zahraničním obchodě Č</w:t>
      </w:r>
      <w:r>
        <w:rPr>
          <w:rFonts w:ascii="Arial" w:hAnsi="Arial" w:cs="Arial"/>
          <w:sz w:val="18"/>
          <w:szCs w:val="18"/>
        </w:rPr>
        <w:t>eské republiky</w:t>
      </w:r>
      <w:r w:rsidRPr="004A47F2">
        <w:rPr>
          <w:rFonts w:ascii="Arial" w:hAnsi="Arial" w:cs="Arial"/>
          <w:sz w:val="18"/>
          <w:szCs w:val="18"/>
        </w:rPr>
        <w:t xml:space="preserve"> stroje a dopravní prostředky, které v obratu </w:t>
      </w:r>
      <w:r>
        <w:rPr>
          <w:rFonts w:ascii="Arial" w:hAnsi="Arial" w:cs="Arial"/>
          <w:sz w:val="18"/>
          <w:szCs w:val="18"/>
        </w:rPr>
        <w:t>zahraničního obchodu</w:t>
      </w:r>
      <w:r w:rsidRPr="004A47F2">
        <w:rPr>
          <w:rFonts w:ascii="Arial" w:hAnsi="Arial" w:cs="Arial"/>
          <w:sz w:val="18"/>
          <w:szCs w:val="18"/>
        </w:rPr>
        <w:t xml:space="preserve"> v roce 2013 zastávaly </w:t>
      </w:r>
      <w:r>
        <w:rPr>
          <w:rFonts w:ascii="Arial" w:hAnsi="Arial" w:cs="Arial"/>
          <w:sz w:val="18"/>
          <w:szCs w:val="18"/>
        </w:rPr>
        <w:t xml:space="preserve">podíl </w:t>
      </w:r>
      <w:r w:rsidRPr="004A47F2">
        <w:rPr>
          <w:rFonts w:ascii="Arial" w:hAnsi="Arial" w:cs="Arial"/>
          <w:sz w:val="18"/>
          <w:szCs w:val="18"/>
        </w:rPr>
        <w:t xml:space="preserve">téměř 48 %, podobně silné zastoupení má tato třída SITC v celém sledovaném období. </w:t>
      </w:r>
    </w:p>
    <w:p w:rsidR="0079163B" w:rsidRDefault="0079163B" w:rsidP="00F31766">
      <w:pPr>
        <w:shd w:val="clear" w:color="auto" w:fill="F5F3F7"/>
        <w:spacing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10</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Zbožová struktura zahraničního obchodu v roce 2013 (podíly v %)</w:t>
      </w:r>
    </w:p>
    <w:p w:rsidR="00CB0BED" w:rsidRDefault="00F31766" w:rsidP="0095696D">
      <w:pPr>
        <w:spacing w:after="0"/>
        <w:jc w:val="both"/>
        <w:rPr>
          <w:rFonts w:ascii="Arial" w:hAnsi="Arial" w:cs="Arial"/>
          <w:sz w:val="18"/>
          <w:szCs w:val="18"/>
        </w:rPr>
      </w:pPr>
      <w:r w:rsidRPr="003A73AE">
        <w:rPr>
          <w:rFonts w:ascii="Arial" w:hAnsi="Arial" w:cs="Arial"/>
          <w:sz w:val="18"/>
          <w:szCs w:val="18"/>
        </w:rPr>
        <w:pict>
          <v:shape id="_x0000_i1036" type="#_x0000_t75" style="width:485pt;height:279.15pt">
            <v:imagedata r:id="rId21" o:title=""/>
          </v:shape>
        </w:pict>
      </w:r>
    </w:p>
    <w:p w:rsidR="00EC2E63" w:rsidRDefault="00EC2E63" w:rsidP="00EC2E63">
      <w:pPr>
        <w:spacing w:after="120"/>
        <w:jc w:val="both"/>
        <w:rPr>
          <w:rFonts w:ascii="Arial" w:hAnsi="Arial" w:cs="Arial"/>
          <w:sz w:val="18"/>
          <w:szCs w:val="18"/>
        </w:rPr>
      </w:pPr>
      <w:r w:rsidRPr="004A47F2">
        <w:rPr>
          <w:rFonts w:ascii="Arial" w:hAnsi="Arial" w:cs="Arial"/>
          <w:sz w:val="18"/>
          <w:szCs w:val="18"/>
        </w:rPr>
        <w:t>Často obchodovanými komoditami v českém zahraničním obchodě jsou dlouhodobě také polotovary a materiály (17,6 % celkového obratu</w:t>
      </w:r>
      <w:r w:rsidR="00192772">
        <w:rPr>
          <w:rFonts w:ascii="Arial" w:hAnsi="Arial" w:cs="Arial"/>
          <w:sz w:val="18"/>
          <w:szCs w:val="18"/>
        </w:rPr>
        <w:t xml:space="preserve"> </w:t>
      </w:r>
      <w:r w:rsidR="00192772" w:rsidRPr="004A47F2">
        <w:rPr>
          <w:rFonts w:ascii="Arial" w:hAnsi="Arial" w:cs="Arial"/>
          <w:sz w:val="18"/>
          <w:szCs w:val="18"/>
        </w:rPr>
        <w:t>v roce 2013</w:t>
      </w:r>
      <w:r w:rsidRPr="004A47F2">
        <w:rPr>
          <w:rFonts w:ascii="Arial" w:hAnsi="Arial" w:cs="Arial"/>
          <w:sz w:val="18"/>
          <w:szCs w:val="18"/>
        </w:rPr>
        <w:t>), průmyslové spotřební zboží (11</w:t>
      </w:r>
      <w:r w:rsidR="00192772">
        <w:rPr>
          <w:rFonts w:ascii="Arial" w:hAnsi="Arial" w:cs="Arial"/>
          <w:sz w:val="18"/>
          <w:szCs w:val="18"/>
        </w:rPr>
        <w:t>,0</w:t>
      </w:r>
      <w:r w:rsidRPr="004A47F2">
        <w:rPr>
          <w:rFonts w:ascii="Arial" w:hAnsi="Arial" w:cs="Arial"/>
          <w:sz w:val="18"/>
          <w:szCs w:val="18"/>
        </w:rPr>
        <w:t xml:space="preserve"> % celkového obratu </w:t>
      </w:r>
      <w:r w:rsidR="00192772" w:rsidRPr="004A47F2">
        <w:rPr>
          <w:rFonts w:ascii="Arial" w:hAnsi="Arial" w:cs="Arial"/>
          <w:sz w:val="18"/>
          <w:szCs w:val="18"/>
        </w:rPr>
        <w:t>v roce 2013</w:t>
      </w:r>
      <w:r w:rsidRPr="004A47F2">
        <w:rPr>
          <w:rFonts w:ascii="Arial" w:hAnsi="Arial" w:cs="Arial"/>
          <w:sz w:val="18"/>
          <w:szCs w:val="18"/>
        </w:rPr>
        <w:t xml:space="preserve">) a chemické výrobky (8,8 % celkového obratu </w:t>
      </w:r>
      <w:r w:rsidR="00192772" w:rsidRPr="004A47F2">
        <w:rPr>
          <w:rFonts w:ascii="Arial" w:hAnsi="Arial" w:cs="Arial"/>
          <w:sz w:val="18"/>
          <w:szCs w:val="18"/>
        </w:rPr>
        <w:t>v roce 2013</w:t>
      </w:r>
      <w:r w:rsidRPr="004A47F2">
        <w:rPr>
          <w:rFonts w:ascii="Arial" w:hAnsi="Arial" w:cs="Arial"/>
          <w:sz w:val="18"/>
          <w:szCs w:val="18"/>
        </w:rPr>
        <w:t xml:space="preserve">). </w:t>
      </w:r>
    </w:p>
    <w:p w:rsidR="00EC2E63" w:rsidRDefault="00EC2E63" w:rsidP="00EC2E63">
      <w:pPr>
        <w:spacing w:after="120"/>
        <w:jc w:val="both"/>
        <w:rPr>
          <w:rFonts w:ascii="Arial" w:hAnsi="Arial" w:cs="Arial"/>
          <w:sz w:val="18"/>
          <w:szCs w:val="18"/>
        </w:rPr>
      </w:pPr>
      <w:r>
        <w:rPr>
          <w:rFonts w:ascii="Arial" w:hAnsi="Arial" w:cs="Arial"/>
          <w:sz w:val="18"/>
          <w:szCs w:val="18"/>
        </w:rPr>
        <w:t>Mezi stroje a dopravní prostředky řadíme</w:t>
      </w:r>
      <w:r w:rsidRPr="004A47F2">
        <w:rPr>
          <w:rFonts w:ascii="Arial" w:hAnsi="Arial" w:cs="Arial"/>
          <w:sz w:val="18"/>
          <w:szCs w:val="18"/>
        </w:rPr>
        <w:t xml:space="preserve"> například automobily nebo výpočetní techniku</w:t>
      </w:r>
      <w:r>
        <w:rPr>
          <w:rFonts w:ascii="Arial" w:hAnsi="Arial" w:cs="Arial"/>
          <w:sz w:val="18"/>
          <w:szCs w:val="18"/>
        </w:rPr>
        <w:t>.</w:t>
      </w:r>
      <w:r w:rsidRPr="004A47F2">
        <w:rPr>
          <w:rFonts w:ascii="Arial" w:hAnsi="Arial" w:cs="Arial"/>
          <w:sz w:val="18"/>
          <w:szCs w:val="18"/>
        </w:rPr>
        <w:t xml:space="preserve"> </w:t>
      </w:r>
      <w:r>
        <w:rPr>
          <w:rFonts w:ascii="Arial" w:hAnsi="Arial" w:cs="Arial"/>
          <w:sz w:val="18"/>
          <w:szCs w:val="18"/>
        </w:rPr>
        <w:t>P</w:t>
      </w:r>
      <w:r w:rsidRPr="004A47F2">
        <w:rPr>
          <w:rFonts w:ascii="Arial" w:hAnsi="Arial" w:cs="Arial"/>
          <w:sz w:val="18"/>
          <w:szCs w:val="18"/>
        </w:rPr>
        <w:t xml:space="preserve">olotovary a materiály obchodované ČR jsou například pneumatiky, sklo nebo papír, mezi průmyslové spotřební zboží se řadí například nábytek, obuv a oděvy nebo hračky. Tyto komodity jsou v českém zahraničním obchodě zastoupeny největším podílem. Vývozu dlouhodobě dominují stroje a dopravní prostředky, jejichž vývoz v roce 2013 představoval téměř 54 % celkového exportu. Import této skupiny také dominuje v percentuálním zastoupení mezi jinými komoditami, </w:t>
      </w:r>
      <w:r w:rsidR="00192772">
        <w:rPr>
          <w:rFonts w:ascii="Arial" w:hAnsi="Arial" w:cs="Arial"/>
          <w:sz w:val="18"/>
          <w:szCs w:val="18"/>
        </w:rPr>
        <w:t xml:space="preserve">v roce 2013 </w:t>
      </w:r>
      <w:r w:rsidRPr="004A47F2">
        <w:rPr>
          <w:rFonts w:ascii="Arial" w:hAnsi="Arial" w:cs="Arial"/>
          <w:sz w:val="18"/>
          <w:szCs w:val="18"/>
        </w:rPr>
        <w:t>jeho podíl na celkovém dovozu ČR tvoř</w:t>
      </w:r>
      <w:r w:rsidR="00192772">
        <w:rPr>
          <w:rFonts w:ascii="Arial" w:hAnsi="Arial" w:cs="Arial"/>
          <w:sz w:val="18"/>
          <w:szCs w:val="18"/>
        </w:rPr>
        <w:t>il</w:t>
      </w:r>
      <w:r w:rsidRPr="004A47F2">
        <w:rPr>
          <w:rFonts w:ascii="Arial" w:hAnsi="Arial" w:cs="Arial"/>
          <w:sz w:val="18"/>
          <w:szCs w:val="18"/>
        </w:rPr>
        <w:t xml:space="preserve"> 41</w:t>
      </w:r>
      <w:r w:rsidR="00192772">
        <w:rPr>
          <w:rFonts w:ascii="Arial" w:hAnsi="Arial" w:cs="Arial"/>
          <w:sz w:val="18"/>
          <w:szCs w:val="18"/>
        </w:rPr>
        <w:t>,0</w:t>
      </w:r>
      <w:r w:rsidRPr="004A47F2">
        <w:rPr>
          <w:rFonts w:ascii="Arial" w:hAnsi="Arial" w:cs="Arial"/>
          <w:sz w:val="18"/>
          <w:szCs w:val="18"/>
        </w:rPr>
        <w:t xml:space="preserve"> %. </w:t>
      </w:r>
    </w:p>
    <w:p w:rsidR="00FC471C" w:rsidRDefault="00737C39" w:rsidP="00FC471C">
      <w:pPr>
        <w:spacing w:before="120" w:after="120"/>
        <w:jc w:val="both"/>
        <w:rPr>
          <w:rFonts w:ascii="Arial" w:hAnsi="Arial" w:cs="Arial"/>
          <w:sz w:val="18"/>
          <w:szCs w:val="18"/>
        </w:rPr>
      </w:pPr>
      <w:r w:rsidRPr="004A47F2">
        <w:rPr>
          <w:rFonts w:ascii="Arial" w:hAnsi="Arial" w:cs="Arial"/>
          <w:sz w:val="18"/>
          <w:szCs w:val="18"/>
        </w:rPr>
        <w:t>Vývoz a dovoz České republiky podle jednotlivých oddí</w:t>
      </w:r>
      <w:r w:rsidR="00457491" w:rsidRPr="004A47F2">
        <w:rPr>
          <w:rFonts w:ascii="Arial" w:hAnsi="Arial" w:cs="Arial"/>
          <w:sz w:val="18"/>
          <w:szCs w:val="18"/>
        </w:rPr>
        <w:t>lů SITC je uveden v tabulce 6.2</w:t>
      </w:r>
      <w:r w:rsidRPr="004A47F2">
        <w:rPr>
          <w:rFonts w:ascii="Arial" w:hAnsi="Arial" w:cs="Arial"/>
          <w:sz w:val="18"/>
          <w:szCs w:val="18"/>
        </w:rPr>
        <w:t xml:space="preserve"> v mil. Kč. V této tabulce jsou blíže popsány jednotlivé oddíly tříd SITC a přehled nejvíce frekventovaných </w:t>
      </w:r>
      <w:r w:rsidR="00DC6124" w:rsidRPr="004A47F2">
        <w:rPr>
          <w:rFonts w:ascii="Arial" w:hAnsi="Arial" w:cs="Arial"/>
          <w:sz w:val="18"/>
          <w:szCs w:val="18"/>
        </w:rPr>
        <w:t xml:space="preserve">tříd </w:t>
      </w:r>
      <w:r w:rsidRPr="004A47F2">
        <w:rPr>
          <w:rFonts w:ascii="Arial" w:hAnsi="Arial" w:cs="Arial"/>
          <w:sz w:val="18"/>
          <w:szCs w:val="18"/>
        </w:rPr>
        <w:t xml:space="preserve">v rámci jednotlivých oddílů v českém dovozu a vývozu. </w:t>
      </w:r>
    </w:p>
    <w:p w:rsidR="00CB0BED" w:rsidRDefault="00CB0BED">
      <w:pPr>
        <w:rPr>
          <w:rFonts w:ascii="Arial" w:hAnsi="Arial" w:cs="Arial"/>
          <w:sz w:val="18"/>
          <w:szCs w:val="18"/>
        </w:rPr>
      </w:pPr>
      <w:r>
        <w:rPr>
          <w:rFonts w:ascii="Arial" w:hAnsi="Arial" w:cs="Arial"/>
          <w:sz w:val="18"/>
          <w:szCs w:val="18"/>
        </w:rPr>
        <w:br w:type="page"/>
      </w:r>
    </w:p>
    <w:p w:rsidR="00FC471C" w:rsidRDefault="00737C39" w:rsidP="00FC471C">
      <w:pPr>
        <w:spacing w:before="120" w:after="120"/>
        <w:jc w:val="both"/>
        <w:rPr>
          <w:rFonts w:ascii="Arial" w:hAnsi="Arial" w:cs="Arial"/>
          <w:sz w:val="18"/>
          <w:szCs w:val="18"/>
        </w:rPr>
      </w:pPr>
      <w:r w:rsidRPr="004A47F2">
        <w:rPr>
          <w:rFonts w:ascii="Arial" w:hAnsi="Arial" w:cs="Arial"/>
          <w:sz w:val="18"/>
          <w:szCs w:val="18"/>
        </w:rPr>
        <w:lastRenderedPageBreak/>
        <w:t>V roce 2013 byl</w:t>
      </w:r>
      <w:r w:rsidR="00896C3A" w:rsidRPr="004A47F2">
        <w:rPr>
          <w:rFonts w:ascii="Arial" w:hAnsi="Arial" w:cs="Arial"/>
          <w:sz w:val="18"/>
          <w:szCs w:val="18"/>
        </w:rPr>
        <w:t>a</w:t>
      </w:r>
      <w:r w:rsidRPr="004A47F2">
        <w:rPr>
          <w:rFonts w:ascii="Arial" w:hAnsi="Arial" w:cs="Arial"/>
          <w:sz w:val="18"/>
          <w:szCs w:val="18"/>
        </w:rPr>
        <w:t xml:space="preserve"> exportován</w:t>
      </w:r>
      <w:r w:rsidR="00896C3A" w:rsidRPr="004A47F2">
        <w:rPr>
          <w:rFonts w:ascii="Arial" w:hAnsi="Arial" w:cs="Arial"/>
          <w:sz w:val="18"/>
          <w:szCs w:val="18"/>
        </w:rPr>
        <w:t>a</w:t>
      </w:r>
      <w:r w:rsidRPr="004A47F2">
        <w:rPr>
          <w:rFonts w:ascii="Arial" w:hAnsi="Arial" w:cs="Arial"/>
          <w:sz w:val="18"/>
          <w:szCs w:val="18"/>
        </w:rPr>
        <w:t xml:space="preserve"> silniční vozidla v hodnotě </w:t>
      </w:r>
      <w:r w:rsidR="00896C3A" w:rsidRPr="004A47F2">
        <w:rPr>
          <w:rFonts w:ascii="Arial" w:hAnsi="Arial" w:cs="Arial"/>
          <w:sz w:val="18"/>
          <w:szCs w:val="18"/>
        </w:rPr>
        <w:t>56</w:t>
      </w:r>
      <w:r w:rsidR="0097225D">
        <w:rPr>
          <w:rFonts w:ascii="Arial" w:hAnsi="Arial" w:cs="Arial"/>
          <w:sz w:val="18"/>
          <w:szCs w:val="18"/>
        </w:rPr>
        <w:t>1,6</w:t>
      </w:r>
      <w:r w:rsidR="00896C3A" w:rsidRPr="004A47F2">
        <w:rPr>
          <w:rFonts w:ascii="Arial" w:hAnsi="Arial" w:cs="Arial"/>
          <w:sz w:val="18"/>
          <w:szCs w:val="18"/>
        </w:rPr>
        <w:t xml:space="preserve"> mld. Kč, přičemž v roce 2004 hodnota exportovaných automobilů činila 25</w:t>
      </w:r>
      <w:r w:rsidR="0097225D">
        <w:rPr>
          <w:rFonts w:ascii="Arial" w:hAnsi="Arial" w:cs="Arial"/>
          <w:sz w:val="18"/>
          <w:szCs w:val="18"/>
        </w:rPr>
        <w:t>6,9</w:t>
      </w:r>
      <w:r w:rsidR="00896C3A" w:rsidRPr="004A47F2">
        <w:rPr>
          <w:rFonts w:ascii="Arial" w:hAnsi="Arial" w:cs="Arial"/>
          <w:sz w:val="18"/>
          <w:szCs w:val="18"/>
        </w:rPr>
        <w:t xml:space="preserve"> mld. Kč. </w:t>
      </w:r>
      <w:r w:rsidR="00DC6124" w:rsidRPr="004A47F2">
        <w:rPr>
          <w:rFonts w:ascii="Arial" w:hAnsi="Arial" w:cs="Arial"/>
          <w:sz w:val="18"/>
          <w:szCs w:val="18"/>
        </w:rPr>
        <w:t xml:space="preserve">Elektrických zařízení, spotřebičů a přístrojů se v uplynulém roce 2013 vyvezlo v hodnotě necelých 310 mld. Kč. </w:t>
      </w:r>
    </w:p>
    <w:p w:rsidR="00202001" w:rsidRDefault="00CB0BED" w:rsidP="00F31766">
      <w:pPr>
        <w:shd w:val="clear" w:color="auto" w:fill="F5F3F7"/>
        <w:spacing w:after="80"/>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11</w:t>
      </w:r>
      <w:r w:rsidRPr="000F1141">
        <w:rPr>
          <w:rFonts w:ascii="Arial" w:hAnsi="Arial" w:cs="Arial"/>
          <w:color w:val="940094"/>
          <w:sz w:val="18"/>
          <w:szCs w:val="18"/>
        </w:rPr>
        <w:tab/>
      </w:r>
      <w:r w:rsidRPr="000F1141">
        <w:rPr>
          <w:rFonts w:ascii="Arial" w:hAnsi="Arial" w:cs="Arial"/>
          <w:color w:val="940094"/>
          <w:sz w:val="18"/>
          <w:szCs w:val="18"/>
        </w:rPr>
        <w:tab/>
      </w:r>
      <w:r>
        <w:rPr>
          <w:rFonts w:ascii="Arial" w:hAnsi="Arial" w:cs="Arial"/>
          <w:color w:val="940094"/>
          <w:sz w:val="18"/>
          <w:szCs w:val="18"/>
        </w:rPr>
        <w:t>Vývoz a dovoz osobních automobilů a dílů a příslušenství motorových vozidel</w:t>
      </w:r>
      <w:r w:rsidR="00202001">
        <w:rPr>
          <w:rFonts w:ascii="Arial" w:hAnsi="Arial" w:cs="Arial"/>
          <w:color w:val="940094"/>
          <w:sz w:val="18"/>
          <w:szCs w:val="18"/>
        </w:rPr>
        <w:t xml:space="preserve"> v mld. Kč</w:t>
      </w:r>
    </w:p>
    <w:p w:rsidR="00CB0BED" w:rsidRDefault="00CB0BED" w:rsidP="00515CA6">
      <w:pPr>
        <w:spacing w:after="40"/>
        <w:ind w:left="1416" w:firstLine="708"/>
        <w:jc w:val="both"/>
        <w:rPr>
          <w:rFonts w:ascii="Arial" w:hAnsi="Arial" w:cs="Arial"/>
          <w:color w:val="940094"/>
          <w:sz w:val="18"/>
          <w:szCs w:val="18"/>
        </w:rPr>
      </w:pPr>
      <w:r>
        <w:rPr>
          <w:rFonts w:ascii="Arial" w:hAnsi="Arial" w:cs="Arial"/>
          <w:color w:val="940094"/>
          <w:sz w:val="18"/>
          <w:szCs w:val="18"/>
        </w:rPr>
        <w:t>vývoz</w:t>
      </w:r>
      <w:r>
        <w:rPr>
          <w:rFonts w:ascii="Arial" w:hAnsi="Arial" w:cs="Arial"/>
          <w:color w:val="940094"/>
          <w:sz w:val="18"/>
          <w:szCs w:val="18"/>
        </w:rPr>
        <w:tab/>
        <w:t xml:space="preserve">                                        </w:t>
      </w:r>
      <w:r>
        <w:rPr>
          <w:rFonts w:ascii="Arial" w:hAnsi="Arial" w:cs="Arial"/>
          <w:color w:val="940094"/>
          <w:sz w:val="18"/>
          <w:szCs w:val="18"/>
        </w:rPr>
        <w:tab/>
      </w:r>
      <w:r>
        <w:rPr>
          <w:rFonts w:ascii="Arial" w:hAnsi="Arial" w:cs="Arial"/>
          <w:color w:val="940094"/>
          <w:sz w:val="18"/>
          <w:szCs w:val="18"/>
        </w:rPr>
        <w:tab/>
      </w:r>
      <w:r>
        <w:rPr>
          <w:rFonts w:ascii="Arial" w:hAnsi="Arial" w:cs="Arial"/>
          <w:color w:val="940094"/>
          <w:sz w:val="18"/>
          <w:szCs w:val="18"/>
        </w:rPr>
        <w:tab/>
        <w:t xml:space="preserve">    </w:t>
      </w:r>
      <w:r w:rsidR="000F611F">
        <w:rPr>
          <w:rFonts w:ascii="Arial" w:hAnsi="Arial" w:cs="Arial"/>
          <w:color w:val="940094"/>
          <w:sz w:val="18"/>
          <w:szCs w:val="18"/>
        </w:rPr>
        <w:t xml:space="preserve">          </w:t>
      </w:r>
      <w:r>
        <w:rPr>
          <w:rFonts w:ascii="Arial" w:hAnsi="Arial" w:cs="Arial"/>
          <w:color w:val="940094"/>
          <w:sz w:val="18"/>
          <w:szCs w:val="18"/>
        </w:rPr>
        <w:t>dovoz</w:t>
      </w:r>
    </w:p>
    <w:p w:rsidR="00CB0BED" w:rsidRDefault="00F31766" w:rsidP="00CB0BED">
      <w:pPr>
        <w:spacing w:after="120"/>
        <w:jc w:val="both"/>
        <w:rPr>
          <w:rFonts w:ascii="Arial" w:hAnsi="Arial" w:cs="Arial"/>
          <w:sz w:val="18"/>
          <w:szCs w:val="18"/>
        </w:rPr>
      </w:pPr>
      <w:r w:rsidRPr="003A73AE">
        <w:rPr>
          <w:rFonts w:ascii="Arial" w:hAnsi="Arial" w:cs="Arial"/>
          <w:noProof/>
          <w:color w:val="FF0000"/>
          <w:sz w:val="18"/>
          <w:szCs w:val="18"/>
          <w:lang w:eastAsia="cs-CZ"/>
        </w:rPr>
        <w:pict>
          <v:shape id="_x0000_i1037" type="#_x0000_t75" style="width:247.9pt;height:171.85pt">
            <v:imagedata r:id="rId22" o:title=""/>
          </v:shape>
        </w:pict>
      </w:r>
      <w:r w:rsidR="002B1F8E">
        <w:rPr>
          <w:rFonts w:ascii="Arial" w:hAnsi="Arial" w:cs="Arial"/>
          <w:noProof/>
          <w:color w:val="FF0000"/>
          <w:sz w:val="18"/>
          <w:szCs w:val="18"/>
          <w:lang w:eastAsia="cs-CZ"/>
        </w:rPr>
        <w:t xml:space="preserve"> </w:t>
      </w:r>
      <w:r w:rsidRPr="003A73AE">
        <w:rPr>
          <w:rFonts w:ascii="Arial" w:hAnsi="Arial" w:cs="Arial"/>
          <w:noProof/>
          <w:color w:val="FF0000"/>
          <w:sz w:val="18"/>
          <w:szCs w:val="18"/>
          <w:lang w:eastAsia="cs-CZ"/>
        </w:rPr>
        <w:pict>
          <v:shape id="_x0000_i1038" type="#_x0000_t75" style="width:230.95pt;height:171.85pt">
            <v:imagedata r:id="rId23" o:title=""/>
          </v:shape>
        </w:pict>
      </w:r>
      <w:r w:rsidR="000F611F">
        <w:rPr>
          <w:rFonts w:ascii="Arial" w:hAnsi="Arial" w:cs="Arial"/>
          <w:noProof/>
          <w:color w:val="FF0000"/>
          <w:sz w:val="18"/>
          <w:szCs w:val="18"/>
          <w:lang w:eastAsia="cs-CZ"/>
        </w:rPr>
        <w:t xml:space="preserve">   </w:t>
      </w:r>
    </w:p>
    <w:p w:rsidR="00737C39" w:rsidRDefault="00DC6124" w:rsidP="00515CA6">
      <w:pPr>
        <w:spacing w:before="240" w:after="240"/>
        <w:jc w:val="both"/>
        <w:rPr>
          <w:rFonts w:ascii="Arial" w:hAnsi="Arial" w:cs="Arial"/>
          <w:sz w:val="18"/>
          <w:szCs w:val="18"/>
        </w:rPr>
      </w:pPr>
      <w:r w:rsidRPr="004A47F2">
        <w:rPr>
          <w:rFonts w:ascii="Arial" w:hAnsi="Arial" w:cs="Arial"/>
          <w:sz w:val="18"/>
          <w:szCs w:val="18"/>
        </w:rPr>
        <w:t>Hodnota silničních vozidel na dovozu dosahovala v roce 2013 téměř 233 mld. Kč a e</w:t>
      </w:r>
      <w:r w:rsidR="0097225D">
        <w:rPr>
          <w:rFonts w:ascii="Arial" w:hAnsi="Arial" w:cs="Arial"/>
          <w:sz w:val="18"/>
          <w:szCs w:val="18"/>
        </w:rPr>
        <w:t>lektrická zařízení, přístroje a </w:t>
      </w:r>
      <w:r w:rsidRPr="004A47F2">
        <w:rPr>
          <w:rFonts w:ascii="Arial" w:hAnsi="Arial" w:cs="Arial"/>
          <w:sz w:val="18"/>
          <w:szCs w:val="18"/>
        </w:rPr>
        <w:t>spotřebiče byly v roce 2013 dovezeny v hodnotě 274</w:t>
      </w:r>
      <w:r w:rsidR="0097225D">
        <w:rPr>
          <w:rFonts w:ascii="Arial" w:hAnsi="Arial" w:cs="Arial"/>
          <w:sz w:val="18"/>
          <w:szCs w:val="18"/>
        </w:rPr>
        <w:t>,3</w:t>
      </w:r>
      <w:r w:rsidRPr="004A47F2">
        <w:rPr>
          <w:rFonts w:ascii="Arial" w:hAnsi="Arial" w:cs="Arial"/>
          <w:sz w:val="18"/>
          <w:szCs w:val="18"/>
        </w:rPr>
        <w:t xml:space="preserve"> mld. Kč. Další významnou položkou na dovozu je ropa (v roce 2013 dovoz v hodnotě 163</w:t>
      </w:r>
      <w:r w:rsidR="0097225D">
        <w:rPr>
          <w:rFonts w:ascii="Arial" w:hAnsi="Arial" w:cs="Arial"/>
          <w:sz w:val="18"/>
          <w:szCs w:val="18"/>
        </w:rPr>
        <w:t>,2</w:t>
      </w:r>
      <w:r w:rsidRPr="004A47F2">
        <w:rPr>
          <w:rFonts w:ascii="Arial" w:hAnsi="Arial" w:cs="Arial"/>
          <w:sz w:val="18"/>
          <w:szCs w:val="18"/>
        </w:rPr>
        <w:t xml:space="preserve"> mld. Kč), od roku 2004 se dovážená hodnota ropy více než zdvojnásobila. </w:t>
      </w:r>
    </w:p>
    <w:p w:rsidR="00EF5174" w:rsidRDefault="00EF5174" w:rsidP="00EF5174">
      <w:pPr>
        <w:pStyle w:val="Odstavecseseznamem"/>
        <w:numPr>
          <w:ilvl w:val="1"/>
          <w:numId w:val="1"/>
        </w:numPr>
        <w:spacing w:after="120"/>
        <w:ind w:left="567" w:hanging="567"/>
        <w:rPr>
          <w:rFonts w:ascii="Arial" w:eastAsia="Calibri" w:hAnsi="Arial" w:cs="Arial"/>
          <w:b/>
          <w:color w:val="940094"/>
          <w:sz w:val="18"/>
          <w:szCs w:val="18"/>
        </w:rPr>
      </w:pPr>
      <w:r>
        <w:rPr>
          <w:rFonts w:ascii="Arial" w:eastAsia="Calibri" w:hAnsi="Arial" w:cs="Arial"/>
          <w:b/>
          <w:color w:val="940094"/>
          <w:sz w:val="18"/>
          <w:szCs w:val="18"/>
        </w:rPr>
        <w:t>O</w:t>
      </w:r>
      <w:r w:rsidRPr="00C3100B">
        <w:rPr>
          <w:rFonts w:ascii="Arial" w:eastAsia="Calibri" w:hAnsi="Arial" w:cs="Arial"/>
          <w:b/>
          <w:color w:val="940094"/>
          <w:sz w:val="18"/>
          <w:szCs w:val="18"/>
        </w:rPr>
        <w:t xml:space="preserve">bchod </w:t>
      </w:r>
      <w:r>
        <w:rPr>
          <w:rFonts w:ascii="Arial" w:eastAsia="Calibri" w:hAnsi="Arial" w:cs="Arial"/>
          <w:b/>
          <w:color w:val="940094"/>
          <w:sz w:val="18"/>
          <w:szCs w:val="18"/>
        </w:rPr>
        <w:t>podle Harmonizovaného systému</w:t>
      </w:r>
      <w:r w:rsidRPr="00C3100B">
        <w:rPr>
          <w:rFonts w:ascii="Arial" w:eastAsia="Calibri" w:hAnsi="Arial" w:cs="Arial"/>
          <w:b/>
          <w:color w:val="940094"/>
          <w:sz w:val="18"/>
          <w:szCs w:val="18"/>
        </w:rPr>
        <w:t xml:space="preserve"> </w:t>
      </w:r>
    </w:p>
    <w:p w:rsidR="00CB0BED" w:rsidRDefault="00DC6124" w:rsidP="0079163B">
      <w:pPr>
        <w:spacing w:after="120"/>
        <w:jc w:val="both"/>
        <w:rPr>
          <w:rFonts w:ascii="Arial" w:hAnsi="Arial" w:cs="Arial"/>
          <w:sz w:val="18"/>
          <w:szCs w:val="18"/>
        </w:rPr>
      </w:pPr>
      <w:r w:rsidRPr="004A47F2">
        <w:rPr>
          <w:rFonts w:ascii="Arial" w:hAnsi="Arial" w:cs="Arial"/>
          <w:sz w:val="18"/>
          <w:szCs w:val="18"/>
        </w:rPr>
        <w:t>Zahraniční obchod podle odlišného členění, podle tříd Kombinované nomenklatury, je uveden v tabulce 6.3.</w:t>
      </w:r>
      <w:r w:rsidR="003A4319" w:rsidRPr="004A47F2">
        <w:rPr>
          <w:rFonts w:ascii="Arial" w:hAnsi="Arial" w:cs="Arial"/>
          <w:sz w:val="18"/>
          <w:szCs w:val="18"/>
        </w:rPr>
        <w:t xml:space="preserve"> </w:t>
      </w:r>
      <w:r w:rsidRPr="004A47F2">
        <w:rPr>
          <w:rFonts w:ascii="Arial" w:hAnsi="Arial" w:cs="Arial"/>
          <w:sz w:val="18"/>
          <w:szCs w:val="18"/>
        </w:rPr>
        <w:t xml:space="preserve">Tabulka je přehledně členěna dle obratu, dovozu, vývozu a bilance zahraničního obchodu v mil. Kč, dále je vývoj zmíněných ukazatelů s výjimkou bilance </w:t>
      </w:r>
      <w:r w:rsidR="003A4319" w:rsidRPr="004A47F2">
        <w:rPr>
          <w:rFonts w:ascii="Arial" w:hAnsi="Arial" w:cs="Arial"/>
          <w:sz w:val="18"/>
          <w:szCs w:val="18"/>
        </w:rPr>
        <w:t xml:space="preserve">zachycen indexem i podílem v %. </w:t>
      </w:r>
    </w:p>
    <w:p w:rsidR="00DC6124" w:rsidRPr="004A47F2" w:rsidRDefault="00957F11" w:rsidP="00CB0BED">
      <w:pPr>
        <w:jc w:val="both"/>
        <w:rPr>
          <w:rFonts w:ascii="Arial" w:hAnsi="Arial" w:cs="Arial"/>
          <w:sz w:val="18"/>
          <w:szCs w:val="18"/>
        </w:rPr>
      </w:pPr>
      <w:r>
        <w:rPr>
          <w:rFonts w:ascii="Arial" w:hAnsi="Arial" w:cs="Arial"/>
          <w:sz w:val="18"/>
          <w:szCs w:val="18"/>
        </w:rPr>
        <w:t>V závěrečných tabulkách datové sady</w:t>
      </w:r>
      <w:r w:rsidR="003A4319" w:rsidRPr="004A47F2">
        <w:rPr>
          <w:rFonts w:ascii="Arial" w:hAnsi="Arial" w:cs="Arial"/>
          <w:sz w:val="18"/>
          <w:szCs w:val="18"/>
        </w:rPr>
        <w:t xml:space="preserve"> jsou jednotlivě uvedeny vybrané položky tříd Kombinované nomenklatury a </w:t>
      </w:r>
      <w:r>
        <w:rPr>
          <w:rFonts w:ascii="Arial" w:hAnsi="Arial" w:cs="Arial"/>
          <w:sz w:val="18"/>
          <w:szCs w:val="18"/>
        </w:rPr>
        <w:t>zároveň</w:t>
      </w:r>
      <w:r w:rsidR="003A4319" w:rsidRPr="004A47F2">
        <w:rPr>
          <w:rFonts w:ascii="Arial" w:hAnsi="Arial" w:cs="Arial"/>
          <w:sz w:val="18"/>
          <w:szCs w:val="18"/>
        </w:rPr>
        <w:t xml:space="preserve"> vývoj jejich vývozu, dovozu a bilance </w:t>
      </w:r>
      <w:r w:rsidR="00FC471C">
        <w:rPr>
          <w:rFonts w:ascii="Arial" w:hAnsi="Arial" w:cs="Arial"/>
          <w:sz w:val="18"/>
          <w:szCs w:val="18"/>
        </w:rPr>
        <w:t>zahraničního obchodu v </w:t>
      </w:r>
      <w:r w:rsidR="003A4319" w:rsidRPr="004A47F2">
        <w:rPr>
          <w:rFonts w:ascii="Arial" w:hAnsi="Arial" w:cs="Arial"/>
          <w:sz w:val="18"/>
          <w:szCs w:val="18"/>
        </w:rPr>
        <w:t xml:space="preserve">letech 2004 </w:t>
      </w:r>
      <w:r w:rsidR="00FC471C">
        <w:rPr>
          <w:rFonts w:ascii="Arial" w:hAnsi="Arial" w:cs="Arial"/>
          <w:sz w:val="18"/>
          <w:szCs w:val="18"/>
        </w:rPr>
        <w:t>až</w:t>
      </w:r>
      <w:r w:rsidR="003A4319" w:rsidRPr="004A47F2">
        <w:rPr>
          <w:rFonts w:ascii="Arial" w:hAnsi="Arial" w:cs="Arial"/>
          <w:sz w:val="18"/>
          <w:szCs w:val="18"/>
        </w:rPr>
        <w:t xml:space="preserve"> 2013 v mil. Kč. </w:t>
      </w:r>
      <w:r w:rsidR="00CB0BED">
        <w:rPr>
          <w:rFonts w:ascii="Arial" w:hAnsi="Arial" w:cs="Arial"/>
          <w:sz w:val="18"/>
          <w:szCs w:val="18"/>
        </w:rPr>
        <w:t>Na základě těchto výběrových tabulek lze vytvořit níže uvedenou tabulku a graf.</w:t>
      </w:r>
    </w:p>
    <w:p w:rsidR="006C657D" w:rsidRDefault="00FC471C" w:rsidP="00202001">
      <w:pPr>
        <w:shd w:val="clear" w:color="auto" w:fill="F5F3F7"/>
        <w:tabs>
          <w:tab w:val="left" w:pos="851"/>
          <w:tab w:val="left" w:pos="1418"/>
          <w:tab w:val="left" w:pos="1701"/>
        </w:tabs>
        <w:spacing w:after="120"/>
        <w:jc w:val="both"/>
        <w:rPr>
          <w:rFonts w:ascii="Arial" w:hAnsi="Arial" w:cs="Arial"/>
          <w:color w:val="940094"/>
          <w:sz w:val="18"/>
          <w:szCs w:val="18"/>
        </w:rPr>
      </w:pPr>
      <w:r w:rsidRPr="00FC471C">
        <w:rPr>
          <w:rFonts w:ascii="Arial" w:hAnsi="Arial" w:cs="Arial"/>
          <w:color w:val="940094"/>
          <w:sz w:val="18"/>
          <w:szCs w:val="18"/>
        </w:rPr>
        <w:t xml:space="preserve">Tabulka </w:t>
      </w:r>
      <w:r w:rsidR="006C657D">
        <w:rPr>
          <w:rFonts w:ascii="Arial" w:hAnsi="Arial" w:cs="Arial"/>
          <w:color w:val="940094"/>
          <w:sz w:val="18"/>
          <w:szCs w:val="18"/>
        </w:rPr>
        <w:t>3</w:t>
      </w:r>
      <w:r w:rsidRPr="00FC471C">
        <w:rPr>
          <w:rFonts w:ascii="Arial" w:hAnsi="Arial" w:cs="Arial"/>
          <w:color w:val="940094"/>
          <w:sz w:val="18"/>
          <w:szCs w:val="18"/>
        </w:rPr>
        <w:tab/>
      </w:r>
      <w:r w:rsidRPr="00FC471C">
        <w:rPr>
          <w:rFonts w:ascii="Arial" w:hAnsi="Arial" w:cs="Arial"/>
          <w:color w:val="940094"/>
          <w:sz w:val="18"/>
          <w:szCs w:val="18"/>
        </w:rPr>
        <w:tab/>
      </w:r>
      <w:r w:rsidR="006C657D">
        <w:rPr>
          <w:rFonts w:ascii="Arial" w:hAnsi="Arial" w:cs="Arial"/>
          <w:color w:val="940094"/>
          <w:sz w:val="18"/>
          <w:szCs w:val="18"/>
        </w:rPr>
        <w:t>Podíl strojů a mechanických zařízení, elektrických zařízení, jejic</w:t>
      </w:r>
      <w:r w:rsidR="00202001">
        <w:rPr>
          <w:rFonts w:ascii="Arial" w:hAnsi="Arial" w:cs="Arial"/>
          <w:color w:val="940094"/>
          <w:sz w:val="18"/>
          <w:szCs w:val="18"/>
        </w:rPr>
        <w:t>h částí a součástí (třída XVI.)</w:t>
      </w:r>
    </w:p>
    <w:tbl>
      <w:tblPr>
        <w:tblStyle w:val="Mkatabulky"/>
        <w:tblW w:w="9639" w:type="dxa"/>
        <w:jc w:val="center"/>
        <w:tblBorders>
          <w:left w:val="none" w:sz="0" w:space="0" w:color="auto"/>
          <w:right w:val="none" w:sz="0" w:space="0" w:color="auto"/>
        </w:tblBorders>
        <w:tblLook w:val="04A0"/>
      </w:tblPr>
      <w:tblGrid>
        <w:gridCol w:w="1125"/>
        <w:gridCol w:w="865"/>
        <w:gridCol w:w="862"/>
        <w:gridCol w:w="861"/>
        <w:gridCol w:w="862"/>
        <w:gridCol w:w="861"/>
        <w:gridCol w:w="862"/>
        <w:gridCol w:w="826"/>
        <w:gridCol w:w="844"/>
        <w:gridCol w:w="822"/>
        <w:gridCol w:w="849"/>
      </w:tblGrid>
      <w:tr w:rsidR="00FC471C" w:rsidRPr="00FC471C" w:rsidTr="008A5CD4">
        <w:trPr>
          <w:trHeight w:val="369"/>
          <w:jc w:val="center"/>
        </w:trPr>
        <w:tc>
          <w:tcPr>
            <w:tcW w:w="1125" w:type="dxa"/>
            <w:vMerge w:val="restart"/>
            <w:tcBorders>
              <w:top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6C657D" w:rsidP="008A5CD4">
            <w:pPr>
              <w:jc w:val="center"/>
              <w:rPr>
                <w:rFonts w:ascii="Arial" w:hAnsi="Arial" w:cs="Arial"/>
                <w:sz w:val="18"/>
                <w:szCs w:val="18"/>
              </w:rPr>
            </w:pPr>
            <w:r>
              <w:rPr>
                <w:rFonts w:ascii="Arial" w:hAnsi="Arial" w:cs="Arial"/>
                <w:color w:val="940094"/>
                <w:sz w:val="18"/>
                <w:szCs w:val="18"/>
              </w:rPr>
              <w:t xml:space="preserve">                             </w:t>
            </w:r>
          </w:p>
        </w:tc>
        <w:tc>
          <w:tcPr>
            <w:tcW w:w="8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2004</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2005</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2006</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2007</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2008</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2009</w:t>
            </w:r>
          </w:p>
        </w:tc>
        <w:tc>
          <w:tcPr>
            <w:tcW w:w="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2010</w:t>
            </w:r>
          </w:p>
        </w:tc>
        <w:tc>
          <w:tcPr>
            <w:tcW w:w="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2011</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2012</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r w:rsidRPr="00FC471C">
              <w:rPr>
                <w:rFonts w:ascii="Arial" w:hAnsi="Arial" w:cs="Arial"/>
                <w:sz w:val="18"/>
                <w:szCs w:val="18"/>
              </w:rPr>
              <w:t>2013</w:t>
            </w:r>
          </w:p>
        </w:tc>
      </w:tr>
      <w:tr w:rsidR="00FC471C" w:rsidRPr="00FC471C" w:rsidTr="008A5CD4">
        <w:trPr>
          <w:trHeight w:val="369"/>
          <w:jc w:val="center"/>
        </w:trPr>
        <w:tc>
          <w:tcPr>
            <w:tcW w:w="1125" w:type="dxa"/>
            <w:vMerge/>
            <w:tcBorders>
              <w:bottom w:val="single" w:sz="4" w:space="0" w:color="940094"/>
              <w:right w:val="single" w:sz="4" w:space="0" w:color="808080" w:themeColor="background1" w:themeShade="80"/>
            </w:tcBorders>
            <w:shd w:val="clear" w:color="auto" w:fill="E5E0EC"/>
            <w:vAlign w:val="center"/>
          </w:tcPr>
          <w:p w:rsidR="00FC471C" w:rsidRPr="00FC471C" w:rsidRDefault="00FC471C" w:rsidP="008A5CD4">
            <w:pPr>
              <w:jc w:val="center"/>
              <w:rPr>
                <w:rFonts w:ascii="Arial" w:hAnsi="Arial" w:cs="Arial"/>
                <w:sz w:val="18"/>
                <w:szCs w:val="18"/>
              </w:rPr>
            </w:pPr>
          </w:p>
        </w:tc>
        <w:tc>
          <w:tcPr>
            <w:tcW w:w="8514" w:type="dxa"/>
            <w:gridSpan w:val="10"/>
            <w:tcBorders>
              <w:top w:val="single" w:sz="4" w:space="0" w:color="808080" w:themeColor="background1" w:themeShade="80"/>
              <w:left w:val="single" w:sz="4" w:space="0" w:color="808080" w:themeColor="background1" w:themeShade="80"/>
              <w:bottom w:val="single" w:sz="4" w:space="0" w:color="940094"/>
            </w:tcBorders>
            <w:shd w:val="clear" w:color="auto" w:fill="E5E0EC"/>
            <w:vAlign w:val="center"/>
          </w:tcPr>
          <w:p w:rsidR="00FC471C" w:rsidRPr="00FC471C" w:rsidRDefault="006C657D" w:rsidP="006C657D">
            <w:pPr>
              <w:jc w:val="center"/>
              <w:rPr>
                <w:rFonts w:ascii="Arial" w:hAnsi="Arial" w:cs="Arial"/>
                <w:sz w:val="18"/>
                <w:szCs w:val="18"/>
              </w:rPr>
            </w:pPr>
            <w:r>
              <w:rPr>
                <w:rFonts w:ascii="Arial" w:hAnsi="Arial" w:cs="Arial"/>
                <w:sz w:val="18"/>
                <w:szCs w:val="18"/>
              </w:rPr>
              <w:t>podíl v % na celkovém</w:t>
            </w:r>
          </w:p>
        </w:tc>
      </w:tr>
      <w:tr w:rsidR="00FC471C" w:rsidRPr="00FC471C" w:rsidTr="008A5CD4">
        <w:trPr>
          <w:trHeight w:val="283"/>
          <w:jc w:val="center"/>
        </w:trPr>
        <w:tc>
          <w:tcPr>
            <w:tcW w:w="1125" w:type="dxa"/>
            <w:tcBorders>
              <w:top w:val="single" w:sz="4" w:space="0" w:color="940094"/>
              <w:bottom w:val="single" w:sz="4" w:space="0" w:color="808080" w:themeColor="background1" w:themeShade="80"/>
              <w:right w:val="single" w:sz="4" w:space="0" w:color="808080" w:themeColor="background1" w:themeShade="80"/>
            </w:tcBorders>
            <w:vAlign w:val="center"/>
          </w:tcPr>
          <w:p w:rsidR="00FC471C" w:rsidRPr="00FC471C" w:rsidRDefault="006C657D" w:rsidP="0097225D">
            <w:pPr>
              <w:rPr>
                <w:rFonts w:ascii="Arial" w:hAnsi="Arial" w:cs="Arial"/>
                <w:sz w:val="18"/>
                <w:szCs w:val="18"/>
              </w:rPr>
            </w:pPr>
            <w:r>
              <w:rPr>
                <w:rFonts w:ascii="Arial" w:hAnsi="Arial" w:cs="Arial"/>
                <w:sz w:val="18"/>
                <w:szCs w:val="18"/>
              </w:rPr>
              <w:t>v</w:t>
            </w:r>
            <w:r w:rsidR="00FC471C" w:rsidRPr="00FC471C">
              <w:rPr>
                <w:rFonts w:ascii="Arial" w:hAnsi="Arial" w:cs="Arial"/>
                <w:sz w:val="18"/>
                <w:szCs w:val="18"/>
              </w:rPr>
              <w:t>ývoz</w:t>
            </w:r>
            <w:r w:rsidR="0097225D">
              <w:rPr>
                <w:rFonts w:ascii="Arial" w:hAnsi="Arial" w:cs="Arial"/>
                <w:sz w:val="18"/>
                <w:szCs w:val="18"/>
              </w:rPr>
              <w:t>u</w:t>
            </w:r>
          </w:p>
        </w:tc>
        <w:tc>
          <w:tcPr>
            <w:tcW w:w="865"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35,1</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33,8</w:t>
            </w:r>
          </w:p>
        </w:tc>
        <w:tc>
          <w:tcPr>
            <w:tcW w:w="86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35,5</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37,1</w:t>
            </w:r>
          </w:p>
        </w:tc>
        <w:tc>
          <w:tcPr>
            <w:tcW w:w="861"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37,7</w:t>
            </w:r>
          </w:p>
        </w:tc>
        <w:tc>
          <w:tcPr>
            <w:tcW w:w="86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36,0</w:t>
            </w:r>
          </w:p>
        </w:tc>
        <w:tc>
          <w:tcPr>
            <w:tcW w:w="826"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37,3</w:t>
            </w:r>
          </w:p>
        </w:tc>
        <w:tc>
          <w:tcPr>
            <w:tcW w:w="844"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37,4</w:t>
            </w:r>
          </w:p>
        </w:tc>
        <w:tc>
          <w:tcPr>
            <w:tcW w:w="822" w:type="dxa"/>
            <w:tcBorders>
              <w:top w:val="single" w:sz="4" w:space="0" w:color="940094"/>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36,7</w:t>
            </w:r>
          </w:p>
        </w:tc>
        <w:tc>
          <w:tcPr>
            <w:tcW w:w="849" w:type="dxa"/>
            <w:tcBorders>
              <w:top w:val="single" w:sz="4" w:space="0" w:color="940094"/>
              <w:left w:val="single" w:sz="4" w:space="0" w:color="808080" w:themeColor="background1" w:themeShade="80"/>
              <w:bottom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35,8</w:t>
            </w:r>
          </w:p>
        </w:tc>
      </w:tr>
      <w:tr w:rsidR="00FC471C" w:rsidRPr="00FC471C" w:rsidTr="008A5CD4">
        <w:trPr>
          <w:trHeight w:val="283"/>
          <w:jc w:val="center"/>
        </w:trPr>
        <w:tc>
          <w:tcPr>
            <w:tcW w:w="112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97225D">
            <w:pPr>
              <w:rPr>
                <w:rFonts w:ascii="Arial" w:hAnsi="Arial" w:cs="Arial"/>
                <w:sz w:val="18"/>
                <w:szCs w:val="18"/>
              </w:rPr>
            </w:pPr>
            <w:r>
              <w:rPr>
                <w:rFonts w:ascii="Arial" w:hAnsi="Arial" w:cs="Arial"/>
                <w:sz w:val="18"/>
                <w:szCs w:val="18"/>
              </w:rPr>
              <w:t>d</w:t>
            </w:r>
            <w:r w:rsidR="00FC471C" w:rsidRPr="00FC471C">
              <w:rPr>
                <w:rFonts w:ascii="Arial" w:hAnsi="Arial" w:cs="Arial"/>
                <w:sz w:val="18"/>
                <w:szCs w:val="18"/>
              </w:rPr>
              <w:t>ovoz</w:t>
            </w:r>
            <w:r w:rsidR="0097225D">
              <w:rPr>
                <w:rFonts w:ascii="Arial" w:hAnsi="Arial" w:cs="Arial"/>
                <w:sz w:val="18"/>
                <w:szCs w:val="18"/>
              </w:rPr>
              <w:t>u</w:t>
            </w:r>
          </w:p>
        </w:tc>
        <w:tc>
          <w:tcPr>
            <w:tcW w:w="8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32,7</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30,5</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32,3</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33,8</w:t>
            </w:r>
          </w:p>
        </w:tc>
        <w:tc>
          <w:tcPr>
            <w:tcW w:w="8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32,8</w:t>
            </w:r>
          </w:p>
        </w:tc>
        <w:tc>
          <w:tcPr>
            <w:tcW w:w="8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33,1</w:t>
            </w:r>
          </w:p>
        </w:tc>
        <w:tc>
          <w:tcPr>
            <w:tcW w:w="8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35,4</w:t>
            </w:r>
          </w:p>
        </w:tc>
        <w:tc>
          <w:tcPr>
            <w:tcW w:w="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34,0</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33,0</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C471C" w:rsidRPr="00FC471C" w:rsidRDefault="006C657D" w:rsidP="008A5CD4">
            <w:pPr>
              <w:jc w:val="right"/>
              <w:rPr>
                <w:rFonts w:ascii="Arial" w:hAnsi="Arial" w:cs="Arial"/>
                <w:sz w:val="18"/>
                <w:szCs w:val="18"/>
              </w:rPr>
            </w:pPr>
            <w:r>
              <w:rPr>
                <w:rFonts w:ascii="Arial" w:hAnsi="Arial" w:cs="Arial"/>
                <w:sz w:val="18"/>
                <w:szCs w:val="18"/>
              </w:rPr>
              <w:t>32,5</w:t>
            </w:r>
          </w:p>
        </w:tc>
      </w:tr>
    </w:tbl>
    <w:p w:rsidR="00EF318C" w:rsidRPr="004A47F2" w:rsidRDefault="00EF318C" w:rsidP="00BD1D57">
      <w:pPr>
        <w:spacing w:after="0"/>
        <w:rPr>
          <w:rFonts w:ascii="Arial" w:hAnsi="Arial" w:cs="Arial"/>
          <w:sz w:val="18"/>
          <w:szCs w:val="18"/>
        </w:rPr>
      </w:pPr>
    </w:p>
    <w:p w:rsidR="00BD1D57" w:rsidRDefault="00BD1D57" w:rsidP="00F31766">
      <w:pPr>
        <w:shd w:val="clear" w:color="auto" w:fill="F5F3F7"/>
        <w:spacing w:before="120" w:after="120"/>
        <w:jc w:val="both"/>
        <w:rPr>
          <w:rFonts w:ascii="Arial" w:hAnsi="Arial" w:cs="Arial"/>
          <w:color w:val="940094"/>
          <w:sz w:val="18"/>
          <w:szCs w:val="18"/>
        </w:rPr>
      </w:pPr>
      <w:r w:rsidRPr="000F1141">
        <w:rPr>
          <w:rFonts w:ascii="Arial" w:hAnsi="Arial" w:cs="Arial"/>
          <w:color w:val="940094"/>
          <w:sz w:val="18"/>
          <w:szCs w:val="18"/>
        </w:rPr>
        <w:t xml:space="preserve">Graf </w:t>
      </w:r>
      <w:r>
        <w:rPr>
          <w:rFonts w:ascii="Arial" w:hAnsi="Arial" w:cs="Arial"/>
          <w:color w:val="940094"/>
          <w:sz w:val="18"/>
          <w:szCs w:val="18"/>
        </w:rPr>
        <w:t>1</w:t>
      </w:r>
      <w:r w:rsidR="00EC2E63">
        <w:rPr>
          <w:rFonts w:ascii="Arial" w:hAnsi="Arial" w:cs="Arial"/>
          <w:color w:val="940094"/>
          <w:sz w:val="18"/>
          <w:szCs w:val="18"/>
        </w:rPr>
        <w:t>2</w:t>
      </w:r>
      <w:r w:rsidRPr="000F1141">
        <w:rPr>
          <w:rFonts w:ascii="Arial" w:hAnsi="Arial" w:cs="Arial"/>
          <w:color w:val="940094"/>
          <w:sz w:val="18"/>
          <w:szCs w:val="18"/>
        </w:rPr>
        <w:tab/>
      </w:r>
      <w:r w:rsidRPr="000F1141">
        <w:rPr>
          <w:rFonts w:ascii="Arial" w:hAnsi="Arial" w:cs="Arial"/>
          <w:color w:val="940094"/>
          <w:sz w:val="18"/>
          <w:szCs w:val="18"/>
        </w:rPr>
        <w:tab/>
      </w:r>
      <w:r w:rsidR="00EC2E63">
        <w:rPr>
          <w:rFonts w:ascii="Arial" w:hAnsi="Arial" w:cs="Arial"/>
          <w:color w:val="940094"/>
          <w:sz w:val="18"/>
          <w:szCs w:val="18"/>
        </w:rPr>
        <w:t>Zahraniční obchod se</w:t>
      </w:r>
      <w:r>
        <w:rPr>
          <w:rFonts w:ascii="Arial" w:hAnsi="Arial" w:cs="Arial"/>
          <w:color w:val="940094"/>
          <w:sz w:val="18"/>
          <w:szCs w:val="18"/>
        </w:rPr>
        <w:t xml:space="preserve"> zařízení</w:t>
      </w:r>
      <w:r w:rsidR="00EC2E63">
        <w:rPr>
          <w:rFonts w:ascii="Arial" w:hAnsi="Arial" w:cs="Arial"/>
          <w:color w:val="940094"/>
          <w:sz w:val="18"/>
          <w:szCs w:val="18"/>
        </w:rPr>
        <w:t>m</w:t>
      </w:r>
      <w:r w:rsidR="00AA6360">
        <w:rPr>
          <w:rFonts w:ascii="Arial" w:hAnsi="Arial" w:cs="Arial"/>
          <w:color w:val="940094"/>
          <w:sz w:val="18"/>
          <w:szCs w:val="18"/>
        </w:rPr>
        <w:t xml:space="preserve"> pro automatizované zpracování dat (HS 8471)</w:t>
      </w:r>
      <w:r w:rsidR="00202001">
        <w:rPr>
          <w:rFonts w:ascii="Arial" w:hAnsi="Arial" w:cs="Arial"/>
          <w:color w:val="940094"/>
          <w:sz w:val="18"/>
          <w:szCs w:val="18"/>
        </w:rPr>
        <w:t>, 2004 - 2013</w:t>
      </w:r>
    </w:p>
    <w:p w:rsidR="001076A9" w:rsidRPr="004A47F2" w:rsidRDefault="00F31766" w:rsidP="00F31766">
      <w:pPr>
        <w:rPr>
          <w:rFonts w:ascii="Arial" w:hAnsi="Arial" w:cs="Arial"/>
          <w:sz w:val="18"/>
          <w:szCs w:val="18"/>
        </w:rPr>
      </w:pPr>
      <w:r w:rsidRPr="003A73AE">
        <w:rPr>
          <w:rFonts w:ascii="Arial" w:hAnsi="Arial" w:cs="Arial"/>
          <w:sz w:val="18"/>
          <w:szCs w:val="18"/>
        </w:rPr>
        <w:pict>
          <v:shape id="_x0000_i1039" type="#_x0000_t75" style="width:487pt;height:164.4pt">
            <v:imagedata r:id="rId24" o:title=""/>
          </v:shape>
        </w:pict>
      </w:r>
    </w:p>
    <w:sectPr w:rsidR="001076A9" w:rsidRPr="004A47F2" w:rsidSect="004A47F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D6" w:rsidRDefault="001D51D6" w:rsidP="00C553D4">
      <w:pPr>
        <w:spacing w:after="0" w:line="240" w:lineRule="auto"/>
      </w:pPr>
      <w:r>
        <w:separator/>
      </w:r>
    </w:p>
  </w:endnote>
  <w:endnote w:type="continuationSeparator" w:id="0">
    <w:p w:rsidR="001D51D6" w:rsidRDefault="001D51D6" w:rsidP="00C5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D6" w:rsidRDefault="001D51D6" w:rsidP="00C553D4">
      <w:pPr>
        <w:spacing w:after="0" w:line="240" w:lineRule="auto"/>
      </w:pPr>
      <w:r>
        <w:separator/>
      </w:r>
    </w:p>
  </w:footnote>
  <w:footnote w:type="continuationSeparator" w:id="0">
    <w:p w:rsidR="001D51D6" w:rsidRDefault="001D51D6" w:rsidP="00C553D4">
      <w:pPr>
        <w:spacing w:after="0" w:line="240" w:lineRule="auto"/>
      </w:pPr>
      <w:r>
        <w:continuationSeparator/>
      </w:r>
    </w:p>
  </w:footnote>
  <w:footnote w:id="1">
    <w:p w:rsidR="00C553D4" w:rsidRPr="00C553D4" w:rsidRDefault="00C553D4" w:rsidP="00C553D4">
      <w:pPr>
        <w:pStyle w:val="Textpoznpodarou"/>
        <w:spacing w:before="80"/>
        <w:jc w:val="both"/>
        <w:rPr>
          <w:rFonts w:ascii="Arial" w:hAnsi="Arial" w:cs="Arial"/>
          <w:sz w:val="16"/>
          <w:szCs w:val="16"/>
        </w:rPr>
      </w:pPr>
      <w:r w:rsidRPr="00C553D4">
        <w:rPr>
          <w:rStyle w:val="Znakapoznpodarou"/>
          <w:rFonts w:ascii="Arial" w:hAnsi="Arial" w:cs="Arial"/>
          <w:sz w:val="16"/>
          <w:szCs w:val="16"/>
        </w:rPr>
        <w:footnoteRef/>
      </w:r>
      <w:r w:rsidRPr="00C553D4">
        <w:rPr>
          <w:rFonts w:ascii="Arial" w:hAnsi="Arial" w:cs="Arial"/>
          <w:sz w:val="16"/>
          <w:szCs w:val="16"/>
        </w:rPr>
        <w:t xml:space="preserve"> Státy EU - státy Evropské unie (28 členských států): Belgie, Bulharsko, Česká republika, Dánsko, Estonsko, Finsko, Francie, Chorvatsko, Irsko, Itálie, Kypr, Litva, Lotyšsko, Lucembursko, Maďarsko, Malta, Německo, Nizozemsko, Polsko, Portugalsko, Rakousko, Rumunsko, Řecko, Slovensko, Slovinsko, Spojené království, Španělsko, Švédsko.</w:t>
      </w:r>
    </w:p>
  </w:footnote>
  <w:footnote w:id="2">
    <w:p w:rsidR="0060062D" w:rsidRDefault="0060062D" w:rsidP="00FE30CC">
      <w:pPr>
        <w:pStyle w:val="Textpoznpodarou"/>
        <w:spacing w:before="80" w:after="40"/>
        <w:jc w:val="both"/>
        <w:rPr>
          <w:rFonts w:ascii="Arial" w:hAnsi="Arial" w:cs="Arial"/>
          <w:sz w:val="16"/>
          <w:szCs w:val="16"/>
        </w:rPr>
      </w:pPr>
      <w:r w:rsidRPr="0060062D">
        <w:rPr>
          <w:rStyle w:val="Znakapoznpodarou"/>
          <w:rFonts w:ascii="Arial" w:hAnsi="Arial" w:cs="Arial"/>
          <w:sz w:val="16"/>
          <w:szCs w:val="16"/>
        </w:rPr>
        <w:footnoteRef/>
      </w:r>
      <w:r w:rsidRPr="0060062D">
        <w:rPr>
          <w:rFonts w:ascii="Arial" w:hAnsi="Arial" w:cs="Arial"/>
          <w:sz w:val="16"/>
          <w:szCs w:val="16"/>
        </w:rPr>
        <w:t xml:space="preserve"> </w:t>
      </w:r>
      <w:r>
        <w:rPr>
          <w:rFonts w:ascii="Arial" w:hAnsi="Arial" w:cs="Arial"/>
          <w:sz w:val="16"/>
          <w:szCs w:val="16"/>
        </w:rPr>
        <w:t xml:space="preserve"> </w:t>
      </w:r>
      <w:r w:rsidRPr="0060062D">
        <w:rPr>
          <w:rFonts w:ascii="Arial" w:hAnsi="Arial" w:cs="Arial"/>
          <w:sz w:val="16"/>
          <w:szCs w:val="16"/>
        </w:rPr>
        <w:t xml:space="preserve">Obchod s Německem je proto pro Českou republiku velmi významný, protože i vzájemný obchod je do jisté </w:t>
      </w:r>
      <w:r w:rsidR="009E5034">
        <w:rPr>
          <w:rFonts w:ascii="Arial" w:hAnsi="Arial" w:cs="Arial"/>
          <w:sz w:val="16"/>
          <w:szCs w:val="16"/>
        </w:rPr>
        <w:t xml:space="preserve">míry </w:t>
      </w:r>
      <w:r w:rsidRPr="0060062D">
        <w:rPr>
          <w:rFonts w:ascii="Arial" w:hAnsi="Arial" w:cs="Arial"/>
          <w:sz w:val="16"/>
          <w:szCs w:val="16"/>
        </w:rPr>
        <w:t>ovlivněn ekonomickou situací v Německu a potenciální hospodářské problémy by potažmo mohly být kvůli</w:t>
      </w:r>
      <w:r w:rsidR="009E5034">
        <w:rPr>
          <w:rFonts w:ascii="Arial" w:hAnsi="Arial" w:cs="Arial"/>
          <w:sz w:val="16"/>
          <w:szCs w:val="16"/>
        </w:rPr>
        <w:t xml:space="preserve"> snížení obchodu přeneseny i do </w:t>
      </w:r>
      <w:r w:rsidRPr="0060062D">
        <w:rPr>
          <w:rFonts w:ascii="Arial" w:hAnsi="Arial" w:cs="Arial"/>
          <w:sz w:val="16"/>
          <w:szCs w:val="16"/>
        </w:rPr>
        <w:t>tuzemska. Stejně tak je pro oba státy důležitá kvalita a bezchybnost statistických dat</w:t>
      </w:r>
      <w:r w:rsidR="00213C12">
        <w:rPr>
          <w:rFonts w:ascii="Arial" w:hAnsi="Arial" w:cs="Arial"/>
          <w:sz w:val="16"/>
          <w:szCs w:val="16"/>
        </w:rPr>
        <w:t>,</w:t>
      </w:r>
      <w:r w:rsidRPr="0060062D">
        <w:rPr>
          <w:rFonts w:ascii="Arial" w:hAnsi="Arial" w:cs="Arial"/>
          <w:sz w:val="16"/>
          <w:szCs w:val="16"/>
        </w:rPr>
        <w:t xml:space="preserve"> a proto se statistici obou zemí každoročně setkávají, aby provedli tzv. zrcadlové srovnání statistických dat, díky nimž se srovnají statistiky vždy </w:t>
      </w:r>
      <w:r w:rsidR="009E5034">
        <w:rPr>
          <w:rFonts w:ascii="Arial" w:hAnsi="Arial" w:cs="Arial"/>
          <w:sz w:val="16"/>
          <w:szCs w:val="16"/>
        </w:rPr>
        <w:t>opačné</w:t>
      </w:r>
      <w:r w:rsidRPr="0060062D">
        <w:rPr>
          <w:rFonts w:ascii="Arial" w:hAnsi="Arial" w:cs="Arial"/>
          <w:sz w:val="16"/>
          <w:szCs w:val="16"/>
        </w:rPr>
        <w:t xml:space="preserve">ho směru obchodu obou zemí. </w:t>
      </w:r>
    </w:p>
    <w:p w:rsidR="0060062D" w:rsidRPr="0060062D" w:rsidRDefault="0060062D" w:rsidP="0060062D">
      <w:pPr>
        <w:pStyle w:val="Textpoznpodarou"/>
        <w:jc w:val="both"/>
        <w:rPr>
          <w:rFonts w:ascii="Arial" w:hAnsi="Arial" w:cs="Arial"/>
          <w:sz w:val="16"/>
          <w:szCs w:val="16"/>
        </w:rPr>
      </w:pPr>
      <w:r w:rsidRPr="0060062D">
        <w:rPr>
          <w:rFonts w:ascii="Arial" w:hAnsi="Arial" w:cs="Arial"/>
          <w:sz w:val="16"/>
          <w:szCs w:val="16"/>
        </w:rPr>
        <w:t xml:space="preserve">To často poukazuje na případné chyby ve statistice (většinou se jedná o chyby ze strany zpravodajských jednotek, odlišná data mohou být způsobena také různou metodikou jejich sběru) a může tak dojít k jejich odstranění a eliminaci do budoucna. I díky tomu je udržovaná vysoká kvalita statistických dat. Zrcadlová srovnání </w:t>
      </w:r>
      <w:r w:rsidR="009E5034" w:rsidRPr="0060062D">
        <w:rPr>
          <w:rFonts w:ascii="Arial" w:hAnsi="Arial" w:cs="Arial"/>
          <w:sz w:val="16"/>
          <w:szCs w:val="16"/>
        </w:rPr>
        <w:t xml:space="preserve">provádí </w:t>
      </w:r>
      <w:r w:rsidRPr="0060062D">
        <w:rPr>
          <w:rFonts w:ascii="Arial" w:hAnsi="Arial" w:cs="Arial"/>
          <w:sz w:val="16"/>
          <w:szCs w:val="16"/>
        </w:rPr>
        <w:t xml:space="preserve">Česká republika pravidelně s </w:t>
      </w:r>
      <w:r w:rsidR="009E5034">
        <w:rPr>
          <w:rFonts w:ascii="Arial" w:hAnsi="Arial" w:cs="Arial"/>
          <w:sz w:val="16"/>
          <w:szCs w:val="16"/>
        </w:rPr>
        <w:t xml:space="preserve">významnými obchodními partnery, především pak </w:t>
      </w:r>
      <w:r w:rsidRPr="0060062D">
        <w:rPr>
          <w:rFonts w:ascii="Arial" w:hAnsi="Arial" w:cs="Arial"/>
          <w:sz w:val="16"/>
          <w:szCs w:val="16"/>
        </w:rPr>
        <w:t>evropskými</w:t>
      </w:r>
      <w:r w:rsidR="009E5034">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1868"/>
    <w:multiLevelType w:val="hybridMultilevel"/>
    <w:tmpl w:val="0C08067A"/>
    <w:lvl w:ilvl="0" w:tplc="3CB6856E">
      <w:start w:val="1"/>
      <w:numFmt w:val="bullet"/>
      <w:lvlText w:val="-"/>
      <w:lvlJc w:val="left"/>
      <w:pPr>
        <w:ind w:left="720" w:hanging="360"/>
      </w:pPr>
      <w:rPr>
        <w:rFonts w:ascii="Arial" w:hAnsi="Arial" w:hint="default"/>
        <w:b w:val="0"/>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CA4D31"/>
    <w:multiLevelType w:val="hybridMultilevel"/>
    <w:tmpl w:val="10365C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54775E"/>
    <w:multiLevelType w:val="hybridMultilevel"/>
    <w:tmpl w:val="3778639A"/>
    <w:lvl w:ilvl="0" w:tplc="04050001">
      <w:start w:val="1"/>
      <w:numFmt w:val="bullet"/>
      <w:lvlText w:val=""/>
      <w:lvlJc w:val="left"/>
      <w:pPr>
        <w:ind w:left="720" w:hanging="360"/>
      </w:pPr>
      <w:rPr>
        <w:rFonts w:ascii="Symbol" w:hAnsi="Symbol" w:hint="default"/>
        <w:b w:val="0"/>
        <w:i w:val="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F2586E"/>
    <w:multiLevelType w:val="hybridMultilevel"/>
    <w:tmpl w:val="DC146F12"/>
    <w:lvl w:ilvl="0" w:tplc="23583E8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FF297B"/>
    <w:multiLevelType w:val="multilevel"/>
    <w:tmpl w:val="1E4A7E22"/>
    <w:lvl w:ilvl="0">
      <w:start w:val="1"/>
      <w:numFmt w:val="decimal"/>
      <w:lvlText w:val="%1."/>
      <w:lvlJc w:val="left"/>
      <w:pPr>
        <w:ind w:left="720" w:hanging="360"/>
      </w:pPr>
      <w:rPr>
        <w:sz w:val="19"/>
        <w:szCs w:val="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73D5145"/>
    <w:multiLevelType w:val="hybridMultilevel"/>
    <w:tmpl w:val="6A968E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03311"/>
    <w:rsid w:val="00030D32"/>
    <w:rsid w:val="00043A11"/>
    <w:rsid w:val="0006669D"/>
    <w:rsid w:val="000669AC"/>
    <w:rsid w:val="0007204D"/>
    <w:rsid w:val="000A7DAC"/>
    <w:rsid w:val="000C6D28"/>
    <w:rsid w:val="000F1141"/>
    <w:rsid w:val="000F611F"/>
    <w:rsid w:val="001076A9"/>
    <w:rsid w:val="001142E8"/>
    <w:rsid w:val="0012335C"/>
    <w:rsid w:val="00133A85"/>
    <w:rsid w:val="0013766B"/>
    <w:rsid w:val="00164580"/>
    <w:rsid w:val="00192772"/>
    <w:rsid w:val="00196014"/>
    <w:rsid w:val="001A168A"/>
    <w:rsid w:val="001C0847"/>
    <w:rsid w:val="001D51D6"/>
    <w:rsid w:val="001D5E6E"/>
    <w:rsid w:val="001D6512"/>
    <w:rsid w:val="001E14BD"/>
    <w:rsid w:val="001E2FE0"/>
    <w:rsid w:val="001E7748"/>
    <w:rsid w:val="001F580C"/>
    <w:rsid w:val="00202001"/>
    <w:rsid w:val="002115E1"/>
    <w:rsid w:val="00213C12"/>
    <w:rsid w:val="002147A2"/>
    <w:rsid w:val="002214E7"/>
    <w:rsid w:val="002217F1"/>
    <w:rsid w:val="00246545"/>
    <w:rsid w:val="002640D0"/>
    <w:rsid w:val="002B1F8E"/>
    <w:rsid w:val="002C3BA1"/>
    <w:rsid w:val="002D0DAD"/>
    <w:rsid w:val="002D2C64"/>
    <w:rsid w:val="002D4A6C"/>
    <w:rsid w:val="002F4E7F"/>
    <w:rsid w:val="00345F1E"/>
    <w:rsid w:val="003A4319"/>
    <w:rsid w:val="003A73AE"/>
    <w:rsid w:val="003B43CC"/>
    <w:rsid w:val="003C5914"/>
    <w:rsid w:val="003D7BD8"/>
    <w:rsid w:val="0041085B"/>
    <w:rsid w:val="00433E59"/>
    <w:rsid w:val="00456A8B"/>
    <w:rsid w:val="00457491"/>
    <w:rsid w:val="004738ED"/>
    <w:rsid w:val="004835D3"/>
    <w:rsid w:val="00493053"/>
    <w:rsid w:val="004A14B2"/>
    <w:rsid w:val="004A47F2"/>
    <w:rsid w:val="004B684B"/>
    <w:rsid w:val="004C2121"/>
    <w:rsid w:val="004E109D"/>
    <w:rsid w:val="004E53DD"/>
    <w:rsid w:val="004F0369"/>
    <w:rsid w:val="00503311"/>
    <w:rsid w:val="005065F4"/>
    <w:rsid w:val="00515CA6"/>
    <w:rsid w:val="00536168"/>
    <w:rsid w:val="00555C09"/>
    <w:rsid w:val="00564F5F"/>
    <w:rsid w:val="005826D9"/>
    <w:rsid w:val="005A6FE9"/>
    <w:rsid w:val="005B0C02"/>
    <w:rsid w:val="005C3798"/>
    <w:rsid w:val="005C6FCE"/>
    <w:rsid w:val="005D096F"/>
    <w:rsid w:val="0060062D"/>
    <w:rsid w:val="0061045A"/>
    <w:rsid w:val="0061614D"/>
    <w:rsid w:val="0064643A"/>
    <w:rsid w:val="00646FB1"/>
    <w:rsid w:val="00653944"/>
    <w:rsid w:val="006B160A"/>
    <w:rsid w:val="006B2952"/>
    <w:rsid w:val="006C5645"/>
    <w:rsid w:val="006C657D"/>
    <w:rsid w:val="006E0459"/>
    <w:rsid w:val="006E727C"/>
    <w:rsid w:val="006F396E"/>
    <w:rsid w:val="007049DA"/>
    <w:rsid w:val="007072EE"/>
    <w:rsid w:val="00737C39"/>
    <w:rsid w:val="007473AB"/>
    <w:rsid w:val="00790991"/>
    <w:rsid w:val="0079163B"/>
    <w:rsid w:val="007E727A"/>
    <w:rsid w:val="008170A6"/>
    <w:rsid w:val="0086029F"/>
    <w:rsid w:val="0086213D"/>
    <w:rsid w:val="00870952"/>
    <w:rsid w:val="008828BF"/>
    <w:rsid w:val="00896C3A"/>
    <w:rsid w:val="008A44CD"/>
    <w:rsid w:val="008D494F"/>
    <w:rsid w:val="008F319D"/>
    <w:rsid w:val="008F35DB"/>
    <w:rsid w:val="009009A8"/>
    <w:rsid w:val="009040FB"/>
    <w:rsid w:val="0093516B"/>
    <w:rsid w:val="0094002B"/>
    <w:rsid w:val="0094785A"/>
    <w:rsid w:val="0095696D"/>
    <w:rsid w:val="00957F11"/>
    <w:rsid w:val="009665F2"/>
    <w:rsid w:val="0097032C"/>
    <w:rsid w:val="0097225D"/>
    <w:rsid w:val="00987341"/>
    <w:rsid w:val="009D5385"/>
    <w:rsid w:val="009E5034"/>
    <w:rsid w:val="009E680B"/>
    <w:rsid w:val="00A26E9E"/>
    <w:rsid w:val="00A35374"/>
    <w:rsid w:val="00A35436"/>
    <w:rsid w:val="00A368C9"/>
    <w:rsid w:val="00A63DAF"/>
    <w:rsid w:val="00A63DD2"/>
    <w:rsid w:val="00A747FD"/>
    <w:rsid w:val="00A77119"/>
    <w:rsid w:val="00A81D33"/>
    <w:rsid w:val="00AA4EF9"/>
    <w:rsid w:val="00AA5296"/>
    <w:rsid w:val="00AA6360"/>
    <w:rsid w:val="00AF21C0"/>
    <w:rsid w:val="00B06B11"/>
    <w:rsid w:val="00B103D5"/>
    <w:rsid w:val="00B46D38"/>
    <w:rsid w:val="00B536A4"/>
    <w:rsid w:val="00B5659F"/>
    <w:rsid w:val="00B86CFA"/>
    <w:rsid w:val="00B918EA"/>
    <w:rsid w:val="00B9576F"/>
    <w:rsid w:val="00BB0C4D"/>
    <w:rsid w:val="00BB1EB9"/>
    <w:rsid w:val="00BD1D57"/>
    <w:rsid w:val="00C3100B"/>
    <w:rsid w:val="00C31CA9"/>
    <w:rsid w:val="00C3412D"/>
    <w:rsid w:val="00C553D4"/>
    <w:rsid w:val="00CB0BED"/>
    <w:rsid w:val="00CB5411"/>
    <w:rsid w:val="00CD5272"/>
    <w:rsid w:val="00CE6B92"/>
    <w:rsid w:val="00D029E4"/>
    <w:rsid w:val="00D13A05"/>
    <w:rsid w:val="00D22CD7"/>
    <w:rsid w:val="00D312AE"/>
    <w:rsid w:val="00D345E2"/>
    <w:rsid w:val="00D45544"/>
    <w:rsid w:val="00D7420F"/>
    <w:rsid w:val="00D82702"/>
    <w:rsid w:val="00D8454F"/>
    <w:rsid w:val="00DA752F"/>
    <w:rsid w:val="00DB2E57"/>
    <w:rsid w:val="00DC564C"/>
    <w:rsid w:val="00DC6124"/>
    <w:rsid w:val="00DD4432"/>
    <w:rsid w:val="00DF1547"/>
    <w:rsid w:val="00E114CA"/>
    <w:rsid w:val="00E15429"/>
    <w:rsid w:val="00E60EC8"/>
    <w:rsid w:val="00EA0547"/>
    <w:rsid w:val="00EB3459"/>
    <w:rsid w:val="00EB40CC"/>
    <w:rsid w:val="00EC0F6F"/>
    <w:rsid w:val="00EC2E63"/>
    <w:rsid w:val="00EC3DB0"/>
    <w:rsid w:val="00ED71E9"/>
    <w:rsid w:val="00EE3D6B"/>
    <w:rsid w:val="00EF10BA"/>
    <w:rsid w:val="00EF318C"/>
    <w:rsid w:val="00EF5174"/>
    <w:rsid w:val="00F23EAF"/>
    <w:rsid w:val="00F31766"/>
    <w:rsid w:val="00F52158"/>
    <w:rsid w:val="00F93F2A"/>
    <w:rsid w:val="00FA2239"/>
    <w:rsid w:val="00FA28CB"/>
    <w:rsid w:val="00FC471C"/>
    <w:rsid w:val="00FC4C25"/>
    <w:rsid w:val="00FE30CC"/>
    <w:rsid w:val="00FF1D07"/>
    <w:rsid w:val="00FF7B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3311"/>
    <w:rPr>
      <w:rFonts w:ascii="Times New Roman" w:hAnsi="Times New Roman"/>
    </w:rPr>
  </w:style>
  <w:style w:type="paragraph" w:styleId="Nadpis1">
    <w:name w:val="heading 1"/>
    <w:basedOn w:val="Normln"/>
    <w:next w:val="Normln"/>
    <w:link w:val="Nadpis1Char"/>
    <w:uiPriority w:val="9"/>
    <w:qFormat/>
    <w:rsid w:val="00503311"/>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B918EA"/>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311"/>
    <w:rPr>
      <w:rFonts w:ascii="Times New Roman" w:eastAsiaTheme="majorEastAsia" w:hAnsi="Times New Roman" w:cstheme="majorBidi"/>
      <w:b/>
      <w:bCs/>
      <w:sz w:val="28"/>
      <w:szCs w:val="28"/>
    </w:rPr>
  </w:style>
  <w:style w:type="paragraph" w:styleId="Nzev">
    <w:name w:val="Title"/>
    <w:basedOn w:val="Normln"/>
    <w:next w:val="Normln"/>
    <w:link w:val="NzevChar"/>
    <w:uiPriority w:val="10"/>
    <w:qFormat/>
    <w:rsid w:val="00B918EA"/>
    <w:pPr>
      <w:spacing w:after="300" w:line="240" w:lineRule="auto"/>
      <w:contextualSpacing/>
    </w:pPr>
    <w:rPr>
      <w:rFonts w:eastAsiaTheme="majorEastAsia" w:cstheme="majorBidi"/>
      <w:spacing w:val="5"/>
      <w:kern w:val="28"/>
      <w:sz w:val="40"/>
      <w:szCs w:val="52"/>
    </w:rPr>
  </w:style>
  <w:style w:type="character" w:customStyle="1" w:styleId="NzevChar">
    <w:name w:val="Název Char"/>
    <w:basedOn w:val="Standardnpsmoodstavce"/>
    <w:link w:val="Nzev"/>
    <w:uiPriority w:val="10"/>
    <w:rsid w:val="00B918EA"/>
    <w:rPr>
      <w:rFonts w:ascii="Times New Roman" w:eastAsiaTheme="majorEastAsia" w:hAnsi="Times New Roman" w:cstheme="majorBidi"/>
      <w:spacing w:val="5"/>
      <w:kern w:val="28"/>
      <w:sz w:val="40"/>
      <w:szCs w:val="52"/>
    </w:rPr>
  </w:style>
  <w:style w:type="character" w:customStyle="1" w:styleId="Nadpis2Char">
    <w:name w:val="Nadpis 2 Char"/>
    <w:basedOn w:val="Standardnpsmoodstavce"/>
    <w:link w:val="Nadpis2"/>
    <w:uiPriority w:val="9"/>
    <w:rsid w:val="00B918EA"/>
    <w:rPr>
      <w:rFonts w:ascii="Times New Roman" w:eastAsiaTheme="majorEastAsia" w:hAnsi="Times New Roman" w:cstheme="majorBidi"/>
      <w:b/>
      <w:bCs/>
      <w:sz w:val="26"/>
      <w:szCs w:val="26"/>
    </w:rPr>
  </w:style>
  <w:style w:type="paragraph" w:styleId="Odstavecseseznamem">
    <w:name w:val="List Paragraph"/>
    <w:basedOn w:val="Normln"/>
    <w:uiPriority w:val="34"/>
    <w:qFormat/>
    <w:rsid w:val="00DF1547"/>
    <w:pPr>
      <w:ind w:left="720"/>
      <w:contextualSpacing/>
    </w:pPr>
  </w:style>
  <w:style w:type="paragraph" w:styleId="Textpoznpodarou">
    <w:name w:val="footnote text"/>
    <w:basedOn w:val="Normln"/>
    <w:link w:val="TextpoznpodarouChar"/>
    <w:uiPriority w:val="99"/>
    <w:semiHidden/>
    <w:unhideWhenUsed/>
    <w:rsid w:val="00C553D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53D4"/>
    <w:rPr>
      <w:rFonts w:ascii="Times New Roman" w:hAnsi="Times New Roman"/>
      <w:sz w:val="20"/>
      <w:szCs w:val="20"/>
    </w:rPr>
  </w:style>
  <w:style w:type="character" w:styleId="Znakapoznpodarou">
    <w:name w:val="footnote reference"/>
    <w:basedOn w:val="Standardnpsmoodstavce"/>
    <w:uiPriority w:val="99"/>
    <w:semiHidden/>
    <w:unhideWhenUsed/>
    <w:rsid w:val="00C553D4"/>
    <w:rPr>
      <w:vertAlign w:val="superscript"/>
    </w:rPr>
  </w:style>
  <w:style w:type="table" w:styleId="Mkatabulky">
    <w:name w:val="Table Grid"/>
    <w:basedOn w:val="Normlntabulka"/>
    <w:uiPriority w:val="59"/>
    <w:rsid w:val="0098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3311"/>
    <w:rPr>
      <w:rFonts w:ascii="Times New Roman" w:hAnsi="Times New Roman"/>
    </w:rPr>
  </w:style>
  <w:style w:type="paragraph" w:styleId="Nadpis1">
    <w:name w:val="heading 1"/>
    <w:basedOn w:val="Normln"/>
    <w:next w:val="Normln"/>
    <w:link w:val="Nadpis1Char"/>
    <w:uiPriority w:val="9"/>
    <w:qFormat/>
    <w:rsid w:val="00503311"/>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B918EA"/>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311"/>
    <w:rPr>
      <w:rFonts w:ascii="Times New Roman" w:eastAsiaTheme="majorEastAsia" w:hAnsi="Times New Roman" w:cstheme="majorBidi"/>
      <w:b/>
      <w:bCs/>
      <w:sz w:val="28"/>
      <w:szCs w:val="28"/>
    </w:rPr>
  </w:style>
  <w:style w:type="paragraph" w:styleId="Nzev">
    <w:name w:val="Title"/>
    <w:basedOn w:val="Normln"/>
    <w:next w:val="Normln"/>
    <w:link w:val="NzevChar"/>
    <w:uiPriority w:val="10"/>
    <w:qFormat/>
    <w:rsid w:val="00B918EA"/>
    <w:pPr>
      <w:spacing w:after="300" w:line="240" w:lineRule="auto"/>
      <w:contextualSpacing/>
    </w:pPr>
    <w:rPr>
      <w:rFonts w:eastAsiaTheme="majorEastAsia" w:cstheme="majorBidi"/>
      <w:spacing w:val="5"/>
      <w:kern w:val="28"/>
      <w:sz w:val="40"/>
      <w:szCs w:val="52"/>
    </w:rPr>
  </w:style>
  <w:style w:type="character" w:customStyle="1" w:styleId="NzevChar">
    <w:name w:val="Název Char"/>
    <w:basedOn w:val="Standardnpsmoodstavce"/>
    <w:link w:val="Nzev"/>
    <w:uiPriority w:val="10"/>
    <w:rsid w:val="00B918EA"/>
    <w:rPr>
      <w:rFonts w:ascii="Times New Roman" w:eastAsiaTheme="majorEastAsia" w:hAnsi="Times New Roman" w:cstheme="majorBidi"/>
      <w:spacing w:val="5"/>
      <w:kern w:val="28"/>
      <w:sz w:val="40"/>
      <w:szCs w:val="52"/>
    </w:rPr>
  </w:style>
  <w:style w:type="character" w:customStyle="1" w:styleId="Nadpis2Char">
    <w:name w:val="Nadpis 2 Char"/>
    <w:basedOn w:val="Standardnpsmoodstavce"/>
    <w:link w:val="Nadpis2"/>
    <w:uiPriority w:val="9"/>
    <w:rsid w:val="00B918EA"/>
    <w:rPr>
      <w:rFonts w:ascii="Times New Roman" w:eastAsiaTheme="majorEastAsia" w:hAnsi="Times New Roman"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20463571363924335"/>
          <c:y val="3.1509522848105556E-2"/>
          <c:w val="0.78983120644402594"/>
          <c:h val="0.93969661484622113"/>
        </c:manualLayout>
      </c:layout>
      <c:pieChart>
        <c:varyColors val="1"/>
        <c:ser>
          <c:idx val="0"/>
          <c:order val="0"/>
          <c:spPr>
            <a:solidFill>
              <a:srgbClr val="E5E0EC"/>
            </a:solidFill>
            <a:ln>
              <a:solidFill>
                <a:sysClr val="windowText" lastClr="000000"/>
              </a:solidFill>
            </a:ln>
          </c:spPr>
          <c:dPt>
            <c:idx val="1"/>
            <c:spPr>
              <a:solidFill>
                <a:schemeClr val="bg1"/>
              </a:solidFill>
              <a:ln>
                <a:solidFill>
                  <a:sysClr val="windowText" lastClr="000000"/>
                </a:solidFill>
              </a:ln>
            </c:spPr>
          </c:dPt>
          <c:dLbls>
            <c:dLbl>
              <c:idx val="0"/>
              <c:layout>
                <c:manualLayout>
                  <c:x val="-0.18503601943374098"/>
                  <c:y val="-0.13645927207075986"/>
                </c:manualLayout>
              </c:layout>
              <c:tx>
                <c:rich>
                  <a:bodyPr/>
                  <a:lstStyle/>
                  <a:p>
                    <a:pPr>
                      <a:defRPr/>
                    </a:pPr>
                    <a:r>
                      <a:rPr lang="en-US"/>
                      <a:t>EU</a:t>
                    </a:r>
                    <a:r>
                      <a:rPr lang="cs-CZ"/>
                      <a:t>28</a:t>
                    </a:r>
                  </a:p>
                  <a:p>
                    <a:pPr>
                      <a:defRPr/>
                    </a:pPr>
                    <a:r>
                      <a:rPr lang="en-US"/>
                      <a:t>
</a:t>
                    </a:r>
                    <a:r>
                      <a:rPr lang="cs-CZ"/>
                      <a:t>65,2</a:t>
                    </a:r>
                    <a:r>
                      <a:rPr lang="en-US"/>
                      <a:t>%</a:t>
                    </a:r>
                  </a:p>
                </c:rich>
              </c:tx>
              <c:numFmt formatCode="0.0%" sourceLinked="0"/>
              <c:spPr/>
              <c:dLblPos val="bestFit"/>
            </c:dLbl>
            <c:dLbl>
              <c:idx val="1"/>
              <c:layout>
                <c:manualLayout>
                  <c:x val="0.27033539956441632"/>
                  <c:y val="0.14561437045802841"/>
                </c:manualLayout>
              </c:layout>
              <c:tx>
                <c:rich>
                  <a:bodyPr/>
                  <a:lstStyle/>
                  <a:p>
                    <a:pPr>
                      <a:defRPr/>
                    </a:pPr>
                    <a:r>
                      <a:rPr lang="en-US"/>
                      <a:t>mimo EU</a:t>
                    </a:r>
                    <a:r>
                      <a:rPr lang="cs-CZ"/>
                      <a:t>28</a:t>
                    </a:r>
                  </a:p>
                  <a:p>
                    <a:pPr>
                      <a:defRPr/>
                    </a:pPr>
                    <a:endParaRPr lang="cs-CZ"/>
                  </a:p>
                  <a:p>
                    <a:pPr>
                      <a:defRPr/>
                    </a:pPr>
                    <a:r>
                      <a:rPr lang="cs-CZ"/>
                      <a:t>34,3</a:t>
                    </a:r>
                    <a:r>
                      <a:rPr lang="en-US"/>
                      <a:t>%</a:t>
                    </a:r>
                  </a:p>
                </c:rich>
              </c:tx>
              <c:numFmt formatCode="0.0%" sourceLinked="0"/>
              <c:spPr/>
              <c:dLblPos val="bestFit"/>
            </c:dLbl>
            <c:dLbl>
              <c:idx val="2"/>
              <c:delete val="1"/>
            </c:dLbl>
            <c:numFmt formatCode="0.0%" sourceLinked="0"/>
            <c:showCatName val="1"/>
            <c:showPercent val="1"/>
          </c:dLbls>
          <c:cat>
            <c:strRef>
              <c:f>dovoz!$A$3:$A$5</c:f>
              <c:strCache>
                <c:ptCount val="3"/>
                <c:pt idx="0">
                  <c:v>EU</c:v>
                </c:pt>
                <c:pt idx="1">
                  <c:v>mimo EU</c:v>
                </c:pt>
                <c:pt idx="2">
                  <c:v>nespecifikováno</c:v>
                </c:pt>
              </c:strCache>
            </c:strRef>
          </c:cat>
          <c:val>
            <c:numRef>
              <c:f>dovoz!$B$3:$B$5</c:f>
              <c:numCache>
                <c:formatCode>0.0%</c:formatCode>
                <c:ptCount val="3"/>
                <c:pt idx="0">
                  <c:v>0.64200000000000212</c:v>
                </c:pt>
                <c:pt idx="1">
                  <c:v>0.35400000000000031</c:v>
                </c:pt>
                <c:pt idx="2">
                  <c:v>4.0000000000000114E-3</c:v>
                </c:pt>
              </c:numCache>
            </c:numRef>
          </c:val>
        </c:ser>
        <c:dLbls>
          <c:showCatName val="1"/>
          <c:showPercent val="1"/>
        </c:dLbls>
        <c:firstSliceAng val="0"/>
      </c:pieChart>
      <c:spPr>
        <a:noFill/>
        <a:ln w="25400">
          <a:noFill/>
        </a:ln>
      </c:spPr>
    </c:plotArea>
    <c:plotVisOnly val="1"/>
    <c:dispBlanksAs val="zero"/>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cs-CZ"/>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0.00283</cdr:x>
      <cdr:y>0.0289</cdr:y>
    </cdr:from>
    <cdr:to>
      <cdr:x>0.46479</cdr:x>
      <cdr:y>0.23077</cdr:y>
    </cdr:to>
    <cdr:sp macro="" textlink="">
      <cdr:nvSpPr>
        <cdr:cNvPr id="4" name="TextovéPole 3"/>
        <cdr:cNvSpPr txBox="1"/>
      </cdr:nvSpPr>
      <cdr:spPr>
        <a:xfrm xmlns:a="http://schemas.openxmlformats.org/drawingml/2006/main">
          <a:off x="5741" y="47625"/>
          <a:ext cx="937233" cy="3326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cs-CZ" sz="800">
              <a:latin typeface="Arial" pitchFamily="34" charset="0"/>
              <a:cs typeface="Arial" pitchFamily="34" charset="0"/>
            </a:rPr>
            <a:t>nespecifikováno</a:t>
          </a:r>
        </a:p>
        <a:p xmlns:a="http://schemas.openxmlformats.org/drawingml/2006/main">
          <a:pPr algn="ctr"/>
          <a:r>
            <a:rPr lang="cs-CZ" sz="800">
              <a:latin typeface="Arial" pitchFamily="34" charset="0"/>
              <a:cs typeface="Arial" pitchFamily="34" charset="0"/>
            </a:rPr>
            <a:t>0,5%</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97808-7F9F-41DB-A557-E2B62CEF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Pages>
  <Words>2772</Words>
  <Characters>16355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Heczková</dc:creator>
  <cp:lastModifiedBy>bartlova327</cp:lastModifiedBy>
  <cp:revision>65</cp:revision>
  <cp:lastPrinted>2014-10-23T08:20:00Z</cp:lastPrinted>
  <dcterms:created xsi:type="dcterms:W3CDTF">2014-10-22T05:42:00Z</dcterms:created>
  <dcterms:modified xsi:type="dcterms:W3CDTF">2014-10-27T07:20:00Z</dcterms:modified>
</cp:coreProperties>
</file>