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B8" w:rsidRDefault="001903B8" w:rsidP="001903B8">
      <w:pPr>
        <w:numPr>
          <w:ilvl w:val="0"/>
          <w:numId w:val="18"/>
        </w:numPr>
        <w:rPr>
          <w:b/>
          <w:sz w:val="24"/>
          <w:lang w:eastAsia="ar-SA"/>
        </w:rPr>
      </w:pPr>
      <w:r w:rsidRPr="00EE72EF">
        <w:rPr>
          <w:b/>
          <w:sz w:val="24"/>
          <w:lang w:eastAsia="ar-SA"/>
        </w:rPr>
        <w:t>Dostupnost bydlení</w:t>
      </w:r>
    </w:p>
    <w:p w:rsidR="001903B8" w:rsidRDefault="001903B8" w:rsidP="001903B8">
      <w:pPr>
        <w:ind w:left="360"/>
        <w:rPr>
          <w:b/>
          <w:sz w:val="24"/>
          <w:lang w:eastAsia="ar-SA"/>
        </w:rPr>
      </w:pPr>
    </w:p>
    <w:p w:rsidR="001903B8" w:rsidRPr="00C840A1" w:rsidRDefault="001903B8" w:rsidP="001903B8">
      <w:pPr>
        <w:numPr>
          <w:ilvl w:val="1"/>
          <w:numId w:val="18"/>
        </w:numPr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Domy a byty</w:t>
      </w:r>
    </w:p>
    <w:p w:rsidR="001903B8" w:rsidRDefault="001903B8" w:rsidP="001903B8">
      <w:pPr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50"/>
        <w:gridCol w:w="275"/>
        <w:gridCol w:w="7369"/>
      </w:tblGrid>
      <w:tr w:rsidR="001903B8" w:rsidRPr="00E405C1" w:rsidTr="005F586C">
        <w:tc>
          <w:tcPr>
            <w:tcW w:w="1057" w:type="pct"/>
          </w:tcPr>
          <w:p w:rsidR="001903B8" w:rsidRDefault="001903B8" w:rsidP="005F586C">
            <w:pPr>
              <w:jc w:val="left"/>
              <w:rPr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Poměr kupní ceny bytu nebo domu v daném kraji k velikosti roční průměrné hrubé nominální mzdy dává velmi hrubou představu o dostupnosti bydlení v jednotlivých krajích České republiky… </w:t>
            </w:r>
          </w:p>
        </w:tc>
        <w:tc>
          <w:tcPr>
            <w:tcW w:w="142" w:type="pct"/>
          </w:tcPr>
          <w:p w:rsidR="001903B8" w:rsidRDefault="001903B8" w:rsidP="005F586C">
            <w:pPr>
              <w:pStyle w:val="Textpoznpodarou"/>
              <w:jc w:val="both"/>
            </w:pPr>
          </w:p>
        </w:tc>
        <w:tc>
          <w:tcPr>
            <w:tcW w:w="3801" w:type="pct"/>
          </w:tcPr>
          <w:p w:rsidR="001903B8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Koupěschopnost obyvatelstva je v jednotlivých regionech České republiky různá, což lze vztáhnout i k dostupnosti bydlení. Pokud pro velmi orientační a hrubý odhad použijeme průměrné ceny bytů v jednotlivých krajích ČR a v poměru k nim průměrnou mzdu, lze získat orientační odhad, jak dlouho by bylo nutné v daném kraji „čekat“ na zakoupení bytu ze mzdových příjmů (data za rok 2012).</w:t>
            </w:r>
          </w:p>
          <w:p w:rsidR="001903B8" w:rsidRPr="006360C4" w:rsidRDefault="001903B8" w:rsidP="005F586C">
            <w:pPr>
              <w:pStyle w:val="Textpoznpodarou"/>
              <w:jc w:val="both"/>
              <w:rPr>
                <w:rFonts w:cs="Arial"/>
                <w:bCs/>
                <w:sz w:val="14"/>
                <w:szCs w:val="14"/>
              </w:rPr>
            </w:pPr>
          </w:p>
          <w:p w:rsidR="001903B8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Tato úvaha má samozřejmě jen velmi hrubý charakter, neboť v průběhu let, během nichž by člověk odkládal každý rok prostředky odpovídající statisticky zjištěné průměrné mzdě ve svém kraji - jejíž použití ve výši pro jednotlivé kraje má svá známá úskalí, především že mediánová mzda je odlišná - dochází samozřejmě i ke změnám v cenách bytů, které by si lidé zamýšleli pořídit. Proto je propočtený poměr, tj. jak dlouho by trvalo, než by domácnost našetřila na byt, skutečně pouze technickou veličinou bez významnějšího ekonomicko-analytického náboje.   </w:t>
            </w:r>
          </w:p>
          <w:p w:rsidR="001903B8" w:rsidRPr="00E405C1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</w:p>
        </w:tc>
      </w:tr>
      <w:tr w:rsidR="001903B8" w:rsidRPr="00E146C5" w:rsidTr="005F586C">
        <w:tc>
          <w:tcPr>
            <w:tcW w:w="1057" w:type="pct"/>
          </w:tcPr>
          <w:p w:rsidR="001903B8" w:rsidRPr="00E146C5" w:rsidRDefault="001903B8" w:rsidP="005F586C">
            <w:pPr>
              <w:jc w:val="left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… je však jen velmi orientačního charakteru a spíše technickou  veličinou </w:t>
            </w:r>
          </w:p>
        </w:tc>
        <w:tc>
          <w:tcPr>
            <w:tcW w:w="142" w:type="pct"/>
          </w:tcPr>
          <w:p w:rsidR="001903B8" w:rsidRDefault="001903B8" w:rsidP="005F586C">
            <w:pPr>
              <w:pStyle w:val="Textpoznpodarou"/>
              <w:jc w:val="both"/>
            </w:pPr>
          </w:p>
        </w:tc>
        <w:tc>
          <w:tcPr>
            <w:tcW w:w="3801" w:type="pct"/>
          </w:tcPr>
          <w:p w:rsidR="001903B8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Tabulka níže zachycuje počty let, které by bylo nutné vynaložit při roční průměrné nominální mzdě (jako dvanáctinásobku průměrné nominální měsíční mzdy v daném kraji podle dat za rok 2012) na byt o 60 m2, podle jeho ceny v daném kraji v roce 2012 (cena je propočten a podle zjištěné výše kupní ceny na m2 zpracované útvarem statistiky cen nemovitostí ČSÚ).   </w:t>
            </w:r>
          </w:p>
          <w:p w:rsidR="001903B8" w:rsidRPr="00E146C5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</w:p>
        </w:tc>
      </w:tr>
      <w:tr w:rsidR="001903B8" w:rsidRPr="00E146C5" w:rsidTr="005F586C">
        <w:tc>
          <w:tcPr>
            <w:tcW w:w="1057" w:type="pct"/>
          </w:tcPr>
          <w:p w:rsidR="001903B8" w:rsidRPr="00E146C5" w:rsidRDefault="001903B8" w:rsidP="005F586C">
            <w:pPr>
              <w:jc w:val="left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V ČR by podle průměrných dat za rok 2012 trvalo ušetřit na průměrný byt při odkládání průměrné mzdy necelé čtyři roky </w:t>
            </w:r>
          </w:p>
        </w:tc>
        <w:tc>
          <w:tcPr>
            <w:tcW w:w="142" w:type="pct"/>
          </w:tcPr>
          <w:p w:rsidR="001903B8" w:rsidRDefault="001903B8" w:rsidP="005F586C">
            <w:pPr>
              <w:pStyle w:val="Textpoznpodarou"/>
              <w:jc w:val="both"/>
            </w:pPr>
          </w:p>
        </w:tc>
        <w:tc>
          <w:tcPr>
            <w:tcW w:w="3801" w:type="pct"/>
          </w:tcPr>
          <w:p w:rsidR="001903B8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Podle výše uvedených předpokladů by domácnostem v ČR trvalo zhruba 3,9 roku, než by našetřili na byt, jehož cena odpovídá průměrné ceně bytu v ČR – za podmínky, že by byly schopné odkládat každý rok v čistém částku, která odpovídá průměrné hrubé měsíční mzdě v ČR To vše v relacích roku 2012. </w:t>
            </w:r>
          </w:p>
          <w:p w:rsidR="001903B8" w:rsidRPr="006360C4" w:rsidRDefault="001903B8" w:rsidP="005F586C">
            <w:pPr>
              <w:pStyle w:val="Textpoznpodarou"/>
              <w:jc w:val="both"/>
              <w:rPr>
                <w:rFonts w:cs="Arial"/>
                <w:bCs/>
                <w:sz w:val="12"/>
                <w:szCs w:val="12"/>
              </w:rPr>
            </w:pPr>
          </w:p>
          <w:p w:rsidR="001903B8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Tyto průměrné veličiny jsou však v jednotlivých krajích různé, a to jak ceny bytů, tak průměrná mzda vykazované statisticky v příslušném kraji. Rozptyl cen bytů je však podstatně větší než rozptyl mezd, což má významný vliv na zjištěné výsledky. </w:t>
            </w:r>
          </w:p>
          <w:p w:rsidR="001903B8" w:rsidRPr="00E146C5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</w:p>
        </w:tc>
      </w:tr>
      <w:tr w:rsidR="001903B8" w:rsidRPr="00E146C5" w:rsidTr="005F586C">
        <w:tc>
          <w:tcPr>
            <w:tcW w:w="1057" w:type="pct"/>
          </w:tcPr>
          <w:p w:rsidR="001903B8" w:rsidRDefault="001903B8" w:rsidP="005F586C">
            <w:pPr>
              <w:jc w:val="left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t>Nejkratší dobu by šetřily na byt domácností v Ústeckém kraji, jen necelé dva roky…</w:t>
            </w:r>
          </w:p>
        </w:tc>
        <w:tc>
          <w:tcPr>
            <w:tcW w:w="142" w:type="pct"/>
          </w:tcPr>
          <w:p w:rsidR="001903B8" w:rsidRDefault="001903B8" w:rsidP="005F586C">
            <w:pPr>
              <w:pStyle w:val="Textpoznpodarou"/>
              <w:jc w:val="both"/>
            </w:pPr>
          </w:p>
        </w:tc>
        <w:tc>
          <w:tcPr>
            <w:tcW w:w="3801" w:type="pct"/>
          </w:tcPr>
          <w:p w:rsidR="001903B8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Nejkratší dobu by šetřily na byt podle jeho ceny v Ústeckém kraji, pouze necelé dva roky (1,87 roku). Je tomu tak nikoli proto, že by zde byla průměrná mzda na tak příznivé úrovni (23 816 korun měsíčně v roce 2012), ale především tím, že ceny bytů v tomto kraji jsou velmi nízké (8 879 korun za m2 oproti 20 108 korunám za m2 za ČR celkem).</w:t>
            </w:r>
          </w:p>
          <w:p w:rsidR="001903B8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1903B8" w:rsidRPr="00E146C5" w:rsidTr="005F586C">
        <w:tc>
          <w:tcPr>
            <w:tcW w:w="1057" w:type="pct"/>
          </w:tcPr>
          <w:p w:rsidR="001903B8" w:rsidRDefault="001903B8" w:rsidP="005F586C">
            <w:pPr>
              <w:jc w:val="left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t>… nejdéle domácnosti v Praze, a to 6,5 roku</w:t>
            </w:r>
          </w:p>
        </w:tc>
        <w:tc>
          <w:tcPr>
            <w:tcW w:w="142" w:type="pct"/>
          </w:tcPr>
          <w:p w:rsidR="001903B8" w:rsidRDefault="001903B8" w:rsidP="005F586C">
            <w:pPr>
              <w:pStyle w:val="Textpoznpodarou"/>
              <w:jc w:val="both"/>
            </w:pPr>
          </w:p>
        </w:tc>
        <w:tc>
          <w:tcPr>
            <w:tcW w:w="3801" w:type="pct"/>
          </w:tcPr>
          <w:p w:rsidR="001903B8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Opět vzhledem k vysokým cenám bytů by nejdéle čekaly na pořízení průměrného bytu domácnosti v Praze (6,5 roku), kde je sice průměrná mzda nejvyšší (34 4210 korun v roce 212), ovšem cena bytů je v porovnání s ostatními kraji extrémní (45 041 korun za m2).</w:t>
            </w:r>
          </w:p>
          <w:p w:rsidR="001903B8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</w:t>
            </w:r>
          </w:p>
        </w:tc>
      </w:tr>
    </w:tbl>
    <w:p w:rsidR="001903B8" w:rsidRPr="00EF7A8C" w:rsidRDefault="001903B8" w:rsidP="001903B8">
      <w:pPr>
        <w:rPr>
          <w:szCs w:val="20"/>
          <w:lang w:eastAsia="ar-SA"/>
        </w:rPr>
      </w:pPr>
      <w:r w:rsidRPr="00EF7A8C">
        <w:rPr>
          <w:b/>
          <w:szCs w:val="20"/>
          <w:lang w:eastAsia="ar-SA"/>
        </w:rPr>
        <w:t xml:space="preserve">Tabulka </w:t>
      </w:r>
      <w:r>
        <w:rPr>
          <w:b/>
          <w:szCs w:val="20"/>
          <w:lang w:eastAsia="ar-SA"/>
        </w:rPr>
        <w:t xml:space="preserve">č. </w:t>
      </w:r>
      <w:r w:rsidRPr="00EF7A8C">
        <w:rPr>
          <w:b/>
          <w:szCs w:val="20"/>
          <w:lang w:eastAsia="ar-SA"/>
        </w:rPr>
        <w:t xml:space="preserve">2: </w:t>
      </w:r>
      <w:r>
        <w:rPr>
          <w:b/>
          <w:szCs w:val="20"/>
          <w:lang w:eastAsia="ar-SA"/>
        </w:rPr>
        <w:t xml:space="preserve">Poměr kupních cen bytů* a domů v jednotlivých krajích ČR a výše průměrné nominální roční mzdy** – dostupnost bydlení podle let </w:t>
      </w:r>
      <w:r w:rsidRPr="00EF7A8C">
        <w:rPr>
          <w:szCs w:val="20"/>
          <w:lang w:eastAsia="ar-SA"/>
        </w:rPr>
        <w:t xml:space="preserve">(data za rok 2012) </w:t>
      </w:r>
    </w:p>
    <w:p w:rsidR="001903B8" w:rsidRDefault="001903B8" w:rsidP="001903B8">
      <w:pPr>
        <w:rPr>
          <w:b/>
          <w:sz w:val="24"/>
          <w:lang w:eastAsia="ar-SA"/>
        </w:rPr>
      </w:pPr>
    </w:p>
    <w:tbl>
      <w:tblPr>
        <w:tblW w:w="7832" w:type="dxa"/>
        <w:tblInd w:w="1346" w:type="dxa"/>
        <w:tblCellMar>
          <w:left w:w="70" w:type="dxa"/>
          <w:right w:w="70" w:type="dxa"/>
        </w:tblCellMar>
        <w:tblLook w:val="04A0"/>
      </w:tblPr>
      <w:tblGrid>
        <w:gridCol w:w="1985"/>
        <w:gridCol w:w="1682"/>
        <w:gridCol w:w="196"/>
        <w:gridCol w:w="2268"/>
        <w:gridCol w:w="1701"/>
      </w:tblGrid>
      <w:tr w:rsidR="001903B8" w:rsidRPr="008135CE" w:rsidTr="005F586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Kraje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Počty roků</w:t>
            </w:r>
            <w:r>
              <w:rPr>
                <w:rFonts w:cs="Arial"/>
                <w:szCs w:val="20"/>
              </w:rPr>
              <w:t xml:space="preserve"> nutných k pořízení </w:t>
            </w:r>
            <w:r w:rsidRPr="008135CE">
              <w:rPr>
                <w:rFonts w:cs="Arial"/>
                <w:b/>
                <w:szCs w:val="20"/>
              </w:rPr>
              <w:t>bytu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Kraje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Počty roků</w:t>
            </w:r>
            <w:r>
              <w:rPr>
                <w:rFonts w:cs="Arial"/>
                <w:szCs w:val="20"/>
              </w:rPr>
              <w:t xml:space="preserve"> nutných k pořízení </w:t>
            </w:r>
            <w:r w:rsidRPr="008135CE">
              <w:rPr>
                <w:rFonts w:cs="Arial"/>
                <w:b/>
                <w:szCs w:val="20"/>
              </w:rPr>
              <w:t>domu</w:t>
            </w:r>
          </w:p>
        </w:tc>
      </w:tr>
      <w:tr w:rsidR="001903B8" w:rsidRPr="008135CE" w:rsidTr="005F586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Ústecký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1,87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6,19</w:t>
            </w:r>
          </w:p>
        </w:tc>
      </w:tr>
      <w:tr w:rsidR="001903B8" w:rsidRPr="008135CE" w:rsidTr="005F586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Moravskoslezský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2,77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Ústecký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7,30</w:t>
            </w:r>
          </w:p>
        </w:tc>
      </w:tr>
      <w:tr w:rsidR="001903B8" w:rsidRPr="008135CE" w:rsidTr="005F586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Liberecký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2,81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Zlínský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7,65</w:t>
            </w:r>
          </w:p>
        </w:tc>
      </w:tr>
      <w:tr w:rsidR="001903B8" w:rsidRPr="008135CE" w:rsidTr="005F586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Karlovarský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3,01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Olomoucký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7,77</w:t>
            </w:r>
          </w:p>
        </w:tc>
      </w:tr>
      <w:tr w:rsidR="001903B8" w:rsidRPr="008135CE" w:rsidTr="005F586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Jihočeský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3,38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Pardubický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7,80</w:t>
            </w:r>
          </w:p>
        </w:tc>
      </w:tr>
      <w:tr w:rsidR="001903B8" w:rsidRPr="008135CE" w:rsidTr="005F586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Vysočina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3,40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Jihomoravský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7,85</w:t>
            </w:r>
          </w:p>
        </w:tc>
      </w:tr>
      <w:tr w:rsidR="001903B8" w:rsidRPr="008135CE" w:rsidTr="005F586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Olomoucký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3,55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 xml:space="preserve">Plzeňský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7,90</w:t>
            </w:r>
          </w:p>
        </w:tc>
      </w:tr>
      <w:tr w:rsidR="001903B8" w:rsidRPr="008135CE" w:rsidTr="005F586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 xml:space="preserve">Plzeňský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3,58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Moravskoslezský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8,01</w:t>
            </w:r>
          </w:p>
        </w:tc>
      </w:tr>
      <w:tr w:rsidR="001903B8" w:rsidRPr="008135CE" w:rsidTr="005F586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Zlínský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3,74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Královéhradecký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8,08</w:t>
            </w:r>
          </w:p>
        </w:tc>
      </w:tr>
      <w:tr w:rsidR="001903B8" w:rsidRPr="008135CE" w:rsidTr="005F586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lastRenderedPageBreak/>
              <w:t>Královéhradecký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3,84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Jihočeský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8,36</w:t>
            </w:r>
          </w:p>
        </w:tc>
      </w:tr>
      <w:tr w:rsidR="001903B8" w:rsidRPr="008135CE" w:rsidTr="005F586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b/>
                <w:bCs/>
                <w:color w:val="FF0000"/>
                <w:szCs w:val="20"/>
              </w:rPr>
            </w:pPr>
            <w:r w:rsidRPr="008135CE">
              <w:rPr>
                <w:rFonts w:cs="Arial"/>
                <w:b/>
                <w:bCs/>
                <w:color w:val="FF0000"/>
                <w:szCs w:val="20"/>
              </w:rPr>
              <w:t>ČR celkem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8135CE">
              <w:rPr>
                <w:rFonts w:cs="Arial"/>
                <w:b/>
                <w:bCs/>
                <w:color w:val="FF0000"/>
                <w:szCs w:val="20"/>
              </w:rPr>
              <w:t>3,86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b/>
                <w:bCs/>
                <w:color w:val="FF0000"/>
                <w:szCs w:val="20"/>
              </w:rPr>
            </w:pPr>
            <w:r w:rsidRPr="008135CE">
              <w:rPr>
                <w:rFonts w:cs="Arial"/>
                <w:b/>
                <w:bCs/>
                <w:color w:val="FF000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b/>
                <w:bCs/>
                <w:color w:val="FF0000"/>
                <w:szCs w:val="20"/>
              </w:rPr>
            </w:pPr>
            <w:r w:rsidRPr="008135CE">
              <w:rPr>
                <w:rFonts w:cs="Arial"/>
                <w:b/>
                <w:bCs/>
                <w:color w:val="FF0000"/>
                <w:szCs w:val="20"/>
              </w:rPr>
              <w:t>ČR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8135CE">
              <w:rPr>
                <w:rFonts w:cs="Arial"/>
                <w:b/>
                <w:bCs/>
                <w:color w:val="FF0000"/>
                <w:szCs w:val="20"/>
              </w:rPr>
              <w:t>8,50</w:t>
            </w:r>
          </w:p>
        </w:tc>
      </w:tr>
      <w:tr w:rsidR="001903B8" w:rsidRPr="008135CE" w:rsidTr="005F586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Pardubický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3,93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Liberecký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8,53</w:t>
            </w:r>
          </w:p>
        </w:tc>
      </w:tr>
      <w:tr w:rsidR="001903B8" w:rsidRPr="008135CE" w:rsidTr="005F586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Středočeský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3,96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Karlovarský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9,32</w:t>
            </w:r>
          </w:p>
        </w:tc>
      </w:tr>
      <w:tr w:rsidR="001903B8" w:rsidRPr="008135CE" w:rsidTr="005F586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Jihomoravský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4,98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Středočeský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11,61</w:t>
            </w:r>
          </w:p>
        </w:tc>
      </w:tr>
      <w:tr w:rsidR="001903B8" w:rsidRPr="008135CE" w:rsidTr="005F586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Hl. m. Praha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6,47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8135CE" w:rsidRDefault="001903B8" w:rsidP="005F586C">
            <w:pPr>
              <w:jc w:val="left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Hl. m. Praha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8135CE" w:rsidRDefault="001903B8" w:rsidP="005F586C">
            <w:pPr>
              <w:jc w:val="center"/>
              <w:rPr>
                <w:rFonts w:cs="Arial"/>
                <w:szCs w:val="20"/>
              </w:rPr>
            </w:pPr>
            <w:r w:rsidRPr="008135CE">
              <w:rPr>
                <w:rFonts w:cs="Arial"/>
                <w:szCs w:val="20"/>
              </w:rPr>
              <w:t>19,94</w:t>
            </w:r>
          </w:p>
        </w:tc>
      </w:tr>
    </w:tbl>
    <w:p w:rsidR="001903B8" w:rsidRDefault="001903B8" w:rsidP="001903B8">
      <w:pPr>
        <w:ind w:left="720"/>
        <w:jc w:val="right"/>
        <w:rPr>
          <w:b/>
          <w:sz w:val="24"/>
          <w:lang w:eastAsia="ar-SA"/>
        </w:rPr>
      </w:pPr>
      <w:r>
        <w:rPr>
          <w:sz w:val="18"/>
          <w:szCs w:val="18"/>
          <w:lang w:eastAsia="ar-SA"/>
        </w:rPr>
        <w:t>Pramen: ČSÚ, vlastní propočty</w:t>
      </w:r>
    </w:p>
    <w:p w:rsidR="001903B8" w:rsidRPr="008F130E" w:rsidRDefault="001903B8" w:rsidP="001903B8">
      <w:pPr>
        <w:ind w:left="720"/>
        <w:rPr>
          <w:sz w:val="18"/>
          <w:szCs w:val="18"/>
          <w:lang w:eastAsia="ar-SA"/>
        </w:rPr>
      </w:pPr>
      <w:r>
        <w:rPr>
          <w:b/>
          <w:sz w:val="24"/>
          <w:lang w:eastAsia="ar-SA"/>
        </w:rPr>
        <w:t xml:space="preserve">*  </w:t>
      </w:r>
      <w:r w:rsidRPr="00E75FAA">
        <w:rPr>
          <w:sz w:val="18"/>
          <w:szCs w:val="18"/>
          <w:lang w:eastAsia="ar-SA"/>
        </w:rPr>
        <w:t>Propočet z kupní ceny za m</w:t>
      </w:r>
      <w:r w:rsidRPr="00E75FAA">
        <w:rPr>
          <w:sz w:val="18"/>
          <w:szCs w:val="18"/>
          <w:vertAlign w:val="superscript"/>
          <w:lang w:eastAsia="ar-SA"/>
        </w:rPr>
        <w:t>2</w:t>
      </w:r>
      <w:r w:rsidRPr="00E75FAA">
        <w:rPr>
          <w:sz w:val="18"/>
          <w:szCs w:val="18"/>
          <w:lang w:eastAsia="ar-SA"/>
        </w:rPr>
        <w:t xml:space="preserve"> na byt velikosti 60 m</w:t>
      </w:r>
      <w:r w:rsidRPr="00E75FAA">
        <w:rPr>
          <w:sz w:val="18"/>
          <w:szCs w:val="18"/>
          <w:vertAlign w:val="superscript"/>
          <w:lang w:eastAsia="ar-SA"/>
        </w:rPr>
        <w:t>2</w:t>
      </w:r>
      <w:r>
        <w:rPr>
          <w:sz w:val="18"/>
          <w:szCs w:val="18"/>
          <w:vertAlign w:val="superscript"/>
          <w:lang w:eastAsia="ar-SA"/>
        </w:rPr>
        <w:t>.</w:t>
      </w:r>
      <w:r>
        <w:rPr>
          <w:sz w:val="18"/>
          <w:szCs w:val="18"/>
          <w:lang w:eastAsia="ar-SA"/>
        </w:rPr>
        <w:t>.</w:t>
      </w:r>
    </w:p>
    <w:p w:rsidR="001903B8" w:rsidRPr="006360C4" w:rsidRDefault="001903B8" w:rsidP="001903B8">
      <w:pPr>
        <w:ind w:left="720"/>
        <w:rPr>
          <w:sz w:val="18"/>
          <w:szCs w:val="18"/>
          <w:lang w:eastAsia="ar-SA"/>
        </w:rPr>
      </w:pPr>
      <w:r w:rsidRPr="00E75FAA">
        <w:rPr>
          <w:sz w:val="22"/>
          <w:szCs w:val="22"/>
          <w:lang w:eastAsia="ar-SA"/>
        </w:rPr>
        <w:t>**</w:t>
      </w:r>
      <w:r>
        <w:rPr>
          <w:sz w:val="18"/>
          <w:szCs w:val="18"/>
          <w:lang w:eastAsia="ar-SA"/>
        </w:rPr>
        <w:t xml:space="preserve"> </w:t>
      </w:r>
      <w:r w:rsidRPr="00EF7A8C">
        <w:rPr>
          <w:sz w:val="18"/>
          <w:szCs w:val="18"/>
          <w:lang w:eastAsia="ar-SA"/>
        </w:rPr>
        <w:t>Propoče</w:t>
      </w:r>
      <w:r>
        <w:rPr>
          <w:sz w:val="18"/>
          <w:szCs w:val="18"/>
          <w:lang w:eastAsia="ar-SA"/>
        </w:rPr>
        <w:t>t</w:t>
      </w:r>
      <w:r w:rsidRPr="00EF7A8C">
        <w:rPr>
          <w:sz w:val="18"/>
          <w:szCs w:val="18"/>
          <w:lang w:eastAsia="ar-SA"/>
        </w:rPr>
        <w:t xml:space="preserve"> z průměrné hrubé měsíční nominální mzdy</w:t>
      </w:r>
      <w:r>
        <w:rPr>
          <w:sz w:val="18"/>
          <w:szCs w:val="18"/>
          <w:lang w:eastAsia="ar-SA"/>
        </w:rPr>
        <w:t xml:space="preserve"> včetně </w:t>
      </w:r>
      <w:r w:rsidRPr="00EF7A8C">
        <w:rPr>
          <w:sz w:val="18"/>
          <w:szCs w:val="18"/>
          <w:lang w:eastAsia="ar-SA"/>
        </w:rPr>
        <w:t>příp</w:t>
      </w:r>
      <w:r>
        <w:rPr>
          <w:sz w:val="18"/>
          <w:szCs w:val="18"/>
          <w:lang w:eastAsia="ar-SA"/>
        </w:rPr>
        <w:t>l</w:t>
      </w:r>
      <w:r w:rsidRPr="00EF7A8C">
        <w:rPr>
          <w:sz w:val="18"/>
          <w:szCs w:val="18"/>
          <w:lang w:eastAsia="ar-SA"/>
        </w:rPr>
        <w:t>atk</w:t>
      </w:r>
      <w:r>
        <w:rPr>
          <w:sz w:val="18"/>
          <w:szCs w:val="18"/>
          <w:lang w:eastAsia="ar-SA"/>
        </w:rPr>
        <w:t>ů</w:t>
      </w:r>
      <w:r w:rsidRPr="00EF7A8C">
        <w:rPr>
          <w:sz w:val="18"/>
          <w:szCs w:val="18"/>
          <w:lang w:eastAsia="ar-SA"/>
        </w:rPr>
        <w:t>, prémií a odměn</w:t>
      </w:r>
      <w:r>
        <w:rPr>
          <w:sz w:val="18"/>
          <w:szCs w:val="18"/>
          <w:lang w:eastAsia="ar-SA"/>
        </w:rPr>
        <w:t>.</w:t>
      </w:r>
    </w:p>
    <w:p w:rsidR="001903B8" w:rsidRDefault="001903B8" w:rsidP="001903B8">
      <w:pPr>
        <w:rPr>
          <w:b/>
          <w:sz w:val="24"/>
          <w:lang w:eastAsia="ar-SA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50"/>
        <w:gridCol w:w="275"/>
        <w:gridCol w:w="7369"/>
      </w:tblGrid>
      <w:tr w:rsidR="001903B8" w:rsidRPr="00E146C5" w:rsidTr="005F586C">
        <w:tc>
          <w:tcPr>
            <w:tcW w:w="1057" w:type="pct"/>
          </w:tcPr>
          <w:p w:rsidR="001903B8" w:rsidRPr="00E146C5" w:rsidRDefault="001903B8" w:rsidP="005F586C">
            <w:pPr>
              <w:jc w:val="left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I při dostupnosti domů je z relací za kraje patrné, že rozhodující vliv mají ceny domů, nikoli výše průměrné mzdy – v kraji Vysočina by bylo možné pořídit byt v průměru za zhruba šest let, v Praze až z téměř dvacet let </w:t>
            </w:r>
          </w:p>
        </w:tc>
        <w:tc>
          <w:tcPr>
            <w:tcW w:w="142" w:type="pct"/>
          </w:tcPr>
          <w:p w:rsidR="001903B8" w:rsidRDefault="001903B8" w:rsidP="005F586C">
            <w:pPr>
              <w:pStyle w:val="Textpoznpodarou"/>
              <w:jc w:val="both"/>
            </w:pPr>
          </w:p>
        </w:tc>
        <w:tc>
          <w:tcPr>
            <w:tcW w:w="3801" w:type="pct"/>
          </w:tcPr>
          <w:p w:rsidR="001903B8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 pořízení domů jsou proporce obdobné, tj. v souladu především s kupními cenami domů, které jsou nejvyšší v hlavním městě. Jestliže v průměru za Českou republiku byly v roce 2012 prodávány domy za 2,560 mil. korun a při odkládání částky ve výši průměrné nominální mzdy by tedy trvalo 8,5 roku, než byl bylo možné dům v této ceně pořídit, v Praze by se čekalo téměř 20 let (19,9 roku). Je to tím, že i při průměrné mzdě (34 420 korun měsíčně), která je  v Praze na české poměry vysoká, kupní ceny domů v hlavním městě (8,235 mil. korun v roce 2012)  převyšují vysoko jejich průměrné ceny za ČR.  </w:t>
            </w:r>
          </w:p>
          <w:p w:rsidR="001903B8" w:rsidRPr="006360C4" w:rsidRDefault="001903B8" w:rsidP="005F586C">
            <w:pPr>
              <w:pStyle w:val="Textpoznpodarou"/>
              <w:jc w:val="both"/>
              <w:rPr>
                <w:rFonts w:cs="Arial"/>
                <w:bCs/>
                <w:sz w:val="14"/>
                <w:szCs w:val="14"/>
              </w:rPr>
            </w:pPr>
          </w:p>
          <w:p w:rsidR="001903B8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Naopak v kraji Vysočina by bylo možné za výše zmiňovaných podmínek pořídit dům za 6,2 roku. Údaje za všechny kraje ukazuje pro dostupnost bytů i domů tabulka 2.</w:t>
            </w:r>
          </w:p>
          <w:p w:rsidR="001903B8" w:rsidRPr="00E146C5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</w:p>
        </w:tc>
      </w:tr>
    </w:tbl>
    <w:p w:rsidR="001903B8" w:rsidRPr="00093664" w:rsidRDefault="001903B8" w:rsidP="001903B8">
      <w:pPr>
        <w:numPr>
          <w:ilvl w:val="1"/>
          <w:numId w:val="18"/>
        </w:numPr>
        <w:rPr>
          <w:b/>
          <w:sz w:val="22"/>
          <w:szCs w:val="22"/>
          <w:lang w:eastAsia="ar-SA"/>
        </w:rPr>
      </w:pPr>
      <w:r w:rsidRPr="009F0017">
        <w:rPr>
          <w:b/>
          <w:sz w:val="22"/>
          <w:szCs w:val="22"/>
          <w:lang w:eastAsia="ar-SA"/>
        </w:rPr>
        <w:t>Zatížení domácností v podobě splátek hypotečních úvěrů</w:t>
      </w:r>
    </w:p>
    <w:p w:rsidR="001903B8" w:rsidRDefault="001903B8" w:rsidP="001903B8">
      <w:pPr>
        <w:rPr>
          <w:b/>
          <w:sz w:val="24"/>
          <w:lang w:eastAsia="ar-SA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50"/>
        <w:gridCol w:w="275"/>
        <w:gridCol w:w="7369"/>
      </w:tblGrid>
      <w:tr w:rsidR="001903B8" w:rsidRPr="00E146C5" w:rsidTr="005F586C">
        <w:tc>
          <w:tcPr>
            <w:tcW w:w="1057" w:type="pct"/>
          </w:tcPr>
          <w:p w:rsidR="001903B8" w:rsidRPr="00E146C5" w:rsidRDefault="001903B8" w:rsidP="005F586C">
            <w:pPr>
              <w:jc w:val="left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Jaké procento ze svých čistých příjmů vynakládají domácnosti s hypotečním úvěrem na jeho měsíční splátky – údaje převzaty z komerční sféry </w:t>
            </w:r>
          </w:p>
        </w:tc>
        <w:tc>
          <w:tcPr>
            <w:tcW w:w="142" w:type="pct"/>
          </w:tcPr>
          <w:p w:rsidR="001903B8" w:rsidRDefault="001903B8" w:rsidP="005F586C">
            <w:pPr>
              <w:pStyle w:val="Textpoznpodarou"/>
              <w:jc w:val="both"/>
            </w:pPr>
          </w:p>
        </w:tc>
        <w:tc>
          <w:tcPr>
            <w:tcW w:w="3801" w:type="pct"/>
          </w:tcPr>
          <w:p w:rsidR="001903B8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Podle údajů subjektů z komerční sféry</w:t>
            </w:r>
            <w:r>
              <w:rPr>
                <w:rStyle w:val="Znakapoznpodarou"/>
                <w:rFonts w:cs="Arial"/>
                <w:bCs/>
              </w:rPr>
              <w:footnoteReference w:id="1"/>
            </w:r>
            <w:r>
              <w:rPr>
                <w:rFonts w:cs="Arial"/>
                <w:bCs/>
              </w:rPr>
              <w:t>, které podle datových zdrojů z obchodních bank pracují s velikostí měsíčních splátek hypotečních úvěrů a tyto výsledky publikují, doplňme pohled na financování bydlení a finanční parametry českých domácností i o tyto charakteristiky.</w:t>
            </w:r>
          </w:p>
          <w:p w:rsidR="001903B8" w:rsidRPr="006360C4" w:rsidRDefault="001903B8" w:rsidP="005F586C">
            <w:pPr>
              <w:pStyle w:val="Textpoznpodarou"/>
              <w:jc w:val="both"/>
              <w:rPr>
                <w:rFonts w:cs="Arial"/>
                <w:bCs/>
                <w:sz w:val="14"/>
                <w:szCs w:val="14"/>
              </w:rPr>
            </w:pPr>
          </w:p>
          <w:p w:rsidR="001903B8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Plyne z nich, jaké procento ze svých čistých příjmů musí průměrná domácnost vynaložit měsíčně na splátku hypotečního úvěru. Společnost Golem Finance, jejíž data jsou v této kapitole převzata, uvádí výsledky každý měsíc a plyne z nich, že např. v listopadu 2013 vynakládaly domácnosti s hypotečním úvěrem na jeho splátku v průměru 30,4 % svých čistých příjmů. </w:t>
            </w:r>
          </w:p>
          <w:p w:rsidR="001903B8" w:rsidRPr="006360C4" w:rsidRDefault="001903B8" w:rsidP="005F586C">
            <w:pPr>
              <w:pStyle w:val="Textpoznpodarou"/>
              <w:jc w:val="both"/>
              <w:rPr>
                <w:rFonts w:cs="Arial"/>
                <w:bCs/>
                <w:sz w:val="14"/>
                <w:szCs w:val="14"/>
              </w:rPr>
            </w:pPr>
          </w:p>
          <w:p w:rsidR="001903B8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Nejvyšší zatížení splátkou hypotečního úvěrů vykazují domácnosti v Praze (i přes vyšší čisté příjmy), neboť lze předpokládat, že i měsíční splátka je vzhledem k půjčené částce (odvíjející se od kupní ceny bytu nebo domu) vysoká, dvakrát až třikrát vyšší než v ostatních krajích.</w:t>
            </w:r>
          </w:p>
          <w:p w:rsidR="001903B8" w:rsidRPr="00E146C5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</w:t>
            </w:r>
          </w:p>
        </w:tc>
      </w:tr>
    </w:tbl>
    <w:p w:rsidR="001903B8" w:rsidRPr="00A37744" w:rsidRDefault="001903B8" w:rsidP="001903B8">
      <w:pPr>
        <w:rPr>
          <w:szCs w:val="20"/>
          <w:lang w:eastAsia="ar-SA"/>
        </w:rPr>
      </w:pPr>
      <w:r w:rsidRPr="00A37744">
        <w:rPr>
          <w:b/>
          <w:szCs w:val="20"/>
          <w:lang w:eastAsia="ar-SA"/>
        </w:rPr>
        <w:t xml:space="preserve">Tabulka </w:t>
      </w:r>
      <w:r>
        <w:rPr>
          <w:b/>
          <w:szCs w:val="20"/>
          <w:lang w:eastAsia="ar-SA"/>
        </w:rPr>
        <w:t xml:space="preserve">č. </w:t>
      </w:r>
      <w:r w:rsidRPr="00A37744">
        <w:rPr>
          <w:b/>
          <w:szCs w:val="20"/>
          <w:lang w:eastAsia="ar-SA"/>
        </w:rPr>
        <w:t>3: Z</w:t>
      </w:r>
      <w:r>
        <w:rPr>
          <w:b/>
          <w:szCs w:val="20"/>
          <w:lang w:eastAsia="ar-SA"/>
        </w:rPr>
        <w:t>atížení</w:t>
      </w:r>
      <w:r w:rsidRPr="00A37744">
        <w:rPr>
          <w:b/>
          <w:szCs w:val="20"/>
          <w:lang w:eastAsia="ar-SA"/>
        </w:rPr>
        <w:t xml:space="preserve"> domácností v podobě měsíční splátky hypotečních úvěrů</w:t>
      </w:r>
      <w:r>
        <w:rPr>
          <w:b/>
          <w:szCs w:val="20"/>
          <w:lang w:eastAsia="ar-SA"/>
        </w:rPr>
        <w:t xml:space="preserve"> podle krajů ČR </w:t>
      </w:r>
      <w:r w:rsidRPr="00A37744">
        <w:rPr>
          <w:szCs w:val="20"/>
          <w:lang w:eastAsia="ar-SA"/>
        </w:rPr>
        <w:t>(</w:t>
      </w:r>
      <w:r>
        <w:rPr>
          <w:szCs w:val="20"/>
          <w:lang w:eastAsia="ar-SA"/>
        </w:rPr>
        <w:t>výše splátky k čistým příjmům průměrné domácnosti. v %)</w:t>
      </w:r>
    </w:p>
    <w:p w:rsidR="001903B8" w:rsidRDefault="001903B8" w:rsidP="001903B8">
      <w:pPr>
        <w:rPr>
          <w:b/>
          <w:sz w:val="24"/>
          <w:lang w:eastAsia="ar-SA"/>
        </w:rPr>
      </w:pPr>
    </w:p>
    <w:tbl>
      <w:tblPr>
        <w:tblW w:w="5670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2126"/>
        <w:gridCol w:w="3544"/>
      </w:tblGrid>
      <w:tr w:rsidR="001903B8" w:rsidRPr="00E5615C" w:rsidTr="005F586C">
        <w:trPr>
          <w:trHeight w:val="7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Kraje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Zátěž měsíční splátkou hypotečního úvěru (výše splátky/čisté příjmy průměrné domácnosti), v %</w:t>
            </w:r>
          </w:p>
        </w:tc>
      </w:tr>
      <w:tr w:rsidR="001903B8" w:rsidRPr="00E5615C" w:rsidTr="005F586C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Hlavní město Praha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58,3</w:t>
            </w:r>
          </w:p>
        </w:tc>
      </w:tr>
      <w:tr w:rsidR="001903B8" w:rsidRPr="00E5615C" w:rsidTr="005F586C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Jihomoravský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32,1</w:t>
            </w:r>
          </w:p>
        </w:tc>
      </w:tr>
      <w:tr w:rsidR="001903B8" w:rsidRPr="00E5615C" w:rsidTr="005F586C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b/>
                <w:bCs/>
                <w:color w:val="FF0000"/>
                <w:szCs w:val="20"/>
              </w:rPr>
            </w:pPr>
            <w:r w:rsidRPr="00E5615C">
              <w:rPr>
                <w:rFonts w:cs="Arial"/>
                <w:b/>
                <w:bCs/>
                <w:color w:val="FF0000"/>
                <w:szCs w:val="20"/>
              </w:rPr>
              <w:t>ČR celkem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E5615C">
              <w:rPr>
                <w:rFonts w:cs="Arial"/>
                <w:b/>
                <w:bCs/>
                <w:color w:val="FF0000"/>
                <w:szCs w:val="20"/>
              </w:rPr>
              <w:t>30,4</w:t>
            </w:r>
          </w:p>
        </w:tc>
      </w:tr>
      <w:tr w:rsidR="001903B8" w:rsidRPr="00E5615C" w:rsidTr="005F586C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Královéhradecký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29,7</w:t>
            </w:r>
          </w:p>
        </w:tc>
      </w:tr>
      <w:tr w:rsidR="001903B8" w:rsidRPr="00E5615C" w:rsidTr="005F586C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Olomoucký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29,0</w:t>
            </w:r>
          </w:p>
        </w:tc>
      </w:tr>
      <w:tr w:rsidR="001903B8" w:rsidRPr="00E5615C" w:rsidTr="005F586C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Středočeský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26,5</w:t>
            </w:r>
          </w:p>
        </w:tc>
      </w:tr>
      <w:tr w:rsidR="001903B8" w:rsidRPr="00E5615C" w:rsidTr="005F586C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Karlovarský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26,4</w:t>
            </w:r>
          </w:p>
        </w:tc>
      </w:tr>
      <w:tr w:rsidR="001903B8" w:rsidRPr="00E5615C" w:rsidTr="005F586C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Liberecký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26,3</w:t>
            </w:r>
          </w:p>
        </w:tc>
      </w:tr>
      <w:tr w:rsidR="001903B8" w:rsidRPr="00E5615C" w:rsidTr="005F586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Zlínský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25,6</w:t>
            </w:r>
          </w:p>
        </w:tc>
      </w:tr>
      <w:tr w:rsidR="001903B8" w:rsidRPr="00E5615C" w:rsidTr="005F586C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lastRenderedPageBreak/>
              <w:t>Pardubický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25,3</w:t>
            </w:r>
          </w:p>
        </w:tc>
      </w:tr>
      <w:tr w:rsidR="001903B8" w:rsidRPr="00E5615C" w:rsidTr="005F586C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 xml:space="preserve">Plzeňský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25,1</w:t>
            </w:r>
          </w:p>
        </w:tc>
      </w:tr>
      <w:tr w:rsidR="001903B8" w:rsidRPr="00E5615C" w:rsidTr="005F586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Jihočeský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23,6</w:t>
            </w:r>
          </w:p>
        </w:tc>
      </w:tr>
      <w:tr w:rsidR="001903B8" w:rsidRPr="00E5615C" w:rsidTr="005F586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Vysočina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20,1</w:t>
            </w:r>
          </w:p>
        </w:tc>
      </w:tr>
      <w:tr w:rsidR="001903B8" w:rsidRPr="00E5615C" w:rsidTr="005F586C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Moravskoslezský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18,5</w:t>
            </w:r>
          </w:p>
        </w:tc>
      </w:tr>
      <w:tr w:rsidR="001903B8" w:rsidRPr="00E5615C" w:rsidTr="005F586C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B8" w:rsidRPr="00E5615C" w:rsidRDefault="001903B8" w:rsidP="005F586C">
            <w:pPr>
              <w:jc w:val="left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Ústecký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B8" w:rsidRPr="00E5615C" w:rsidRDefault="001903B8" w:rsidP="005F586C">
            <w:pPr>
              <w:jc w:val="center"/>
              <w:rPr>
                <w:rFonts w:cs="Arial"/>
                <w:szCs w:val="20"/>
              </w:rPr>
            </w:pPr>
            <w:r w:rsidRPr="00E5615C">
              <w:rPr>
                <w:rFonts w:cs="Arial"/>
                <w:szCs w:val="20"/>
              </w:rPr>
              <w:t>12,0</w:t>
            </w:r>
          </w:p>
        </w:tc>
      </w:tr>
    </w:tbl>
    <w:p w:rsidR="001903B8" w:rsidRDefault="001903B8" w:rsidP="001903B8">
      <w:pPr>
        <w:jc w:val="right"/>
        <w:rPr>
          <w:sz w:val="18"/>
          <w:szCs w:val="18"/>
          <w:lang w:eastAsia="ar-SA"/>
        </w:rPr>
      </w:pPr>
      <w:r w:rsidRPr="00FA2C50">
        <w:rPr>
          <w:sz w:val="18"/>
          <w:szCs w:val="18"/>
          <w:lang w:eastAsia="ar-SA"/>
        </w:rPr>
        <w:t>Pramen: Golem Finance</w:t>
      </w:r>
    </w:p>
    <w:p w:rsidR="001903B8" w:rsidRDefault="001903B8" w:rsidP="001903B8">
      <w:pPr>
        <w:rPr>
          <w:sz w:val="18"/>
          <w:szCs w:val="18"/>
          <w:lang w:eastAsia="ar-SA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50"/>
        <w:gridCol w:w="275"/>
        <w:gridCol w:w="7369"/>
      </w:tblGrid>
      <w:tr w:rsidR="001903B8" w:rsidRPr="00E146C5" w:rsidTr="005F586C">
        <w:tc>
          <w:tcPr>
            <w:tcW w:w="1057" w:type="pct"/>
          </w:tcPr>
          <w:p w:rsidR="001903B8" w:rsidRPr="00E146C5" w:rsidRDefault="001903B8" w:rsidP="005F586C">
            <w:pPr>
              <w:jc w:val="left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:rsidR="001903B8" w:rsidRDefault="001903B8" w:rsidP="005F586C">
            <w:pPr>
              <w:pStyle w:val="Textpoznpodarou"/>
              <w:jc w:val="both"/>
            </w:pPr>
          </w:p>
        </w:tc>
        <w:tc>
          <w:tcPr>
            <w:tcW w:w="3801" w:type="pct"/>
          </w:tcPr>
          <w:p w:rsidR="001903B8" w:rsidRPr="00E146C5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</w:p>
        </w:tc>
      </w:tr>
      <w:tr w:rsidR="001903B8" w:rsidRPr="00E146C5" w:rsidTr="005F586C">
        <w:tc>
          <w:tcPr>
            <w:tcW w:w="1057" w:type="pct"/>
          </w:tcPr>
          <w:p w:rsidR="001903B8" w:rsidRPr="00E146C5" w:rsidRDefault="001903B8" w:rsidP="005F586C">
            <w:pPr>
              <w:jc w:val="left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:rsidR="001903B8" w:rsidRDefault="001903B8" w:rsidP="005F586C">
            <w:pPr>
              <w:pStyle w:val="Textpoznpodarou"/>
              <w:jc w:val="both"/>
            </w:pPr>
          </w:p>
        </w:tc>
        <w:tc>
          <w:tcPr>
            <w:tcW w:w="3801" w:type="pct"/>
          </w:tcPr>
          <w:p w:rsidR="001903B8" w:rsidRPr="00E146C5" w:rsidRDefault="001903B8" w:rsidP="005F586C">
            <w:pPr>
              <w:pStyle w:val="Textpoznpodarou"/>
              <w:jc w:val="both"/>
              <w:rPr>
                <w:rFonts w:cs="Arial"/>
                <w:bCs/>
              </w:rPr>
            </w:pPr>
          </w:p>
        </w:tc>
      </w:tr>
    </w:tbl>
    <w:p w:rsidR="001903B8" w:rsidRDefault="001903B8" w:rsidP="001903B8">
      <w:pPr>
        <w:jc w:val="right"/>
        <w:rPr>
          <w:sz w:val="18"/>
          <w:szCs w:val="18"/>
          <w:lang w:eastAsia="ar-SA"/>
        </w:rPr>
      </w:pPr>
    </w:p>
    <w:p w:rsidR="001903B8" w:rsidRPr="00FA2C50" w:rsidRDefault="001903B8" w:rsidP="001903B8">
      <w:pPr>
        <w:rPr>
          <w:sz w:val="18"/>
          <w:szCs w:val="18"/>
          <w:lang w:eastAsia="ar-SA"/>
        </w:rPr>
      </w:pPr>
    </w:p>
    <w:p w:rsidR="001903B8" w:rsidRDefault="001903B8" w:rsidP="001903B8">
      <w:pPr>
        <w:rPr>
          <w:b/>
          <w:sz w:val="24"/>
          <w:lang w:eastAsia="ar-SA"/>
        </w:rPr>
      </w:pPr>
    </w:p>
    <w:p w:rsidR="001903B8" w:rsidRPr="00EE72EF" w:rsidRDefault="001903B8" w:rsidP="001903B8">
      <w:pPr>
        <w:rPr>
          <w:b/>
          <w:sz w:val="24"/>
          <w:lang w:eastAsia="ar-SA"/>
        </w:rPr>
      </w:pPr>
    </w:p>
    <w:p w:rsidR="008F1658" w:rsidRPr="0074396C" w:rsidRDefault="008F1658" w:rsidP="0074396C"/>
    <w:sectPr w:rsidR="008F1658" w:rsidRPr="0074396C" w:rsidSect="00F246D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74" w:rsidRDefault="00984574" w:rsidP="005D26EF">
      <w:r>
        <w:separator/>
      </w:r>
    </w:p>
  </w:endnote>
  <w:endnote w:type="continuationSeparator" w:id="0">
    <w:p w:rsidR="00984574" w:rsidRDefault="00984574" w:rsidP="005D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ED" w:rsidRDefault="00BD7F3C" w:rsidP="00281F36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45.7pt;margin-top:-4.15pt;width:36.75pt;height:17.25pt;z-index:1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4072ED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4072ED">
      <w:rPr>
        <w:rFonts w:ascii="Arial" w:hAnsi="Arial" w:cs="Arial"/>
        <w:noProof/>
        <w:sz w:val="16"/>
        <w:szCs w:val="16"/>
      </w:rPr>
      <w:t>74</w:t>
    </w:r>
    <w:r w:rsidRPr="005A21E0">
      <w:rPr>
        <w:rFonts w:ascii="Arial" w:hAnsi="Arial" w:cs="Arial"/>
        <w:sz w:val="16"/>
        <w:szCs w:val="16"/>
      </w:rPr>
      <w:fldChar w:fldCharType="end"/>
    </w:r>
    <w:r w:rsidR="004072ED">
      <w:rPr>
        <w:rFonts w:ascii="Arial" w:hAnsi="Arial" w:cs="Arial"/>
        <w:sz w:val="16"/>
        <w:szCs w:val="16"/>
      </w:rPr>
      <w:tab/>
      <w:t>2013</w:t>
    </w:r>
    <w:r w:rsidR="004072ED">
      <w:tab/>
    </w:r>
    <w:r w:rsidR="004072E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ED" w:rsidRDefault="00BD7F3C" w:rsidP="00281F36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7.1pt;width:39pt;height:21pt;z-index:2">
          <v:imagedata r:id="rId1" o:title="3"/>
        </v:shape>
      </w:pict>
    </w:r>
    <w:r w:rsidR="004072ED">
      <w:tab/>
    </w:r>
    <w:r w:rsidR="004072ED">
      <w:tab/>
    </w:r>
  </w:p>
  <w:p w:rsidR="004072ED" w:rsidRDefault="004072ED" w:rsidP="00281F36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6041C">
      <w:rPr>
        <w:rFonts w:ascii="Arial" w:hAnsi="Arial" w:cs="Arial"/>
        <w:sz w:val="16"/>
        <w:szCs w:val="16"/>
      </w:rPr>
      <w:t xml:space="preserve">květen </w:t>
    </w:r>
    <w:r>
      <w:rPr>
        <w:rFonts w:ascii="Arial" w:hAnsi="Arial" w:cs="Arial"/>
        <w:sz w:val="16"/>
        <w:szCs w:val="16"/>
      </w:rPr>
      <w:t>201</w:t>
    </w:r>
    <w:r w:rsidR="0066041C">
      <w:rPr>
        <w:rFonts w:ascii="Arial" w:hAnsi="Arial" w:cs="Arial"/>
        <w:sz w:val="16"/>
        <w:szCs w:val="16"/>
      </w:rPr>
      <w:t>4</w:t>
    </w:r>
    <w:r>
      <w:tab/>
    </w:r>
    <w:r w:rsidR="00BD7F3C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BD7F3C" w:rsidRPr="00B6608F">
      <w:rPr>
        <w:rFonts w:ascii="Arial" w:hAnsi="Arial" w:cs="Arial"/>
        <w:sz w:val="16"/>
        <w:szCs w:val="16"/>
      </w:rPr>
      <w:fldChar w:fldCharType="separate"/>
    </w:r>
    <w:r w:rsidR="001903B8">
      <w:rPr>
        <w:rFonts w:ascii="Arial" w:hAnsi="Arial" w:cs="Arial"/>
        <w:noProof/>
        <w:sz w:val="16"/>
        <w:szCs w:val="16"/>
      </w:rPr>
      <w:t>1</w:t>
    </w:r>
    <w:r w:rsidR="00BD7F3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74" w:rsidRDefault="00984574" w:rsidP="005D26EF">
      <w:r>
        <w:separator/>
      </w:r>
    </w:p>
  </w:footnote>
  <w:footnote w:type="continuationSeparator" w:id="0">
    <w:p w:rsidR="00984574" w:rsidRDefault="00984574" w:rsidP="005D26EF">
      <w:r>
        <w:continuationSeparator/>
      </w:r>
    </w:p>
  </w:footnote>
  <w:footnote w:id="1">
    <w:p w:rsidR="001903B8" w:rsidRPr="006360C4" w:rsidRDefault="001903B8" w:rsidP="001903B8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360C4">
        <w:rPr>
          <w:sz w:val="16"/>
          <w:szCs w:val="16"/>
        </w:rPr>
        <w:t>Společnost Golem Finance, s.r.o.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4072ED" w:rsidRPr="00E53687" w:rsidTr="00281F36">
      <w:tc>
        <w:tcPr>
          <w:tcW w:w="6518" w:type="dxa"/>
        </w:tcPr>
        <w:p w:rsidR="004072ED" w:rsidRPr="00E53687" w:rsidRDefault="004072ED" w:rsidP="00281F36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Tendence a faktory makroekonomického vývoje a kvality života v ČR v roce 2012</w:t>
          </w:r>
        </w:p>
      </w:tc>
      <w:tc>
        <w:tcPr>
          <w:tcW w:w="3260" w:type="dxa"/>
        </w:tcPr>
        <w:p w:rsidR="004072ED" w:rsidRPr="00E53687" w:rsidRDefault="004072ED" w:rsidP="00281F36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E53687">
            <w:rPr>
              <w:rFonts w:ascii="Arial" w:hAnsi="Arial" w:cs="Arial"/>
              <w:sz w:val="16"/>
              <w:szCs w:val="16"/>
            </w:rPr>
            <w:t>kód 1109-12</w:t>
          </w:r>
        </w:p>
      </w:tc>
    </w:tr>
  </w:tbl>
  <w:p w:rsidR="004072ED" w:rsidRPr="00190394" w:rsidRDefault="004072ED" w:rsidP="00281F36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4072ED" w:rsidRPr="00E53687" w:rsidTr="00281F36">
      <w:tc>
        <w:tcPr>
          <w:tcW w:w="6518" w:type="dxa"/>
        </w:tcPr>
        <w:p w:rsidR="004072ED" w:rsidRPr="00E53687" w:rsidRDefault="0066041C" w:rsidP="0066041C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Hmotné bohaství v České republice: posiluje ho vývoj na realitním trhu?</w:t>
          </w:r>
        </w:p>
      </w:tc>
      <w:tc>
        <w:tcPr>
          <w:tcW w:w="3260" w:type="dxa"/>
        </w:tcPr>
        <w:p w:rsidR="004072ED" w:rsidRPr="00E53687" w:rsidRDefault="004072ED" w:rsidP="0066041C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E53687">
            <w:rPr>
              <w:rFonts w:ascii="Arial" w:hAnsi="Arial" w:cs="Arial"/>
              <w:sz w:val="16"/>
              <w:szCs w:val="16"/>
            </w:rPr>
            <w:t xml:space="preserve">kód </w:t>
          </w:r>
          <w:r w:rsidR="0066041C">
            <w:rPr>
              <w:rFonts w:ascii="Arial" w:hAnsi="Arial" w:cs="Arial"/>
              <w:sz w:val="16"/>
              <w:szCs w:val="16"/>
            </w:rPr>
            <w:t>320179-14</w:t>
          </w:r>
        </w:p>
      </w:tc>
    </w:tr>
  </w:tbl>
  <w:p w:rsidR="004072ED" w:rsidRPr="00190394" w:rsidRDefault="004072ED" w:rsidP="00281F36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4ADC490C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31" w:hanging="43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>
    <w:nsid w:val="1A1708FB"/>
    <w:multiLevelType w:val="multilevel"/>
    <w:tmpl w:val="6F384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600570"/>
    <w:multiLevelType w:val="multilevel"/>
    <w:tmpl w:val="13F28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2AE350D"/>
    <w:multiLevelType w:val="hybridMultilevel"/>
    <w:tmpl w:val="F07EC35A"/>
    <w:lvl w:ilvl="0" w:tplc="CF28DDA2">
      <w:start w:val="1"/>
      <w:numFmt w:val="bullet"/>
      <w:lvlText w:val=""/>
      <w:lvlJc w:val="left"/>
      <w:pPr>
        <w:tabs>
          <w:tab w:val="num" w:pos="276"/>
        </w:tabs>
        <w:ind w:left="60" w:hanging="1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F6C65"/>
    <w:multiLevelType w:val="multilevel"/>
    <w:tmpl w:val="EA18198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98217CD"/>
    <w:multiLevelType w:val="multilevel"/>
    <w:tmpl w:val="6D1E8F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5AEE27A9"/>
    <w:multiLevelType w:val="hybridMultilevel"/>
    <w:tmpl w:val="7E5612EC"/>
    <w:lvl w:ilvl="0" w:tplc="6BC27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65D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A4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01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02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AC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E5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2D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3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A113B"/>
    <w:multiLevelType w:val="multilevel"/>
    <w:tmpl w:val="58262B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6D34248F"/>
    <w:multiLevelType w:val="hybridMultilevel"/>
    <w:tmpl w:val="7E3E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E0C89"/>
    <w:multiLevelType w:val="multilevel"/>
    <w:tmpl w:val="4B3497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C550A0F"/>
    <w:multiLevelType w:val="hybridMultilevel"/>
    <w:tmpl w:val="8304C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20710"/>
    <w:multiLevelType w:val="multilevel"/>
    <w:tmpl w:val="872C3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DF09A5"/>
    <w:multiLevelType w:val="hybridMultilevel"/>
    <w:tmpl w:val="6012EA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3"/>
  </w:num>
  <w:num w:numId="7">
    <w:abstractNumId w:val="15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11"/>
  </w:num>
  <w:num w:numId="1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6EF"/>
    <w:rsid w:val="00027C44"/>
    <w:rsid w:val="000E10B3"/>
    <w:rsid w:val="000E1AAF"/>
    <w:rsid w:val="001216E1"/>
    <w:rsid w:val="00124E53"/>
    <w:rsid w:val="0016164C"/>
    <w:rsid w:val="001903B8"/>
    <w:rsid w:val="001A3BD0"/>
    <w:rsid w:val="001D4267"/>
    <w:rsid w:val="001E0EBB"/>
    <w:rsid w:val="001F7E6E"/>
    <w:rsid w:val="002163A2"/>
    <w:rsid w:val="00245A51"/>
    <w:rsid w:val="00246EC6"/>
    <w:rsid w:val="00281F36"/>
    <w:rsid w:val="002B2EEA"/>
    <w:rsid w:val="002C4C7D"/>
    <w:rsid w:val="0032083B"/>
    <w:rsid w:val="00347AF4"/>
    <w:rsid w:val="003774A2"/>
    <w:rsid w:val="00384820"/>
    <w:rsid w:val="003B7393"/>
    <w:rsid w:val="003F7946"/>
    <w:rsid w:val="00403295"/>
    <w:rsid w:val="004072ED"/>
    <w:rsid w:val="00480500"/>
    <w:rsid w:val="00480ADD"/>
    <w:rsid w:val="00481237"/>
    <w:rsid w:val="004833C3"/>
    <w:rsid w:val="004841AC"/>
    <w:rsid w:val="0049521B"/>
    <w:rsid w:val="004B7B6C"/>
    <w:rsid w:val="004C2A3B"/>
    <w:rsid w:val="004F761F"/>
    <w:rsid w:val="00524EED"/>
    <w:rsid w:val="005372FC"/>
    <w:rsid w:val="005724BE"/>
    <w:rsid w:val="005728C8"/>
    <w:rsid w:val="005853B3"/>
    <w:rsid w:val="005D26EF"/>
    <w:rsid w:val="005E2050"/>
    <w:rsid w:val="00607BAF"/>
    <w:rsid w:val="0061770B"/>
    <w:rsid w:val="0066041C"/>
    <w:rsid w:val="00663A03"/>
    <w:rsid w:val="00681716"/>
    <w:rsid w:val="006F45D2"/>
    <w:rsid w:val="00731380"/>
    <w:rsid w:val="0074198C"/>
    <w:rsid w:val="0074396C"/>
    <w:rsid w:val="00757ED8"/>
    <w:rsid w:val="00770981"/>
    <w:rsid w:val="0079120E"/>
    <w:rsid w:val="0079672A"/>
    <w:rsid w:val="007B5A60"/>
    <w:rsid w:val="00821AE7"/>
    <w:rsid w:val="008561D0"/>
    <w:rsid w:val="008D554E"/>
    <w:rsid w:val="008F1658"/>
    <w:rsid w:val="0091062A"/>
    <w:rsid w:val="0092735F"/>
    <w:rsid w:val="009333FF"/>
    <w:rsid w:val="00947E99"/>
    <w:rsid w:val="00962F01"/>
    <w:rsid w:val="00984574"/>
    <w:rsid w:val="00987CDC"/>
    <w:rsid w:val="009E1234"/>
    <w:rsid w:val="00A94933"/>
    <w:rsid w:val="00A97E1B"/>
    <w:rsid w:val="00AB19CC"/>
    <w:rsid w:val="00AB3103"/>
    <w:rsid w:val="00AB65E3"/>
    <w:rsid w:val="00AC364A"/>
    <w:rsid w:val="00AD6A5F"/>
    <w:rsid w:val="00B16670"/>
    <w:rsid w:val="00B41625"/>
    <w:rsid w:val="00B83269"/>
    <w:rsid w:val="00B8328B"/>
    <w:rsid w:val="00B83EBD"/>
    <w:rsid w:val="00BA2C59"/>
    <w:rsid w:val="00BD7F3C"/>
    <w:rsid w:val="00C06226"/>
    <w:rsid w:val="00C118A0"/>
    <w:rsid w:val="00C95937"/>
    <w:rsid w:val="00CA4BCC"/>
    <w:rsid w:val="00CF0263"/>
    <w:rsid w:val="00CF20EB"/>
    <w:rsid w:val="00D02FD1"/>
    <w:rsid w:val="00D05BC2"/>
    <w:rsid w:val="00D15E52"/>
    <w:rsid w:val="00D353E4"/>
    <w:rsid w:val="00D7149D"/>
    <w:rsid w:val="00DB6775"/>
    <w:rsid w:val="00DC4326"/>
    <w:rsid w:val="00E97088"/>
    <w:rsid w:val="00EC68F7"/>
    <w:rsid w:val="00ED4F73"/>
    <w:rsid w:val="00F246D9"/>
    <w:rsid w:val="00F40144"/>
    <w:rsid w:val="00F4718B"/>
    <w:rsid w:val="00F65CF9"/>
    <w:rsid w:val="00F92118"/>
    <w:rsid w:val="00FB3857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6EF"/>
    <w:pPr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47AF4"/>
    <w:pPr>
      <w:keepNext/>
      <w:numPr>
        <w:numId w:val="5"/>
      </w:numPr>
      <w:spacing w:before="300" w:after="200"/>
      <w:ind w:left="431" w:hanging="43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60"/>
    <w:pPr>
      <w:keepNext/>
      <w:numPr>
        <w:ilvl w:val="1"/>
        <w:numId w:val="4"/>
      </w:numPr>
      <w:spacing w:before="400" w:after="180"/>
      <w:outlineLvl w:val="1"/>
    </w:pPr>
    <w:rPr>
      <w:b/>
      <w:bCs/>
      <w:iCs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3A03"/>
    <w:pPr>
      <w:keepNext/>
      <w:numPr>
        <w:ilvl w:val="2"/>
        <w:numId w:val="4"/>
      </w:numPr>
      <w:spacing w:before="300" w:after="100"/>
      <w:outlineLvl w:val="2"/>
    </w:pPr>
    <w:rPr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4198C"/>
    <w:pPr>
      <w:keepNext/>
      <w:numPr>
        <w:ilvl w:val="3"/>
        <w:numId w:val="4"/>
      </w:numPr>
      <w:spacing w:before="240" w:after="100"/>
      <w:outlineLvl w:val="3"/>
    </w:pPr>
    <w:rPr>
      <w:b/>
      <w:bCs/>
      <w:sz w:val="21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26EF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D26EF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D26EF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D26EF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D26EF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7AF4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B5A60"/>
    <w:rPr>
      <w:rFonts w:ascii="Arial" w:eastAsia="Times New Roman" w:hAnsi="Arial" w:cs="Times New Roman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63A03"/>
    <w:rPr>
      <w:rFonts w:ascii="Arial" w:eastAsia="Times New Roman" w:hAnsi="Arial" w:cs="Times New Roman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4198C"/>
    <w:rPr>
      <w:rFonts w:ascii="Arial" w:eastAsia="Times New Roman" w:hAnsi="Arial" w:cs="Times New Roman"/>
      <w:b/>
      <w:bCs/>
      <w:sz w:val="21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D26E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D26EF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5D26EF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5D26EF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5D26EF"/>
    <w:rPr>
      <w:rFonts w:ascii="Cambria" w:eastAsia="Times New Roman" w:hAnsi="Cambr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6E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5D26EF"/>
    <w:rPr>
      <w:color w:val="0000FF"/>
      <w:u w:val="single"/>
    </w:rPr>
  </w:style>
  <w:style w:type="paragraph" w:customStyle="1" w:styleId="Styl1">
    <w:name w:val="Styl1"/>
    <w:rsid w:val="005D26EF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5D26EF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D26E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D26EF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26EF"/>
    <w:rPr>
      <w:rFonts w:ascii="Calibri" w:eastAsia="Calibri" w:hAnsi="Calibri" w:cs="Times New Roman"/>
    </w:rPr>
  </w:style>
  <w:style w:type="paragraph" w:customStyle="1" w:styleId="Zkladnodstavec">
    <w:name w:val="[Základní odstavec]"/>
    <w:basedOn w:val="Normln"/>
    <w:uiPriority w:val="99"/>
    <w:rsid w:val="005D26EF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Textpoznpodarou">
    <w:name w:val="footnote text"/>
    <w:aliases w:val="Text pozn. pod čarou_martin_ang"/>
    <w:basedOn w:val="Normln"/>
    <w:link w:val="TextpoznpodarouChar"/>
    <w:rsid w:val="005D26EF"/>
    <w:pPr>
      <w:jc w:val="left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semiHidden/>
    <w:rsid w:val="005D26EF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rsid w:val="005D26E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D26EF"/>
    <w:pPr>
      <w:ind w:left="708"/>
      <w:jc w:val="left"/>
    </w:pPr>
    <w:rPr>
      <w:sz w:val="1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6EF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6EF"/>
    <w:pPr>
      <w:jc w:val="left"/>
    </w:pPr>
    <w:rPr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5D26EF"/>
    <w:rPr>
      <w:rFonts w:ascii="Arial" w:eastAsia="Times New Roman" w:hAnsi="Arial" w:cs="Times New Roman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D26EF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E1AAF"/>
    <w:pPr>
      <w:tabs>
        <w:tab w:val="left" w:pos="709"/>
        <w:tab w:val="right" w:leader="dot" w:pos="9628"/>
      </w:tabs>
      <w:spacing w:after="100"/>
      <w:ind w:left="851" w:hanging="567"/>
      <w:jc w:val="left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E1AAF"/>
    <w:pPr>
      <w:tabs>
        <w:tab w:val="left" w:pos="284"/>
        <w:tab w:val="right" w:pos="9628"/>
      </w:tabs>
      <w:spacing w:before="200"/>
      <w:jc w:val="left"/>
    </w:pPr>
    <w:rPr>
      <w:rFonts w:cs="Arial"/>
      <w:b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D26EF"/>
    <w:pPr>
      <w:tabs>
        <w:tab w:val="right" w:leader="dot" w:pos="9638"/>
      </w:tabs>
      <w:spacing w:after="100" w:line="276" w:lineRule="auto"/>
      <w:ind w:left="709" w:hanging="283"/>
      <w:jc w:val="left"/>
    </w:pPr>
    <w:rPr>
      <w:rFonts w:cs="Arial"/>
      <w:szCs w:val="20"/>
    </w:rPr>
  </w:style>
  <w:style w:type="paragraph" w:styleId="Bezmezer">
    <w:name w:val="No Spacing"/>
    <w:aliases w:val="marginálie"/>
    <w:qFormat/>
    <w:rsid w:val="005D26EF"/>
    <w:pPr>
      <w:jc w:val="both"/>
    </w:pPr>
    <w:rPr>
      <w:rFonts w:ascii="Arial" w:eastAsia="Times New Roman" w:hAnsi="Arial"/>
      <w:szCs w:val="24"/>
    </w:rPr>
  </w:style>
  <w:style w:type="paragraph" w:styleId="Zkladntextodsazen3">
    <w:name w:val="Body Text Indent 3"/>
    <w:basedOn w:val="Normln"/>
    <w:link w:val="Zkladntextodsazen3Char"/>
    <w:semiHidden/>
    <w:rsid w:val="005D26EF"/>
    <w:pPr>
      <w:ind w:right="-81" w:firstLine="708"/>
    </w:pPr>
    <w:rPr>
      <w:rFonts w:cs="Arial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D26EF"/>
    <w:rPr>
      <w:rFonts w:ascii="Arial" w:eastAsia="Times New Roman" w:hAnsi="Arial" w:cs="Arial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26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26EF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D26E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26EF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26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26EF"/>
    <w:rPr>
      <w:rFonts w:ascii="Arial" w:eastAsia="Times New Roman" w:hAnsi="Arial" w:cs="Times New Roman"/>
      <w:sz w:val="16"/>
      <w:szCs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D26E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D26EF"/>
    <w:rPr>
      <w:rFonts w:ascii="Tahoma" w:eastAsia="Times New Roman" w:hAnsi="Tahoma" w:cs="Tahoma"/>
      <w:sz w:val="16"/>
      <w:szCs w:val="16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B41625"/>
    <w:pPr>
      <w:spacing w:after="100"/>
      <w:ind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83606-A112-4920-9582-09DA5348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dubska1552</cp:lastModifiedBy>
  <cp:revision>2</cp:revision>
  <cp:lastPrinted>2013-09-04T06:52:00Z</cp:lastPrinted>
  <dcterms:created xsi:type="dcterms:W3CDTF">2014-05-12T10:23:00Z</dcterms:created>
  <dcterms:modified xsi:type="dcterms:W3CDTF">2014-05-12T10:23:00Z</dcterms:modified>
</cp:coreProperties>
</file>