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1" w:rsidRPr="00275862" w:rsidRDefault="00AC4FF2" w:rsidP="006666D5">
      <w:pPr>
        <w:pStyle w:val="Nadpis1"/>
        <w:numPr>
          <w:ilvl w:val="0"/>
          <w:numId w:val="0"/>
        </w:numPr>
        <w:tabs>
          <w:tab w:val="right" w:pos="9781"/>
        </w:tabs>
        <w:ind w:left="431" w:hanging="431"/>
      </w:pPr>
      <w:bookmarkStart w:id="0" w:name="_Toc384640698"/>
      <w:bookmarkStart w:id="1" w:name="_Toc353430678"/>
      <w:bookmarkStart w:id="2" w:name="_Toc353896480"/>
      <w:r w:rsidRPr="00275862">
        <w:t>Da</w:t>
      </w:r>
      <w:r w:rsidR="00421EA1" w:rsidRPr="00275862">
        <w:t>ta a metodika</w:t>
      </w:r>
      <w:bookmarkEnd w:id="0"/>
    </w:p>
    <w:tbl>
      <w:tblPr>
        <w:tblW w:w="5744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6"/>
        <w:gridCol w:w="9590"/>
        <w:gridCol w:w="1470"/>
      </w:tblGrid>
      <w:tr w:rsidR="00421EA1" w:rsidRPr="00275862" w:rsidTr="00EB6C71">
        <w:tc>
          <w:tcPr>
            <w:tcW w:w="34" w:type="pct"/>
          </w:tcPr>
          <w:p w:rsidR="00421EA1" w:rsidRPr="00275862" w:rsidRDefault="00421EA1" w:rsidP="006666D5">
            <w:pPr>
              <w:tabs>
                <w:tab w:val="right" w:pos="9781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306" w:type="pct"/>
          </w:tcPr>
          <w:p w:rsidR="00421EA1" w:rsidRPr="00275862" w:rsidRDefault="00421EA1" w:rsidP="006666D5">
            <w:pPr>
              <w:tabs>
                <w:tab w:val="right" w:pos="9781"/>
              </w:tabs>
              <w:spacing w:after="200"/>
            </w:pPr>
            <w:r w:rsidRPr="00275862">
              <w:t>K analýze vzdělanostní a věkové podobnosti snoubenců a stability manželství byly využity údaje o sňatcích a rozvodech z demografické statistiky za období 1993-2012. Srovnání věkové, vzdělanostní, národnostní a náboženské podobnosti partnerů žijících v manželství a v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soužitích bylo vytvořeno na základě údajů ze Sčítání lidu, domů a bytů z roku 2011 za domácnosti tvořené jednou rodinou. Za </w:t>
            </w:r>
            <w:proofErr w:type="spellStart"/>
            <w:r w:rsidRPr="00275862">
              <w:t>nesezdané</w:t>
            </w:r>
            <w:proofErr w:type="spellEnd"/>
            <w:r w:rsidRPr="00275862">
              <w:t xml:space="preserve"> soužití je považováno soužití partnerů, kteří svůj vzájemný vztah ve sčítacím formuláři označili jako „druh, družka“ (v analýze je pak jako synonymum pro </w:t>
            </w:r>
            <w:proofErr w:type="spellStart"/>
            <w:r w:rsidRPr="00275862">
              <w:t>nesezdané</w:t>
            </w:r>
            <w:proofErr w:type="spellEnd"/>
            <w:r w:rsidRPr="00275862">
              <w:t xml:space="preserve"> soužit</w:t>
            </w:r>
            <w:r w:rsidR="000E0843" w:rsidRPr="00275862">
              <w:t>í</w:t>
            </w:r>
            <w:r w:rsidRPr="00275862">
              <w:t xml:space="preserve"> používáno i faktické manželství nebo kohabitace). Do analýzy nebyly zahrnuty domácnosti tvořené partnery stejného pohlaví.</w:t>
            </w:r>
          </w:p>
          <w:p w:rsidR="00421EA1" w:rsidRPr="00275862" w:rsidRDefault="00346971" w:rsidP="006666D5">
            <w:pPr>
              <w:tabs>
                <w:tab w:val="right" w:pos="9781"/>
              </w:tabs>
              <w:spacing w:after="200"/>
            </w:pPr>
            <w:r>
              <w:t xml:space="preserve">Za homogamní svazky jsou považovány svazky, ve kterých oba partneři mají stejné znaky, v případě této analýzy pokud mají stejné vzdělání, jsou stejně staří a přihlásili se ke stejnému náboženskému vyznání nebo národnosti. Heterogamní svazky jsou pak ty, kde partneři mají odlišné charakteristiky. </w:t>
            </w:r>
            <w:r w:rsidR="00421EA1" w:rsidRPr="00275862">
              <w:t>Za stejně staré snoubence a partnery jsou v analýze považováni snoubenci a partneři, jejichž věkový rozdíl je nula nebo jeden rok a tím pádem za páry se starším mužem nebo ženou ty, u kterých věkový rozdíl představoval minimálně dva roky.</w:t>
            </w:r>
          </w:p>
          <w:p w:rsidR="00421EA1" w:rsidRPr="00275862" w:rsidRDefault="00421EA1" w:rsidP="00EB6C71">
            <w:pPr>
              <w:tabs>
                <w:tab w:val="right" w:pos="9563"/>
              </w:tabs>
            </w:pPr>
            <w:r w:rsidRPr="00275862">
              <w:t>V analýze vzdělanostní podobnosti jsou používány 4 vzdělanostní kategorie – vzdělání základní, střední bez maturity, střední s maturitou a vysokoškolské. Při využívání údajů ze sčítání byly do kategorie základní přiřazeny i osoby bez vzdělání a s neukončeným základním vzděláním, do kategorie střední s maturitou i nástavbové studium včetně pomaturitního studia a ke všem stupňům vysokoškolského vzdělání bylo připojeno i vyšší odborné vzdělání. Při analýze vzdělanostní podobnosti v </w:t>
            </w:r>
            <w:proofErr w:type="spellStart"/>
            <w:r w:rsidRPr="00275862">
              <w:t>sezdaných</w:t>
            </w:r>
            <w:proofErr w:type="spellEnd"/>
            <w:r w:rsidRPr="00275862">
              <w:t xml:space="preserve"> a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 z dat ze sčítání byly do analýzy zahrnuty jen osoby, které uvedly svojí současnou ekonomickou aktivitu, ale zároveň nestudovaly (včetně pracujících studentů), protože u studentů se dá očekávat, že jejich vzdělání ještě není ukončené. Do analýzy byly zařazeny jen sňatky a svazky, kde byl údaj o vzdělání uveden u obou snoubenců/partnerů.</w:t>
            </w:r>
          </w:p>
          <w:p w:rsidR="00D33813" w:rsidRPr="00275862" w:rsidRDefault="00D33813" w:rsidP="006666D5">
            <w:pPr>
              <w:tabs>
                <w:tab w:val="right" w:pos="9781"/>
              </w:tabs>
            </w:pPr>
          </w:p>
          <w:p w:rsidR="00421EA1" w:rsidRPr="00275862" w:rsidRDefault="00421EA1" w:rsidP="00EB6C71">
            <w:pPr>
              <w:tabs>
                <w:tab w:val="right" w:pos="9781"/>
              </w:tabs>
              <w:spacing w:before="200" w:after="60"/>
              <w:rPr>
                <w:b/>
              </w:rPr>
            </w:pPr>
            <w:r w:rsidRPr="00275862">
              <w:t xml:space="preserve">Tabulka č. 1 </w:t>
            </w:r>
            <w:r w:rsidRPr="00275862">
              <w:rPr>
                <w:b/>
              </w:rPr>
              <w:t>Vývoj počtu sňatků v České republice v období 1993-2012</w:t>
            </w:r>
          </w:p>
          <w:tbl>
            <w:tblPr>
              <w:tblW w:w="96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69"/>
              <w:gridCol w:w="845"/>
              <w:gridCol w:w="845"/>
              <w:gridCol w:w="846"/>
              <w:gridCol w:w="845"/>
              <w:gridCol w:w="845"/>
              <w:gridCol w:w="708"/>
              <w:gridCol w:w="709"/>
              <w:gridCol w:w="709"/>
              <w:gridCol w:w="709"/>
              <w:gridCol w:w="995"/>
            </w:tblGrid>
            <w:tr w:rsidR="00421EA1" w:rsidRPr="00275862" w:rsidTr="00AC4FF2">
              <w:trPr>
                <w:trHeight w:val="240"/>
              </w:trPr>
              <w:tc>
                <w:tcPr>
                  <w:tcW w:w="1569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1993</w:t>
                  </w:r>
                </w:p>
              </w:tc>
              <w:tc>
                <w:tcPr>
                  <w:tcW w:w="845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1994</w:t>
                  </w:r>
                </w:p>
              </w:tc>
              <w:tc>
                <w:tcPr>
                  <w:tcW w:w="846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1995</w:t>
                  </w:r>
                </w:p>
              </w:tc>
              <w:tc>
                <w:tcPr>
                  <w:tcW w:w="845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1996</w:t>
                  </w:r>
                </w:p>
              </w:tc>
              <w:tc>
                <w:tcPr>
                  <w:tcW w:w="845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1997</w:t>
                  </w: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1998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1999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2001</w:t>
                  </w:r>
                </w:p>
              </w:tc>
              <w:tc>
                <w:tcPr>
                  <w:tcW w:w="995" w:type="dxa"/>
                  <w:tcBorders>
                    <w:top w:val="double" w:sz="6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2002</w:t>
                  </w:r>
                </w:p>
              </w:tc>
            </w:tr>
            <w:tr w:rsidR="00421EA1" w:rsidRPr="00275862" w:rsidTr="00AC4FF2">
              <w:trPr>
                <w:trHeight w:val="240"/>
              </w:trPr>
              <w:tc>
                <w:tcPr>
                  <w:tcW w:w="1569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celkem sňatků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66 033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58 440</w:t>
                  </w:r>
                </w:p>
              </w:tc>
              <w:tc>
                <w:tcPr>
                  <w:tcW w:w="846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54 956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53 896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57 804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55 027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53 523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55 321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52 374</w:t>
                  </w:r>
                </w:p>
              </w:tc>
              <w:tc>
                <w:tcPr>
                  <w:tcW w:w="99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52 732</w:t>
                  </w:r>
                </w:p>
              </w:tc>
            </w:tr>
            <w:tr w:rsidR="00421EA1" w:rsidRPr="00275862" w:rsidTr="00AC4FF2">
              <w:trPr>
                <w:trHeight w:val="240"/>
              </w:trPr>
              <w:tc>
                <w:tcPr>
                  <w:tcW w:w="1569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2003</w:t>
                  </w:r>
                </w:p>
              </w:tc>
              <w:tc>
                <w:tcPr>
                  <w:tcW w:w="845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2004</w:t>
                  </w:r>
                </w:p>
              </w:tc>
              <w:tc>
                <w:tcPr>
                  <w:tcW w:w="846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845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845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995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b/>
                      <w:sz w:val="18"/>
                      <w:szCs w:val="18"/>
                    </w:rPr>
                    <w:t>2012</w:t>
                  </w:r>
                </w:p>
              </w:tc>
            </w:tr>
            <w:tr w:rsidR="00421EA1" w:rsidRPr="00275862" w:rsidTr="00AC4FF2">
              <w:trPr>
                <w:trHeight w:val="240"/>
              </w:trPr>
              <w:tc>
                <w:tcPr>
                  <w:tcW w:w="1569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celkem sňatků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48 943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51 447</w:t>
                  </w:r>
                </w:p>
              </w:tc>
              <w:tc>
                <w:tcPr>
                  <w:tcW w:w="8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51 829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52 860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57 157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52 457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47 862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46 746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45 137</w:t>
                  </w:r>
                </w:p>
              </w:tc>
              <w:tc>
                <w:tcPr>
                  <w:tcW w:w="99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sz w:val="18"/>
                      <w:szCs w:val="18"/>
                    </w:rPr>
                    <w:t>45 206</w:t>
                  </w:r>
                </w:p>
              </w:tc>
            </w:tr>
            <w:tr w:rsidR="00421EA1" w:rsidRPr="00275862" w:rsidTr="00AC4FF2">
              <w:trPr>
                <w:trHeight w:val="240"/>
              </w:trPr>
              <w:tc>
                <w:tcPr>
                  <w:tcW w:w="156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right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i/>
                      <w:sz w:val="16"/>
                      <w:szCs w:val="18"/>
                    </w:rPr>
                    <w:t>z toho s údajem</w:t>
                  </w:r>
                  <w:r w:rsidRPr="00275862">
                    <w:rPr>
                      <w:rFonts w:cs="Arial"/>
                      <w:i/>
                      <w:sz w:val="16"/>
                      <w:szCs w:val="18"/>
                    </w:rPr>
                    <w:br/>
                    <w:t xml:space="preserve"> o vzdělání obou snoubenců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i/>
                      <w:sz w:val="18"/>
                      <w:szCs w:val="18"/>
                    </w:rPr>
                    <w:t>51 648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i/>
                      <w:sz w:val="18"/>
                      <w:szCs w:val="18"/>
                    </w:rPr>
                    <w:t>46 486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i/>
                      <w:sz w:val="18"/>
                      <w:szCs w:val="18"/>
                    </w:rPr>
                    <w:t>43 407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i/>
                      <w:sz w:val="18"/>
                      <w:szCs w:val="18"/>
                    </w:rPr>
                    <w:t>41 281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275862">
                    <w:rPr>
                      <w:rFonts w:cs="Arial"/>
                      <w:i/>
                      <w:sz w:val="18"/>
                      <w:szCs w:val="18"/>
                    </w:rPr>
                    <w:t>41 434</w:t>
                  </w:r>
                </w:p>
              </w:tc>
            </w:tr>
          </w:tbl>
          <w:p w:rsidR="00421EA1" w:rsidRPr="00275862" w:rsidRDefault="00421EA1" w:rsidP="006666D5">
            <w:pPr>
              <w:tabs>
                <w:tab w:val="right" w:pos="9781"/>
              </w:tabs>
              <w:spacing w:after="200"/>
            </w:pPr>
            <w:r w:rsidRPr="00275862">
              <w:t>Zdroj: ČSÚ</w:t>
            </w:r>
            <w:r w:rsidR="009162F0" w:rsidRPr="00275862">
              <w:t xml:space="preserve"> (demografická statistika)</w:t>
            </w:r>
          </w:p>
          <w:p w:rsidR="00D33813" w:rsidRPr="00275862" w:rsidRDefault="00D33813" w:rsidP="006666D5">
            <w:pPr>
              <w:tabs>
                <w:tab w:val="right" w:pos="9781"/>
              </w:tabs>
              <w:spacing w:after="200"/>
            </w:pPr>
          </w:p>
          <w:p w:rsidR="00421EA1" w:rsidRPr="00275862" w:rsidRDefault="00421EA1" w:rsidP="00EB6C71">
            <w:pPr>
              <w:tabs>
                <w:tab w:val="right" w:pos="9781"/>
              </w:tabs>
              <w:spacing w:after="60"/>
              <w:rPr>
                <w:b/>
              </w:rPr>
            </w:pPr>
            <w:r w:rsidRPr="00275862">
              <w:t xml:space="preserve">Tabulka č. 2 </w:t>
            </w:r>
            <w:r w:rsidR="000E0843" w:rsidRPr="00275862">
              <w:rPr>
                <w:b/>
              </w:rPr>
              <w:t>Hospodařící domácnosti tvořené 1 úplnou rodinou</w:t>
            </w:r>
            <w:r w:rsidRPr="00275862">
              <w:rPr>
                <w:b/>
              </w:rPr>
              <w:t xml:space="preserve"> v roce 2011</w:t>
            </w:r>
          </w:p>
          <w:tbl>
            <w:tblPr>
              <w:tblW w:w="964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234"/>
              <w:gridCol w:w="943"/>
              <w:gridCol w:w="1378"/>
              <w:gridCol w:w="1692"/>
              <w:gridCol w:w="1701"/>
              <w:gridCol w:w="1701"/>
            </w:tblGrid>
            <w:tr w:rsidR="00421EA1" w:rsidRPr="00275862" w:rsidTr="00AC4FF2">
              <w:trPr>
                <w:trHeight w:val="315"/>
              </w:trPr>
              <w:tc>
                <w:tcPr>
                  <w:tcW w:w="2234" w:type="dxa"/>
                  <w:vMerge w:val="restart"/>
                  <w:tcBorders>
                    <w:top w:val="double" w:sz="6" w:space="0" w:color="auto"/>
                    <w:left w:val="nil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0E0843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b/>
                      <w:color w:val="000000"/>
                      <w:sz w:val="18"/>
                    </w:rPr>
                    <w:t>Typ hospodařící domácnosti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b/>
                      <w:color w:val="000000"/>
                      <w:sz w:val="18"/>
                      <w:szCs w:val="22"/>
                    </w:rPr>
                    <w:t>celkem</w:t>
                  </w:r>
                </w:p>
              </w:tc>
              <w:tc>
                <w:tcPr>
                  <w:tcW w:w="6472" w:type="dxa"/>
                  <w:gridSpan w:val="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i/>
                      <w:color w:val="000000"/>
                      <w:sz w:val="18"/>
                      <w:szCs w:val="22"/>
                    </w:rPr>
                    <w:t>z toho</w:t>
                  </w:r>
                  <w:r w:rsidRPr="00275862">
                    <w:rPr>
                      <w:rFonts w:cs="Arial"/>
                      <w:i/>
                      <w:color w:val="000000"/>
                      <w:sz w:val="18"/>
                    </w:rPr>
                    <w:t xml:space="preserve"> s</w:t>
                  </w:r>
                  <w:r w:rsidR="009162F0" w:rsidRPr="00275862">
                    <w:rPr>
                      <w:rFonts w:cs="Arial"/>
                      <w:i/>
                      <w:color w:val="000000"/>
                      <w:sz w:val="18"/>
                    </w:rPr>
                    <w:t xml:space="preserve"> uvedenými </w:t>
                  </w:r>
                  <w:r w:rsidRPr="00275862">
                    <w:rPr>
                      <w:rFonts w:cs="Arial"/>
                      <w:i/>
                      <w:color w:val="000000"/>
                      <w:sz w:val="18"/>
                    </w:rPr>
                    <w:t>údaji o</w:t>
                  </w:r>
                  <w:r w:rsidRPr="00275862">
                    <w:rPr>
                      <w:rFonts w:cs="Arial"/>
                      <w:i/>
                      <w:color w:val="000000"/>
                      <w:sz w:val="18"/>
                      <w:szCs w:val="22"/>
                    </w:rPr>
                    <w:t>:</w:t>
                  </w:r>
                </w:p>
              </w:tc>
            </w:tr>
            <w:tr w:rsidR="00421EA1" w:rsidRPr="00275862" w:rsidTr="00AC4FF2">
              <w:trPr>
                <w:trHeight w:val="315"/>
              </w:trPr>
              <w:tc>
                <w:tcPr>
                  <w:tcW w:w="2234" w:type="dxa"/>
                  <w:vMerge/>
                  <w:tcBorders>
                    <w:top w:val="double" w:sz="6" w:space="0" w:color="auto"/>
                    <w:left w:val="nil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i/>
                      <w:color w:val="000000"/>
                      <w:sz w:val="18"/>
                      <w:szCs w:val="22"/>
                    </w:rPr>
                    <w:t>věku obou partnerů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i/>
                      <w:color w:val="000000"/>
                      <w:sz w:val="18"/>
                      <w:szCs w:val="22"/>
                    </w:rPr>
                    <w:t>vzdělání obou partnerů</w:t>
                  </w:r>
                  <w:r w:rsidRPr="00275862">
                    <w:rPr>
                      <w:rStyle w:val="Znakapoznpodarou"/>
                      <w:rFonts w:cs="Arial"/>
                      <w:i/>
                      <w:color w:val="000000"/>
                      <w:sz w:val="18"/>
                    </w:rPr>
                    <w:footnoteReference w:id="1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i/>
                      <w:color w:val="000000"/>
                      <w:sz w:val="18"/>
                      <w:szCs w:val="22"/>
                    </w:rPr>
                    <w:t>náboženství obou partnerů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i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i/>
                      <w:color w:val="000000"/>
                      <w:sz w:val="18"/>
                      <w:szCs w:val="22"/>
                    </w:rPr>
                    <w:t>národnosti obou partnerů</w:t>
                  </w:r>
                </w:p>
              </w:tc>
            </w:tr>
            <w:tr w:rsidR="00421EA1" w:rsidRPr="00275862" w:rsidTr="00AC4FF2">
              <w:trPr>
                <w:trHeight w:val="5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b/>
                      <w:color w:val="000000"/>
                      <w:sz w:val="18"/>
                      <w:szCs w:val="22"/>
                    </w:rPr>
                    <w:t>manželské páry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b/>
                      <w:color w:val="000000"/>
                      <w:sz w:val="18"/>
                      <w:szCs w:val="22"/>
                    </w:rPr>
                    <w:t>1</w:t>
                  </w:r>
                  <w:r w:rsidRPr="00275862">
                    <w:rPr>
                      <w:rFonts w:cs="Arial"/>
                      <w:b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b/>
                      <w:color w:val="000000"/>
                      <w:sz w:val="18"/>
                      <w:szCs w:val="22"/>
                    </w:rPr>
                    <w:t>857</w:t>
                  </w:r>
                  <w:r w:rsidRPr="00275862">
                    <w:rPr>
                      <w:rFonts w:cs="Arial"/>
                      <w:b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b/>
                      <w:color w:val="000000"/>
                      <w:sz w:val="18"/>
                      <w:szCs w:val="22"/>
                    </w:rPr>
                    <w:t>997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1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857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928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1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760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686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977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757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1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425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006</w:t>
                  </w:r>
                </w:p>
              </w:tc>
            </w:tr>
            <w:tr w:rsidR="00421EA1" w:rsidRPr="00275862" w:rsidTr="00AC4FF2">
              <w:trPr>
                <w:trHeight w:val="456"/>
              </w:trPr>
              <w:tc>
                <w:tcPr>
                  <w:tcW w:w="22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b/>
                      <w:color w:val="000000"/>
                      <w:sz w:val="18"/>
                      <w:szCs w:val="22"/>
                    </w:rPr>
                    <w:t>faktické ma</w:t>
                  </w:r>
                  <w:r w:rsidRPr="00275862">
                    <w:rPr>
                      <w:rFonts w:cs="Arial"/>
                      <w:b/>
                      <w:color w:val="000000"/>
                      <w:sz w:val="18"/>
                    </w:rPr>
                    <w:t>n</w:t>
                  </w:r>
                  <w:r w:rsidRPr="00275862">
                    <w:rPr>
                      <w:rFonts w:cs="Arial"/>
                      <w:b/>
                      <w:color w:val="000000"/>
                      <w:sz w:val="18"/>
                      <w:szCs w:val="22"/>
                    </w:rPr>
                    <w:t>želství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b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b/>
                      <w:color w:val="000000"/>
                      <w:sz w:val="18"/>
                      <w:szCs w:val="22"/>
                    </w:rPr>
                    <w:t>234</w:t>
                  </w:r>
                  <w:r w:rsidRPr="00275862">
                    <w:rPr>
                      <w:rFonts w:cs="Arial"/>
                      <w:b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b/>
                      <w:color w:val="000000"/>
                      <w:sz w:val="18"/>
                      <w:szCs w:val="22"/>
                    </w:rPr>
                    <w:t>346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234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335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217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459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124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537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1EA1" w:rsidRPr="00275862" w:rsidRDefault="00421EA1" w:rsidP="006666D5">
                  <w:pPr>
                    <w:tabs>
                      <w:tab w:val="right" w:pos="9781"/>
                    </w:tabs>
                    <w:jc w:val="center"/>
                    <w:rPr>
                      <w:rFonts w:cs="Arial"/>
                      <w:color w:val="000000"/>
                      <w:sz w:val="18"/>
                    </w:rPr>
                  </w:pP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166</w:t>
                  </w:r>
                  <w:r w:rsidRPr="00275862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  <w:r w:rsidRPr="00275862">
                    <w:rPr>
                      <w:rFonts w:cs="Arial"/>
                      <w:color w:val="000000"/>
                      <w:sz w:val="18"/>
                      <w:szCs w:val="22"/>
                    </w:rPr>
                    <w:t>399</w:t>
                  </w:r>
                </w:p>
              </w:tc>
            </w:tr>
          </w:tbl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t>Zdroj: ČSÚ (SLDB 2011)</w:t>
            </w:r>
          </w:p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660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</w:tr>
    </w:tbl>
    <w:p w:rsidR="00415A39" w:rsidRDefault="00415A39"/>
    <w:bookmarkEnd w:id="1"/>
    <w:bookmarkEnd w:id="2"/>
    <w:p w:rsidR="00E35D8C" w:rsidRPr="00F47721" w:rsidRDefault="00E35D8C" w:rsidP="0066465D">
      <w:pPr>
        <w:pStyle w:val="Nadpis1"/>
        <w:numPr>
          <w:ilvl w:val="0"/>
          <w:numId w:val="0"/>
        </w:numPr>
        <w:tabs>
          <w:tab w:val="right" w:pos="9781"/>
        </w:tabs>
        <w:rPr>
          <w:sz w:val="20"/>
        </w:rPr>
      </w:pPr>
    </w:p>
    <w:sectPr w:rsidR="00E35D8C" w:rsidRPr="00F47721" w:rsidSect="0066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9A" w:rsidRDefault="00F6609A" w:rsidP="00421EA1">
      <w:r>
        <w:separator/>
      </w:r>
    </w:p>
  </w:endnote>
  <w:endnote w:type="continuationSeparator" w:id="0">
    <w:p w:rsidR="00F6609A" w:rsidRDefault="00F6609A" w:rsidP="0042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B6" w:rsidRDefault="006824B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3505EC">
      <w:rPr>
        <w:rFonts w:ascii="Arial" w:hAnsi="Arial" w:cs="Arial"/>
        <w:sz w:val="16"/>
        <w:szCs w:val="16"/>
      </w:rPr>
      <w:t>4</w:t>
    </w:r>
    <w:r>
      <w:tab/>
    </w:r>
    <w:r w:rsidR="00C83827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C83827" w:rsidRPr="00B6608F">
      <w:rPr>
        <w:rFonts w:ascii="Arial" w:hAnsi="Arial" w:cs="Arial"/>
        <w:sz w:val="16"/>
        <w:szCs w:val="16"/>
      </w:rPr>
      <w:fldChar w:fldCharType="separate"/>
    </w:r>
    <w:r w:rsidR="006824B6">
      <w:rPr>
        <w:rFonts w:ascii="Arial" w:hAnsi="Arial" w:cs="Arial"/>
        <w:noProof/>
        <w:sz w:val="16"/>
        <w:szCs w:val="16"/>
      </w:rPr>
      <w:t>1</w:t>
    </w:r>
    <w:r w:rsidR="00C83827" w:rsidRPr="00B6608F">
      <w:rPr>
        <w:rFonts w:ascii="Arial" w:hAnsi="Arial" w:cs="Arial"/>
        <w:sz w:val="16"/>
        <w:szCs w:val="16"/>
      </w:rPr>
      <w:fldChar w:fldCharType="end"/>
    </w:r>
  </w:p>
  <w:p w:rsidR="00AC4FF2" w:rsidRDefault="00AC4FF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B6" w:rsidRDefault="006824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9A" w:rsidRDefault="00F6609A" w:rsidP="00421EA1">
      <w:r>
        <w:separator/>
      </w:r>
    </w:p>
  </w:footnote>
  <w:footnote w:type="continuationSeparator" w:id="0">
    <w:p w:rsidR="00F6609A" w:rsidRDefault="00F6609A" w:rsidP="00421EA1">
      <w:r>
        <w:continuationSeparator/>
      </w:r>
    </w:p>
  </w:footnote>
  <w:footnote w:id="1">
    <w:p w:rsidR="00AC4FF2" w:rsidRDefault="00AC4FF2" w:rsidP="00421EA1">
      <w:pPr>
        <w:pStyle w:val="Textpoznpodarou"/>
      </w:pPr>
      <w:r w:rsidRPr="00771C17">
        <w:rPr>
          <w:rStyle w:val="Znakapoznpodarou"/>
          <w:sz w:val="18"/>
        </w:rPr>
        <w:footnoteRef/>
      </w:r>
      <w:r w:rsidRPr="00771C17">
        <w:rPr>
          <w:sz w:val="18"/>
        </w:rPr>
        <w:t xml:space="preserve"> </w:t>
      </w:r>
      <w:r w:rsidR="00176EBC">
        <w:rPr>
          <w:sz w:val="16"/>
        </w:rPr>
        <w:t>p</w:t>
      </w:r>
      <w:r w:rsidRPr="00771C17">
        <w:rPr>
          <w:sz w:val="16"/>
        </w:rPr>
        <w:t xml:space="preserve">áry, kde oba vyplnili údaj o ekonomické aktivitě a </w:t>
      </w:r>
      <w:r>
        <w:rPr>
          <w:sz w:val="16"/>
        </w:rPr>
        <w:t>ani jeden z partnerů nebyl</w:t>
      </w:r>
      <w:r w:rsidRPr="00771C17">
        <w:rPr>
          <w:sz w:val="16"/>
        </w:rPr>
        <w:t xml:space="preserve"> studen</w:t>
      </w:r>
      <w:r>
        <w:rPr>
          <w:sz w:val="16"/>
        </w:rPr>
        <w:t>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B6" w:rsidRDefault="006824B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AC4FF2" w:rsidRPr="00E53687" w:rsidTr="00AC4FF2">
      <w:tc>
        <w:tcPr>
          <w:tcW w:w="6518" w:type="dxa"/>
        </w:tcPr>
        <w:p w:rsidR="00AC4FF2" w:rsidRPr="00E53687" w:rsidRDefault="00AC4FF2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Socio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-demografická homogamie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a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nesezdaných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párů</w:t>
          </w:r>
        </w:p>
      </w:tc>
      <w:tc>
        <w:tcPr>
          <w:tcW w:w="3260" w:type="dxa"/>
        </w:tcPr>
        <w:p w:rsidR="00AC4FF2" w:rsidRPr="00E53687" w:rsidRDefault="006824B6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</w:t>
          </w:r>
          <w:r w:rsidRPr="00E53687">
            <w:rPr>
              <w:rFonts w:ascii="Arial" w:hAnsi="Arial" w:cs="Arial"/>
              <w:sz w:val="16"/>
              <w:szCs w:val="16"/>
            </w:rPr>
            <w:t>ód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3173A">
            <w:rPr>
              <w:rFonts w:ascii="Arial" w:hAnsi="Arial" w:cs="Arial"/>
              <w:sz w:val="16"/>
              <w:szCs w:val="20"/>
            </w:rPr>
            <w:t>320180-14</w:t>
          </w:r>
        </w:p>
      </w:tc>
    </w:tr>
  </w:tbl>
  <w:p w:rsidR="00AC4FF2" w:rsidRDefault="00AC4FF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6465D" w:rsidRPr="00E53687" w:rsidTr="003F1B16">
      <w:tc>
        <w:tcPr>
          <w:tcW w:w="6518" w:type="dxa"/>
        </w:tcPr>
        <w:p w:rsidR="0066465D" w:rsidRPr="00E53687" w:rsidRDefault="0066465D" w:rsidP="003F1B16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Socio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-demografická homogamie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a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nesezdaných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párů</w:t>
          </w:r>
        </w:p>
      </w:tc>
      <w:tc>
        <w:tcPr>
          <w:tcW w:w="3260" w:type="dxa"/>
        </w:tcPr>
        <w:p w:rsidR="0066465D" w:rsidRPr="00E53687" w:rsidRDefault="0066465D" w:rsidP="003F1B16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53687">
            <w:rPr>
              <w:rFonts w:ascii="Arial" w:hAnsi="Arial" w:cs="Arial"/>
              <w:sz w:val="16"/>
              <w:szCs w:val="16"/>
            </w:rPr>
            <w:t xml:space="preserve">kód </w:t>
          </w:r>
        </w:p>
      </w:tc>
    </w:tr>
  </w:tbl>
  <w:p w:rsidR="0066465D" w:rsidRDefault="006646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4ADC490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31" w:hanging="43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1E600570"/>
    <w:multiLevelType w:val="multilevel"/>
    <w:tmpl w:val="13F2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AE350D"/>
    <w:multiLevelType w:val="hybridMultilevel"/>
    <w:tmpl w:val="F07EC35A"/>
    <w:lvl w:ilvl="0" w:tplc="CF28DDA2">
      <w:start w:val="1"/>
      <w:numFmt w:val="bullet"/>
      <w:lvlText w:val=""/>
      <w:lvlJc w:val="left"/>
      <w:pPr>
        <w:tabs>
          <w:tab w:val="num" w:pos="276"/>
        </w:tabs>
        <w:ind w:left="60" w:hanging="1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C3B0F0E"/>
    <w:multiLevelType w:val="hybridMultilevel"/>
    <w:tmpl w:val="68DA0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6C65"/>
    <w:multiLevelType w:val="multilevel"/>
    <w:tmpl w:val="EA18198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98217CD"/>
    <w:multiLevelType w:val="multilevel"/>
    <w:tmpl w:val="6D1E8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5AEE27A9"/>
    <w:multiLevelType w:val="hybridMultilevel"/>
    <w:tmpl w:val="7E5612EC"/>
    <w:lvl w:ilvl="0" w:tplc="6BC27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5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A4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2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5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2D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3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A113B"/>
    <w:multiLevelType w:val="multilevel"/>
    <w:tmpl w:val="58262B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6D34248F"/>
    <w:multiLevelType w:val="hybridMultilevel"/>
    <w:tmpl w:val="7E3E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0C89"/>
    <w:multiLevelType w:val="multilevel"/>
    <w:tmpl w:val="4B3497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C550A0F"/>
    <w:multiLevelType w:val="hybridMultilevel"/>
    <w:tmpl w:val="8304C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F09A5"/>
    <w:multiLevelType w:val="hybridMultilevel"/>
    <w:tmpl w:val="6012EA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21EA1"/>
    <w:rsid w:val="0003510C"/>
    <w:rsid w:val="00051F57"/>
    <w:rsid w:val="00080118"/>
    <w:rsid w:val="000C0132"/>
    <w:rsid w:val="000C1B78"/>
    <w:rsid w:val="000E0843"/>
    <w:rsid w:val="000F4D30"/>
    <w:rsid w:val="00143CE5"/>
    <w:rsid w:val="00176EBC"/>
    <w:rsid w:val="001844F6"/>
    <w:rsid w:val="001B4822"/>
    <w:rsid w:val="001C1770"/>
    <w:rsid w:val="001D727A"/>
    <w:rsid w:val="001E3116"/>
    <w:rsid w:val="002019A7"/>
    <w:rsid w:val="00262761"/>
    <w:rsid w:val="00275862"/>
    <w:rsid w:val="00346971"/>
    <w:rsid w:val="003505EC"/>
    <w:rsid w:val="00355E7C"/>
    <w:rsid w:val="003820A8"/>
    <w:rsid w:val="00397626"/>
    <w:rsid w:val="003E3721"/>
    <w:rsid w:val="00415A39"/>
    <w:rsid w:val="00421EA1"/>
    <w:rsid w:val="00460BBB"/>
    <w:rsid w:val="004B0C94"/>
    <w:rsid w:val="00592018"/>
    <w:rsid w:val="00600F44"/>
    <w:rsid w:val="00630920"/>
    <w:rsid w:val="0065546C"/>
    <w:rsid w:val="0066465D"/>
    <w:rsid w:val="0066608A"/>
    <w:rsid w:val="006666D5"/>
    <w:rsid w:val="006824B6"/>
    <w:rsid w:val="006A4972"/>
    <w:rsid w:val="00762BDF"/>
    <w:rsid w:val="0078472C"/>
    <w:rsid w:val="00794431"/>
    <w:rsid w:val="007A60AC"/>
    <w:rsid w:val="007F729B"/>
    <w:rsid w:val="009162F0"/>
    <w:rsid w:val="00A34FAA"/>
    <w:rsid w:val="00A51DE4"/>
    <w:rsid w:val="00AB2ACC"/>
    <w:rsid w:val="00AC4FF2"/>
    <w:rsid w:val="00B47CD1"/>
    <w:rsid w:val="00BD1FDB"/>
    <w:rsid w:val="00BE6525"/>
    <w:rsid w:val="00C24AF0"/>
    <w:rsid w:val="00C83827"/>
    <w:rsid w:val="00C96616"/>
    <w:rsid w:val="00CA430D"/>
    <w:rsid w:val="00CD06BD"/>
    <w:rsid w:val="00D33661"/>
    <w:rsid w:val="00D33813"/>
    <w:rsid w:val="00D575F6"/>
    <w:rsid w:val="00D71801"/>
    <w:rsid w:val="00D75B17"/>
    <w:rsid w:val="00DA27D8"/>
    <w:rsid w:val="00DD18F5"/>
    <w:rsid w:val="00E068F6"/>
    <w:rsid w:val="00E256DE"/>
    <w:rsid w:val="00E31897"/>
    <w:rsid w:val="00E3559C"/>
    <w:rsid w:val="00E35D8C"/>
    <w:rsid w:val="00E53894"/>
    <w:rsid w:val="00EB6C71"/>
    <w:rsid w:val="00ED3DF1"/>
    <w:rsid w:val="00F22603"/>
    <w:rsid w:val="00F47721"/>
    <w:rsid w:val="00F51634"/>
    <w:rsid w:val="00F544B0"/>
    <w:rsid w:val="00F6609A"/>
    <w:rsid w:val="00F7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1EA1"/>
    <w:pPr>
      <w:keepNext/>
      <w:numPr>
        <w:numId w:val="5"/>
      </w:numPr>
      <w:spacing w:before="300" w:after="200"/>
      <w:ind w:left="431" w:hanging="43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1EA1"/>
    <w:pPr>
      <w:keepNext/>
      <w:numPr>
        <w:ilvl w:val="1"/>
        <w:numId w:val="4"/>
      </w:numPr>
      <w:spacing w:before="400" w:after="180"/>
      <w:outlineLvl w:val="1"/>
    </w:pPr>
    <w:rPr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1EA1"/>
    <w:pPr>
      <w:keepNext/>
      <w:numPr>
        <w:ilvl w:val="2"/>
        <w:numId w:val="4"/>
      </w:numPr>
      <w:spacing w:before="300" w:after="100"/>
      <w:outlineLvl w:val="2"/>
    </w:pPr>
    <w:rPr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1EA1"/>
    <w:pPr>
      <w:keepNext/>
      <w:numPr>
        <w:ilvl w:val="3"/>
        <w:numId w:val="4"/>
      </w:numPr>
      <w:spacing w:before="240" w:after="100"/>
      <w:outlineLvl w:val="3"/>
    </w:pPr>
    <w:rPr>
      <w:b/>
      <w:bCs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21EA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21EA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21EA1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21EA1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21EA1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1EA1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1EA1"/>
    <w:rPr>
      <w:rFonts w:ascii="Arial" w:eastAsia="Times New Roman" w:hAnsi="Arial" w:cs="Times New Roman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EA1"/>
    <w:rPr>
      <w:rFonts w:ascii="Arial" w:eastAsia="Times New Roman" w:hAnsi="Arial" w:cs="Times New Roman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21EA1"/>
    <w:rPr>
      <w:rFonts w:ascii="Arial" w:eastAsia="Times New Roman" w:hAnsi="Arial" w:cs="Times New Roman"/>
      <w:b/>
      <w:bCs/>
      <w:sz w:val="21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21EA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21EA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21EA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21EA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21EA1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421EA1"/>
    <w:rPr>
      <w:color w:val="0000FF"/>
      <w:u w:val="single"/>
    </w:rPr>
  </w:style>
  <w:style w:type="paragraph" w:customStyle="1" w:styleId="Styl1">
    <w:name w:val="Styl1"/>
    <w:rsid w:val="00421EA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21EA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1EA1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421EA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semiHidden/>
    <w:rsid w:val="00421EA1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421E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EA1"/>
    <w:pPr>
      <w:ind w:left="708"/>
      <w:jc w:val="left"/>
    </w:pPr>
    <w:rPr>
      <w:sz w:val="1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EA1"/>
    <w:pPr>
      <w:jc w:val="left"/>
    </w:pPr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21EA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5A39"/>
    <w:pPr>
      <w:tabs>
        <w:tab w:val="left" w:pos="709"/>
        <w:tab w:val="right" w:leader="dot" w:pos="9628"/>
      </w:tabs>
      <w:spacing w:after="100"/>
      <w:ind w:left="851" w:hanging="567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5A39"/>
    <w:pPr>
      <w:tabs>
        <w:tab w:val="left" w:pos="284"/>
        <w:tab w:val="right" w:pos="9639"/>
      </w:tabs>
      <w:spacing w:before="200"/>
    </w:pPr>
    <w:rPr>
      <w:rFonts w:cs="Arial"/>
      <w:b/>
      <w:sz w:val="28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21EA1"/>
    <w:pPr>
      <w:tabs>
        <w:tab w:val="right" w:leader="dot" w:pos="9638"/>
      </w:tabs>
      <w:spacing w:after="100" w:line="276" w:lineRule="auto"/>
      <w:ind w:left="709" w:hanging="283"/>
      <w:jc w:val="left"/>
    </w:pPr>
    <w:rPr>
      <w:rFonts w:cs="Arial"/>
      <w:szCs w:val="20"/>
    </w:rPr>
  </w:style>
  <w:style w:type="paragraph" w:styleId="Bezmezer">
    <w:name w:val="No Spacing"/>
    <w:aliases w:val="marginálie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21EA1"/>
    <w:pPr>
      <w:ind w:right="-81" w:firstLine="708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21EA1"/>
    <w:rPr>
      <w:rFonts w:ascii="Arial" w:eastAsia="Times New Roman" w:hAnsi="Arial" w:cs="Arial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21E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1E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21EA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21EA1"/>
    <w:rPr>
      <w:rFonts w:ascii="Arial" w:eastAsia="Times New Roman" w:hAnsi="Arial" w:cs="Times New Roman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21EA1"/>
    <w:pPr>
      <w:spacing w:after="100"/>
      <w:ind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56E9B-9586-4DF8-B790-C2E747D6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kohoutova4061</dc:creator>
  <cp:lastModifiedBy>kohoutova4061</cp:lastModifiedBy>
  <cp:revision>5</cp:revision>
  <cp:lastPrinted>2014-04-03T06:04:00Z</cp:lastPrinted>
  <dcterms:created xsi:type="dcterms:W3CDTF">2014-04-07T11:32:00Z</dcterms:created>
  <dcterms:modified xsi:type="dcterms:W3CDTF">2014-04-07T14:44:00Z</dcterms:modified>
</cp:coreProperties>
</file>