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2050"/>
        <w:gridCol w:w="276"/>
        <w:gridCol w:w="7368"/>
      </w:tblGrid>
      <w:tr w:rsidR="00421EA1" w:rsidRPr="00275862" w:rsidTr="00AC4FF2">
        <w:tc>
          <w:tcPr>
            <w:tcW w:w="5000" w:type="pct"/>
            <w:gridSpan w:val="3"/>
          </w:tcPr>
          <w:p w:rsidR="00421EA1" w:rsidRPr="00275862" w:rsidRDefault="0066608A" w:rsidP="00097500">
            <w:pPr>
              <w:pStyle w:val="Nadpis1"/>
              <w:spacing w:before="0"/>
              <w:ind w:left="431" w:hanging="431"/>
              <w:rPr>
                <w:rFonts w:cs="Arial"/>
                <w:szCs w:val="20"/>
              </w:rPr>
            </w:pPr>
            <w:bookmarkStart w:id="0" w:name="_Toc384640702"/>
            <w:r w:rsidRPr="00275862">
              <w:t>Věková a v</w:t>
            </w:r>
            <w:r w:rsidR="00421EA1" w:rsidRPr="00275862">
              <w:t xml:space="preserve">zdělanostní </w:t>
            </w:r>
            <w:r w:rsidRPr="00275862">
              <w:t xml:space="preserve"> </w:t>
            </w:r>
            <w:r w:rsidR="00421EA1" w:rsidRPr="00275862">
              <w:t>homogamie párů žijících v manželství a</w:t>
            </w:r>
            <w:r w:rsidRPr="00275862">
              <w:t> </w:t>
            </w:r>
            <w:r w:rsidR="00421EA1" w:rsidRPr="00275862">
              <w:t>v</w:t>
            </w:r>
            <w:r w:rsidRPr="00275862">
              <w:t> </w:t>
            </w:r>
            <w:proofErr w:type="spellStart"/>
            <w:r w:rsidR="00421EA1" w:rsidRPr="00275862">
              <w:t>nesezdaných</w:t>
            </w:r>
            <w:proofErr w:type="spellEnd"/>
            <w:r w:rsidR="00421EA1" w:rsidRPr="00275862">
              <w:t xml:space="preserve"> soužitích</w:t>
            </w:r>
            <w:bookmarkEnd w:id="0"/>
          </w:p>
        </w:tc>
      </w:tr>
      <w:tr w:rsidR="00421EA1" w:rsidRPr="00275862" w:rsidTr="00AC4FF2">
        <w:tc>
          <w:tcPr>
            <w:tcW w:w="5000" w:type="pct"/>
            <w:gridSpan w:val="3"/>
          </w:tcPr>
          <w:p w:rsidR="00421EA1" w:rsidRPr="00275862" w:rsidRDefault="00421EA1" w:rsidP="006666D5">
            <w:pPr>
              <w:tabs>
                <w:tab w:val="right" w:pos="9781"/>
              </w:tabs>
              <w:spacing w:after="160"/>
            </w:pPr>
            <w:r w:rsidRPr="00275862">
              <w:t>Díky datům o domácnostech ze sčítání lidu je možné zkoumat homogamii partnerů nejen u manželských párů, ale také v </w:t>
            </w:r>
            <w:proofErr w:type="spellStart"/>
            <w:r w:rsidRPr="00275862">
              <w:t>nesezdaných</w:t>
            </w:r>
            <w:proofErr w:type="spellEnd"/>
            <w:r w:rsidRPr="00275862">
              <w:t xml:space="preserve"> soužitích a lze tedy porovnat, do jaké míry se liší podobnosti partnerů, kteří svůj vztah legitimizovali a těch, kteří tak neučinili. </w:t>
            </w:r>
          </w:p>
          <w:p w:rsidR="00097500" w:rsidRPr="00097500" w:rsidRDefault="00097500" w:rsidP="00097500">
            <w:pPr>
              <w:pStyle w:val="Odstavecseseznamem"/>
              <w:keepNext/>
              <w:numPr>
                <w:ilvl w:val="0"/>
                <w:numId w:val="4"/>
              </w:numPr>
              <w:tabs>
                <w:tab w:val="right" w:pos="9781"/>
              </w:tabs>
              <w:spacing w:before="400" w:after="180"/>
              <w:jc w:val="both"/>
              <w:outlineLvl w:val="1"/>
              <w:rPr>
                <w:b/>
                <w:bCs/>
                <w:iCs/>
                <w:vanish/>
                <w:sz w:val="24"/>
                <w:szCs w:val="24"/>
              </w:rPr>
            </w:pPr>
            <w:bookmarkStart w:id="1" w:name="_Toc383676863"/>
            <w:bookmarkStart w:id="2" w:name="_Toc383679560"/>
            <w:bookmarkStart w:id="3" w:name="_Toc383681725"/>
            <w:bookmarkStart w:id="4" w:name="_Toc383681792"/>
            <w:bookmarkStart w:id="5" w:name="_Toc383681886"/>
            <w:bookmarkStart w:id="6" w:name="_Toc383682311"/>
            <w:bookmarkStart w:id="7" w:name="_Toc383690466"/>
            <w:bookmarkStart w:id="8" w:name="_Toc384640703"/>
            <w:bookmarkStart w:id="9" w:name="_Toc384640704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</w:p>
          <w:p w:rsidR="00097500" w:rsidRPr="00097500" w:rsidRDefault="00097500" w:rsidP="00097500">
            <w:pPr>
              <w:pStyle w:val="Odstavecseseznamem"/>
              <w:keepNext/>
              <w:numPr>
                <w:ilvl w:val="0"/>
                <w:numId w:val="4"/>
              </w:numPr>
              <w:tabs>
                <w:tab w:val="right" w:pos="9781"/>
              </w:tabs>
              <w:spacing w:before="400" w:after="180"/>
              <w:jc w:val="both"/>
              <w:outlineLvl w:val="1"/>
              <w:rPr>
                <w:b/>
                <w:bCs/>
                <w:iCs/>
                <w:vanish/>
                <w:sz w:val="24"/>
                <w:szCs w:val="24"/>
              </w:rPr>
            </w:pPr>
          </w:p>
          <w:p w:rsidR="00421EA1" w:rsidRPr="00275862" w:rsidRDefault="00421EA1" w:rsidP="00097500">
            <w:pPr>
              <w:pStyle w:val="Nadpis2"/>
            </w:pPr>
            <w:r w:rsidRPr="00275862">
              <w:t xml:space="preserve">Vzdělanostní homogamie párů žijících v manželství a v </w:t>
            </w:r>
            <w:proofErr w:type="spellStart"/>
            <w:r w:rsidRPr="00275862">
              <w:t>nesezdaných</w:t>
            </w:r>
            <w:proofErr w:type="spellEnd"/>
            <w:r w:rsidRPr="00275862">
              <w:t xml:space="preserve"> soužitích</w:t>
            </w:r>
            <w:bookmarkEnd w:id="9"/>
          </w:p>
        </w:tc>
      </w:tr>
      <w:tr w:rsidR="00421EA1" w:rsidRPr="00275862" w:rsidTr="00AC4FF2">
        <w:tc>
          <w:tcPr>
            <w:tcW w:w="1057" w:type="pct"/>
          </w:tcPr>
          <w:p w:rsidR="00421EA1" w:rsidRPr="00275862" w:rsidRDefault="00262761" w:rsidP="006666D5">
            <w:pPr>
              <w:tabs>
                <w:tab w:val="right" w:pos="9781"/>
              </w:tabs>
              <w:jc w:val="left"/>
              <w:rPr>
                <w:rFonts w:cs="Arial"/>
                <w:sz w:val="16"/>
                <w:szCs w:val="16"/>
              </w:rPr>
            </w:pPr>
            <w:r w:rsidRPr="00275862">
              <w:rPr>
                <w:rFonts w:cs="Arial"/>
                <w:sz w:val="16"/>
                <w:szCs w:val="16"/>
              </w:rPr>
              <w:t>Partneři žijící v manželství mají častěji stejné vzdělání než ti v </w:t>
            </w:r>
            <w:proofErr w:type="spellStart"/>
            <w:r w:rsidRPr="00275862">
              <w:rPr>
                <w:rFonts w:cs="Arial"/>
                <w:sz w:val="16"/>
                <w:szCs w:val="16"/>
              </w:rPr>
              <w:t>nesezdaných</w:t>
            </w:r>
            <w:proofErr w:type="spellEnd"/>
            <w:r w:rsidRPr="00275862">
              <w:rPr>
                <w:rFonts w:cs="Arial"/>
                <w:sz w:val="16"/>
                <w:szCs w:val="16"/>
              </w:rPr>
              <w:t xml:space="preserve"> </w:t>
            </w:r>
            <w:r w:rsidR="00630920" w:rsidRPr="00275862">
              <w:rPr>
                <w:rFonts w:cs="Arial"/>
                <w:sz w:val="16"/>
                <w:szCs w:val="16"/>
              </w:rPr>
              <w:t>soužití</w:t>
            </w:r>
            <w:r w:rsidRPr="00275862">
              <w:rPr>
                <w:rFonts w:cs="Arial"/>
                <w:sz w:val="16"/>
                <w:szCs w:val="16"/>
              </w:rPr>
              <w:t>ch</w:t>
            </w:r>
          </w:p>
        </w:tc>
        <w:tc>
          <w:tcPr>
            <w:tcW w:w="142" w:type="pct"/>
          </w:tcPr>
          <w:p w:rsidR="00421EA1" w:rsidRPr="00275862" w:rsidRDefault="00421EA1" w:rsidP="006666D5">
            <w:pPr>
              <w:pStyle w:val="Textpoznpodarou"/>
              <w:tabs>
                <w:tab w:val="right" w:pos="9781"/>
              </w:tabs>
              <w:jc w:val="both"/>
            </w:pPr>
          </w:p>
        </w:tc>
        <w:tc>
          <w:tcPr>
            <w:tcW w:w="3800" w:type="pct"/>
          </w:tcPr>
          <w:p w:rsidR="00421EA1" w:rsidRPr="00275862" w:rsidRDefault="00421EA1" w:rsidP="006666D5">
            <w:pPr>
              <w:tabs>
                <w:tab w:val="right" w:pos="9781"/>
              </w:tabs>
              <w:spacing w:after="100"/>
            </w:pPr>
            <w:r w:rsidRPr="00275862">
              <w:t>Podle Sčítání lidu, domů a bytů v roce 2011 u 48,5 % manželských párů měl muž a žena stejné dosažené vzdělání, u </w:t>
            </w:r>
            <w:proofErr w:type="spellStart"/>
            <w:r w:rsidRPr="00275862">
              <w:t>nesezdaných</w:t>
            </w:r>
            <w:proofErr w:type="spellEnd"/>
            <w:r w:rsidRPr="00275862">
              <w:t xml:space="preserve"> párů to bylo o 1,7 </w:t>
            </w:r>
            <w:proofErr w:type="spellStart"/>
            <w:r w:rsidRPr="00275862">
              <w:t>p.b</w:t>
            </w:r>
            <w:proofErr w:type="spellEnd"/>
            <w:r w:rsidRPr="00275862">
              <w:t>. méně tedy 46,7 %. Podíl svazků, ve kterých žena měla vyšší vzdělání než její partner, pak byl u manželských párů nižší než u </w:t>
            </w:r>
            <w:proofErr w:type="spellStart"/>
            <w:r w:rsidRPr="00275862">
              <w:t>nesezdaných</w:t>
            </w:r>
            <w:proofErr w:type="spellEnd"/>
            <w:r w:rsidRPr="00275862">
              <w:t xml:space="preserve"> soužití (23,9 % vs. 30,3 %). Podíl vzdělanostně homogamních párů se pak u žen s věkem mírně zvyšuje a to zhruba do věkové kategorie 35-39 let, od kdy s věkem naopak pomalu klesá. Ve všech věkových kategoriích pak míra homogamie u </w:t>
            </w:r>
            <w:proofErr w:type="spellStart"/>
            <w:r w:rsidRPr="00275862">
              <w:t>nesezdaných</w:t>
            </w:r>
            <w:proofErr w:type="spellEnd"/>
            <w:r w:rsidRPr="00275862">
              <w:t xml:space="preserve"> párů dosahuje nižších hodnot než u manželských párů. Podíl heterogamních svazků se u </w:t>
            </w:r>
            <w:proofErr w:type="spellStart"/>
            <w:r w:rsidRPr="00275862">
              <w:t>sezdaných</w:t>
            </w:r>
            <w:proofErr w:type="spellEnd"/>
            <w:r w:rsidRPr="00275862">
              <w:t xml:space="preserve"> a </w:t>
            </w:r>
            <w:proofErr w:type="spellStart"/>
            <w:r w:rsidRPr="00275862">
              <w:t>nesezdaných</w:t>
            </w:r>
            <w:proofErr w:type="spellEnd"/>
            <w:r w:rsidRPr="00275862">
              <w:t xml:space="preserve"> párů liší nejvíce do 24 let, od tohoto věku nejsou rozdíly již tak výrazné, ale platí o něco vyšší zastoupení párů, kde má žena jak nižší, tak vyšší vzdělání (až od 28 let), u žen žijících ve faktickém manželství, na úkor homogamních svazků oproti manželským párům. U mužů pak byla situace obdobná jako u žen.</w:t>
            </w:r>
          </w:p>
          <w:p w:rsidR="00421EA1" w:rsidRPr="00275862" w:rsidRDefault="00421EA1" w:rsidP="006666D5">
            <w:pPr>
              <w:tabs>
                <w:tab w:val="right" w:pos="9781"/>
              </w:tabs>
              <w:rPr>
                <w:rFonts w:cs="Arial"/>
                <w:szCs w:val="20"/>
              </w:rPr>
            </w:pPr>
            <w:r w:rsidRPr="00275862">
              <w:rPr>
                <w:rFonts w:cs="Arial"/>
                <w:szCs w:val="20"/>
              </w:rPr>
              <w:t xml:space="preserve"> </w:t>
            </w:r>
          </w:p>
        </w:tc>
      </w:tr>
      <w:tr w:rsidR="00421EA1" w:rsidRPr="00275862" w:rsidTr="00AC4FF2">
        <w:tc>
          <w:tcPr>
            <w:tcW w:w="5000" w:type="pct"/>
            <w:gridSpan w:val="3"/>
          </w:tcPr>
          <w:p w:rsidR="00421EA1" w:rsidRPr="00275862" w:rsidRDefault="00421EA1" w:rsidP="006666D5">
            <w:pPr>
              <w:tabs>
                <w:tab w:val="right" w:pos="9781"/>
              </w:tabs>
              <w:ind w:left="1134" w:hanging="1134"/>
              <w:rPr>
                <w:b/>
              </w:rPr>
            </w:pPr>
            <w:r w:rsidRPr="00275862">
              <w:t xml:space="preserve">Graf č. 6 </w:t>
            </w:r>
            <w:r w:rsidRPr="00275862">
              <w:rPr>
                <w:b/>
              </w:rPr>
              <w:t>Vzdělanostní homogamie podle věku muže a ženy, podle typu soužití a zkušenosti s manželstvím, 2011</w:t>
            </w:r>
          </w:p>
          <w:p w:rsidR="00421EA1" w:rsidRPr="00275862" w:rsidRDefault="00421EA1" w:rsidP="006666D5">
            <w:pPr>
              <w:tabs>
                <w:tab w:val="right" w:pos="9781"/>
              </w:tabs>
              <w:rPr>
                <w:rFonts w:cs="Arial"/>
                <w:szCs w:val="20"/>
              </w:rPr>
            </w:pPr>
            <w:r w:rsidRPr="00275862">
              <w:rPr>
                <w:rFonts w:cs="Arial"/>
                <w:noProof/>
                <w:szCs w:val="20"/>
              </w:rPr>
              <w:drawing>
                <wp:inline distT="0" distB="0" distL="0" distR="0">
                  <wp:extent cx="6124575" cy="2162175"/>
                  <wp:effectExtent l="19050" t="0" r="9525" b="0"/>
                  <wp:docPr id="108" name="Graf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  <w:p w:rsidR="00421EA1" w:rsidRPr="00275862" w:rsidRDefault="00421EA1" w:rsidP="006666D5">
            <w:pPr>
              <w:tabs>
                <w:tab w:val="right" w:pos="9781"/>
              </w:tabs>
              <w:rPr>
                <w:rFonts w:cs="Arial"/>
                <w:szCs w:val="20"/>
              </w:rPr>
            </w:pPr>
            <w:r w:rsidRPr="00275862">
              <w:rPr>
                <w:rFonts w:cs="Arial"/>
                <w:noProof/>
                <w:szCs w:val="20"/>
              </w:rPr>
              <w:drawing>
                <wp:inline distT="0" distB="0" distL="0" distR="0">
                  <wp:extent cx="6124575" cy="2219325"/>
                  <wp:effectExtent l="19050" t="0" r="9525" b="0"/>
                  <wp:docPr id="109" name="Graf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  <w:tr w:rsidR="00421EA1" w:rsidRPr="00275862" w:rsidTr="00AC4FF2">
        <w:tc>
          <w:tcPr>
            <w:tcW w:w="5000" w:type="pct"/>
            <w:gridSpan w:val="3"/>
          </w:tcPr>
          <w:p w:rsidR="00421EA1" w:rsidRPr="00275862" w:rsidRDefault="00421EA1" w:rsidP="006666D5">
            <w:pPr>
              <w:tabs>
                <w:tab w:val="right" w:pos="9781"/>
              </w:tabs>
              <w:rPr>
                <w:sz w:val="18"/>
              </w:rPr>
            </w:pPr>
            <w:r w:rsidRPr="00275862">
              <w:rPr>
                <w:sz w:val="18"/>
              </w:rPr>
              <w:t xml:space="preserve">Poznámka: NSS – </w:t>
            </w:r>
            <w:proofErr w:type="spellStart"/>
            <w:r w:rsidRPr="00275862">
              <w:rPr>
                <w:sz w:val="18"/>
              </w:rPr>
              <w:t>nesezdané</w:t>
            </w:r>
            <w:proofErr w:type="spellEnd"/>
            <w:r w:rsidRPr="00275862">
              <w:rPr>
                <w:sz w:val="18"/>
              </w:rPr>
              <w:t xml:space="preserve"> soužití, svobodný/á; NSZM – </w:t>
            </w:r>
            <w:proofErr w:type="spellStart"/>
            <w:r w:rsidRPr="00275862">
              <w:rPr>
                <w:sz w:val="18"/>
              </w:rPr>
              <w:t>nesezdané</w:t>
            </w:r>
            <w:proofErr w:type="spellEnd"/>
            <w:r w:rsidRPr="00275862">
              <w:rPr>
                <w:sz w:val="18"/>
              </w:rPr>
              <w:t xml:space="preserve"> soužití, zkušenost s manželstvím</w:t>
            </w:r>
          </w:p>
          <w:p w:rsidR="00421EA1" w:rsidRDefault="00421EA1" w:rsidP="006666D5">
            <w:pPr>
              <w:tabs>
                <w:tab w:val="right" w:pos="9781"/>
              </w:tabs>
              <w:jc w:val="right"/>
            </w:pPr>
            <w:r w:rsidRPr="00275862">
              <w:t>Zdroj dat: ČSÚ (SLDB), vlastní výpočty</w:t>
            </w:r>
          </w:p>
          <w:p w:rsidR="00097500" w:rsidRPr="00275862" w:rsidRDefault="00097500" w:rsidP="006666D5">
            <w:pPr>
              <w:tabs>
                <w:tab w:val="right" w:pos="9781"/>
              </w:tabs>
              <w:jc w:val="right"/>
            </w:pPr>
          </w:p>
          <w:p w:rsidR="00421EA1" w:rsidRPr="00275862" w:rsidRDefault="00421EA1" w:rsidP="006666D5">
            <w:pPr>
              <w:tabs>
                <w:tab w:val="right" w:pos="9781"/>
              </w:tabs>
              <w:ind w:left="1134" w:hanging="1134"/>
            </w:pPr>
          </w:p>
        </w:tc>
      </w:tr>
      <w:tr w:rsidR="00421EA1" w:rsidRPr="00275862" w:rsidTr="00AC4FF2">
        <w:tc>
          <w:tcPr>
            <w:tcW w:w="1057" w:type="pct"/>
          </w:tcPr>
          <w:p w:rsidR="00421EA1" w:rsidRPr="00275862" w:rsidRDefault="00630920" w:rsidP="006666D5">
            <w:pPr>
              <w:tabs>
                <w:tab w:val="right" w:pos="9781"/>
              </w:tabs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275862">
              <w:rPr>
                <w:rFonts w:cs="Arial"/>
                <w:sz w:val="16"/>
                <w:szCs w:val="16"/>
              </w:rPr>
              <w:lastRenderedPageBreak/>
              <w:t>Nesezdaná</w:t>
            </w:r>
            <w:proofErr w:type="spellEnd"/>
            <w:r w:rsidRPr="00275862">
              <w:rPr>
                <w:rFonts w:cs="Arial"/>
                <w:sz w:val="16"/>
                <w:szCs w:val="16"/>
              </w:rPr>
              <w:t xml:space="preserve"> soužití tvořená svobodnými partnery se více podobala manželským párům</w:t>
            </w:r>
          </w:p>
        </w:tc>
        <w:tc>
          <w:tcPr>
            <w:tcW w:w="142" w:type="pct"/>
          </w:tcPr>
          <w:p w:rsidR="00421EA1" w:rsidRPr="00275862" w:rsidRDefault="00421EA1" w:rsidP="006666D5">
            <w:pPr>
              <w:pStyle w:val="Textpoznpodarou"/>
              <w:tabs>
                <w:tab w:val="right" w:pos="9781"/>
              </w:tabs>
              <w:jc w:val="both"/>
            </w:pPr>
          </w:p>
        </w:tc>
        <w:tc>
          <w:tcPr>
            <w:tcW w:w="3800" w:type="pct"/>
          </w:tcPr>
          <w:p w:rsidR="00421EA1" w:rsidRPr="00275862" w:rsidRDefault="00421EA1" w:rsidP="006666D5">
            <w:pPr>
              <w:tabs>
                <w:tab w:val="right" w:pos="9781"/>
              </w:tabs>
            </w:pPr>
            <w:r w:rsidRPr="00275862">
              <w:t xml:space="preserve">U svobodných </w:t>
            </w:r>
            <w:proofErr w:type="spellStart"/>
            <w:r w:rsidRPr="00275862">
              <w:t>nesezdaných</w:t>
            </w:r>
            <w:proofErr w:type="spellEnd"/>
            <w:r w:rsidRPr="00275862">
              <w:t xml:space="preserve"> partnerů pak nebyly rozdíly oproti manželským párům tak výrazné v porovnání s těmi, co již zkušenost s manželstvím měli (tzn. rozvedeným</w:t>
            </w:r>
            <w:r w:rsidR="00275862">
              <w:t>i</w:t>
            </w:r>
            <w:r w:rsidRPr="00275862">
              <w:t>, ovdovělým</w:t>
            </w:r>
            <w:r w:rsidR="00275862">
              <w:t>i</w:t>
            </w:r>
            <w:r w:rsidRPr="00275862">
              <w:t xml:space="preserve"> nebo ženatým</w:t>
            </w:r>
            <w:r w:rsidR="00275862">
              <w:t>i</w:t>
            </w:r>
            <w:r w:rsidRPr="00275862">
              <w:t>/vdaným</w:t>
            </w:r>
            <w:r w:rsidR="00275862">
              <w:t>i</w:t>
            </w:r>
            <w:r w:rsidRPr="00275862">
              <w:t xml:space="preserve">). </w:t>
            </w:r>
            <w:proofErr w:type="spellStart"/>
            <w:r w:rsidRPr="00275862">
              <w:t>Nesezdané</w:t>
            </w:r>
            <w:proofErr w:type="spellEnd"/>
            <w:r w:rsidRPr="00275862">
              <w:t xml:space="preserve"> svazky vzájemně svobodných partnerů vykazovaly o trochu vyšší míru vzdělanostní homogamie – 48,5 %, tedy stejnou hodnotu jako manželské páry. U </w:t>
            </w:r>
            <w:proofErr w:type="spellStart"/>
            <w:r w:rsidRPr="00275862">
              <w:t>nesezdaných</w:t>
            </w:r>
            <w:proofErr w:type="spellEnd"/>
            <w:r w:rsidRPr="00275862">
              <w:t xml:space="preserve"> soužití, kde alespoň jeden z partnerů měl již zkušenost s manželstvím, </w:t>
            </w:r>
            <w:r w:rsidR="00275862">
              <w:t xml:space="preserve">jich </w:t>
            </w:r>
            <w:r w:rsidRPr="00275862">
              <w:t>bylo se stejně vzdělanými partnery méně - 45,5 %. Větší podobnost míry homogamie u </w:t>
            </w:r>
            <w:proofErr w:type="spellStart"/>
            <w:r w:rsidRPr="00275862">
              <w:t>nesezdaných</w:t>
            </w:r>
            <w:proofErr w:type="spellEnd"/>
            <w:r w:rsidRPr="00275862">
              <w:t xml:space="preserve"> párů, které tvoří svobodní, s manželskými páry se projevují zejména v mladších věkových skupinách (viz graf č. 6 na předchozí straně). Zhruba od 30 let (jak u mužů, tak u žen) se rozdíly mezi svobodnými a těmi, kteří již zkušenost s manželstvím měli, v </w:t>
            </w:r>
            <w:proofErr w:type="spellStart"/>
            <w:r w:rsidRPr="00275862">
              <w:t>nesezdaných</w:t>
            </w:r>
            <w:proofErr w:type="spellEnd"/>
            <w:r w:rsidRPr="00275862">
              <w:t xml:space="preserve"> soužitích zmenšují. Ženy žijící v kohabitaci, které již byly vdané, pak častěji žijí s partnerem s vyšším dosaženým vzděláním. Rozdíl je nejvýraznější ve věkové skupině 25-29 let, ve které podíl dosáhl hodnoty 25,4 %, o téměř 10 </w:t>
            </w:r>
            <w:proofErr w:type="spellStart"/>
            <w:r w:rsidRPr="00275862">
              <w:t>p.b</w:t>
            </w:r>
            <w:proofErr w:type="spellEnd"/>
            <w:r w:rsidRPr="00275862">
              <w:t xml:space="preserve">. více než u žen v manželství nebo svobodných žen žijících s partnerem bez sňatku. Tento rozdíl je zřejmě způsoben tím, že mezi mladými ženami, které již mají zkušenost s manželstvím je větší zastoupení těch, které mají základní vzdělání (ve zmiňované věkové skupině </w:t>
            </w:r>
            <w:r w:rsidRPr="00275862">
              <w:br/>
              <w:t>25-29 let to je 13,0 %, u žen žijících v manželství téměř třikrát méně – 4,8 %). Tím pádem mohou mít jen partnera se stejným vzděláním, nebo vyšším a jak je patrné z následujícího grafu č. 7 ve většině případů mají partnera právě s vyšším vzděláním.  Mezi dříve vdanými ženami, které žijí ve faktickém manželství, jsou také častěji zastoupeny ženy se středoškolským vzděláním bez maturity, které také častěji žijí s mužem, který má vyšší vzdělání, než ženy s úplným středoškolským vzděláním.</w:t>
            </w:r>
          </w:p>
          <w:p w:rsidR="00421EA1" w:rsidRPr="00275862" w:rsidRDefault="00421EA1" w:rsidP="006666D5">
            <w:pPr>
              <w:tabs>
                <w:tab w:val="right" w:pos="9781"/>
              </w:tabs>
              <w:rPr>
                <w:rFonts w:cs="Arial"/>
                <w:szCs w:val="20"/>
              </w:rPr>
            </w:pPr>
            <w:r w:rsidRPr="00275862">
              <w:rPr>
                <w:rFonts w:cs="Arial"/>
                <w:color w:val="000000"/>
                <w:szCs w:val="20"/>
              </w:rPr>
              <w:t xml:space="preserve"> </w:t>
            </w:r>
          </w:p>
        </w:tc>
      </w:tr>
      <w:tr w:rsidR="00421EA1" w:rsidRPr="00275862" w:rsidTr="00AC4FF2">
        <w:tc>
          <w:tcPr>
            <w:tcW w:w="5000" w:type="pct"/>
            <w:gridSpan w:val="3"/>
          </w:tcPr>
          <w:p w:rsidR="00421EA1" w:rsidRPr="00275862" w:rsidRDefault="00421EA1" w:rsidP="006666D5">
            <w:pPr>
              <w:tabs>
                <w:tab w:val="right" w:pos="9781"/>
              </w:tabs>
              <w:spacing w:after="40"/>
            </w:pPr>
            <w:r w:rsidRPr="00275862">
              <w:t xml:space="preserve">Graf č. 7 </w:t>
            </w:r>
            <w:r w:rsidRPr="00275862">
              <w:rPr>
                <w:b/>
              </w:rPr>
              <w:t xml:space="preserve">Vzdělanostní homogamie podle typu svazku a vzdělání muže a ženy, 2011 </w:t>
            </w:r>
          </w:p>
          <w:p w:rsidR="00421EA1" w:rsidRPr="00275862" w:rsidRDefault="00421EA1" w:rsidP="006666D5">
            <w:pPr>
              <w:tabs>
                <w:tab w:val="right" w:pos="9781"/>
              </w:tabs>
              <w:rPr>
                <w:rFonts w:cs="Arial"/>
                <w:color w:val="000000"/>
                <w:szCs w:val="20"/>
              </w:rPr>
            </w:pPr>
            <w:r w:rsidRPr="00275862">
              <w:rPr>
                <w:rFonts w:cs="Arial"/>
                <w:noProof/>
                <w:color w:val="000000"/>
                <w:szCs w:val="20"/>
              </w:rPr>
              <w:drawing>
                <wp:inline distT="0" distB="0" distL="0" distR="0">
                  <wp:extent cx="3009900" cy="2695575"/>
                  <wp:effectExtent l="19050" t="0" r="19050" b="0"/>
                  <wp:docPr id="110" name="Graf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  <w:r w:rsidRPr="00275862">
              <w:rPr>
                <w:rFonts w:cs="Arial"/>
                <w:noProof/>
                <w:color w:val="000000"/>
                <w:szCs w:val="20"/>
              </w:rPr>
              <w:drawing>
                <wp:inline distT="0" distB="0" distL="0" distR="0">
                  <wp:extent cx="3009900" cy="2705100"/>
                  <wp:effectExtent l="19050" t="0" r="19050" b="0"/>
                  <wp:docPr id="111" name="Graf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  <w:tr w:rsidR="00421EA1" w:rsidRPr="00275862" w:rsidTr="00AC4FF2">
        <w:tc>
          <w:tcPr>
            <w:tcW w:w="5000" w:type="pct"/>
            <w:gridSpan w:val="3"/>
          </w:tcPr>
          <w:p w:rsidR="00421EA1" w:rsidRDefault="00421EA1" w:rsidP="006666D5">
            <w:pPr>
              <w:tabs>
                <w:tab w:val="right" w:pos="9781"/>
              </w:tabs>
              <w:jc w:val="right"/>
            </w:pPr>
            <w:r w:rsidRPr="00275862">
              <w:t>Zdroj dat: ČSÚ (SLDB), vlastní výpočty</w:t>
            </w:r>
          </w:p>
          <w:p w:rsidR="00A51DE4" w:rsidRPr="00275862" w:rsidRDefault="00A51DE4" w:rsidP="006666D5">
            <w:pPr>
              <w:tabs>
                <w:tab w:val="right" w:pos="9781"/>
              </w:tabs>
              <w:jc w:val="right"/>
            </w:pPr>
          </w:p>
        </w:tc>
      </w:tr>
      <w:tr w:rsidR="00421EA1" w:rsidRPr="00275862" w:rsidTr="00AC4FF2">
        <w:tc>
          <w:tcPr>
            <w:tcW w:w="1057" w:type="pct"/>
          </w:tcPr>
          <w:p w:rsidR="00421EA1" w:rsidRPr="00275862" w:rsidRDefault="00630920" w:rsidP="006666D5">
            <w:pPr>
              <w:tabs>
                <w:tab w:val="right" w:pos="9781"/>
              </w:tabs>
              <w:jc w:val="left"/>
              <w:rPr>
                <w:rFonts w:cs="Arial"/>
                <w:sz w:val="16"/>
                <w:szCs w:val="16"/>
              </w:rPr>
            </w:pPr>
            <w:r w:rsidRPr="00275862">
              <w:rPr>
                <w:rFonts w:cs="Arial"/>
                <w:sz w:val="16"/>
                <w:szCs w:val="16"/>
              </w:rPr>
              <w:t>Největší rozdíly v podílu stejně vzděl</w:t>
            </w:r>
            <w:r w:rsidR="00EB6C71">
              <w:rPr>
                <w:rFonts w:cs="Arial"/>
                <w:sz w:val="16"/>
                <w:szCs w:val="16"/>
              </w:rPr>
              <w:t xml:space="preserve">aných partnerů mezi </w:t>
            </w:r>
            <w:proofErr w:type="spellStart"/>
            <w:r w:rsidR="00EB6C71">
              <w:rPr>
                <w:rFonts w:cs="Arial"/>
                <w:sz w:val="16"/>
                <w:szCs w:val="16"/>
              </w:rPr>
              <w:t>sezdanými</w:t>
            </w:r>
            <w:proofErr w:type="spellEnd"/>
            <w:r w:rsidR="00EB6C71">
              <w:rPr>
                <w:rFonts w:cs="Arial"/>
                <w:sz w:val="16"/>
                <w:szCs w:val="16"/>
              </w:rPr>
              <w:t xml:space="preserve"> a </w:t>
            </w:r>
            <w:proofErr w:type="spellStart"/>
            <w:r w:rsidRPr="00275862">
              <w:rPr>
                <w:rFonts w:cs="Arial"/>
                <w:sz w:val="16"/>
                <w:szCs w:val="16"/>
              </w:rPr>
              <w:t>nesezdanými</w:t>
            </w:r>
            <w:proofErr w:type="spellEnd"/>
            <w:r w:rsidRPr="00275862">
              <w:rPr>
                <w:rFonts w:cs="Arial"/>
                <w:sz w:val="16"/>
                <w:szCs w:val="16"/>
              </w:rPr>
              <w:t xml:space="preserve"> páry se projevily u mužů se základním vzděláním a žen s vysokoškolským vzděláním</w:t>
            </w:r>
          </w:p>
        </w:tc>
        <w:tc>
          <w:tcPr>
            <w:tcW w:w="142" w:type="pct"/>
          </w:tcPr>
          <w:p w:rsidR="00421EA1" w:rsidRPr="00275862" w:rsidRDefault="00421EA1" w:rsidP="006666D5">
            <w:pPr>
              <w:pStyle w:val="Textpoznpodarou"/>
              <w:tabs>
                <w:tab w:val="right" w:pos="9781"/>
              </w:tabs>
              <w:jc w:val="both"/>
            </w:pPr>
          </w:p>
        </w:tc>
        <w:tc>
          <w:tcPr>
            <w:tcW w:w="3800" w:type="pct"/>
          </w:tcPr>
          <w:p w:rsidR="00421EA1" w:rsidRDefault="00421EA1" w:rsidP="006666D5">
            <w:pPr>
              <w:tabs>
                <w:tab w:val="right" w:pos="9781"/>
              </w:tabs>
            </w:pPr>
            <w:r w:rsidRPr="00275862">
              <w:t>Míra vzdělanostní homogamie partnerů se liší podle dosaženého vzdělání a také podle pohlaví (viz graf č. 7). Nejvýraznější rozdíly ve výběrovém párování mezi manželskými a </w:t>
            </w:r>
            <w:proofErr w:type="spellStart"/>
            <w:r w:rsidRPr="00275862">
              <w:t>nesezdanými</w:t>
            </w:r>
            <w:proofErr w:type="spellEnd"/>
            <w:r w:rsidRPr="00275862">
              <w:t xml:space="preserve"> páry byly u žen s vysokoškolským a u mužů se základním vzděláním, tedy u těch, kteří nemohou žít ve svazku, ve kterém by žena měla nižší vzdělání. V obou případech osoby žijící v manželství mají častěji partnera nebo partnerkou se stejným vzděláním než ti ve faktickém manželství. U ostatních vzdělanostních skupin nejsou rozdíly v homogamii mezi manželstvím a </w:t>
            </w:r>
            <w:proofErr w:type="spellStart"/>
            <w:r w:rsidRPr="00275862">
              <w:t>nesezdaným</w:t>
            </w:r>
            <w:proofErr w:type="spellEnd"/>
            <w:r w:rsidRPr="00275862">
              <w:t xml:space="preserve"> soužitím tak výrazné. Nejvyšší míru vzdělanostní homogamie vykazují ženy se středoškolským vzděláním bez maturity (65,3 % v manželství a 62,3 % v </w:t>
            </w:r>
            <w:proofErr w:type="spellStart"/>
            <w:r w:rsidRPr="00275862">
              <w:t>nesezdaném</w:t>
            </w:r>
            <w:proofErr w:type="spellEnd"/>
            <w:r w:rsidRPr="00275862">
              <w:t xml:space="preserve"> soužití), u mužů pak ti se základním vzděláním žijící v manželství (55,5 %) a vysokoškolsky vzdělaní v </w:t>
            </w:r>
            <w:proofErr w:type="spellStart"/>
            <w:r w:rsidRPr="00275862">
              <w:t>nesezdaných</w:t>
            </w:r>
            <w:proofErr w:type="spellEnd"/>
            <w:r w:rsidRPr="00275862">
              <w:t xml:space="preserve"> soužitích (55,1 %). U vysokoškolsky vzdělaných mužů žijících v kohabitaci pak mělo na míru homogamie vliv, zda již měli zkušenost s manželstvím. Svobodní muži výrazně častěji žili s partnerkou, která také vystudovala vysokou školu - 64,1 %, </w:t>
            </w:r>
            <w:r w:rsidRPr="00275862">
              <w:lastRenderedPageBreak/>
              <w:t>naproti tomu mezi těmi, kteří si již prošli manželstvím, to bylo pouze 41,3 %. Muži se zkušeností s manželstvím žijící v </w:t>
            </w:r>
            <w:proofErr w:type="spellStart"/>
            <w:r w:rsidRPr="00275862">
              <w:t>nesezdaném</w:t>
            </w:r>
            <w:proofErr w:type="spellEnd"/>
            <w:r w:rsidRPr="00275862">
              <w:t xml:space="preserve"> soužití pak častěji žili s partnerkou, která měla nižší vzdělání, v porovnání se svobodnými. Rozdíl se </w:t>
            </w:r>
            <w:proofErr w:type="spellStart"/>
            <w:r w:rsidRPr="00275862">
              <w:t>se</w:t>
            </w:r>
            <w:proofErr w:type="spellEnd"/>
            <w:r w:rsidRPr="00275862">
              <w:t xml:space="preserve"> zvyšujícím se vzděláním zvětšoval a u vysokoškoláků představoval 22,7 </w:t>
            </w:r>
            <w:proofErr w:type="spellStart"/>
            <w:r w:rsidRPr="00275862">
              <w:t>p.b</w:t>
            </w:r>
            <w:proofErr w:type="spellEnd"/>
            <w:r w:rsidRPr="00275862">
              <w:t xml:space="preserve">., ale ani u středoškolsky vzdělaných s maturitou nebyl malý – 10,3 </w:t>
            </w:r>
            <w:proofErr w:type="spellStart"/>
            <w:r w:rsidRPr="00275862">
              <w:t>p.b</w:t>
            </w:r>
            <w:proofErr w:type="spellEnd"/>
            <w:r w:rsidRPr="00275862">
              <w:t>. U žen v </w:t>
            </w:r>
            <w:proofErr w:type="spellStart"/>
            <w:r w:rsidRPr="00275862">
              <w:t>nesezdaných</w:t>
            </w:r>
            <w:proofErr w:type="spellEnd"/>
            <w:r w:rsidRPr="00275862">
              <w:t xml:space="preserve"> soužitích byl největší rozdíl podle rodinného stavu u žen se základním vzděláním, kdy svobodné ženy měly častěji za partnera také muže se základním vzděláním, než ty, které měly již zkušenost s manželstvím (rozdíl 8,7 </w:t>
            </w:r>
            <w:proofErr w:type="spellStart"/>
            <w:r w:rsidRPr="00275862">
              <w:t>p.b</w:t>
            </w:r>
            <w:proofErr w:type="spellEnd"/>
            <w:r w:rsidRPr="00275862">
              <w:t>.).</w:t>
            </w:r>
          </w:p>
          <w:p w:rsidR="006666D5" w:rsidRPr="00275862" w:rsidRDefault="006666D5" w:rsidP="006666D5">
            <w:pPr>
              <w:tabs>
                <w:tab w:val="right" w:pos="9781"/>
              </w:tabs>
              <w:rPr>
                <w:rFonts w:cs="Arial"/>
                <w:szCs w:val="20"/>
              </w:rPr>
            </w:pPr>
          </w:p>
        </w:tc>
      </w:tr>
      <w:tr w:rsidR="00421EA1" w:rsidRPr="00275862" w:rsidTr="00AC4FF2">
        <w:tc>
          <w:tcPr>
            <w:tcW w:w="1057" w:type="pct"/>
          </w:tcPr>
          <w:p w:rsidR="00421EA1" w:rsidRPr="00275862" w:rsidRDefault="00630920" w:rsidP="006666D5">
            <w:pPr>
              <w:tabs>
                <w:tab w:val="right" w:pos="9781"/>
              </w:tabs>
              <w:jc w:val="left"/>
              <w:rPr>
                <w:rFonts w:cs="Arial"/>
                <w:sz w:val="16"/>
                <w:szCs w:val="16"/>
              </w:rPr>
            </w:pPr>
            <w:r w:rsidRPr="00275862">
              <w:rPr>
                <w:rFonts w:cs="Arial"/>
                <w:sz w:val="16"/>
                <w:szCs w:val="16"/>
              </w:rPr>
              <w:lastRenderedPageBreak/>
              <w:t xml:space="preserve">Nejčastěji se vzdělání partnerů lišilo o jeden stupeň </w:t>
            </w:r>
          </w:p>
        </w:tc>
        <w:tc>
          <w:tcPr>
            <w:tcW w:w="142" w:type="pct"/>
          </w:tcPr>
          <w:p w:rsidR="00421EA1" w:rsidRPr="00275862" w:rsidRDefault="00421EA1" w:rsidP="006666D5">
            <w:pPr>
              <w:pStyle w:val="Textpoznpodarou"/>
              <w:tabs>
                <w:tab w:val="right" w:pos="9781"/>
              </w:tabs>
              <w:jc w:val="both"/>
            </w:pPr>
          </w:p>
        </w:tc>
        <w:tc>
          <w:tcPr>
            <w:tcW w:w="3800" w:type="pct"/>
          </w:tcPr>
          <w:p w:rsidR="00421EA1" w:rsidRPr="00275862" w:rsidRDefault="00421EA1" w:rsidP="006666D5">
            <w:pPr>
              <w:tabs>
                <w:tab w:val="right" w:pos="9781"/>
              </w:tabs>
            </w:pPr>
            <w:r w:rsidRPr="00275862">
              <w:t>Stejně jako u snoubenců i u partnerů žijících v kohabitaci se u heterogamních svazků vzdělání partnerů nejčastěji lišilo o jeden stupeň. Takových svazků je u párů, kde má žena vyšší vzdělání 83,6 % a u těch, kde má partnerka naopak nižší vzdělání 85,5 %. Mírně se tak liší od manželských párů, u kterých v případě, že má žena nižší vzdělání jsou častější vyšší vzdělanostní rozdíly (u 14,0 % manželů se vzdělání liší o dva stupně a u 1,6 % o tři) a naopak u těch, kde měla žena vzdělání vyšší méně časté (12,8 % manželských párů se liší o dva stupně a více). U </w:t>
            </w:r>
            <w:proofErr w:type="spellStart"/>
            <w:r w:rsidRPr="00275862">
              <w:t>kohabitujících</w:t>
            </w:r>
            <w:proofErr w:type="spellEnd"/>
            <w:r w:rsidRPr="00275862">
              <w:t xml:space="preserve"> párů se tak častěji vyskytuje například kombinace žena vysokoškolačka-muž se základním vzděláním, ačkoliv se stále jedná o velmi málo početnou kombinaci (0,2 % ze vzděla</w:t>
            </w:r>
            <w:r w:rsidR="006666D5">
              <w:t xml:space="preserve">nostně heterogamních svazků </w:t>
            </w:r>
            <w:r w:rsidRPr="00275862">
              <w:t>u manželských párů vs. 0,4 % u </w:t>
            </w:r>
            <w:proofErr w:type="spellStart"/>
            <w:r w:rsidRPr="00275862">
              <w:t>nesezdaných</w:t>
            </w:r>
            <w:proofErr w:type="spellEnd"/>
            <w:r w:rsidRPr="00275862">
              <w:t xml:space="preserve"> soužití). V případě vzdělanostního rozdílu se manželským párům více podobají </w:t>
            </w:r>
            <w:proofErr w:type="spellStart"/>
            <w:r w:rsidRPr="00275862">
              <w:t>nesezdaná</w:t>
            </w:r>
            <w:proofErr w:type="spellEnd"/>
            <w:r w:rsidRPr="00275862">
              <w:t xml:space="preserve"> soužití, kde alespoň jeden z partnerů již měl zkušenost s manželstvím, zejména v případě, že žena má nižší vzdělání než muž se struktura podle velikosti rozdílu ve vzdělání téměř shoduje se strukturou u manželských párů.</w:t>
            </w:r>
          </w:p>
          <w:p w:rsidR="00421EA1" w:rsidRPr="00275862" w:rsidRDefault="00421EA1" w:rsidP="006666D5">
            <w:pPr>
              <w:tabs>
                <w:tab w:val="right" w:pos="9781"/>
              </w:tabs>
              <w:rPr>
                <w:rFonts w:cs="Arial"/>
                <w:szCs w:val="20"/>
              </w:rPr>
            </w:pPr>
          </w:p>
        </w:tc>
      </w:tr>
      <w:tr w:rsidR="00421EA1" w:rsidRPr="00275862" w:rsidTr="00AC4FF2">
        <w:tc>
          <w:tcPr>
            <w:tcW w:w="5000" w:type="pct"/>
            <w:gridSpan w:val="3"/>
          </w:tcPr>
          <w:p w:rsidR="00421EA1" w:rsidRPr="00275862" w:rsidRDefault="00421EA1" w:rsidP="006666D5">
            <w:pPr>
              <w:tabs>
                <w:tab w:val="right" w:pos="9781"/>
              </w:tabs>
              <w:spacing w:after="40"/>
              <w:ind w:left="993" w:hanging="993"/>
            </w:pPr>
            <w:r w:rsidRPr="00275862">
              <w:t xml:space="preserve">Graf č. 8 </w:t>
            </w:r>
            <w:r w:rsidRPr="00275862">
              <w:rPr>
                <w:b/>
              </w:rPr>
              <w:t>Vzdělanostní homogamie podle věku muže a ženy a typu domácnosti podle přítomnosti závislých dětí, 2011</w:t>
            </w:r>
          </w:p>
          <w:p w:rsidR="00421EA1" w:rsidRPr="00275862" w:rsidRDefault="00421EA1" w:rsidP="006666D5">
            <w:pPr>
              <w:tabs>
                <w:tab w:val="right" w:pos="9781"/>
              </w:tabs>
            </w:pPr>
            <w:r w:rsidRPr="00275862">
              <w:rPr>
                <w:noProof/>
              </w:rPr>
              <w:drawing>
                <wp:inline distT="0" distB="0" distL="0" distR="0">
                  <wp:extent cx="6134100" cy="2124075"/>
                  <wp:effectExtent l="19050" t="0" r="19050" b="0"/>
                  <wp:docPr id="112" name="Graf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  <w:p w:rsidR="00421EA1" w:rsidRPr="00275862" w:rsidRDefault="00421EA1" w:rsidP="006666D5">
            <w:pPr>
              <w:tabs>
                <w:tab w:val="right" w:pos="9781"/>
              </w:tabs>
            </w:pPr>
            <w:r w:rsidRPr="00275862">
              <w:rPr>
                <w:noProof/>
              </w:rPr>
              <w:drawing>
                <wp:inline distT="0" distB="0" distL="0" distR="0">
                  <wp:extent cx="6086475" cy="2152650"/>
                  <wp:effectExtent l="19050" t="0" r="9525" b="0"/>
                  <wp:docPr id="113" name="Graf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</w:tr>
      <w:tr w:rsidR="00421EA1" w:rsidRPr="00275862" w:rsidTr="00AC4FF2">
        <w:tc>
          <w:tcPr>
            <w:tcW w:w="5000" w:type="pct"/>
            <w:gridSpan w:val="3"/>
          </w:tcPr>
          <w:p w:rsidR="00421EA1" w:rsidRPr="00275862" w:rsidRDefault="00421EA1" w:rsidP="006666D5">
            <w:pPr>
              <w:tabs>
                <w:tab w:val="right" w:pos="9781"/>
              </w:tabs>
              <w:spacing w:after="20"/>
              <w:jc w:val="right"/>
            </w:pPr>
            <w:r w:rsidRPr="00275862">
              <w:t xml:space="preserve">Poznámka: NS – </w:t>
            </w:r>
            <w:proofErr w:type="spellStart"/>
            <w:r w:rsidRPr="00275862">
              <w:t>nesezdané</w:t>
            </w:r>
            <w:proofErr w:type="spellEnd"/>
            <w:r w:rsidRPr="00275862">
              <w:t xml:space="preserve"> soužití</w:t>
            </w:r>
          </w:p>
          <w:p w:rsidR="00421EA1" w:rsidRPr="00275862" w:rsidRDefault="00421EA1" w:rsidP="006666D5">
            <w:pPr>
              <w:tabs>
                <w:tab w:val="right" w:pos="9781"/>
              </w:tabs>
              <w:jc w:val="right"/>
            </w:pPr>
            <w:r w:rsidRPr="00275862">
              <w:t>Zdroj dat: ČSÚ (SLDB), vlastní výpočty</w:t>
            </w:r>
          </w:p>
        </w:tc>
      </w:tr>
      <w:tr w:rsidR="00421EA1" w:rsidRPr="00275862" w:rsidTr="00AC4FF2">
        <w:tc>
          <w:tcPr>
            <w:tcW w:w="1057" w:type="pct"/>
          </w:tcPr>
          <w:p w:rsidR="00421EA1" w:rsidRPr="00275862" w:rsidRDefault="00630920" w:rsidP="006666D5">
            <w:pPr>
              <w:tabs>
                <w:tab w:val="right" w:pos="9781"/>
              </w:tabs>
              <w:jc w:val="left"/>
              <w:rPr>
                <w:rFonts w:cs="Arial"/>
                <w:sz w:val="16"/>
                <w:szCs w:val="16"/>
              </w:rPr>
            </w:pPr>
            <w:r w:rsidRPr="00275862">
              <w:rPr>
                <w:rFonts w:cs="Arial"/>
                <w:sz w:val="16"/>
                <w:szCs w:val="16"/>
              </w:rPr>
              <w:lastRenderedPageBreak/>
              <w:t xml:space="preserve">Míra vzdělanostní homogamie se </w:t>
            </w:r>
            <w:r w:rsidR="003E3721" w:rsidRPr="00275862">
              <w:rPr>
                <w:rFonts w:cs="Arial"/>
                <w:sz w:val="16"/>
                <w:szCs w:val="16"/>
              </w:rPr>
              <w:t>podle přítomnosti závislých dětí v </w:t>
            </w:r>
            <w:proofErr w:type="spellStart"/>
            <w:r w:rsidR="003E3721" w:rsidRPr="00275862">
              <w:rPr>
                <w:rFonts w:cs="Arial"/>
                <w:sz w:val="16"/>
                <w:szCs w:val="16"/>
              </w:rPr>
              <w:t>nesezdaném</w:t>
            </w:r>
            <w:proofErr w:type="spellEnd"/>
            <w:r w:rsidR="003E3721" w:rsidRPr="00275862">
              <w:rPr>
                <w:rFonts w:cs="Arial"/>
                <w:sz w:val="16"/>
                <w:szCs w:val="16"/>
              </w:rPr>
              <w:t xml:space="preserve"> soužití liší nejvíce u mladých do 29 let</w:t>
            </w:r>
          </w:p>
        </w:tc>
        <w:tc>
          <w:tcPr>
            <w:tcW w:w="142" w:type="pct"/>
          </w:tcPr>
          <w:p w:rsidR="00421EA1" w:rsidRPr="00275862" w:rsidRDefault="00421EA1" w:rsidP="006666D5">
            <w:pPr>
              <w:pStyle w:val="Textpoznpodarou"/>
              <w:tabs>
                <w:tab w:val="right" w:pos="9781"/>
              </w:tabs>
              <w:jc w:val="both"/>
            </w:pPr>
          </w:p>
        </w:tc>
        <w:tc>
          <w:tcPr>
            <w:tcW w:w="3800" w:type="pct"/>
          </w:tcPr>
          <w:p w:rsidR="00421EA1" w:rsidRPr="00275862" w:rsidRDefault="00421EA1" w:rsidP="006666D5">
            <w:pPr>
              <w:tabs>
                <w:tab w:val="right" w:pos="9781"/>
              </w:tabs>
            </w:pPr>
            <w:r w:rsidRPr="00275862">
              <w:t xml:space="preserve">Dalo by se očekávat, že </w:t>
            </w:r>
            <w:proofErr w:type="spellStart"/>
            <w:r w:rsidRPr="00275862">
              <w:t>nesezdané</w:t>
            </w:r>
            <w:proofErr w:type="spellEnd"/>
            <w:r w:rsidRPr="00275862">
              <w:t xml:space="preserve"> páry se závislými dětmi</w:t>
            </w:r>
            <w:r w:rsidRPr="00275862">
              <w:rPr>
                <w:rStyle w:val="Znakapoznpodarou"/>
              </w:rPr>
              <w:footnoteReference w:id="1"/>
            </w:r>
            <w:r w:rsidRPr="00275862">
              <w:t xml:space="preserve"> budou vykazovat obdobnou míru podobnosti jako manželské páry, ale není tomu úplně tak. Celkový podíl homogamních párů mezi </w:t>
            </w:r>
            <w:proofErr w:type="spellStart"/>
            <w:r w:rsidRPr="00275862">
              <w:t>nesezdanými</w:t>
            </w:r>
            <w:proofErr w:type="spellEnd"/>
            <w:r w:rsidRPr="00275862">
              <w:t xml:space="preserve"> partnery se neliší podle toho, zda s nimi v domácnosti žije závislé dítě, nebo ne - podíl homogamních svazků je stejný – 46,7 %. U jednotlivých druhů heterogamních svazků je pak rozdíl 2 </w:t>
            </w:r>
            <w:proofErr w:type="spellStart"/>
            <w:r w:rsidRPr="00275862">
              <w:t>p.b</w:t>
            </w:r>
            <w:proofErr w:type="spellEnd"/>
            <w:r w:rsidRPr="00275862">
              <w:t xml:space="preserve">., přičemž podíl soužití, kde má žena nižší vzdělání, je u </w:t>
            </w:r>
            <w:proofErr w:type="spellStart"/>
            <w:r w:rsidRPr="00275862">
              <w:t>nesezdaných</w:t>
            </w:r>
            <w:proofErr w:type="spellEnd"/>
            <w:r w:rsidRPr="00275862">
              <w:t xml:space="preserve"> partnerů bez závislých dětí vyšší. K určité diferenciaci dochází při pohledu na vzdělanostní homogamii podle věku (viz graf č. 8). Struktura </w:t>
            </w:r>
            <w:proofErr w:type="spellStart"/>
            <w:r w:rsidRPr="00275862">
              <w:t>nesezdaných</w:t>
            </w:r>
            <w:proofErr w:type="spellEnd"/>
            <w:r w:rsidRPr="00275862">
              <w:t xml:space="preserve"> párů podle vzdělanostní homogamie se podle přítomnosti závislých dětí liší v nejmladších věkových kategoriích, tedy u mladých do 24 let a v kategorii 25-29 let. V tomto věku jak muži, tak ženy, pokud žijí v </w:t>
            </w:r>
            <w:proofErr w:type="spellStart"/>
            <w:r w:rsidRPr="00275862">
              <w:t>nesezdaném</w:t>
            </w:r>
            <w:proofErr w:type="spellEnd"/>
            <w:r w:rsidRPr="00275862">
              <w:t xml:space="preserve"> soužití se závislými dětmi, mají partnera se stejným vzděláním méně často oproti manželským párům a </w:t>
            </w:r>
            <w:proofErr w:type="spellStart"/>
            <w:r w:rsidRPr="00275862">
              <w:t>kohabitujícím</w:t>
            </w:r>
            <w:proofErr w:type="spellEnd"/>
            <w:r w:rsidRPr="00275862">
              <w:t xml:space="preserve"> bez závislých dětí. Naopak více jsou zastoupeny</w:t>
            </w:r>
            <w:r w:rsidR="00600F44">
              <w:t>,</w:t>
            </w:r>
            <w:r w:rsidRPr="00275862">
              <w:t xml:space="preserve"> kde muž má vyšší vzdělání než žena. Ve věkové skupině 25-29 let tvořil rozdíl mezi podílem párů, kde muž měl vyšší vzdělání, mezi </w:t>
            </w:r>
            <w:proofErr w:type="spellStart"/>
            <w:r w:rsidRPr="00275862">
              <w:t>nesezdanými</w:t>
            </w:r>
            <w:proofErr w:type="spellEnd"/>
            <w:r w:rsidRPr="00275862">
              <w:t xml:space="preserve"> páry bez dětí a manžely 7,3</w:t>
            </w:r>
            <w:r w:rsidR="00600F44">
              <w:t> </w:t>
            </w:r>
            <w:proofErr w:type="spellStart"/>
            <w:r w:rsidRPr="00275862">
              <w:t>p.b</w:t>
            </w:r>
            <w:proofErr w:type="spellEnd"/>
            <w:r w:rsidRPr="00275862">
              <w:t>. u mužů a 6,0 </w:t>
            </w:r>
            <w:proofErr w:type="spellStart"/>
            <w:r w:rsidRPr="00275862">
              <w:t>p.b</w:t>
            </w:r>
            <w:proofErr w:type="spellEnd"/>
            <w:r w:rsidRPr="00275862">
              <w:t xml:space="preserve">. u žen. U žen to může být opět způsobeno vyšším zastoupením </w:t>
            </w:r>
            <w:r w:rsidR="006666D5">
              <w:t>osob s nižším vzděláním</w:t>
            </w:r>
            <w:r w:rsidRPr="00275862">
              <w:t xml:space="preserve"> mezi těmi, které žijí v domácnosti se závislým dítětem, oproti manželským párům nebo </w:t>
            </w:r>
            <w:proofErr w:type="spellStart"/>
            <w:r w:rsidRPr="00275862">
              <w:t>nesezdaným</w:t>
            </w:r>
            <w:proofErr w:type="spellEnd"/>
            <w:r w:rsidRPr="00275862">
              <w:t xml:space="preserve"> soužití</w:t>
            </w:r>
            <w:r w:rsidR="001C1770">
              <w:t>m</w:t>
            </w:r>
            <w:r w:rsidRPr="00275862">
              <w:t xml:space="preserve"> bez závislých dětí. V pozdějším věku pak </w:t>
            </w:r>
            <w:r w:rsidR="001C1770" w:rsidRPr="00275862">
              <w:t xml:space="preserve">nejsou </w:t>
            </w:r>
            <w:r w:rsidRPr="00275862">
              <w:t xml:space="preserve">rozdíly mezi </w:t>
            </w:r>
            <w:proofErr w:type="spellStart"/>
            <w:r w:rsidRPr="00275862">
              <w:t>nesezdanými</w:t>
            </w:r>
            <w:proofErr w:type="spellEnd"/>
            <w:r w:rsidRPr="00275862">
              <w:t xml:space="preserve"> soužitími v závislosti na přítomnosti závislých dětí tak výrazné, kromě poslední věkové kategorie 50 let a starších.</w:t>
            </w:r>
          </w:p>
          <w:p w:rsidR="00421EA1" w:rsidRPr="00275862" w:rsidRDefault="00421EA1" w:rsidP="006666D5">
            <w:pPr>
              <w:tabs>
                <w:tab w:val="right" w:pos="9781"/>
              </w:tabs>
              <w:rPr>
                <w:rFonts w:cs="Arial"/>
                <w:szCs w:val="20"/>
              </w:rPr>
            </w:pPr>
          </w:p>
        </w:tc>
      </w:tr>
      <w:tr w:rsidR="00421EA1" w:rsidRPr="00275862" w:rsidTr="00AC4FF2">
        <w:tc>
          <w:tcPr>
            <w:tcW w:w="5000" w:type="pct"/>
            <w:gridSpan w:val="3"/>
          </w:tcPr>
          <w:p w:rsidR="00421EA1" w:rsidRPr="00275862" w:rsidRDefault="00421EA1" w:rsidP="006666D5">
            <w:pPr>
              <w:pStyle w:val="Nadpis2"/>
              <w:tabs>
                <w:tab w:val="right" w:pos="9781"/>
              </w:tabs>
              <w:rPr>
                <w:rFonts w:cs="Arial"/>
                <w:szCs w:val="20"/>
              </w:rPr>
            </w:pPr>
            <w:bookmarkStart w:id="10" w:name="_Toc384640705"/>
            <w:r w:rsidRPr="00275862">
              <w:t xml:space="preserve">Věková homogamie párů žijících v manželství a v </w:t>
            </w:r>
            <w:proofErr w:type="spellStart"/>
            <w:r w:rsidRPr="00275862">
              <w:t>nesezdaných</w:t>
            </w:r>
            <w:proofErr w:type="spellEnd"/>
            <w:r w:rsidRPr="00275862">
              <w:t xml:space="preserve"> soužitích</w:t>
            </w:r>
            <w:bookmarkEnd w:id="10"/>
          </w:p>
        </w:tc>
      </w:tr>
      <w:tr w:rsidR="003E3721" w:rsidRPr="00275862" w:rsidTr="006666D5">
        <w:trPr>
          <w:trHeight w:val="2955"/>
        </w:trPr>
        <w:tc>
          <w:tcPr>
            <w:tcW w:w="1057" w:type="pct"/>
            <w:vMerge w:val="restart"/>
          </w:tcPr>
          <w:p w:rsidR="003E3721" w:rsidRPr="00275862" w:rsidRDefault="003E3721" w:rsidP="006666D5">
            <w:pPr>
              <w:tabs>
                <w:tab w:val="right" w:pos="9781"/>
              </w:tabs>
              <w:jc w:val="left"/>
              <w:rPr>
                <w:rFonts w:cs="Arial"/>
                <w:sz w:val="16"/>
                <w:szCs w:val="16"/>
              </w:rPr>
            </w:pPr>
            <w:r w:rsidRPr="00275862">
              <w:rPr>
                <w:rFonts w:cs="Arial"/>
                <w:sz w:val="16"/>
                <w:szCs w:val="16"/>
              </w:rPr>
              <w:t xml:space="preserve">U </w:t>
            </w:r>
            <w:proofErr w:type="spellStart"/>
            <w:r w:rsidRPr="00275862">
              <w:rPr>
                <w:rFonts w:cs="Arial"/>
                <w:sz w:val="16"/>
                <w:szCs w:val="16"/>
              </w:rPr>
              <w:t>nesezdaných</w:t>
            </w:r>
            <w:proofErr w:type="spellEnd"/>
            <w:r w:rsidRPr="00275862">
              <w:rPr>
                <w:rFonts w:cs="Arial"/>
                <w:sz w:val="16"/>
                <w:szCs w:val="16"/>
              </w:rPr>
              <w:t xml:space="preserve"> </w:t>
            </w:r>
            <w:r w:rsidR="00EB6C71" w:rsidRPr="00275862">
              <w:rPr>
                <w:rFonts w:cs="Arial"/>
                <w:sz w:val="16"/>
                <w:szCs w:val="16"/>
              </w:rPr>
              <w:t>soužití jsou</w:t>
            </w:r>
            <w:r w:rsidRPr="00275862">
              <w:rPr>
                <w:rFonts w:cs="Arial"/>
                <w:sz w:val="16"/>
                <w:szCs w:val="16"/>
              </w:rPr>
              <w:t xml:space="preserve"> častěji zastoupeny páry, kde je muž mladší než žena</w:t>
            </w:r>
          </w:p>
          <w:p w:rsidR="003E3721" w:rsidRPr="00275862" w:rsidRDefault="003E3721" w:rsidP="006666D5">
            <w:pPr>
              <w:tabs>
                <w:tab w:val="right" w:pos="9781"/>
              </w:tabs>
              <w:jc w:val="left"/>
              <w:rPr>
                <w:rFonts w:cs="Arial"/>
                <w:sz w:val="16"/>
                <w:szCs w:val="16"/>
              </w:rPr>
            </w:pPr>
          </w:p>
          <w:p w:rsidR="003E3721" w:rsidRPr="00275862" w:rsidRDefault="003E3721" w:rsidP="006666D5">
            <w:pPr>
              <w:tabs>
                <w:tab w:val="right" w:pos="9781"/>
              </w:tabs>
              <w:jc w:val="left"/>
              <w:rPr>
                <w:rFonts w:cs="Arial"/>
                <w:sz w:val="16"/>
                <w:szCs w:val="16"/>
              </w:rPr>
            </w:pPr>
          </w:p>
          <w:p w:rsidR="003E3721" w:rsidRPr="00275862" w:rsidRDefault="003E3721" w:rsidP="006666D5">
            <w:pPr>
              <w:tabs>
                <w:tab w:val="right" w:pos="9781"/>
              </w:tabs>
              <w:jc w:val="left"/>
              <w:rPr>
                <w:rFonts w:cs="Arial"/>
                <w:sz w:val="16"/>
                <w:szCs w:val="16"/>
              </w:rPr>
            </w:pPr>
          </w:p>
          <w:p w:rsidR="003E3721" w:rsidRPr="00275862" w:rsidRDefault="003E3721" w:rsidP="006666D5">
            <w:pPr>
              <w:tabs>
                <w:tab w:val="right" w:pos="9781"/>
              </w:tabs>
              <w:jc w:val="left"/>
              <w:rPr>
                <w:rFonts w:cs="Arial"/>
                <w:sz w:val="16"/>
                <w:szCs w:val="16"/>
              </w:rPr>
            </w:pPr>
          </w:p>
          <w:p w:rsidR="003E3721" w:rsidRPr="00275862" w:rsidRDefault="003E3721" w:rsidP="006666D5">
            <w:pPr>
              <w:tabs>
                <w:tab w:val="right" w:pos="9781"/>
              </w:tabs>
              <w:jc w:val="left"/>
              <w:rPr>
                <w:rFonts w:cs="Arial"/>
                <w:sz w:val="16"/>
                <w:szCs w:val="16"/>
              </w:rPr>
            </w:pPr>
          </w:p>
          <w:p w:rsidR="003E3721" w:rsidRPr="00275862" w:rsidRDefault="003E3721" w:rsidP="006666D5">
            <w:pPr>
              <w:tabs>
                <w:tab w:val="right" w:pos="9781"/>
              </w:tabs>
              <w:jc w:val="left"/>
              <w:rPr>
                <w:rFonts w:cs="Arial"/>
                <w:sz w:val="16"/>
                <w:szCs w:val="16"/>
              </w:rPr>
            </w:pPr>
          </w:p>
          <w:p w:rsidR="003E3721" w:rsidRPr="00275862" w:rsidRDefault="003E3721" w:rsidP="006666D5">
            <w:pPr>
              <w:tabs>
                <w:tab w:val="right" w:pos="9781"/>
              </w:tabs>
              <w:jc w:val="left"/>
              <w:rPr>
                <w:rFonts w:cs="Arial"/>
                <w:sz w:val="16"/>
                <w:szCs w:val="16"/>
              </w:rPr>
            </w:pPr>
          </w:p>
          <w:p w:rsidR="003E3721" w:rsidRPr="00275862" w:rsidRDefault="003E3721" w:rsidP="006666D5">
            <w:pPr>
              <w:tabs>
                <w:tab w:val="right" w:pos="9781"/>
              </w:tabs>
              <w:jc w:val="left"/>
              <w:rPr>
                <w:rFonts w:cs="Arial"/>
                <w:sz w:val="16"/>
                <w:szCs w:val="16"/>
              </w:rPr>
            </w:pPr>
          </w:p>
          <w:p w:rsidR="003E3721" w:rsidRPr="00275862" w:rsidRDefault="003E3721" w:rsidP="006666D5">
            <w:pPr>
              <w:tabs>
                <w:tab w:val="right" w:pos="9781"/>
              </w:tabs>
              <w:jc w:val="left"/>
              <w:rPr>
                <w:rFonts w:cs="Arial"/>
                <w:sz w:val="16"/>
                <w:szCs w:val="16"/>
              </w:rPr>
            </w:pPr>
          </w:p>
          <w:p w:rsidR="003E3721" w:rsidRPr="00275862" w:rsidRDefault="003E3721" w:rsidP="006666D5">
            <w:pPr>
              <w:tabs>
                <w:tab w:val="right" w:pos="9781"/>
              </w:tabs>
              <w:jc w:val="left"/>
              <w:rPr>
                <w:rFonts w:cs="Arial"/>
                <w:sz w:val="16"/>
                <w:szCs w:val="16"/>
              </w:rPr>
            </w:pPr>
          </w:p>
          <w:p w:rsidR="003E3721" w:rsidRPr="00275862" w:rsidRDefault="003E3721" w:rsidP="006666D5">
            <w:pPr>
              <w:tabs>
                <w:tab w:val="right" w:pos="9781"/>
              </w:tabs>
              <w:jc w:val="left"/>
              <w:rPr>
                <w:rFonts w:cs="Arial"/>
                <w:sz w:val="16"/>
                <w:szCs w:val="16"/>
              </w:rPr>
            </w:pPr>
          </w:p>
          <w:p w:rsidR="003E3721" w:rsidRPr="00275862" w:rsidRDefault="003E3721" w:rsidP="006666D5">
            <w:pPr>
              <w:tabs>
                <w:tab w:val="right" w:pos="9781"/>
              </w:tabs>
              <w:jc w:val="left"/>
              <w:rPr>
                <w:rFonts w:cs="Arial"/>
                <w:sz w:val="16"/>
                <w:szCs w:val="16"/>
              </w:rPr>
            </w:pPr>
          </w:p>
          <w:p w:rsidR="003E3721" w:rsidRPr="00275862" w:rsidRDefault="003E3721" w:rsidP="006666D5">
            <w:pPr>
              <w:tabs>
                <w:tab w:val="right" w:pos="9781"/>
              </w:tabs>
              <w:jc w:val="left"/>
              <w:rPr>
                <w:rFonts w:cs="Arial"/>
                <w:sz w:val="16"/>
                <w:szCs w:val="16"/>
              </w:rPr>
            </w:pPr>
          </w:p>
          <w:p w:rsidR="003E3721" w:rsidRPr="00275862" w:rsidRDefault="003E3721" w:rsidP="006666D5">
            <w:pPr>
              <w:tabs>
                <w:tab w:val="right" w:pos="9781"/>
              </w:tabs>
              <w:jc w:val="left"/>
              <w:rPr>
                <w:rFonts w:cs="Arial"/>
                <w:sz w:val="16"/>
                <w:szCs w:val="16"/>
              </w:rPr>
            </w:pPr>
          </w:p>
          <w:p w:rsidR="003E3721" w:rsidRPr="00275862" w:rsidRDefault="003E3721" w:rsidP="006666D5">
            <w:pPr>
              <w:tabs>
                <w:tab w:val="right" w:pos="9781"/>
              </w:tabs>
              <w:jc w:val="left"/>
              <w:rPr>
                <w:rFonts w:cs="Arial"/>
                <w:sz w:val="16"/>
                <w:szCs w:val="16"/>
              </w:rPr>
            </w:pPr>
          </w:p>
          <w:p w:rsidR="003E3721" w:rsidRPr="00275862" w:rsidRDefault="003E3721" w:rsidP="006666D5">
            <w:pPr>
              <w:tabs>
                <w:tab w:val="right" w:pos="9781"/>
              </w:tabs>
              <w:jc w:val="left"/>
              <w:rPr>
                <w:rFonts w:cs="Arial"/>
                <w:sz w:val="16"/>
                <w:szCs w:val="16"/>
              </w:rPr>
            </w:pPr>
          </w:p>
          <w:p w:rsidR="003E3721" w:rsidRPr="00275862" w:rsidRDefault="003E3721" w:rsidP="006666D5">
            <w:pPr>
              <w:tabs>
                <w:tab w:val="right" w:pos="9781"/>
              </w:tabs>
              <w:jc w:val="left"/>
              <w:rPr>
                <w:rFonts w:cs="Arial"/>
                <w:sz w:val="16"/>
                <w:szCs w:val="16"/>
              </w:rPr>
            </w:pPr>
            <w:r w:rsidRPr="00275862">
              <w:rPr>
                <w:rFonts w:cs="Arial"/>
                <w:sz w:val="16"/>
                <w:szCs w:val="16"/>
              </w:rPr>
              <w:t xml:space="preserve">U </w:t>
            </w:r>
            <w:proofErr w:type="spellStart"/>
            <w:r w:rsidRPr="00275862">
              <w:rPr>
                <w:rFonts w:cs="Arial"/>
                <w:sz w:val="16"/>
                <w:szCs w:val="16"/>
              </w:rPr>
              <w:t>nesezdaných</w:t>
            </w:r>
            <w:proofErr w:type="spellEnd"/>
            <w:r w:rsidRPr="00275862">
              <w:rPr>
                <w:rFonts w:cs="Arial"/>
                <w:sz w:val="16"/>
                <w:szCs w:val="16"/>
              </w:rPr>
              <w:t xml:space="preserve"> soužití, kde alespoň jeden z partnerů není svobodný, jsou častěji zastoupeny páry s výraznějšími věkovými rozdíly</w:t>
            </w:r>
          </w:p>
          <w:p w:rsidR="003E3721" w:rsidRPr="00275862" w:rsidRDefault="003E3721" w:rsidP="006666D5">
            <w:pPr>
              <w:tabs>
                <w:tab w:val="right" w:pos="9781"/>
              </w:tabs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42" w:type="pct"/>
            <w:vMerge w:val="restart"/>
          </w:tcPr>
          <w:p w:rsidR="003E3721" w:rsidRPr="00275862" w:rsidRDefault="003E3721" w:rsidP="006666D5">
            <w:pPr>
              <w:pStyle w:val="Textpoznpodarou"/>
              <w:tabs>
                <w:tab w:val="right" w:pos="9781"/>
              </w:tabs>
              <w:jc w:val="both"/>
            </w:pPr>
          </w:p>
        </w:tc>
        <w:tc>
          <w:tcPr>
            <w:tcW w:w="3800" w:type="pct"/>
          </w:tcPr>
          <w:p w:rsidR="003E3721" w:rsidRPr="00275862" w:rsidRDefault="003E3721" w:rsidP="006666D5">
            <w:pPr>
              <w:tabs>
                <w:tab w:val="right" w:pos="9781"/>
              </w:tabs>
            </w:pPr>
            <w:r w:rsidRPr="00275862">
              <w:t xml:space="preserve">Jak u </w:t>
            </w:r>
            <w:proofErr w:type="spellStart"/>
            <w:r w:rsidRPr="00275862">
              <w:t>sezdaných</w:t>
            </w:r>
            <w:proofErr w:type="spellEnd"/>
            <w:r w:rsidRPr="00275862">
              <w:t xml:space="preserve">, tak i u </w:t>
            </w:r>
            <w:proofErr w:type="spellStart"/>
            <w:r w:rsidRPr="00275862">
              <w:t>nesezdaných</w:t>
            </w:r>
            <w:proofErr w:type="spellEnd"/>
            <w:r w:rsidRPr="00275862">
              <w:t xml:space="preserve"> svazků platí, že převládají páry, ve kterých je muž starší</w:t>
            </w:r>
            <w:r w:rsidRPr="00275862">
              <w:rPr>
                <w:rStyle w:val="Znakapoznpodarou"/>
              </w:rPr>
              <w:footnoteReference w:id="2"/>
            </w:r>
            <w:r w:rsidRPr="00275862">
              <w:t xml:space="preserve">. U 63,1 % manželských párů byl muž starší než žena o více jak rok, u kohabitací pak o 5,8 </w:t>
            </w:r>
            <w:proofErr w:type="spellStart"/>
            <w:r w:rsidRPr="00275862">
              <w:t>p.b</w:t>
            </w:r>
            <w:proofErr w:type="spellEnd"/>
            <w:r w:rsidRPr="00275862">
              <w:t>. méně. Mezi manžely byly také více zastoupeny stejně staré páry – 28,6 %, u </w:t>
            </w:r>
            <w:proofErr w:type="spellStart"/>
            <w:r w:rsidRPr="00275862">
              <w:t>nesezdaných</w:t>
            </w:r>
            <w:proofErr w:type="spellEnd"/>
            <w:r w:rsidRPr="00275862">
              <w:t xml:space="preserve"> párů to bylo 23,9 %(viz graf. č. 9). Naopak páry, ve kterých byla žena starší, byly u </w:t>
            </w:r>
            <w:proofErr w:type="spellStart"/>
            <w:r w:rsidRPr="00275862">
              <w:t>sezdaných</w:t>
            </w:r>
            <w:proofErr w:type="spellEnd"/>
            <w:r w:rsidRPr="00275862">
              <w:t xml:space="preserve"> zastoupeny méně než u faktických manželství - 8,3 % vs. 18,8 %. Struktura podle věkového rozdílu mezi partnery se pak u </w:t>
            </w:r>
            <w:proofErr w:type="spellStart"/>
            <w:r w:rsidRPr="00275862">
              <w:t>nesezdaných</w:t>
            </w:r>
            <w:proofErr w:type="spellEnd"/>
            <w:r w:rsidRPr="00275862">
              <w:t xml:space="preserve"> párů lišila podle rodinného stavu. Podíl párů se starším mužem se výrazněji nelišil, ale u oboustranně svobodných bylo vyšší zastoupení stejně starých partnerů (30,4 %) oproti párům, kde alespoň jeden z partnerů již v minulosti uzavřel manželství (19,3 %) a naopak podíl párů se starší ženou byl nižší (12,7 % vs. 23,3 %). Přítomnost závislých dětí v domácnosti neměla na míru věkové homogamie </w:t>
            </w:r>
            <w:proofErr w:type="spellStart"/>
            <w:r w:rsidRPr="00275862">
              <w:t>nesezdaných</w:t>
            </w:r>
            <w:proofErr w:type="spellEnd"/>
            <w:r w:rsidRPr="00275862">
              <w:t xml:space="preserve"> soužití podle věkového rozdílu téměř žádný vliv, protože rozdíl v podílu věkově homogamních svazků tvořil pouze 0,2 </w:t>
            </w:r>
            <w:proofErr w:type="spellStart"/>
            <w:r w:rsidRPr="00275862">
              <w:t>p.b</w:t>
            </w:r>
            <w:proofErr w:type="spellEnd"/>
            <w:r w:rsidRPr="00275862">
              <w:t xml:space="preserve">. a u svazků se starším mužem 1,0 </w:t>
            </w:r>
            <w:proofErr w:type="spellStart"/>
            <w:r w:rsidRPr="00275862">
              <w:t>p.b</w:t>
            </w:r>
            <w:proofErr w:type="spellEnd"/>
            <w:r w:rsidRPr="00275862">
              <w:t xml:space="preserve">. ve prospěch </w:t>
            </w:r>
            <w:proofErr w:type="spellStart"/>
            <w:r w:rsidRPr="00275862">
              <w:t>nesezdaných</w:t>
            </w:r>
            <w:proofErr w:type="spellEnd"/>
            <w:r w:rsidRPr="00275862">
              <w:t xml:space="preserve"> soužití se závislými dětmi.</w:t>
            </w:r>
          </w:p>
          <w:p w:rsidR="003E3721" w:rsidRPr="00275862" w:rsidRDefault="003E3721" w:rsidP="006666D5">
            <w:pPr>
              <w:tabs>
                <w:tab w:val="right" w:pos="9781"/>
              </w:tabs>
            </w:pPr>
          </w:p>
          <w:p w:rsidR="003E3721" w:rsidRPr="00275862" w:rsidRDefault="003E3721" w:rsidP="006666D5">
            <w:pPr>
              <w:tabs>
                <w:tab w:val="right" w:pos="9781"/>
              </w:tabs>
              <w:rPr>
                <w:rFonts w:cs="Arial"/>
                <w:sz w:val="14"/>
                <w:szCs w:val="14"/>
              </w:rPr>
            </w:pPr>
            <w:r w:rsidRPr="00275862">
              <w:t>Jak je vidět na grafu č. 9</w:t>
            </w:r>
            <w:r w:rsidR="006666D5">
              <w:t xml:space="preserve"> na následující straně</w:t>
            </w:r>
            <w:r w:rsidRPr="00275862">
              <w:t xml:space="preserve">, u </w:t>
            </w:r>
            <w:proofErr w:type="spellStart"/>
            <w:r w:rsidRPr="00275862">
              <w:t>nesezdaných</w:t>
            </w:r>
            <w:proofErr w:type="spellEnd"/>
            <w:r w:rsidRPr="00275862">
              <w:t xml:space="preserve"> soužití se oproti manželským párům častěji vyskytují velmi vysoké věkové rozdíly (10 let a více) a</w:t>
            </w:r>
            <w:r w:rsidR="006666D5">
              <w:t> </w:t>
            </w:r>
            <w:r w:rsidRPr="00275862">
              <w:t xml:space="preserve">to jak u párů, kde je starší muž, tak u těch, kde je starší žena. Tyto rozdíly jsou způsobeny zejména strukturou podle věkového rozdílu partnerů u párů, kde jeden z partnerů již měl zkušenost s manželstvím, protože v těchto svazcích byl podíl velmi věkově vzdálených partnerů výrazně vyšší – 15,5 % v případech, že byl starší muž a 4,6 % u partnerů se starší ženou, zatím co u oboustranně svobodných </w:t>
            </w:r>
            <w:proofErr w:type="spellStart"/>
            <w:r w:rsidRPr="00275862">
              <w:t>nesezdaných</w:t>
            </w:r>
            <w:proofErr w:type="spellEnd"/>
            <w:r w:rsidRPr="00275862">
              <w:t xml:space="preserve"> párů se struktura velmi podobala párům </w:t>
            </w:r>
            <w:proofErr w:type="spellStart"/>
            <w:r w:rsidRPr="00275862">
              <w:t>sezdaným</w:t>
            </w:r>
            <w:proofErr w:type="spellEnd"/>
            <w:r w:rsidRPr="00275862">
              <w:t>.</w:t>
            </w:r>
          </w:p>
        </w:tc>
      </w:tr>
      <w:tr w:rsidR="003E3721" w:rsidRPr="00275862" w:rsidTr="006666D5">
        <w:trPr>
          <w:trHeight w:val="80"/>
        </w:trPr>
        <w:tc>
          <w:tcPr>
            <w:tcW w:w="1057" w:type="pct"/>
            <w:vMerge/>
          </w:tcPr>
          <w:p w:rsidR="003E3721" w:rsidRPr="00275862" w:rsidRDefault="003E3721" w:rsidP="006666D5">
            <w:pPr>
              <w:tabs>
                <w:tab w:val="right" w:pos="9781"/>
              </w:tabs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42" w:type="pct"/>
            <w:vMerge/>
          </w:tcPr>
          <w:p w:rsidR="003E3721" w:rsidRPr="00275862" w:rsidRDefault="003E3721" w:rsidP="006666D5">
            <w:pPr>
              <w:pStyle w:val="Textpoznpodarou"/>
              <w:tabs>
                <w:tab w:val="right" w:pos="9781"/>
              </w:tabs>
              <w:jc w:val="both"/>
            </w:pPr>
          </w:p>
        </w:tc>
        <w:tc>
          <w:tcPr>
            <w:tcW w:w="3800" w:type="pct"/>
          </w:tcPr>
          <w:p w:rsidR="003E3721" w:rsidRPr="00275862" w:rsidRDefault="003E3721" w:rsidP="006666D5">
            <w:pPr>
              <w:tabs>
                <w:tab w:val="right" w:pos="9781"/>
              </w:tabs>
            </w:pPr>
          </w:p>
        </w:tc>
      </w:tr>
      <w:tr w:rsidR="00421EA1" w:rsidRPr="00275862" w:rsidTr="00AC4FF2">
        <w:tc>
          <w:tcPr>
            <w:tcW w:w="5000" w:type="pct"/>
            <w:gridSpan w:val="3"/>
          </w:tcPr>
          <w:p w:rsidR="003E3721" w:rsidRPr="00275862" w:rsidRDefault="003E3721" w:rsidP="006666D5">
            <w:pPr>
              <w:tabs>
                <w:tab w:val="right" w:pos="9781"/>
              </w:tabs>
              <w:spacing w:after="40"/>
            </w:pPr>
          </w:p>
          <w:p w:rsidR="003E3721" w:rsidRPr="00275862" w:rsidRDefault="003E3721" w:rsidP="006666D5">
            <w:pPr>
              <w:tabs>
                <w:tab w:val="right" w:pos="9781"/>
              </w:tabs>
              <w:spacing w:after="40"/>
            </w:pPr>
          </w:p>
          <w:p w:rsidR="003E3721" w:rsidRPr="00275862" w:rsidRDefault="003E3721" w:rsidP="006666D5">
            <w:pPr>
              <w:tabs>
                <w:tab w:val="right" w:pos="9781"/>
              </w:tabs>
              <w:spacing w:after="40"/>
            </w:pPr>
          </w:p>
          <w:p w:rsidR="00D71801" w:rsidRPr="00275862" w:rsidRDefault="00D71801" w:rsidP="006666D5">
            <w:pPr>
              <w:tabs>
                <w:tab w:val="right" w:pos="9781"/>
              </w:tabs>
              <w:spacing w:after="40"/>
            </w:pPr>
          </w:p>
          <w:p w:rsidR="003E3721" w:rsidRPr="00275862" w:rsidRDefault="003E3721" w:rsidP="006666D5">
            <w:pPr>
              <w:tabs>
                <w:tab w:val="right" w:pos="9781"/>
              </w:tabs>
              <w:spacing w:after="40"/>
            </w:pPr>
          </w:p>
          <w:p w:rsidR="00421EA1" w:rsidRPr="00275862" w:rsidRDefault="00421EA1" w:rsidP="006666D5">
            <w:pPr>
              <w:tabs>
                <w:tab w:val="right" w:pos="9781"/>
              </w:tabs>
              <w:spacing w:after="40"/>
              <w:rPr>
                <w:b/>
              </w:rPr>
            </w:pPr>
            <w:r w:rsidRPr="00275862">
              <w:lastRenderedPageBreak/>
              <w:t xml:space="preserve">Graf č. 9 </w:t>
            </w:r>
            <w:r w:rsidRPr="00275862">
              <w:rPr>
                <w:b/>
              </w:rPr>
              <w:t xml:space="preserve">Struktura </w:t>
            </w:r>
            <w:proofErr w:type="spellStart"/>
            <w:r w:rsidRPr="00275862">
              <w:rPr>
                <w:b/>
              </w:rPr>
              <w:t>sezdaných</w:t>
            </w:r>
            <w:proofErr w:type="spellEnd"/>
            <w:r w:rsidRPr="00275862">
              <w:rPr>
                <w:b/>
              </w:rPr>
              <w:t xml:space="preserve"> a </w:t>
            </w:r>
            <w:proofErr w:type="spellStart"/>
            <w:r w:rsidRPr="00275862">
              <w:rPr>
                <w:b/>
              </w:rPr>
              <w:t>nesezdaných</w:t>
            </w:r>
            <w:proofErr w:type="spellEnd"/>
            <w:r w:rsidRPr="00275862">
              <w:rPr>
                <w:b/>
              </w:rPr>
              <w:t xml:space="preserve"> párů podle věkového rozdílu, 2011 </w:t>
            </w:r>
          </w:p>
          <w:p w:rsidR="00421EA1" w:rsidRPr="00275862" w:rsidRDefault="00421EA1" w:rsidP="006666D5">
            <w:pPr>
              <w:tabs>
                <w:tab w:val="right" w:pos="9781"/>
              </w:tabs>
              <w:spacing w:after="40"/>
            </w:pPr>
            <w:r w:rsidRPr="00275862">
              <w:rPr>
                <w:noProof/>
              </w:rPr>
              <w:drawing>
                <wp:inline distT="0" distB="0" distL="0" distR="0">
                  <wp:extent cx="6124575" cy="2762250"/>
                  <wp:effectExtent l="19050" t="0" r="9525" b="0"/>
                  <wp:docPr id="115" name="Graf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  <w:p w:rsidR="00421EA1" w:rsidRPr="00275862" w:rsidRDefault="00421EA1" w:rsidP="006666D5">
            <w:pPr>
              <w:tabs>
                <w:tab w:val="right" w:pos="9781"/>
              </w:tabs>
              <w:jc w:val="right"/>
            </w:pPr>
            <w:r w:rsidRPr="00275862">
              <w:t xml:space="preserve">Poznámka: NS – </w:t>
            </w:r>
            <w:proofErr w:type="spellStart"/>
            <w:r w:rsidRPr="00275862">
              <w:t>nesezdané</w:t>
            </w:r>
            <w:proofErr w:type="spellEnd"/>
            <w:r w:rsidRPr="00275862">
              <w:t xml:space="preserve"> soužití</w:t>
            </w:r>
          </w:p>
          <w:p w:rsidR="00421EA1" w:rsidRPr="00275862" w:rsidRDefault="00421EA1" w:rsidP="006666D5">
            <w:pPr>
              <w:tabs>
                <w:tab w:val="right" w:pos="9781"/>
              </w:tabs>
              <w:spacing w:after="100"/>
              <w:jc w:val="right"/>
            </w:pPr>
            <w:r w:rsidRPr="00275862">
              <w:t>Zdroj dat: ČSÚ (SLDB), vlastní výpočty</w:t>
            </w:r>
          </w:p>
        </w:tc>
      </w:tr>
      <w:tr w:rsidR="00421EA1" w:rsidRPr="00275862" w:rsidTr="00AC4FF2">
        <w:tc>
          <w:tcPr>
            <w:tcW w:w="1057" w:type="pct"/>
          </w:tcPr>
          <w:p w:rsidR="00421EA1" w:rsidRPr="00275862" w:rsidRDefault="00D71801" w:rsidP="006666D5">
            <w:pPr>
              <w:tabs>
                <w:tab w:val="right" w:pos="9781"/>
              </w:tabs>
              <w:jc w:val="left"/>
              <w:rPr>
                <w:rFonts w:cs="Arial"/>
                <w:sz w:val="16"/>
                <w:szCs w:val="16"/>
              </w:rPr>
            </w:pPr>
            <w:r w:rsidRPr="00275862">
              <w:rPr>
                <w:rFonts w:cs="Arial"/>
                <w:sz w:val="16"/>
                <w:szCs w:val="16"/>
              </w:rPr>
              <w:lastRenderedPageBreak/>
              <w:t xml:space="preserve">U žen se s věkem zvyšuje rozdíl mezi </w:t>
            </w:r>
            <w:proofErr w:type="spellStart"/>
            <w:r w:rsidRPr="00275862">
              <w:rPr>
                <w:rFonts w:cs="Arial"/>
                <w:sz w:val="16"/>
                <w:szCs w:val="16"/>
              </w:rPr>
              <w:t>sezdanými</w:t>
            </w:r>
            <w:proofErr w:type="spellEnd"/>
            <w:r w:rsidRPr="00275862">
              <w:rPr>
                <w:rFonts w:cs="Arial"/>
                <w:sz w:val="16"/>
                <w:szCs w:val="16"/>
              </w:rPr>
              <w:t xml:space="preserve"> a </w:t>
            </w:r>
            <w:proofErr w:type="spellStart"/>
            <w:r w:rsidRPr="00275862">
              <w:rPr>
                <w:rFonts w:cs="Arial"/>
                <w:sz w:val="16"/>
                <w:szCs w:val="16"/>
              </w:rPr>
              <w:t>nesezdanými</w:t>
            </w:r>
            <w:proofErr w:type="spellEnd"/>
            <w:r w:rsidRPr="00275862">
              <w:rPr>
                <w:rFonts w:cs="Arial"/>
                <w:sz w:val="16"/>
                <w:szCs w:val="16"/>
              </w:rPr>
              <w:t xml:space="preserve"> svazky v podílu soužití s mladším mužem </w:t>
            </w:r>
          </w:p>
          <w:p w:rsidR="00D71801" w:rsidRPr="00275862" w:rsidRDefault="00D71801" w:rsidP="006666D5">
            <w:pPr>
              <w:tabs>
                <w:tab w:val="right" w:pos="9781"/>
              </w:tabs>
              <w:jc w:val="left"/>
              <w:rPr>
                <w:rFonts w:cs="Arial"/>
                <w:sz w:val="16"/>
                <w:szCs w:val="16"/>
              </w:rPr>
            </w:pPr>
          </w:p>
          <w:p w:rsidR="00D71801" w:rsidRPr="00275862" w:rsidRDefault="00D71801" w:rsidP="006666D5">
            <w:pPr>
              <w:tabs>
                <w:tab w:val="right" w:pos="9781"/>
              </w:tabs>
              <w:jc w:val="left"/>
              <w:rPr>
                <w:rFonts w:cs="Arial"/>
                <w:sz w:val="16"/>
                <w:szCs w:val="16"/>
              </w:rPr>
            </w:pPr>
          </w:p>
          <w:p w:rsidR="00D71801" w:rsidRPr="00275862" w:rsidRDefault="00D71801" w:rsidP="006666D5">
            <w:pPr>
              <w:tabs>
                <w:tab w:val="right" w:pos="9781"/>
              </w:tabs>
              <w:jc w:val="left"/>
              <w:rPr>
                <w:rFonts w:cs="Arial"/>
                <w:sz w:val="16"/>
                <w:szCs w:val="16"/>
              </w:rPr>
            </w:pPr>
          </w:p>
          <w:p w:rsidR="00D71801" w:rsidRPr="00275862" w:rsidRDefault="00D71801" w:rsidP="006666D5">
            <w:pPr>
              <w:tabs>
                <w:tab w:val="right" w:pos="9781"/>
              </w:tabs>
              <w:jc w:val="left"/>
              <w:rPr>
                <w:rFonts w:cs="Arial"/>
                <w:sz w:val="16"/>
                <w:szCs w:val="16"/>
              </w:rPr>
            </w:pPr>
          </w:p>
          <w:p w:rsidR="00D71801" w:rsidRPr="00275862" w:rsidRDefault="00D71801" w:rsidP="006666D5">
            <w:pPr>
              <w:tabs>
                <w:tab w:val="right" w:pos="9781"/>
              </w:tabs>
              <w:jc w:val="left"/>
              <w:rPr>
                <w:rFonts w:cs="Arial"/>
                <w:sz w:val="16"/>
                <w:szCs w:val="16"/>
              </w:rPr>
            </w:pPr>
          </w:p>
          <w:p w:rsidR="00D71801" w:rsidRPr="00275862" w:rsidRDefault="00D71801" w:rsidP="006666D5">
            <w:pPr>
              <w:tabs>
                <w:tab w:val="right" w:pos="9781"/>
              </w:tabs>
              <w:jc w:val="left"/>
              <w:rPr>
                <w:rFonts w:cs="Arial"/>
                <w:sz w:val="16"/>
                <w:szCs w:val="16"/>
              </w:rPr>
            </w:pPr>
          </w:p>
          <w:p w:rsidR="00D71801" w:rsidRPr="00275862" w:rsidRDefault="00D71801" w:rsidP="006666D5">
            <w:pPr>
              <w:tabs>
                <w:tab w:val="right" w:pos="9781"/>
              </w:tabs>
              <w:jc w:val="left"/>
              <w:rPr>
                <w:rFonts w:cs="Arial"/>
                <w:sz w:val="16"/>
                <w:szCs w:val="16"/>
              </w:rPr>
            </w:pPr>
          </w:p>
          <w:p w:rsidR="00D71801" w:rsidRPr="00275862" w:rsidRDefault="00D71801" w:rsidP="006666D5">
            <w:pPr>
              <w:tabs>
                <w:tab w:val="right" w:pos="9781"/>
              </w:tabs>
              <w:jc w:val="left"/>
              <w:rPr>
                <w:rFonts w:cs="Arial"/>
                <w:sz w:val="16"/>
                <w:szCs w:val="16"/>
              </w:rPr>
            </w:pPr>
          </w:p>
          <w:p w:rsidR="00D71801" w:rsidRPr="00275862" w:rsidRDefault="00D71801" w:rsidP="006666D5">
            <w:pPr>
              <w:tabs>
                <w:tab w:val="right" w:pos="9781"/>
              </w:tabs>
              <w:jc w:val="left"/>
              <w:rPr>
                <w:rFonts w:cs="Arial"/>
                <w:sz w:val="16"/>
                <w:szCs w:val="16"/>
              </w:rPr>
            </w:pPr>
          </w:p>
          <w:p w:rsidR="00D71801" w:rsidRPr="00275862" w:rsidRDefault="00D71801" w:rsidP="006666D5">
            <w:pPr>
              <w:tabs>
                <w:tab w:val="right" w:pos="9781"/>
              </w:tabs>
              <w:jc w:val="left"/>
              <w:rPr>
                <w:rFonts w:cs="Arial"/>
                <w:sz w:val="16"/>
                <w:szCs w:val="16"/>
              </w:rPr>
            </w:pPr>
          </w:p>
          <w:p w:rsidR="00D71801" w:rsidRPr="00275862" w:rsidRDefault="00D71801" w:rsidP="006666D5">
            <w:pPr>
              <w:tabs>
                <w:tab w:val="right" w:pos="9781"/>
              </w:tabs>
              <w:jc w:val="left"/>
              <w:rPr>
                <w:rFonts w:cs="Arial"/>
                <w:sz w:val="16"/>
                <w:szCs w:val="16"/>
              </w:rPr>
            </w:pPr>
          </w:p>
          <w:p w:rsidR="00D71801" w:rsidRPr="00275862" w:rsidRDefault="00D71801" w:rsidP="006666D5">
            <w:pPr>
              <w:tabs>
                <w:tab w:val="right" w:pos="9781"/>
              </w:tabs>
              <w:jc w:val="left"/>
              <w:rPr>
                <w:rFonts w:cs="Arial"/>
                <w:sz w:val="16"/>
                <w:szCs w:val="16"/>
              </w:rPr>
            </w:pPr>
          </w:p>
          <w:p w:rsidR="00D71801" w:rsidRPr="00275862" w:rsidRDefault="00D71801" w:rsidP="006666D5">
            <w:pPr>
              <w:tabs>
                <w:tab w:val="right" w:pos="9781"/>
              </w:tabs>
              <w:jc w:val="left"/>
              <w:rPr>
                <w:rFonts w:cs="Arial"/>
                <w:sz w:val="16"/>
                <w:szCs w:val="16"/>
              </w:rPr>
            </w:pPr>
          </w:p>
          <w:p w:rsidR="00D71801" w:rsidRPr="00275862" w:rsidRDefault="00D71801" w:rsidP="006666D5">
            <w:pPr>
              <w:tabs>
                <w:tab w:val="right" w:pos="9781"/>
              </w:tabs>
              <w:jc w:val="left"/>
              <w:rPr>
                <w:rFonts w:cs="Arial"/>
                <w:sz w:val="16"/>
                <w:szCs w:val="16"/>
              </w:rPr>
            </w:pPr>
          </w:p>
          <w:p w:rsidR="00D71801" w:rsidRPr="00275862" w:rsidRDefault="00D71801" w:rsidP="006666D5">
            <w:pPr>
              <w:tabs>
                <w:tab w:val="right" w:pos="9781"/>
              </w:tabs>
              <w:jc w:val="left"/>
              <w:rPr>
                <w:rFonts w:cs="Arial"/>
                <w:sz w:val="16"/>
                <w:szCs w:val="16"/>
              </w:rPr>
            </w:pPr>
          </w:p>
          <w:p w:rsidR="00D71801" w:rsidRPr="00275862" w:rsidRDefault="00D71801" w:rsidP="006666D5">
            <w:pPr>
              <w:tabs>
                <w:tab w:val="right" w:pos="9781"/>
              </w:tabs>
              <w:jc w:val="left"/>
              <w:rPr>
                <w:rFonts w:cs="Arial"/>
                <w:sz w:val="16"/>
                <w:szCs w:val="16"/>
              </w:rPr>
            </w:pPr>
          </w:p>
          <w:p w:rsidR="00D71801" w:rsidRPr="00275862" w:rsidRDefault="00D71801" w:rsidP="006666D5">
            <w:pPr>
              <w:tabs>
                <w:tab w:val="right" w:pos="9781"/>
              </w:tabs>
              <w:jc w:val="left"/>
              <w:rPr>
                <w:rFonts w:cs="Arial"/>
                <w:sz w:val="16"/>
                <w:szCs w:val="16"/>
              </w:rPr>
            </w:pPr>
            <w:r w:rsidRPr="00275862">
              <w:rPr>
                <w:rFonts w:cs="Arial"/>
                <w:sz w:val="16"/>
                <w:szCs w:val="16"/>
              </w:rPr>
              <w:t xml:space="preserve">U </w:t>
            </w:r>
            <w:proofErr w:type="spellStart"/>
            <w:r w:rsidRPr="00275862">
              <w:rPr>
                <w:rFonts w:cs="Arial"/>
                <w:sz w:val="16"/>
                <w:szCs w:val="16"/>
              </w:rPr>
              <w:t>nesezdaných</w:t>
            </w:r>
            <w:proofErr w:type="spellEnd"/>
            <w:r w:rsidRPr="00275862">
              <w:rPr>
                <w:rFonts w:cs="Arial"/>
                <w:sz w:val="16"/>
                <w:szCs w:val="16"/>
              </w:rPr>
              <w:t xml:space="preserve"> párů je průměrný věkový rozdíl vyšší než u manželů</w:t>
            </w:r>
          </w:p>
        </w:tc>
        <w:tc>
          <w:tcPr>
            <w:tcW w:w="142" w:type="pct"/>
          </w:tcPr>
          <w:p w:rsidR="00421EA1" w:rsidRPr="00275862" w:rsidRDefault="00421EA1" w:rsidP="006666D5">
            <w:pPr>
              <w:pStyle w:val="Textpoznpodarou"/>
              <w:tabs>
                <w:tab w:val="right" w:pos="9781"/>
              </w:tabs>
              <w:jc w:val="both"/>
            </w:pPr>
          </w:p>
        </w:tc>
        <w:tc>
          <w:tcPr>
            <w:tcW w:w="3800" w:type="pct"/>
          </w:tcPr>
          <w:p w:rsidR="003E3721" w:rsidRPr="00275862" w:rsidRDefault="003E3721" w:rsidP="006666D5">
            <w:pPr>
              <w:tabs>
                <w:tab w:val="right" w:pos="9781"/>
              </w:tabs>
            </w:pPr>
            <w:r w:rsidRPr="00275862">
              <w:t xml:space="preserve">S věkem jak u mužů, tak u žen roste četnost soužití s mladším partnerem a platí to jak pro </w:t>
            </w:r>
            <w:proofErr w:type="spellStart"/>
            <w:r w:rsidRPr="00275862">
              <w:t>sezdané</w:t>
            </w:r>
            <w:proofErr w:type="spellEnd"/>
            <w:r w:rsidRPr="00275862">
              <w:t xml:space="preserve">, tak i </w:t>
            </w:r>
            <w:proofErr w:type="spellStart"/>
            <w:r w:rsidRPr="00275862">
              <w:t>nesezdané</w:t>
            </w:r>
            <w:proofErr w:type="spellEnd"/>
            <w:r w:rsidRPr="00275862">
              <w:t xml:space="preserve"> páry. U žen se však s věkem rozdíly mezi těmito typy svazků zvětšují, přičemž od 35 let je u žen žijících ve faktickém manželství dvakrát až třikrát vyšší podíl těch, které žijí s mladším partnerem, než u stejně starých žen, které žijí v manželství. Tento rozdíl však může být způsoben odlišnou strukturou podle věku na počátku partnerství u vdaných a u žen v </w:t>
            </w:r>
            <w:proofErr w:type="spellStart"/>
            <w:r w:rsidRPr="00275862">
              <w:t>nesezdaných</w:t>
            </w:r>
            <w:proofErr w:type="spellEnd"/>
            <w:r w:rsidRPr="00275862">
              <w:t xml:space="preserve"> soužitích v dané věkové kategorii. Údaj o délce trvání faktických manželství bohužel není z dat ze sčítání </w:t>
            </w:r>
            <w:r w:rsidR="003820A8">
              <w:t xml:space="preserve">lidu </w:t>
            </w:r>
            <w:r w:rsidRPr="00275862">
              <w:t>k dispozici. S věkem však přibývá u </w:t>
            </w:r>
            <w:proofErr w:type="spellStart"/>
            <w:r w:rsidRPr="00275862">
              <w:t>nesezdaných</w:t>
            </w:r>
            <w:proofErr w:type="spellEnd"/>
            <w:r w:rsidRPr="00275862">
              <w:t xml:space="preserve"> soužití zastoupení těch, ve kterých partneři již měly zkušenost s manželství a zároveň intenzita sňatečnosti zhruba po 30 letech věku u mužů i u žen postupně klesá. Dá se tedy předpokládat, že s rostoucím věkem se bude zvyšovat rozdíl v délce trvání partnerství mezi </w:t>
            </w:r>
            <w:proofErr w:type="spellStart"/>
            <w:r w:rsidRPr="00275862">
              <w:t>se</w:t>
            </w:r>
            <w:r w:rsidR="003820A8">
              <w:t>zdanými</w:t>
            </w:r>
            <w:proofErr w:type="spellEnd"/>
            <w:r w:rsidR="003820A8">
              <w:t xml:space="preserve"> a </w:t>
            </w:r>
            <w:proofErr w:type="spellStart"/>
            <w:r w:rsidR="003820A8">
              <w:t>nesezdanými</w:t>
            </w:r>
            <w:proofErr w:type="spellEnd"/>
            <w:r w:rsidR="003820A8">
              <w:t xml:space="preserve"> soužitími.</w:t>
            </w:r>
            <w:r w:rsidRPr="00275862">
              <w:t xml:space="preserve"> </w:t>
            </w:r>
            <w:r w:rsidR="003820A8">
              <w:t>U</w:t>
            </w:r>
            <w:r w:rsidRPr="00275862">
              <w:t> m</w:t>
            </w:r>
            <w:r w:rsidR="003820A8">
              <w:t>anželských párů</w:t>
            </w:r>
            <w:r w:rsidRPr="00275862">
              <w:t xml:space="preserve"> se dá očekávat větší zastoupení déle trvajících svazků a naopak u kohabitací těch kratších, do který</w:t>
            </w:r>
            <w:r w:rsidR="006666D5">
              <w:t>ch jak muži, tak ženy vstupovali</w:t>
            </w:r>
            <w:r w:rsidRPr="00275862">
              <w:t xml:space="preserve"> ve vyšším věku, než stejně staří ženatí a vdané.</w:t>
            </w:r>
          </w:p>
          <w:p w:rsidR="003E3721" w:rsidRPr="00275862" w:rsidRDefault="003E3721" w:rsidP="006666D5">
            <w:pPr>
              <w:tabs>
                <w:tab w:val="right" w:pos="9781"/>
              </w:tabs>
            </w:pPr>
          </w:p>
          <w:p w:rsidR="003E3721" w:rsidRPr="00275862" w:rsidRDefault="003E3721" w:rsidP="006666D5">
            <w:pPr>
              <w:tabs>
                <w:tab w:val="right" w:pos="9781"/>
              </w:tabs>
            </w:pPr>
            <w:r w:rsidRPr="00275862">
              <w:t xml:space="preserve">Vzhledem k vyššímu zastoupení partnerů s výraznějším věkovým rozdílem mezi </w:t>
            </w:r>
            <w:proofErr w:type="spellStart"/>
            <w:r w:rsidRPr="00275862">
              <w:t>nesezdanými</w:t>
            </w:r>
            <w:proofErr w:type="spellEnd"/>
            <w:r w:rsidRPr="00275862">
              <w:t xml:space="preserve"> páry, je průměrný věkový rozdíl mezi manžel</w:t>
            </w:r>
            <w:r w:rsidR="006666D5">
              <w:t>i</w:t>
            </w:r>
            <w:r w:rsidRPr="00275862">
              <w:t xml:space="preserve"> nižší než u faktických manželství a to jak v případech, kdy je starší muž, tak i když je naopak mladší. Pokud je v páru starší muž, v průměru je pak starší o 5,0 let, pokud žije v manželství, ale o 6,5 let, pokud žije v kohabitaci. U párů, kde je straší žena, jsou věkové rozdíly nižší – 4,2 roku u manželství a 5,8 roku u </w:t>
            </w:r>
            <w:proofErr w:type="spellStart"/>
            <w:r w:rsidRPr="00275862">
              <w:t>nesezdaných</w:t>
            </w:r>
            <w:proofErr w:type="spellEnd"/>
            <w:r w:rsidRPr="00275862">
              <w:t xml:space="preserve"> párů. Opět je ale rozdíl mezi kohabitacemi podle rodinného stavu, přičemž u párů, kde jsou oba partneři svobodní, se věkové rozdíly příliš neliší od manželských párů (4 roky, pokud je starší žena a 5,1 let pokud je starší muž). S věkem pak jak u žen, tak u</w:t>
            </w:r>
            <w:r w:rsidR="00A51DE4">
              <w:t> </w:t>
            </w:r>
            <w:r w:rsidRPr="00275862">
              <w:t>mužů, pokud žijí s mladším partnerem, roste jejich věkový rozdíl a také se zvětšují rozdíly mezi manželskými a </w:t>
            </w:r>
            <w:proofErr w:type="spellStart"/>
            <w:r w:rsidRPr="00275862">
              <w:t>nesezdanými</w:t>
            </w:r>
            <w:proofErr w:type="spellEnd"/>
            <w:r w:rsidRPr="00275862">
              <w:t xml:space="preserve"> páry, což může být ale ovšem způsobeno odlišnou strukturou podle délky trvání partnerství, jak je zmiňováno výše.</w:t>
            </w:r>
          </w:p>
          <w:p w:rsidR="003E3721" w:rsidRPr="00275862" w:rsidRDefault="003E3721" w:rsidP="006666D5">
            <w:pPr>
              <w:tabs>
                <w:tab w:val="right" w:pos="9781"/>
              </w:tabs>
            </w:pPr>
          </w:p>
          <w:p w:rsidR="00421EA1" w:rsidRPr="00275862" w:rsidRDefault="00421EA1" w:rsidP="006666D5">
            <w:pPr>
              <w:tabs>
                <w:tab w:val="right" w:pos="9781"/>
              </w:tabs>
            </w:pPr>
          </w:p>
          <w:p w:rsidR="003E3721" w:rsidRPr="00275862" w:rsidRDefault="003E3721" w:rsidP="006666D5">
            <w:pPr>
              <w:tabs>
                <w:tab w:val="right" w:pos="9781"/>
              </w:tabs>
            </w:pPr>
          </w:p>
          <w:p w:rsidR="003E3721" w:rsidRPr="00275862" w:rsidRDefault="003E3721" w:rsidP="006666D5">
            <w:pPr>
              <w:tabs>
                <w:tab w:val="right" w:pos="9781"/>
              </w:tabs>
            </w:pPr>
          </w:p>
          <w:p w:rsidR="003E3721" w:rsidRPr="00275862" w:rsidRDefault="003E3721" w:rsidP="006666D5">
            <w:pPr>
              <w:tabs>
                <w:tab w:val="right" w:pos="9781"/>
              </w:tabs>
            </w:pPr>
          </w:p>
          <w:p w:rsidR="003E3721" w:rsidRPr="00275862" w:rsidRDefault="003E3721" w:rsidP="006666D5">
            <w:pPr>
              <w:tabs>
                <w:tab w:val="right" w:pos="9781"/>
              </w:tabs>
            </w:pPr>
          </w:p>
          <w:p w:rsidR="003E3721" w:rsidRPr="00275862" w:rsidRDefault="003E3721" w:rsidP="006666D5">
            <w:pPr>
              <w:tabs>
                <w:tab w:val="right" w:pos="9781"/>
              </w:tabs>
            </w:pPr>
          </w:p>
          <w:p w:rsidR="003E3721" w:rsidRPr="00275862" w:rsidRDefault="003E3721" w:rsidP="006666D5">
            <w:pPr>
              <w:tabs>
                <w:tab w:val="right" w:pos="9781"/>
              </w:tabs>
            </w:pPr>
          </w:p>
          <w:p w:rsidR="00421EA1" w:rsidRPr="00275862" w:rsidRDefault="00421EA1" w:rsidP="006666D5">
            <w:pPr>
              <w:tabs>
                <w:tab w:val="right" w:pos="9781"/>
              </w:tabs>
              <w:rPr>
                <w:rFonts w:cs="Arial"/>
                <w:sz w:val="14"/>
                <w:szCs w:val="14"/>
              </w:rPr>
            </w:pPr>
          </w:p>
        </w:tc>
      </w:tr>
      <w:tr w:rsidR="00421EA1" w:rsidRPr="00275862" w:rsidTr="00AC4FF2">
        <w:tc>
          <w:tcPr>
            <w:tcW w:w="5000" w:type="pct"/>
            <w:gridSpan w:val="3"/>
          </w:tcPr>
          <w:p w:rsidR="00421EA1" w:rsidRPr="00275862" w:rsidRDefault="00421EA1" w:rsidP="006666D5">
            <w:pPr>
              <w:tabs>
                <w:tab w:val="right" w:pos="9781"/>
              </w:tabs>
              <w:spacing w:after="40"/>
            </w:pPr>
            <w:r w:rsidRPr="00275862">
              <w:lastRenderedPageBreak/>
              <w:t xml:space="preserve">Graf č. 10 </w:t>
            </w:r>
            <w:r w:rsidRPr="00275862">
              <w:rPr>
                <w:b/>
              </w:rPr>
              <w:t>Věková homogamie podle pohlaví, věku a typu soužití, 2011</w:t>
            </w:r>
          </w:p>
          <w:p w:rsidR="00421EA1" w:rsidRPr="00275862" w:rsidRDefault="00421EA1" w:rsidP="006666D5">
            <w:pPr>
              <w:tabs>
                <w:tab w:val="right" w:pos="9781"/>
              </w:tabs>
            </w:pPr>
            <w:r w:rsidRPr="00275862">
              <w:rPr>
                <w:noProof/>
              </w:rPr>
              <w:drawing>
                <wp:inline distT="0" distB="0" distL="0" distR="0">
                  <wp:extent cx="6181725" cy="2314575"/>
                  <wp:effectExtent l="19050" t="0" r="9525" b="0"/>
                  <wp:docPr id="116" name="Graf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  <w:p w:rsidR="00421EA1" w:rsidRPr="00275862" w:rsidRDefault="00421EA1" w:rsidP="006666D5">
            <w:pPr>
              <w:tabs>
                <w:tab w:val="right" w:pos="9781"/>
              </w:tabs>
            </w:pPr>
            <w:r w:rsidRPr="00275862">
              <w:rPr>
                <w:noProof/>
              </w:rPr>
              <w:drawing>
                <wp:inline distT="0" distB="0" distL="0" distR="0">
                  <wp:extent cx="6257925" cy="2315210"/>
                  <wp:effectExtent l="19050" t="0" r="9525" b="8890"/>
                  <wp:docPr id="117" name="Graf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  <w:p w:rsidR="00421EA1" w:rsidRPr="00275862" w:rsidRDefault="00421EA1" w:rsidP="006666D5">
            <w:pPr>
              <w:tabs>
                <w:tab w:val="right" w:pos="9781"/>
              </w:tabs>
            </w:pPr>
          </w:p>
          <w:p w:rsidR="00421EA1" w:rsidRPr="00275862" w:rsidRDefault="00421EA1" w:rsidP="006666D5">
            <w:pPr>
              <w:tabs>
                <w:tab w:val="right" w:pos="9781"/>
              </w:tabs>
              <w:spacing w:after="40"/>
              <w:rPr>
                <w:sz w:val="18"/>
              </w:rPr>
            </w:pPr>
            <w:r w:rsidRPr="00275862">
              <w:rPr>
                <w:sz w:val="18"/>
              </w:rPr>
              <w:t xml:space="preserve">Poznámka: NSS – </w:t>
            </w:r>
            <w:proofErr w:type="spellStart"/>
            <w:r w:rsidRPr="00275862">
              <w:rPr>
                <w:sz w:val="18"/>
              </w:rPr>
              <w:t>nesezdané</w:t>
            </w:r>
            <w:proofErr w:type="spellEnd"/>
            <w:r w:rsidRPr="00275862">
              <w:rPr>
                <w:sz w:val="18"/>
              </w:rPr>
              <w:t xml:space="preserve"> soužití, svobodný/á; NSZM – </w:t>
            </w:r>
            <w:proofErr w:type="spellStart"/>
            <w:r w:rsidRPr="00275862">
              <w:rPr>
                <w:sz w:val="18"/>
              </w:rPr>
              <w:t>nesezdané</w:t>
            </w:r>
            <w:proofErr w:type="spellEnd"/>
            <w:r w:rsidRPr="00275862">
              <w:rPr>
                <w:sz w:val="18"/>
              </w:rPr>
              <w:t xml:space="preserve"> soužití, zkušenost s manželstvím</w:t>
            </w:r>
          </w:p>
          <w:p w:rsidR="00421EA1" w:rsidRPr="00275862" w:rsidRDefault="00421EA1" w:rsidP="006666D5">
            <w:pPr>
              <w:tabs>
                <w:tab w:val="right" w:pos="9781"/>
              </w:tabs>
              <w:jc w:val="right"/>
            </w:pPr>
            <w:r w:rsidRPr="00275862">
              <w:t>Zdroj dat: ČSÚ (SLDB), vlastní výpočty</w:t>
            </w:r>
          </w:p>
        </w:tc>
      </w:tr>
      <w:tr w:rsidR="00421EA1" w:rsidRPr="00275862" w:rsidTr="00AC4FF2">
        <w:tc>
          <w:tcPr>
            <w:tcW w:w="1057" w:type="pct"/>
          </w:tcPr>
          <w:p w:rsidR="00421EA1" w:rsidRPr="00275862" w:rsidRDefault="00421EA1" w:rsidP="006666D5">
            <w:pPr>
              <w:tabs>
                <w:tab w:val="right" w:pos="9781"/>
              </w:tabs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42" w:type="pct"/>
          </w:tcPr>
          <w:p w:rsidR="00421EA1" w:rsidRPr="00275862" w:rsidRDefault="00421EA1" w:rsidP="006666D5">
            <w:pPr>
              <w:pStyle w:val="Textpoznpodarou"/>
              <w:tabs>
                <w:tab w:val="right" w:pos="9781"/>
              </w:tabs>
              <w:jc w:val="both"/>
            </w:pPr>
          </w:p>
        </w:tc>
        <w:tc>
          <w:tcPr>
            <w:tcW w:w="3800" w:type="pct"/>
          </w:tcPr>
          <w:p w:rsidR="00421EA1" w:rsidRPr="00275862" w:rsidRDefault="00421EA1" w:rsidP="006666D5">
            <w:pPr>
              <w:tabs>
                <w:tab w:val="right" w:pos="9781"/>
              </w:tabs>
              <w:rPr>
                <w:rFonts w:cs="Arial"/>
                <w:szCs w:val="20"/>
              </w:rPr>
            </w:pPr>
          </w:p>
        </w:tc>
      </w:tr>
    </w:tbl>
    <w:p w:rsidR="00397626" w:rsidRPr="00275862" w:rsidRDefault="00397626" w:rsidP="006666D5"/>
    <w:sectPr w:rsidR="00397626" w:rsidRPr="00275862" w:rsidSect="00672B30">
      <w:headerReference w:type="default" r:id="rId17"/>
      <w:footerReference w:type="default" r:id="rId18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EBB" w:rsidRDefault="00426EBB" w:rsidP="00421EA1">
      <w:r>
        <w:separator/>
      </w:r>
    </w:p>
  </w:endnote>
  <w:endnote w:type="continuationSeparator" w:id="0">
    <w:p w:rsidR="00426EBB" w:rsidRDefault="00426EBB" w:rsidP="00421E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FF2" w:rsidRDefault="00AC4FF2" w:rsidP="00421EA1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90170</wp:posOffset>
          </wp:positionV>
          <wp:extent cx="495300" cy="266700"/>
          <wp:effectExtent l="19050" t="0" r="0" b="0"/>
          <wp:wrapNone/>
          <wp:docPr id="1" name="obrázek 1" descr="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</w:p>
  <w:p w:rsidR="00AC4FF2" w:rsidRDefault="00AC4FF2" w:rsidP="00421EA1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</w:t>
    </w:r>
    <w:r w:rsidR="003505EC">
      <w:rPr>
        <w:rFonts w:ascii="Arial" w:hAnsi="Arial" w:cs="Arial"/>
        <w:sz w:val="16"/>
        <w:szCs w:val="16"/>
      </w:rPr>
      <w:t>4</w:t>
    </w:r>
    <w:r>
      <w:tab/>
    </w:r>
    <w:r w:rsidR="00726A9B" w:rsidRPr="00B6608F">
      <w:rPr>
        <w:rFonts w:ascii="Arial" w:hAnsi="Arial" w:cs="Arial"/>
        <w:sz w:val="16"/>
        <w:szCs w:val="16"/>
      </w:rPr>
      <w:fldChar w:fldCharType="begin"/>
    </w:r>
    <w:r w:rsidRPr="00B6608F">
      <w:rPr>
        <w:rFonts w:ascii="Arial" w:hAnsi="Arial" w:cs="Arial"/>
        <w:sz w:val="16"/>
        <w:szCs w:val="16"/>
      </w:rPr>
      <w:instrText>PAGE   \* MERGEFORMAT</w:instrText>
    </w:r>
    <w:r w:rsidR="00726A9B" w:rsidRPr="00B6608F">
      <w:rPr>
        <w:rFonts w:ascii="Arial" w:hAnsi="Arial" w:cs="Arial"/>
        <w:sz w:val="16"/>
        <w:szCs w:val="16"/>
      </w:rPr>
      <w:fldChar w:fldCharType="separate"/>
    </w:r>
    <w:r w:rsidR="00672B30">
      <w:rPr>
        <w:rFonts w:ascii="Arial" w:hAnsi="Arial" w:cs="Arial"/>
        <w:noProof/>
        <w:sz w:val="16"/>
        <w:szCs w:val="16"/>
      </w:rPr>
      <w:t>1</w:t>
    </w:r>
    <w:r w:rsidR="00726A9B" w:rsidRPr="00B6608F">
      <w:rPr>
        <w:rFonts w:ascii="Arial" w:hAnsi="Arial" w:cs="Arial"/>
        <w:sz w:val="16"/>
        <w:szCs w:val="16"/>
      </w:rPr>
      <w:fldChar w:fldCharType="end"/>
    </w:r>
  </w:p>
  <w:p w:rsidR="00AC4FF2" w:rsidRDefault="00AC4FF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EBB" w:rsidRDefault="00426EBB" w:rsidP="00421EA1">
      <w:r>
        <w:separator/>
      </w:r>
    </w:p>
  </w:footnote>
  <w:footnote w:type="continuationSeparator" w:id="0">
    <w:p w:rsidR="00426EBB" w:rsidRDefault="00426EBB" w:rsidP="00421EA1">
      <w:r>
        <w:continuationSeparator/>
      </w:r>
    </w:p>
  </w:footnote>
  <w:footnote w:id="1">
    <w:p w:rsidR="00AC4FF2" w:rsidRPr="00AE603C" w:rsidRDefault="00AC4FF2" w:rsidP="00421EA1">
      <w:pPr>
        <w:autoSpaceDE w:val="0"/>
        <w:autoSpaceDN w:val="0"/>
        <w:adjustRightInd w:val="0"/>
        <w:ind w:left="142" w:hanging="142"/>
        <w:rPr>
          <w:rFonts w:cs="Arial"/>
          <w:sz w:val="16"/>
          <w:szCs w:val="20"/>
        </w:rPr>
      </w:pPr>
      <w:r>
        <w:rPr>
          <w:rStyle w:val="Znakapoznpodarou"/>
        </w:rPr>
        <w:footnoteRef/>
      </w:r>
      <w:r>
        <w:t xml:space="preserve"> </w:t>
      </w:r>
      <w:r w:rsidRPr="00692235">
        <w:rPr>
          <w:rFonts w:cs="Arial"/>
          <w:bCs/>
          <w:sz w:val="16"/>
          <w:szCs w:val="20"/>
        </w:rPr>
        <w:t xml:space="preserve">Závislé dítě </w:t>
      </w:r>
      <w:r w:rsidRPr="00692235">
        <w:rPr>
          <w:rFonts w:cs="Arial"/>
          <w:sz w:val="16"/>
          <w:szCs w:val="20"/>
        </w:rPr>
        <w:t>je každá osoba v domácnosti tvořené 1 rodinou, která má k osobě v č</w:t>
      </w:r>
      <w:r>
        <w:rPr>
          <w:rFonts w:cs="Arial"/>
          <w:sz w:val="16"/>
          <w:szCs w:val="20"/>
        </w:rPr>
        <w:t xml:space="preserve">ele domácnosti vztah </w:t>
      </w:r>
      <w:r w:rsidRPr="00692235">
        <w:rPr>
          <w:rFonts w:cs="Arial"/>
          <w:sz w:val="16"/>
          <w:szCs w:val="20"/>
        </w:rPr>
        <w:t>„syn/dcera“, je ekonomicky neaktivní a je ve věku 0–25 let.</w:t>
      </w:r>
    </w:p>
  </w:footnote>
  <w:footnote w:id="2">
    <w:p w:rsidR="00AC4FF2" w:rsidRDefault="00AC4FF2" w:rsidP="00421EA1">
      <w:pPr>
        <w:pStyle w:val="Textpoznpodarou"/>
        <w:ind w:left="142" w:hanging="142"/>
      </w:pPr>
      <w:r w:rsidRPr="000B27F4">
        <w:rPr>
          <w:rStyle w:val="Znakapoznpodarou"/>
          <w:sz w:val="18"/>
        </w:rPr>
        <w:footnoteRef/>
      </w:r>
      <w:r w:rsidRPr="000B27F4">
        <w:rPr>
          <w:sz w:val="18"/>
        </w:rPr>
        <w:t xml:space="preserve"> </w:t>
      </w:r>
      <w:r w:rsidRPr="000B27F4">
        <w:rPr>
          <w:sz w:val="16"/>
        </w:rPr>
        <w:t>Věkový rozdíl počítán z věku pa</w:t>
      </w:r>
      <w:r>
        <w:rPr>
          <w:sz w:val="16"/>
        </w:rPr>
        <w:t>rtnerů v dokončených letech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6518"/>
      <w:gridCol w:w="3260"/>
    </w:tblGrid>
    <w:tr w:rsidR="00AC4FF2" w:rsidRPr="00E53687" w:rsidTr="00AC4FF2">
      <w:tc>
        <w:tcPr>
          <w:tcW w:w="6518" w:type="dxa"/>
        </w:tcPr>
        <w:p w:rsidR="00AC4FF2" w:rsidRPr="00E53687" w:rsidRDefault="00AC4FF2" w:rsidP="00AC4FF2">
          <w:pPr>
            <w:pStyle w:val="Zhlav"/>
            <w:tabs>
              <w:tab w:val="clear" w:pos="4536"/>
              <w:tab w:val="clear" w:pos="9072"/>
              <w:tab w:val="left" w:pos="-6379"/>
              <w:tab w:val="center" w:pos="4820"/>
              <w:tab w:val="right" w:pos="9639"/>
            </w:tabs>
            <w:rPr>
              <w:rFonts w:ascii="Arial" w:hAnsi="Arial" w:cs="Arial"/>
              <w:b/>
              <w:sz w:val="16"/>
              <w:szCs w:val="16"/>
            </w:rPr>
          </w:pPr>
          <w:proofErr w:type="spellStart"/>
          <w:r>
            <w:rPr>
              <w:rFonts w:ascii="Arial" w:hAnsi="Arial" w:cs="Arial"/>
              <w:b/>
              <w:sz w:val="16"/>
              <w:szCs w:val="16"/>
            </w:rPr>
            <w:t>Socio</w:t>
          </w:r>
          <w:proofErr w:type="spellEnd"/>
          <w:r>
            <w:rPr>
              <w:rFonts w:ascii="Arial" w:hAnsi="Arial" w:cs="Arial"/>
              <w:b/>
              <w:sz w:val="16"/>
              <w:szCs w:val="16"/>
            </w:rPr>
            <w:t xml:space="preserve">-demografická homogamie </w:t>
          </w:r>
          <w:proofErr w:type="spellStart"/>
          <w:r>
            <w:rPr>
              <w:rFonts w:ascii="Arial" w:hAnsi="Arial" w:cs="Arial"/>
              <w:b/>
              <w:sz w:val="16"/>
              <w:szCs w:val="16"/>
            </w:rPr>
            <w:t>sezdaných</w:t>
          </w:r>
          <w:proofErr w:type="spellEnd"/>
          <w:r>
            <w:rPr>
              <w:rFonts w:ascii="Arial" w:hAnsi="Arial" w:cs="Arial"/>
              <w:b/>
              <w:sz w:val="16"/>
              <w:szCs w:val="16"/>
            </w:rPr>
            <w:t xml:space="preserve"> a </w:t>
          </w:r>
          <w:proofErr w:type="spellStart"/>
          <w:r>
            <w:rPr>
              <w:rFonts w:ascii="Arial" w:hAnsi="Arial" w:cs="Arial"/>
              <w:b/>
              <w:sz w:val="16"/>
              <w:szCs w:val="16"/>
            </w:rPr>
            <w:t>nesezdaných</w:t>
          </w:r>
          <w:proofErr w:type="spellEnd"/>
          <w:r>
            <w:rPr>
              <w:rFonts w:ascii="Arial" w:hAnsi="Arial" w:cs="Arial"/>
              <w:b/>
              <w:sz w:val="16"/>
              <w:szCs w:val="16"/>
            </w:rPr>
            <w:t xml:space="preserve"> párů</w:t>
          </w:r>
        </w:p>
      </w:tc>
      <w:tc>
        <w:tcPr>
          <w:tcW w:w="3260" w:type="dxa"/>
        </w:tcPr>
        <w:p w:rsidR="00AC4FF2" w:rsidRPr="00E53687" w:rsidRDefault="00672B30" w:rsidP="00AC4FF2">
          <w:pPr>
            <w:pStyle w:val="Zhlav"/>
            <w:tabs>
              <w:tab w:val="clear" w:pos="4536"/>
              <w:tab w:val="clear" w:pos="9072"/>
              <w:tab w:val="left" w:pos="-6379"/>
              <w:tab w:val="center" w:pos="4820"/>
              <w:tab w:val="right" w:pos="9639"/>
            </w:tabs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k</w:t>
          </w:r>
          <w:r w:rsidRPr="00E53687">
            <w:rPr>
              <w:rFonts w:ascii="Arial" w:hAnsi="Arial" w:cs="Arial"/>
              <w:sz w:val="16"/>
              <w:szCs w:val="16"/>
            </w:rPr>
            <w:t>ód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Pr="0073173A">
            <w:rPr>
              <w:rFonts w:ascii="Arial" w:hAnsi="Arial" w:cs="Arial"/>
              <w:sz w:val="16"/>
              <w:szCs w:val="20"/>
            </w:rPr>
            <w:t>320180-14</w:t>
          </w:r>
        </w:p>
      </w:tc>
    </w:tr>
  </w:tbl>
  <w:p w:rsidR="00AC4FF2" w:rsidRDefault="00AC4FF2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A5F6E"/>
    <w:multiLevelType w:val="multilevel"/>
    <w:tmpl w:val="4ADC490C"/>
    <w:lvl w:ilvl="0">
      <w:start w:val="1"/>
      <w:numFmt w:val="decimal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431" w:hanging="431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0"/>
        <w:u w:val="none"/>
        <w:vertAlign w:val="baseline"/>
        <w:em w:val="none"/>
      </w:rPr>
    </w:lvl>
    <w:lvl w:ilvl="2">
      <w:start w:val="1"/>
      <w:numFmt w:val="decimal"/>
      <w:pStyle w:val="Nadpis3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1">
    <w:nsid w:val="1E600570"/>
    <w:multiLevelType w:val="multilevel"/>
    <w:tmpl w:val="13F282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22AE350D"/>
    <w:multiLevelType w:val="hybridMultilevel"/>
    <w:tmpl w:val="F07EC35A"/>
    <w:lvl w:ilvl="0" w:tplc="CF28DDA2">
      <w:start w:val="1"/>
      <w:numFmt w:val="bullet"/>
      <w:lvlText w:val=""/>
      <w:lvlJc w:val="left"/>
      <w:pPr>
        <w:tabs>
          <w:tab w:val="num" w:pos="276"/>
        </w:tabs>
        <w:ind w:left="60" w:hanging="14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2C3B0F0E"/>
    <w:multiLevelType w:val="hybridMultilevel"/>
    <w:tmpl w:val="68DA0C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A12F56"/>
    <w:multiLevelType w:val="multilevel"/>
    <w:tmpl w:val="B7724A2A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203756"/>
    <w:multiLevelType w:val="hybridMultilevel"/>
    <w:tmpl w:val="1E04FA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5F6C65"/>
    <w:multiLevelType w:val="multilevel"/>
    <w:tmpl w:val="44781EEE"/>
    <w:lvl w:ilvl="0">
      <w:start w:val="2"/>
      <w:numFmt w:val="decimal"/>
      <w:pStyle w:val="Nadpis1"/>
      <w:lvlText w:val="%1."/>
      <w:lvlJc w:val="left"/>
      <w:pPr>
        <w:ind w:left="43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598217CD"/>
    <w:multiLevelType w:val="multilevel"/>
    <w:tmpl w:val="6D1E8FB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9">
    <w:nsid w:val="5AEE27A9"/>
    <w:multiLevelType w:val="hybridMultilevel"/>
    <w:tmpl w:val="7E5612EC"/>
    <w:lvl w:ilvl="0" w:tplc="6BC2718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265D0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3A4F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F015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302A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7AC7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2E5E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C2DD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F43F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72A113B"/>
    <w:multiLevelType w:val="multilevel"/>
    <w:tmpl w:val="58262B66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6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8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11">
    <w:nsid w:val="6D34248F"/>
    <w:multiLevelType w:val="hybridMultilevel"/>
    <w:tmpl w:val="7E3EB9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3E0C89"/>
    <w:multiLevelType w:val="multilevel"/>
    <w:tmpl w:val="4B34974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7C550A0F"/>
    <w:multiLevelType w:val="hybridMultilevel"/>
    <w:tmpl w:val="8304C0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DF09A5"/>
    <w:multiLevelType w:val="hybridMultilevel"/>
    <w:tmpl w:val="6012EA3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7"/>
  </w:num>
  <w:num w:numId="6">
    <w:abstractNumId w:val="13"/>
  </w:num>
  <w:num w:numId="7">
    <w:abstractNumId w:val="14"/>
  </w:num>
  <w:num w:numId="8">
    <w:abstractNumId w:val="9"/>
  </w:num>
  <w:num w:numId="9">
    <w:abstractNumId w:val="10"/>
  </w:num>
  <w:num w:numId="10">
    <w:abstractNumId w:val="8"/>
  </w:num>
  <w:num w:numId="11">
    <w:abstractNumId w:val="1"/>
  </w:num>
  <w:num w:numId="12">
    <w:abstractNumId w:val="2"/>
  </w:num>
  <w:num w:numId="13">
    <w:abstractNumId w:val="12"/>
  </w:num>
  <w:num w:numId="14">
    <w:abstractNumId w:val="11"/>
  </w:num>
  <w:num w:numId="15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421EA1"/>
    <w:rsid w:val="00051F57"/>
    <w:rsid w:val="00080118"/>
    <w:rsid w:val="00097500"/>
    <w:rsid w:val="000C0132"/>
    <w:rsid w:val="000C1B78"/>
    <w:rsid w:val="000E0843"/>
    <w:rsid w:val="000F4D30"/>
    <w:rsid w:val="00143CE5"/>
    <w:rsid w:val="00176EBC"/>
    <w:rsid w:val="001844F6"/>
    <w:rsid w:val="001B4822"/>
    <w:rsid w:val="001C1770"/>
    <w:rsid w:val="001D727A"/>
    <w:rsid w:val="001E3116"/>
    <w:rsid w:val="002019A7"/>
    <w:rsid w:val="00262761"/>
    <w:rsid w:val="00275862"/>
    <w:rsid w:val="00346971"/>
    <w:rsid w:val="003505EC"/>
    <w:rsid w:val="00355E7C"/>
    <w:rsid w:val="003820A8"/>
    <w:rsid w:val="00397626"/>
    <w:rsid w:val="003E3721"/>
    <w:rsid w:val="00415A39"/>
    <w:rsid w:val="00421EA1"/>
    <w:rsid w:val="00426EBB"/>
    <w:rsid w:val="00460BBB"/>
    <w:rsid w:val="004B0C94"/>
    <w:rsid w:val="00592018"/>
    <w:rsid w:val="00600F44"/>
    <w:rsid w:val="00630920"/>
    <w:rsid w:val="0065546C"/>
    <w:rsid w:val="0066608A"/>
    <w:rsid w:val="006666D5"/>
    <w:rsid w:val="00672B30"/>
    <w:rsid w:val="006A4972"/>
    <w:rsid w:val="00726A9B"/>
    <w:rsid w:val="00762BDF"/>
    <w:rsid w:val="0078472C"/>
    <w:rsid w:val="00794431"/>
    <w:rsid w:val="007A60AC"/>
    <w:rsid w:val="007F729B"/>
    <w:rsid w:val="009162F0"/>
    <w:rsid w:val="00A34FAA"/>
    <w:rsid w:val="00A51DE4"/>
    <w:rsid w:val="00AB2977"/>
    <w:rsid w:val="00AB2ACC"/>
    <w:rsid w:val="00AC4FF2"/>
    <w:rsid w:val="00B47CD1"/>
    <w:rsid w:val="00BA18FF"/>
    <w:rsid w:val="00BD1FDB"/>
    <w:rsid w:val="00BE6525"/>
    <w:rsid w:val="00C24AF0"/>
    <w:rsid w:val="00C96616"/>
    <w:rsid w:val="00CD06BD"/>
    <w:rsid w:val="00D33813"/>
    <w:rsid w:val="00D575F6"/>
    <w:rsid w:val="00D71801"/>
    <w:rsid w:val="00D75B17"/>
    <w:rsid w:val="00DA27D8"/>
    <w:rsid w:val="00DD18F5"/>
    <w:rsid w:val="00E068F6"/>
    <w:rsid w:val="00E256DE"/>
    <w:rsid w:val="00E31897"/>
    <w:rsid w:val="00E3559C"/>
    <w:rsid w:val="00E35D8C"/>
    <w:rsid w:val="00E53894"/>
    <w:rsid w:val="00EB6C71"/>
    <w:rsid w:val="00ED3DF1"/>
    <w:rsid w:val="00F22603"/>
    <w:rsid w:val="00F47721"/>
    <w:rsid w:val="00F51634"/>
    <w:rsid w:val="00F544B0"/>
    <w:rsid w:val="00F75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1EA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21EA1"/>
    <w:pPr>
      <w:keepNext/>
      <w:numPr>
        <w:numId w:val="5"/>
      </w:numPr>
      <w:spacing w:before="300" w:after="200"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21EA1"/>
    <w:pPr>
      <w:keepNext/>
      <w:numPr>
        <w:ilvl w:val="1"/>
        <w:numId w:val="4"/>
      </w:numPr>
      <w:spacing w:before="400" w:after="180"/>
      <w:outlineLvl w:val="1"/>
    </w:pPr>
    <w:rPr>
      <w:b/>
      <w:bCs/>
      <w:iCs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21EA1"/>
    <w:pPr>
      <w:keepNext/>
      <w:numPr>
        <w:ilvl w:val="2"/>
        <w:numId w:val="4"/>
      </w:numPr>
      <w:spacing w:before="300" w:after="100"/>
      <w:outlineLvl w:val="2"/>
    </w:pPr>
    <w:rPr>
      <w:b/>
      <w:bCs/>
      <w:sz w:val="22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421EA1"/>
    <w:pPr>
      <w:keepNext/>
      <w:numPr>
        <w:ilvl w:val="3"/>
        <w:numId w:val="4"/>
      </w:numPr>
      <w:spacing w:before="240" w:after="100"/>
      <w:outlineLvl w:val="3"/>
    </w:pPr>
    <w:rPr>
      <w:b/>
      <w:bCs/>
      <w:sz w:val="21"/>
      <w:szCs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421EA1"/>
    <w:pPr>
      <w:numPr>
        <w:ilvl w:val="4"/>
        <w:numId w:val="4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421EA1"/>
    <w:pPr>
      <w:numPr>
        <w:ilvl w:val="5"/>
        <w:numId w:val="4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421EA1"/>
    <w:pPr>
      <w:numPr>
        <w:ilvl w:val="6"/>
        <w:numId w:val="4"/>
      </w:numPr>
      <w:spacing w:before="240" w:after="60"/>
      <w:outlineLvl w:val="6"/>
    </w:pPr>
    <w:rPr>
      <w:rFonts w:ascii="Calibri" w:hAnsi="Calibri"/>
      <w:sz w:val="24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421EA1"/>
    <w:pPr>
      <w:numPr>
        <w:ilvl w:val="7"/>
        <w:numId w:val="4"/>
      </w:num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421EA1"/>
    <w:pPr>
      <w:numPr>
        <w:ilvl w:val="8"/>
        <w:numId w:val="4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21EA1"/>
    <w:rPr>
      <w:rFonts w:ascii="Arial" w:eastAsia="Times New Roman" w:hAnsi="Arial" w:cs="Times New Roman"/>
      <w:b/>
      <w:bCs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421EA1"/>
    <w:rPr>
      <w:rFonts w:ascii="Arial" w:eastAsia="Times New Roman" w:hAnsi="Arial" w:cs="Times New Roman"/>
      <w:b/>
      <w:bCs/>
      <w:i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421EA1"/>
    <w:rPr>
      <w:rFonts w:ascii="Arial" w:eastAsia="Times New Roman" w:hAnsi="Arial" w:cs="Times New Roman"/>
      <w:b/>
      <w:bCs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421EA1"/>
    <w:rPr>
      <w:rFonts w:ascii="Arial" w:eastAsia="Times New Roman" w:hAnsi="Arial" w:cs="Times New Roman"/>
      <w:b/>
      <w:bCs/>
      <w:sz w:val="21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421EA1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421EA1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421EA1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rsid w:val="00421EA1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rsid w:val="00421EA1"/>
    <w:rPr>
      <w:rFonts w:ascii="Cambria" w:eastAsia="Times New Roman" w:hAnsi="Cambria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1E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1EA1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uiPriority w:val="99"/>
    <w:rsid w:val="00421EA1"/>
    <w:rPr>
      <w:color w:val="0000FF"/>
      <w:u w:val="single"/>
    </w:rPr>
  </w:style>
  <w:style w:type="paragraph" w:customStyle="1" w:styleId="Styl1">
    <w:name w:val="Styl1"/>
    <w:rsid w:val="00421EA1"/>
    <w:pPr>
      <w:suppressAutoHyphens/>
      <w:autoSpaceDE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nhideWhenUsed/>
    <w:rsid w:val="00421EA1"/>
    <w:pPr>
      <w:tabs>
        <w:tab w:val="center" w:pos="4536"/>
        <w:tab w:val="right" w:pos="9072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421EA1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21EA1"/>
    <w:pPr>
      <w:tabs>
        <w:tab w:val="center" w:pos="4536"/>
        <w:tab w:val="right" w:pos="9072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21EA1"/>
    <w:rPr>
      <w:rFonts w:ascii="Calibri" w:eastAsia="Calibri" w:hAnsi="Calibri" w:cs="Times New Roman"/>
    </w:rPr>
  </w:style>
  <w:style w:type="paragraph" w:customStyle="1" w:styleId="Zkladnodstavec">
    <w:name w:val="[Základní odstavec]"/>
    <w:basedOn w:val="Normln"/>
    <w:uiPriority w:val="99"/>
    <w:rsid w:val="00421EA1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Minion Pro" w:eastAsia="Calibri" w:hAnsi="Minion Pro" w:cs="Minion Pro"/>
      <w:color w:val="000000"/>
      <w:sz w:val="24"/>
    </w:rPr>
  </w:style>
  <w:style w:type="paragraph" w:styleId="Textpoznpodarou">
    <w:name w:val="footnote text"/>
    <w:aliases w:val="Text pozn. pod čarou_martin_ang"/>
    <w:basedOn w:val="Normln"/>
    <w:link w:val="TextpoznpodarouChar"/>
    <w:uiPriority w:val="99"/>
    <w:semiHidden/>
    <w:rsid w:val="00421EA1"/>
    <w:pPr>
      <w:jc w:val="left"/>
    </w:pPr>
    <w:rPr>
      <w:szCs w:val="20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uiPriority w:val="99"/>
    <w:semiHidden/>
    <w:rsid w:val="00421EA1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rsid w:val="00421EA1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421EA1"/>
    <w:pPr>
      <w:ind w:left="708"/>
      <w:jc w:val="left"/>
    </w:pPr>
    <w:rPr>
      <w:sz w:val="18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21EA1"/>
    <w:rPr>
      <w:rFonts w:ascii="Arial" w:eastAsia="Times New Roman" w:hAnsi="Arial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1EA1"/>
    <w:pPr>
      <w:jc w:val="left"/>
    </w:pPr>
    <w:rPr>
      <w:szCs w:val="20"/>
    </w:rPr>
  </w:style>
  <w:style w:type="character" w:customStyle="1" w:styleId="TextkomenteChar1">
    <w:name w:val="Text komentáře Char1"/>
    <w:basedOn w:val="Standardnpsmoodstavce"/>
    <w:link w:val="Textkomente"/>
    <w:uiPriority w:val="99"/>
    <w:semiHidden/>
    <w:rsid w:val="00421EA1"/>
    <w:rPr>
      <w:rFonts w:ascii="Arial" w:eastAsia="Times New Roman" w:hAnsi="Arial" w:cs="Times New Roman"/>
      <w:sz w:val="20"/>
      <w:szCs w:val="20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421EA1"/>
    <w:pPr>
      <w:keepLines/>
      <w:numPr>
        <w:numId w:val="0"/>
      </w:num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415A39"/>
    <w:pPr>
      <w:tabs>
        <w:tab w:val="left" w:pos="709"/>
        <w:tab w:val="right" w:leader="dot" w:pos="9628"/>
      </w:tabs>
      <w:spacing w:after="100"/>
      <w:ind w:left="851" w:hanging="567"/>
    </w:pPr>
    <w:rPr>
      <w:rFonts w:ascii="Calibri" w:hAnsi="Calibri"/>
      <w:sz w:val="22"/>
      <w:szCs w:val="22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415A39"/>
    <w:pPr>
      <w:tabs>
        <w:tab w:val="left" w:pos="284"/>
        <w:tab w:val="right" w:pos="9639"/>
      </w:tabs>
      <w:spacing w:before="200"/>
    </w:pPr>
    <w:rPr>
      <w:rFonts w:cs="Arial"/>
      <w:b/>
      <w:sz w:val="28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421EA1"/>
    <w:pPr>
      <w:tabs>
        <w:tab w:val="right" w:leader="dot" w:pos="9638"/>
      </w:tabs>
      <w:spacing w:after="100" w:line="276" w:lineRule="auto"/>
      <w:ind w:left="709" w:hanging="283"/>
      <w:jc w:val="left"/>
    </w:pPr>
    <w:rPr>
      <w:rFonts w:cs="Arial"/>
      <w:szCs w:val="20"/>
    </w:rPr>
  </w:style>
  <w:style w:type="paragraph" w:styleId="Bezmezer">
    <w:name w:val="No Spacing"/>
    <w:aliases w:val="marginálie"/>
    <w:qFormat/>
    <w:rsid w:val="00421EA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semiHidden/>
    <w:rsid w:val="00421EA1"/>
    <w:pPr>
      <w:ind w:right="-81" w:firstLine="708"/>
    </w:pPr>
    <w:rPr>
      <w:rFonts w:cs="Arial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421EA1"/>
    <w:rPr>
      <w:rFonts w:ascii="Arial" w:eastAsia="Times New Roman" w:hAnsi="Arial" w:cs="Arial"/>
      <w:sz w:val="20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421EA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421EA1"/>
    <w:rPr>
      <w:rFonts w:ascii="Arial" w:eastAsia="Times New Roman" w:hAnsi="Arial" w:cs="Times New Roman"/>
      <w:sz w:val="2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421EA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21EA1"/>
    <w:rPr>
      <w:rFonts w:ascii="Arial" w:eastAsia="Times New Roman" w:hAnsi="Arial" w:cs="Times New Roman"/>
      <w:sz w:val="2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421EA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421EA1"/>
    <w:rPr>
      <w:rFonts w:ascii="Arial" w:eastAsia="Times New Roman" w:hAnsi="Arial" w:cs="Times New Roman"/>
      <w:sz w:val="16"/>
      <w:szCs w:val="16"/>
      <w:lang w:eastAsia="cs-CZ"/>
    </w:r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421EA1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421EA1"/>
    <w:rPr>
      <w:rFonts w:ascii="Tahoma" w:eastAsia="Times New Roman" w:hAnsi="Tahoma" w:cs="Tahoma"/>
      <w:sz w:val="16"/>
      <w:szCs w:val="16"/>
      <w:lang w:eastAsia="cs-CZ"/>
    </w:rPr>
  </w:style>
  <w:style w:type="paragraph" w:styleId="Obsah4">
    <w:name w:val="toc 4"/>
    <w:basedOn w:val="Normln"/>
    <w:next w:val="Normln"/>
    <w:autoRedefine/>
    <w:uiPriority w:val="39"/>
    <w:unhideWhenUsed/>
    <w:rsid w:val="00421EA1"/>
    <w:pPr>
      <w:spacing w:after="100"/>
      <w:ind w:left="6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M:\v&#253;sledky%20SLDB%20vzd&#283;l&#225;n&#237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M:\v&#253;sledky%20SLDB%20vzd&#283;l&#225;n&#237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M:\Se&#353;it3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M:\Se&#353;it3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M:\dom&#225;cnosti%20podle%20d&#283;t&#237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M:\dom&#225;cnosti%20podle%20d&#283;t&#237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M:\graf%20vekovy%20rozdil%20kat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M:\v&#283;kov&#233;%20rozd&#237;ly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M:\v&#283;kov&#233;%20rozd&#237;ly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title>
      <c:tx>
        <c:rich>
          <a:bodyPr rot="0" vert="horz"/>
          <a:lstStyle/>
          <a:p>
            <a:pPr>
              <a:defRPr/>
            </a:pPr>
            <a:r>
              <a:rPr lang="en-US"/>
              <a:t>muži</a:t>
            </a:r>
          </a:p>
        </c:rich>
      </c:tx>
      <c:layout>
        <c:manualLayout>
          <c:xMode val="edge"/>
          <c:yMode val="edge"/>
          <c:x val="8.6235842697463191E-2"/>
          <c:y val="4.8118803418803417E-2"/>
        </c:manualLayout>
      </c:layout>
      <c:spPr>
        <a:solidFill>
          <a:sysClr val="window" lastClr="FFFFFF"/>
        </a:solidFill>
        <a:ln>
          <a:solidFill>
            <a:schemeClr val="bg1">
              <a:lumMod val="85000"/>
            </a:schemeClr>
          </a:solidFill>
        </a:ln>
        <a:effectLst/>
      </c:spPr>
    </c:title>
    <c:plotArea>
      <c:layout>
        <c:manualLayout>
          <c:layoutTarget val="inner"/>
          <c:xMode val="edge"/>
          <c:yMode val="edge"/>
          <c:x val="7.59190672661684E-2"/>
          <c:y val="2.1584414624228311E-2"/>
          <c:w val="0.92408093273383163"/>
          <c:h val="0.90719640678717972"/>
        </c:manualLayout>
      </c:layout>
      <c:lineChart>
        <c:grouping val="standard"/>
        <c:ser>
          <c:idx val="0"/>
          <c:order val="0"/>
          <c:tx>
            <c:strRef>
              <c:f>List4!$B$115:$B$116</c:f>
              <c:strCache>
                <c:ptCount val="1"/>
                <c:pt idx="0">
                  <c:v>manželé stejné vzdělání</c:v>
                </c:pt>
              </c:strCache>
            </c:strRef>
          </c:tx>
          <c:spPr>
            <a:ln w="19050" cap="rnd">
              <a:solidFill>
                <a:schemeClr val="tx2"/>
              </a:solidFill>
              <a:round/>
            </a:ln>
            <a:effectLst/>
          </c:spPr>
          <c:marker>
            <c:symbol val="none"/>
          </c:marker>
          <c:cat>
            <c:strRef>
              <c:f>List4!$A$117:$A$123</c:f>
              <c:strCache>
                <c:ptCount val="7"/>
                <c:pt idx="0">
                  <c:v>-24</c:v>
                </c:pt>
                <c:pt idx="1">
                  <c:v>25-29</c:v>
                </c:pt>
                <c:pt idx="2">
                  <c:v>30-34</c:v>
                </c:pt>
                <c:pt idx="3">
                  <c:v>35-39</c:v>
                </c:pt>
                <c:pt idx="4">
                  <c:v>40-44</c:v>
                </c:pt>
                <c:pt idx="5">
                  <c:v>45-49</c:v>
                </c:pt>
                <c:pt idx="6">
                  <c:v>50+</c:v>
                </c:pt>
              </c:strCache>
            </c:strRef>
          </c:cat>
          <c:val>
            <c:numRef>
              <c:f>List4!$B$117:$B$123</c:f>
              <c:numCache>
                <c:formatCode>General</c:formatCode>
                <c:ptCount val="7"/>
                <c:pt idx="0">
                  <c:v>49.077608142493624</c:v>
                </c:pt>
                <c:pt idx="1">
                  <c:v>51.158446482839345</c:v>
                </c:pt>
                <c:pt idx="2">
                  <c:v>50.982523195425102</c:v>
                </c:pt>
                <c:pt idx="3">
                  <c:v>51.161379872651061</c:v>
                </c:pt>
                <c:pt idx="4">
                  <c:v>51.483276405091857</c:v>
                </c:pt>
                <c:pt idx="5">
                  <c:v>50.695875591615959</c:v>
                </c:pt>
                <c:pt idx="6">
                  <c:v>46.842944604815997</c:v>
                </c:pt>
              </c:numCache>
            </c:numRef>
          </c:val>
        </c:ser>
        <c:ser>
          <c:idx val="1"/>
          <c:order val="1"/>
          <c:tx>
            <c:strRef>
              <c:f>List4!$C$115:$C$116</c:f>
              <c:strCache>
                <c:ptCount val="1"/>
                <c:pt idx="0">
                  <c:v>manželé muž nižší</c:v>
                </c:pt>
              </c:strCache>
            </c:strRef>
          </c:tx>
          <c:spPr>
            <a:ln w="19050" cap="rnd">
              <a:solidFill>
                <a:schemeClr val="tx2"/>
              </a:solidFill>
              <a:prstDash val="sysDash"/>
              <a:round/>
            </a:ln>
            <a:effectLst/>
          </c:spPr>
          <c:marker>
            <c:symbol val="none"/>
          </c:marker>
          <c:cat>
            <c:strRef>
              <c:f>List4!$A$117:$A$123</c:f>
              <c:strCache>
                <c:ptCount val="7"/>
                <c:pt idx="0">
                  <c:v>-24</c:v>
                </c:pt>
                <c:pt idx="1">
                  <c:v>25-29</c:v>
                </c:pt>
                <c:pt idx="2">
                  <c:v>30-34</c:v>
                </c:pt>
                <c:pt idx="3">
                  <c:v>35-39</c:v>
                </c:pt>
                <c:pt idx="4">
                  <c:v>40-44</c:v>
                </c:pt>
                <c:pt idx="5">
                  <c:v>45-49</c:v>
                </c:pt>
                <c:pt idx="6">
                  <c:v>50+</c:v>
                </c:pt>
              </c:strCache>
            </c:strRef>
          </c:cat>
          <c:val>
            <c:numRef>
              <c:f>List4!$C$117:$C$123</c:f>
              <c:numCache>
                <c:formatCode>General</c:formatCode>
                <c:ptCount val="7"/>
                <c:pt idx="0">
                  <c:v>32.665394402035631</c:v>
                </c:pt>
                <c:pt idx="1">
                  <c:v>33.116792594864357</c:v>
                </c:pt>
                <c:pt idx="2">
                  <c:v>32.976162688918713</c:v>
                </c:pt>
                <c:pt idx="3">
                  <c:v>30.922406429569563</c:v>
                </c:pt>
                <c:pt idx="4">
                  <c:v>26.630217805970812</c:v>
                </c:pt>
                <c:pt idx="5">
                  <c:v>26.290196078431091</c:v>
                </c:pt>
                <c:pt idx="6">
                  <c:v>19.830739342624778</c:v>
                </c:pt>
              </c:numCache>
            </c:numRef>
          </c:val>
        </c:ser>
        <c:ser>
          <c:idx val="2"/>
          <c:order val="2"/>
          <c:tx>
            <c:strRef>
              <c:f>List4!$D$115:$D$116</c:f>
              <c:strCache>
                <c:ptCount val="1"/>
                <c:pt idx="0">
                  <c:v>manželé muž vyšší</c:v>
                </c:pt>
              </c:strCache>
            </c:strRef>
          </c:tx>
          <c:spPr>
            <a:ln w="19050" cap="rnd">
              <a:solidFill>
                <a:schemeClr val="tx2"/>
              </a:solidFill>
              <a:prstDash val="lgDashDot"/>
              <a:round/>
            </a:ln>
            <a:effectLst/>
          </c:spPr>
          <c:marker>
            <c:symbol val="none"/>
          </c:marker>
          <c:cat>
            <c:strRef>
              <c:f>List4!$A$117:$A$123</c:f>
              <c:strCache>
                <c:ptCount val="7"/>
                <c:pt idx="0">
                  <c:v>-24</c:v>
                </c:pt>
                <c:pt idx="1">
                  <c:v>25-29</c:v>
                </c:pt>
                <c:pt idx="2">
                  <c:v>30-34</c:v>
                </c:pt>
                <c:pt idx="3">
                  <c:v>35-39</c:v>
                </c:pt>
                <c:pt idx="4">
                  <c:v>40-44</c:v>
                </c:pt>
                <c:pt idx="5">
                  <c:v>45-49</c:v>
                </c:pt>
                <c:pt idx="6">
                  <c:v>50+</c:v>
                </c:pt>
              </c:strCache>
            </c:strRef>
          </c:cat>
          <c:val>
            <c:numRef>
              <c:f>List4!$D$117:$D$123</c:f>
              <c:numCache>
                <c:formatCode>General</c:formatCode>
                <c:ptCount val="7"/>
                <c:pt idx="0">
                  <c:v>18.256997455470795</c:v>
                </c:pt>
                <c:pt idx="1">
                  <c:v>15.724760922296261</c:v>
                </c:pt>
                <c:pt idx="2">
                  <c:v>16.041314115656231</c:v>
                </c:pt>
                <c:pt idx="3">
                  <c:v>17.916213697779089</c:v>
                </c:pt>
                <c:pt idx="4">
                  <c:v>21.886505788936699</c:v>
                </c:pt>
                <c:pt idx="5">
                  <c:v>23.013928329952904</c:v>
                </c:pt>
                <c:pt idx="6">
                  <c:v>33.326316052558468</c:v>
                </c:pt>
              </c:numCache>
            </c:numRef>
          </c:val>
        </c:ser>
        <c:ser>
          <c:idx val="3"/>
          <c:order val="3"/>
          <c:tx>
            <c:strRef>
              <c:f>List4!$E$115:$E$116</c:f>
              <c:strCache>
                <c:ptCount val="1"/>
                <c:pt idx="0">
                  <c:v>NSS stejné vzdělání</c:v>
                </c:pt>
              </c:strCache>
            </c:strRef>
          </c:tx>
          <c:spPr>
            <a:ln w="19050" cap="rnd">
              <a:solidFill>
                <a:srgbClr val="00B0F0"/>
              </a:solidFill>
              <a:round/>
            </a:ln>
            <a:effectLst/>
          </c:spPr>
          <c:marker>
            <c:symbol val="none"/>
          </c:marker>
          <c:cat>
            <c:strRef>
              <c:f>List4!$A$117:$A$123</c:f>
              <c:strCache>
                <c:ptCount val="7"/>
                <c:pt idx="0">
                  <c:v>-24</c:v>
                </c:pt>
                <c:pt idx="1">
                  <c:v>25-29</c:v>
                </c:pt>
                <c:pt idx="2">
                  <c:v>30-34</c:v>
                </c:pt>
                <c:pt idx="3">
                  <c:v>35-39</c:v>
                </c:pt>
                <c:pt idx="4">
                  <c:v>40-44</c:v>
                </c:pt>
                <c:pt idx="5">
                  <c:v>45-49</c:v>
                </c:pt>
                <c:pt idx="6">
                  <c:v>50+</c:v>
                </c:pt>
              </c:strCache>
            </c:strRef>
          </c:cat>
          <c:val>
            <c:numRef>
              <c:f>List4!$E$117:$E$123</c:f>
              <c:numCache>
                <c:formatCode>General</c:formatCode>
                <c:ptCount val="7"/>
                <c:pt idx="0">
                  <c:v>48.786533099245993</c:v>
                </c:pt>
                <c:pt idx="1">
                  <c:v>49.646205019655277</c:v>
                </c:pt>
                <c:pt idx="2">
                  <c:v>47.915999901523918</c:v>
                </c:pt>
                <c:pt idx="3">
                  <c:v>46.881847294791143</c:v>
                </c:pt>
                <c:pt idx="4">
                  <c:v>48.557749850388944</c:v>
                </c:pt>
                <c:pt idx="5">
                  <c:v>46.863284178955254</c:v>
                </c:pt>
                <c:pt idx="6">
                  <c:v>45.485382006137939</c:v>
                </c:pt>
              </c:numCache>
            </c:numRef>
          </c:val>
        </c:ser>
        <c:ser>
          <c:idx val="4"/>
          <c:order val="4"/>
          <c:tx>
            <c:strRef>
              <c:f>List4!$F$115:$F$116</c:f>
              <c:strCache>
                <c:ptCount val="1"/>
                <c:pt idx="0">
                  <c:v>NSS muž nižší</c:v>
                </c:pt>
              </c:strCache>
            </c:strRef>
          </c:tx>
          <c:spPr>
            <a:ln w="19050" cap="rnd">
              <a:solidFill>
                <a:srgbClr val="00B0F0"/>
              </a:solidFill>
              <a:prstDash val="sysDash"/>
              <a:round/>
            </a:ln>
            <a:effectLst/>
          </c:spPr>
          <c:marker>
            <c:symbol val="none"/>
          </c:marker>
          <c:cat>
            <c:strRef>
              <c:f>List4!$A$117:$A$123</c:f>
              <c:strCache>
                <c:ptCount val="7"/>
                <c:pt idx="0">
                  <c:v>-24</c:v>
                </c:pt>
                <c:pt idx="1">
                  <c:v>25-29</c:v>
                </c:pt>
                <c:pt idx="2">
                  <c:v>30-34</c:v>
                </c:pt>
                <c:pt idx="3">
                  <c:v>35-39</c:v>
                </c:pt>
                <c:pt idx="4">
                  <c:v>40-44</c:v>
                </c:pt>
                <c:pt idx="5">
                  <c:v>45-49</c:v>
                </c:pt>
                <c:pt idx="6">
                  <c:v>50+</c:v>
                </c:pt>
              </c:strCache>
            </c:strRef>
          </c:cat>
          <c:val>
            <c:numRef>
              <c:f>List4!$F$117:$F$123</c:f>
              <c:numCache>
                <c:formatCode>General</c:formatCode>
                <c:ptCount val="7"/>
                <c:pt idx="0">
                  <c:v>34.410823092016386</c:v>
                </c:pt>
                <c:pt idx="1">
                  <c:v>31.874811006955031</c:v>
                </c:pt>
                <c:pt idx="2">
                  <c:v>33.388315812796968</c:v>
                </c:pt>
                <c:pt idx="3">
                  <c:v>33.183043991235444</c:v>
                </c:pt>
                <c:pt idx="4">
                  <c:v>25.685218432076599</c:v>
                </c:pt>
                <c:pt idx="5">
                  <c:v>22.119470132466891</c:v>
                </c:pt>
                <c:pt idx="6">
                  <c:v>21.095138103698918</c:v>
                </c:pt>
              </c:numCache>
            </c:numRef>
          </c:val>
        </c:ser>
        <c:ser>
          <c:idx val="5"/>
          <c:order val="5"/>
          <c:tx>
            <c:strRef>
              <c:f>List4!$G$115:$G$116</c:f>
              <c:strCache>
                <c:ptCount val="1"/>
                <c:pt idx="0">
                  <c:v>NSS muž vyšší</c:v>
                </c:pt>
              </c:strCache>
            </c:strRef>
          </c:tx>
          <c:spPr>
            <a:ln w="19050" cap="rnd">
              <a:solidFill>
                <a:srgbClr val="00B0F0"/>
              </a:solidFill>
              <a:prstDash val="lgDashDot"/>
              <a:round/>
            </a:ln>
            <a:effectLst/>
          </c:spPr>
          <c:marker>
            <c:symbol val="none"/>
          </c:marker>
          <c:cat>
            <c:strRef>
              <c:f>List4!$A$117:$A$123</c:f>
              <c:strCache>
                <c:ptCount val="7"/>
                <c:pt idx="0">
                  <c:v>-24</c:v>
                </c:pt>
                <c:pt idx="1">
                  <c:v>25-29</c:v>
                </c:pt>
                <c:pt idx="2">
                  <c:v>30-34</c:v>
                </c:pt>
                <c:pt idx="3">
                  <c:v>35-39</c:v>
                </c:pt>
                <c:pt idx="4">
                  <c:v>40-44</c:v>
                </c:pt>
                <c:pt idx="5">
                  <c:v>45-49</c:v>
                </c:pt>
                <c:pt idx="6">
                  <c:v>50+</c:v>
                </c:pt>
              </c:strCache>
            </c:strRef>
          </c:cat>
          <c:val>
            <c:numRef>
              <c:f>List4!$G$117:$G$123</c:f>
              <c:numCache>
                <c:formatCode>General</c:formatCode>
                <c:ptCount val="7"/>
                <c:pt idx="0">
                  <c:v>16.802643808736637</c:v>
                </c:pt>
                <c:pt idx="1">
                  <c:v>18.478983973389589</c:v>
                </c:pt>
                <c:pt idx="2">
                  <c:v>18.695684285679089</c:v>
                </c:pt>
                <c:pt idx="3">
                  <c:v>19.935108713972696</c:v>
                </c:pt>
                <c:pt idx="4">
                  <c:v>25.757031717534431</c:v>
                </c:pt>
                <c:pt idx="5">
                  <c:v>31.017245688577852</c:v>
                </c:pt>
                <c:pt idx="6">
                  <c:v>33.419479890163124</c:v>
                </c:pt>
              </c:numCache>
            </c:numRef>
          </c:val>
        </c:ser>
        <c:ser>
          <c:idx val="6"/>
          <c:order val="6"/>
          <c:tx>
            <c:strRef>
              <c:f>List4!$H$115:$H$116</c:f>
              <c:strCache>
                <c:ptCount val="1"/>
                <c:pt idx="0">
                  <c:v>NSZM stejné vzdělání</c:v>
                </c:pt>
              </c:strCache>
            </c:strRef>
          </c:tx>
          <c:spPr>
            <a:ln w="19050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List4!$A$117:$A$123</c:f>
              <c:strCache>
                <c:ptCount val="7"/>
                <c:pt idx="0">
                  <c:v>-24</c:v>
                </c:pt>
                <c:pt idx="1">
                  <c:v>25-29</c:v>
                </c:pt>
                <c:pt idx="2">
                  <c:v>30-34</c:v>
                </c:pt>
                <c:pt idx="3">
                  <c:v>35-39</c:v>
                </c:pt>
                <c:pt idx="4">
                  <c:v>40-44</c:v>
                </c:pt>
                <c:pt idx="5">
                  <c:v>45-49</c:v>
                </c:pt>
                <c:pt idx="6">
                  <c:v>50+</c:v>
                </c:pt>
              </c:strCache>
            </c:strRef>
          </c:cat>
          <c:val>
            <c:numRef>
              <c:f>List4!$H$117:$H$123</c:f>
              <c:numCache>
                <c:formatCode>General</c:formatCode>
                <c:ptCount val="7"/>
                <c:pt idx="0">
                  <c:v>42.5</c:v>
                </c:pt>
                <c:pt idx="1">
                  <c:v>45.598006644518463</c:v>
                </c:pt>
                <c:pt idx="2">
                  <c:v>45.679012345679567</c:v>
                </c:pt>
                <c:pt idx="3">
                  <c:v>46.830608415974254</c:v>
                </c:pt>
                <c:pt idx="4">
                  <c:v>47.377983835599274</c:v>
                </c:pt>
                <c:pt idx="5">
                  <c:v>46.313811462574144</c:v>
                </c:pt>
                <c:pt idx="6">
                  <c:v>44.159669759332282</c:v>
                </c:pt>
              </c:numCache>
            </c:numRef>
          </c:val>
        </c:ser>
        <c:ser>
          <c:idx val="7"/>
          <c:order val="7"/>
          <c:tx>
            <c:strRef>
              <c:f>List4!$I$115:$I$116</c:f>
              <c:strCache>
                <c:ptCount val="1"/>
                <c:pt idx="0">
                  <c:v>NSZM muž nižší</c:v>
                </c:pt>
              </c:strCache>
            </c:strRef>
          </c:tx>
          <c:spPr>
            <a:ln w="19050" cap="rnd">
              <a:solidFill>
                <a:schemeClr val="accent3"/>
              </a:solidFill>
              <a:prstDash val="sysDash"/>
              <a:round/>
            </a:ln>
            <a:effectLst/>
          </c:spPr>
          <c:marker>
            <c:symbol val="none"/>
          </c:marker>
          <c:cat>
            <c:strRef>
              <c:f>List4!$A$117:$A$123</c:f>
              <c:strCache>
                <c:ptCount val="7"/>
                <c:pt idx="0">
                  <c:v>-24</c:v>
                </c:pt>
                <c:pt idx="1">
                  <c:v>25-29</c:v>
                </c:pt>
                <c:pt idx="2">
                  <c:v>30-34</c:v>
                </c:pt>
                <c:pt idx="3">
                  <c:v>35-39</c:v>
                </c:pt>
                <c:pt idx="4">
                  <c:v>40-44</c:v>
                </c:pt>
                <c:pt idx="5">
                  <c:v>45-49</c:v>
                </c:pt>
                <c:pt idx="6">
                  <c:v>50+</c:v>
                </c:pt>
              </c:strCache>
            </c:strRef>
          </c:cat>
          <c:val>
            <c:numRef>
              <c:f>List4!$I$117:$I$123</c:f>
              <c:numCache>
                <c:formatCode>General</c:formatCode>
                <c:ptCount val="7"/>
                <c:pt idx="0">
                  <c:v>35</c:v>
                </c:pt>
                <c:pt idx="1">
                  <c:v>36.877076411959997</c:v>
                </c:pt>
                <c:pt idx="2">
                  <c:v>35.966086568495975</c:v>
                </c:pt>
                <c:pt idx="3">
                  <c:v>34.253551326722061</c:v>
                </c:pt>
                <c:pt idx="4">
                  <c:v>29.659795752145858</c:v>
                </c:pt>
                <c:pt idx="5">
                  <c:v>27.823363607892265</c:v>
                </c:pt>
                <c:pt idx="6">
                  <c:v>24.337214195539346</c:v>
                </c:pt>
              </c:numCache>
            </c:numRef>
          </c:val>
        </c:ser>
        <c:ser>
          <c:idx val="8"/>
          <c:order val="8"/>
          <c:tx>
            <c:strRef>
              <c:f>List4!$J$115:$J$116</c:f>
              <c:strCache>
                <c:ptCount val="1"/>
                <c:pt idx="0">
                  <c:v>NSZM muž vyšší</c:v>
                </c:pt>
              </c:strCache>
            </c:strRef>
          </c:tx>
          <c:spPr>
            <a:ln w="19050" cap="rnd">
              <a:solidFill>
                <a:schemeClr val="accent3"/>
              </a:solidFill>
              <a:prstDash val="lgDashDot"/>
              <a:round/>
            </a:ln>
            <a:effectLst/>
          </c:spPr>
          <c:marker>
            <c:symbol val="none"/>
          </c:marker>
          <c:cat>
            <c:strRef>
              <c:f>List4!$A$117:$A$123</c:f>
              <c:strCache>
                <c:ptCount val="7"/>
                <c:pt idx="0">
                  <c:v>-24</c:v>
                </c:pt>
                <c:pt idx="1">
                  <c:v>25-29</c:v>
                </c:pt>
                <c:pt idx="2">
                  <c:v>30-34</c:v>
                </c:pt>
                <c:pt idx="3">
                  <c:v>35-39</c:v>
                </c:pt>
                <c:pt idx="4">
                  <c:v>40-44</c:v>
                </c:pt>
                <c:pt idx="5">
                  <c:v>45-49</c:v>
                </c:pt>
                <c:pt idx="6">
                  <c:v>50+</c:v>
                </c:pt>
              </c:strCache>
            </c:strRef>
          </c:cat>
          <c:val>
            <c:numRef>
              <c:f>List4!$J$117:$J$123</c:f>
              <c:numCache>
                <c:formatCode>General</c:formatCode>
                <c:ptCount val="7"/>
                <c:pt idx="0">
                  <c:v>22.5</c:v>
                </c:pt>
                <c:pt idx="1">
                  <c:v>17.524916943521589</c:v>
                </c:pt>
                <c:pt idx="2">
                  <c:v>18.354901085824835</c:v>
                </c:pt>
                <c:pt idx="3">
                  <c:v>18.915840257303589</c:v>
                </c:pt>
                <c:pt idx="4">
                  <c:v>22.962220412254872</c:v>
                </c:pt>
                <c:pt idx="5">
                  <c:v>25.862824929533289</c:v>
                </c:pt>
                <c:pt idx="6">
                  <c:v>31.503116045127296</c:v>
                </c:pt>
              </c:numCache>
            </c:numRef>
          </c:val>
        </c:ser>
        <c:marker val="1"/>
        <c:axId val="38056704"/>
        <c:axId val="38058240"/>
      </c:lineChart>
      <c:catAx>
        <c:axId val="3805670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cs-CZ"/>
          </a:p>
        </c:txPr>
        <c:crossAx val="38058240"/>
        <c:crosses val="autoZero"/>
        <c:auto val="1"/>
        <c:lblAlgn val="ctr"/>
        <c:lblOffset val="100"/>
      </c:catAx>
      <c:valAx>
        <c:axId val="3805824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cs-CZ"/>
                  <a:t>podíl (%)</a:t>
                </a:r>
              </a:p>
            </c:rich>
          </c:tx>
          <c:layout>
            <c:manualLayout>
              <c:xMode val="edge"/>
              <c:yMode val="edge"/>
              <c:x val="4.2449685557884803E-3"/>
              <c:y val="0.32792466082585725"/>
            </c:manualLayout>
          </c:layout>
        </c:title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cs-CZ"/>
          </a:p>
        </c:txPr>
        <c:crossAx val="38056704"/>
        <c:crosses val="autoZero"/>
        <c:crossBetween val="between"/>
      </c:valAx>
      <c:spPr>
        <a:noFill/>
        <a:ln>
          <a:solidFill>
            <a:schemeClr val="bg1">
              <a:lumMod val="85000"/>
            </a:schemeClr>
          </a:solidFill>
        </a:ln>
        <a:effectLst/>
      </c:spPr>
    </c:plotArea>
    <c:legend>
      <c:legendPos val="b"/>
      <c:layout>
        <c:manualLayout>
          <c:xMode val="edge"/>
          <c:yMode val="edge"/>
          <c:x val="9.5460959548447827E-2"/>
          <c:y val="0.75835449735450877"/>
          <c:w val="0.89139228598306053"/>
          <c:h val="0.14932451499118166"/>
        </c:manualLayout>
      </c:layout>
      <c:spPr>
        <a:solidFill>
          <a:sysClr val="window" lastClr="FFFFFF"/>
        </a:solidFill>
        <a:ln>
          <a:solidFill>
            <a:sysClr val="window" lastClr="FFFFFF">
              <a:lumMod val="85000"/>
            </a:sysClr>
          </a:solidFill>
        </a:ln>
        <a:effectLst/>
      </c:spPr>
      <c:txPr>
        <a:bodyPr rot="0" vert="horz"/>
        <a:lstStyle/>
        <a:p>
          <a:pPr>
            <a:defRPr sz="700"/>
          </a:pPr>
          <a:endParaRPr lang="cs-CZ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700">
          <a:latin typeface="Arial" pitchFamily="34" charset="0"/>
          <a:cs typeface="Arial" pitchFamily="34" charset="0"/>
        </a:defRPr>
      </a:pPr>
      <a:endParaRPr lang="cs-CZ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title>
      <c:tx>
        <c:rich>
          <a:bodyPr rot="0" vert="horz"/>
          <a:lstStyle/>
          <a:p>
            <a:pPr>
              <a:defRPr/>
            </a:pPr>
            <a:r>
              <a:rPr lang="en-US"/>
              <a:t>ženy</a:t>
            </a:r>
          </a:p>
        </c:rich>
      </c:tx>
      <c:layout>
        <c:manualLayout>
          <c:xMode val="edge"/>
          <c:yMode val="edge"/>
          <c:x val="8.5289183043088482E-2"/>
          <c:y val="5.0626071741032404E-2"/>
        </c:manualLayout>
      </c:layout>
      <c:spPr>
        <a:solidFill>
          <a:sysClr val="window" lastClr="FFFFFF"/>
        </a:solidFill>
        <a:ln>
          <a:solidFill>
            <a:sysClr val="window" lastClr="FFFFFF">
              <a:lumMod val="85000"/>
            </a:sysClr>
          </a:solidFill>
        </a:ln>
        <a:effectLst/>
      </c:spPr>
    </c:title>
    <c:plotArea>
      <c:layout>
        <c:manualLayout>
          <c:layoutTarget val="inner"/>
          <c:xMode val="edge"/>
          <c:yMode val="edge"/>
          <c:x val="7.5991659321042113E-2"/>
          <c:y val="2.0657789160767617E-2"/>
          <c:w val="0.92400834067895798"/>
          <c:h val="0.91547555275578962"/>
        </c:manualLayout>
      </c:layout>
      <c:lineChart>
        <c:grouping val="standard"/>
        <c:ser>
          <c:idx val="0"/>
          <c:order val="0"/>
          <c:tx>
            <c:strRef>
              <c:f>List4!$B$125:$B$126</c:f>
              <c:strCache>
                <c:ptCount val="1"/>
                <c:pt idx="0">
                  <c:v>manželé stejné vzdělání</c:v>
                </c:pt>
              </c:strCache>
            </c:strRef>
          </c:tx>
          <c:spPr>
            <a:ln w="19050" cap="rnd">
              <a:solidFill>
                <a:schemeClr val="tx2"/>
              </a:solidFill>
              <a:round/>
            </a:ln>
            <a:effectLst/>
          </c:spPr>
          <c:marker>
            <c:symbol val="none"/>
          </c:marker>
          <c:cat>
            <c:strRef>
              <c:f>List4!$A$127:$A$133</c:f>
              <c:strCache>
                <c:ptCount val="7"/>
                <c:pt idx="0">
                  <c:v>-24</c:v>
                </c:pt>
                <c:pt idx="1">
                  <c:v>25-29</c:v>
                </c:pt>
                <c:pt idx="2">
                  <c:v>30-34</c:v>
                </c:pt>
                <c:pt idx="3">
                  <c:v>35-39</c:v>
                </c:pt>
                <c:pt idx="4">
                  <c:v>40-44</c:v>
                </c:pt>
                <c:pt idx="5">
                  <c:v>45-49</c:v>
                </c:pt>
                <c:pt idx="6">
                  <c:v>50+</c:v>
                </c:pt>
              </c:strCache>
            </c:strRef>
          </c:cat>
          <c:val>
            <c:numRef>
              <c:f>List4!$B$127:$B$133</c:f>
              <c:numCache>
                <c:formatCode>General</c:formatCode>
                <c:ptCount val="7"/>
                <c:pt idx="0">
                  <c:v>46.791204862352494</c:v>
                </c:pt>
                <c:pt idx="1">
                  <c:v>48.98549929348497</c:v>
                </c:pt>
                <c:pt idx="2">
                  <c:v>50.125569458869833</c:v>
                </c:pt>
                <c:pt idx="3">
                  <c:v>52.114891736632423</c:v>
                </c:pt>
                <c:pt idx="4">
                  <c:v>51.277475209929293</c:v>
                </c:pt>
                <c:pt idx="5">
                  <c:v>50.24010375912448</c:v>
                </c:pt>
                <c:pt idx="6">
                  <c:v>46.595693583213944</c:v>
                </c:pt>
              </c:numCache>
            </c:numRef>
          </c:val>
        </c:ser>
        <c:ser>
          <c:idx val="1"/>
          <c:order val="1"/>
          <c:tx>
            <c:strRef>
              <c:f>List4!$C$125:$C$126</c:f>
              <c:strCache>
                <c:ptCount val="1"/>
                <c:pt idx="0">
                  <c:v>manželé žena vyšší vzdělání</c:v>
                </c:pt>
              </c:strCache>
            </c:strRef>
          </c:tx>
          <c:spPr>
            <a:ln w="19050" cap="rnd">
              <a:solidFill>
                <a:schemeClr val="tx2"/>
              </a:solidFill>
              <a:prstDash val="lgDashDot"/>
              <a:round/>
            </a:ln>
            <a:effectLst/>
          </c:spPr>
          <c:marker>
            <c:symbol val="none"/>
          </c:marker>
          <c:cat>
            <c:strRef>
              <c:f>List4!$A$127:$A$133</c:f>
              <c:strCache>
                <c:ptCount val="7"/>
                <c:pt idx="0">
                  <c:v>-24</c:v>
                </c:pt>
                <c:pt idx="1">
                  <c:v>25-29</c:v>
                </c:pt>
                <c:pt idx="2">
                  <c:v>30-34</c:v>
                </c:pt>
                <c:pt idx="3">
                  <c:v>35-39</c:v>
                </c:pt>
                <c:pt idx="4">
                  <c:v>40-44</c:v>
                </c:pt>
                <c:pt idx="5">
                  <c:v>45-49</c:v>
                </c:pt>
                <c:pt idx="6">
                  <c:v>50+</c:v>
                </c:pt>
              </c:strCache>
            </c:strRef>
          </c:cat>
          <c:val>
            <c:numRef>
              <c:f>List4!$C$127:$C$133</c:f>
              <c:numCache>
                <c:formatCode>General</c:formatCode>
                <c:ptCount val="7"/>
                <c:pt idx="0">
                  <c:v>28.44118698605649</c:v>
                </c:pt>
                <c:pt idx="1">
                  <c:v>35.180332816594465</c:v>
                </c:pt>
                <c:pt idx="2">
                  <c:v>32.905792681251405</c:v>
                </c:pt>
                <c:pt idx="3">
                  <c:v>26.715422006186479</c:v>
                </c:pt>
                <c:pt idx="4">
                  <c:v>27.05535183457361</c:v>
                </c:pt>
                <c:pt idx="5">
                  <c:v>27.23623422979216</c:v>
                </c:pt>
                <c:pt idx="6">
                  <c:v>18.920842762995623</c:v>
                </c:pt>
              </c:numCache>
            </c:numRef>
          </c:val>
        </c:ser>
        <c:ser>
          <c:idx val="2"/>
          <c:order val="2"/>
          <c:tx>
            <c:strRef>
              <c:f>List4!$D$125:$D$126</c:f>
              <c:strCache>
                <c:ptCount val="1"/>
                <c:pt idx="0">
                  <c:v>manželé žena nižší vzdělání</c:v>
                </c:pt>
              </c:strCache>
            </c:strRef>
          </c:tx>
          <c:spPr>
            <a:ln w="19050" cap="rnd">
              <a:solidFill>
                <a:schemeClr val="tx2"/>
              </a:solidFill>
              <a:prstDash val="sysDash"/>
              <a:round/>
            </a:ln>
            <a:effectLst/>
          </c:spPr>
          <c:marker>
            <c:symbol val="none"/>
          </c:marker>
          <c:cat>
            <c:strRef>
              <c:f>List4!$A$127:$A$133</c:f>
              <c:strCache>
                <c:ptCount val="7"/>
                <c:pt idx="0">
                  <c:v>-24</c:v>
                </c:pt>
                <c:pt idx="1">
                  <c:v>25-29</c:v>
                </c:pt>
                <c:pt idx="2">
                  <c:v>30-34</c:v>
                </c:pt>
                <c:pt idx="3">
                  <c:v>35-39</c:v>
                </c:pt>
                <c:pt idx="4">
                  <c:v>40-44</c:v>
                </c:pt>
                <c:pt idx="5">
                  <c:v>45-49</c:v>
                </c:pt>
                <c:pt idx="6">
                  <c:v>50+</c:v>
                </c:pt>
              </c:strCache>
            </c:strRef>
          </c:cat>
          <c:val>
            <c:numRef>
              <c:f>List4!$D$127:$D$133</c:f>
              <c:numCache>
                <c:formatCode>General</c:formatCode>
                <c:ptCount val="7"/>
                <c:pt idx="0">
                  <c:v>24.767608151590988</c:v>
                </c:pt>
                <c:pt idx="1">
                  <c:v>15.834167889920842</c:v>
                </c:pt>
                <c:pt idx="2">
                  <c:v>16.968637859878591</c:v>
                </c:pt>
                <c:pt idx="3">
                  <c:v>21.169686257180729</c:v>
                </c:pt>
                <c:pt idx="4">
                  <c:v>21.667172955497215</c:v>
                </c:pt>
                <c:pt idx="5">
                  <c:v>22.523662011083289</c:v>
                </c:pt>
                <c:pt idx="6">
                  <c:v>34.483463653789869</c:v>
                </c:pt>
              </c:numCache>
            </c:numRef>
          </c:val>
        </c:ser>
        <c:ser>
          <c:idx val="3"/>
          <c:order val="3"/>
          <c:tx>
            <c:strRef>
              <c:f>List4!$E$125:$E$126</c:f>
              <c:strCache>
                <c:ptCount val="1"/>
                <c:pt idx="0">
                  <c:v>NSS stejné vzdělání</c:v>
                </c:pt>
              </c:strCache>
            </c:strRef>
          </c:tx>
          <c:spPr>
            <a:ln w="19050" cap="rnd">
              <a:solidFill>
                <a:srgbClr val="00B0F0"/>
              </a:solidFill>
              <a:round/>
            </a:ln>
            <a:effectLst/>
          </c:spPr>
          <c:marker>
            <c:symbol val="none"/>
          </c:marker>
          <c:cat>
            <c:strRef>
              <c:f>List4!$A$127:$A$133</c:f>
              <c:strCache>
                <c:ptCount val="7"/>
                <c:pt idx="0">
                  <c:v>-24</c:v>
                </c:pt>
                <c:pt idx="1">
                  <c:v>25-29</c:v>
                </c:pt>
                <c:pt idx="2">
                  <c:v>30-34</c:v>
                </c:pt>
                <c:pt idx="3">
                  <c:v>35-39</c:v>
                </c:pt>
                <c:pt idx="4">
                  <c:v>40-44</c:v>
                </c:pt>
                <c:pt idx="5">
                  <c:v>45-49</c:v>
                </c:pt>
                <c:pt idx="6">
                  <c:v>50+</c:v>
                </c:pt>
              </c:strCache>
            </c:strRef>
          </c:cat>
          <c:val>
            <c:numRef>
              <c:f>List4!$E$127:$E$133</c:f>
              <c:numCache>
                <c:formatCode>General</c:formatCode>
                <c:ptCount val="7"/>
                <c:pt idx="0">
                  <c:v>45.979799761831245</c:v>
                </c:pt>
                <c:pt idx="1">
                  <c:v>48.521984729170157</c:v>
                </c:pt>
                <c:pt idx="2">
                  <c:v>47.694303573534604</c:v>
                </c:pt>
                <c:pt idx="3">
                  <c:v>49.400860642171466</c:v>
                </c:pt>
                <c:pt idx="4">
                  <c:v>48.610396294390121</c:v>
                </c:pt>
                <c:pt idx="5">
                  <c:v>47.069943289224952</c:v>
                </c:pt>
                <c:pt idx="6">
                  <c:v>44.346116027531963</c:v>
                </c:pt>
              </c:numCache>
            </c:numRef>
          </c:val>
        </c:ser>
        <c:ser>
          <c:idx val="4"/>
          <c:order val="4"/>
          <c:tx>
            <c:strRef>
              <c:f>List4!$F$125:$F$126</c:f>
              <c:strCache>
                <c:ptCount val="1"/>
                <c:pt idx="0">
                  <c:v>NSS žena vyšší vzdělání</c:v>
                </c:pt>
              </c:strCache>
            </c:strRef>
          </c:tx>
          <c:spPr>
            <a:ln w="19050" cap="rnd">
              <a:solidFill>
                <a:srgbClr val="00B0F0"/>
              </a:solidFill>
              <a:prstDash val="lgDashDot"/>
              <a:round/>
            </a:ln>
            <a:effectLst/>
          </c:spPr>
          <c:marker>
            <c:symbol val="none"/>
          </c:marker>
          <c:cat>
            <c:strRef>
              <c:f>List4!$A$127:$A$133</c:f>
              <c:strCache>
                <c:ptCount val="7"/>
                <c:pt idx="0">
                  <c:v>-24</c:v>
                </c:pt>
                <c:pt idx="1">
                  <c:v>25-29</c:v>
                </c:pt>
                <c:pt idx="2">
                  <c:v>30-34</c:v>
                </c:pt>
                <c:pt idx="3">
                  <c:v>35-39</c:v>
                </c:pt>
                <c:pt idx="4">
                  <c:v>40-44</c:v>
                </c:pt>
                <c:pt idx="5">
                  <c:v>45-49</c:v>
                </c:pt>
                <c:pt idx="6">
                  <c:v>50+</c:v>
                </c:pt>
              </c:strCache>
            </c:strRef>
          </c:cat>
          <c:val>
            <c:numRef>
              <c:f>List4!$F$127:$F$133</c:f>
              <c:numCache>
                <c:formatCode>General</c:formatCode>
                <c:ptCount val="7"/>
                <c:pt idx="0">
                  <c:v>30.886958055837336</c:v>
                </c:pt>
                <c:pt idx="1">
                  <c:v>35.817037267526374</c:v>
                </c:pt>
                <c:pt idx="2">
                  <c:v>35.077839367849975</c:v>
                </c:pt>
                <c:pt idx="3">
                  <c:v>29.864283349884147</c:v>
                </c:pt>
                <c:pt idx="4">
                  <c:v>30.828615542974653</c:v>
                </c:pt>
                <c:pt idx="5">
                  <c:v>30.686830497794595</c:v>
                </c:pt>
                <c:pt idx="6">
                  <c:v>27.236971484759131</c:v>
                </c:pt>
              </c:numCache>
            </c:numRef>
          </c:val>
        </c:ser>
        <c:ser>
          <c:idx val="5"/>
          <c:order val="5"/>
          <c:tx>
            <c:strRef>
              <c:f>List4!$G$125:$G$126</c:f>
              <c:strCache>
                <c:ptCount val="1"/>
                <c:pt idx="0">
                  <c:v>NSS žena nižší vzdělání</c:v>
                </c:pt>
              </c:strCache>
            </c:strRef>
          </c:tx>
          <c:spPr>
            <a:ln w="19050" cap="rnd">
              <a:solidFill>
                <a:srgbClr val="00B0F0"/>
              </a:solidFill>
              <a:prstDash val="sysDash"/>
              <a:round/>
            </a:ln>
            <a:effectLst/>
          </c:spPr>
          <c:marker>
            <c:symbol val="none"/>
          </c:marker>
          <c:cat>
            <c:strRef>
              <c:f>List4!$A$127:$A$133</c:f>
              <c:strCache>
                <c:ptCount val="7"/>
                <c:pt idx="0">
                  <c:v>-24</c:v>
                </c:pt>
                <c:pt idx="1">
                  <c:v>25-29</c:v>
                </c:pt>
                <c:pt idx="2">
                  <c:v>30-34</c:v>
                </c:pt>
                <c:pt idx="3">
                  <c:v>35-39</c:v>
                </c:pt>
                <c:pt idx="4">
                  <c:v>40-44</c:v>
                </c:pt>
                <c:pt idx="5">
                  <c:v>45-49</c:v>
                </c:pt>
                <c:pt idx="6">
                  <c:v>50+</c:v>
                </c:pt>
              </c:strCache>
            </c:strRef>
          </c:cat>
          <c:val>
            <c:numRef>
              <c:f>List4!$G$127:$G$133</c:f>
              <c:numCache>
                <c:formatCode>General</c:formatCode>
                <c:ptCount val="7"/>
                <c:pt idx="0">
                  <c:v>23.133242182331241</c:v>
                </c:pt>
                <c:pt idx="1">
                  <c:v>15.660978003303095</c:v>
                </c:pt>
                <c:pt idx="2">
                  <c:v>17.227857058615594</c:v>
                </c:pt>
                <c:pt idx="3">
                  <c:v>20.734856007944391</c:v>
                </c:pt>
                <c:pt idx="4">
                  <c:v>20.560988162635098</c:v>
                </c:pt>
                <c:pt idx="5">
                  <c:v>22.243226212980293</c:v>
                </c:pt>
                <c:pt idx="6">
                  <c:v>28.416912487708942</c:v>
                </c:pt>
              </c:numCache>
            </c:numRef>
          </c:val>
        </c:ser>
        <c:ser>
          <c:idx val="6"/>
          <c:order val="6"/>
          <c:tx>
            <c:strRef>
              <c:f>List4!$H$125:$H$126</c:f>
              <c:strCache>
                <c:ptCount val="1"/>
                <c:pt idx="0">
                  <c:v>NSZM stejné vzdělání</c:v>
                </c:pt>
              </c:strCache>
            </c:strRef>
          </c:tx>
          <c:spPr>
            <a:ln w="19050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List4!$A$127:$A$133</c:f>
              <c:strCache>
                <c:ptCount val="7"/>
                <c:pt idx="0">
                  <c:v>-24</c:v>
                </c:pt>
                <c:pt idx="1">
                  <c:v>25-29</c:v>
                </c:pt>
                <c:pt idx="2">
                  <c:v>30-34</c:v>
                </c:pt>
                <c:pt idx="3">
                  <c:v>35-39</c:v>
                </c:pt>
                <c:pt idx="4">
                  <c:v>40-44</c:v>
                </c:pt>
                <c:pt idx="5">
                  <c:v>45-49</c:v>
                </c:pt>
                <c:pt idx="6">
                  <c:v>50+</c:v>
                </c:pt>
              </c:strCache>
            </c:strRef>
          </c:cat>
          <c:val>
            <c:numRef>
              <c:f>List4!$H$127:$H$133</c:f>
              <c:numCache>
                <c:formatCode>General</c:formatCode>
                <c:ptCount val="7"/>
                <c:pt idx="0">
                  <c:v>40.094339622641506</c:v>
                </c:pt>
                <c:pt idx="1">
                  <c:v>44.455190199871062</c:v>
                </c:pt>
                <c:pt idx="2">
                  <c:v>46.443476682997378</c:v>
                </c:pt>
                <c:pt idx="3">
                  <c:v>49.68682562240118</c:v>
                </c:pt>
                <c:pt idx="4">
                  <c:v>48.016897441914793</c:v>
                </c:pt>
                <c:pt idx="5">
                  <c:v>45.240444707585027</c:v>
                </c:pt>
                <c:pt idx="6">
                  <c:v>43.709913872091143</c:v>
                </c:pt>
              </c:numCache>
            </c:numRef>
          </c:val>
        </c:ser>
        <c:ser>
          <c:idx val="7"/>
          <c:order val="7"/>
          <c:tx>
            <c:strRef>
              <c:f>List4!$I$125:$I$126</c:f>
              <c:strCache>
                <c:ptCount val="1"/>
                <c:pt idx="0">
                  <c:v>NSZM žena vyšší vzdělání</c:v>
                </c:pt>
              </c:strCache>
            </c:strRef>
          </c:tx>
          <c:spPr>
            <a:ln w="19050" cap="rnd">
              <a:solidFill>
                <a:schemeClr val="accent3"/>
              </a:solidFill>
              <a:prstDash val="lgDashDot"/>
              <a:round/>
            </a:ln>
            <a:effectLst/>
          </c:spPr>
          <c:marker>
            <c:symbol val="none"/>
          </c:marker>
          <c:cat>
            <c:strRef>
              <c:f>List4!$A$127:$A$133</c:f>
              <c:strCache>
                <c:ptCount val="7"/>
                <c:pt idx="0">
                  <c:v>-24</c:v>
                </c:pt>
                <c:pt idx="1">
                  <c:v>25-29</c:v>
                </c:pt>
                <c:pt idx="2">
                  <c:v>30-34</c:v>
                </c:pt>
                <c:pt idx="3">
                  <c:v>35-39</c:v>
                </c:pt>
                <c:pt idx="4">
                  <c:v>40-44</c:v>
                </c:pt>
                <c:pt idx="5">
                  <c:v>45-49</c:v>
                </c:pt>
                <c:pt idx="6">
                  <c:v>50+</c:v>
                </c:pt>
              </c:strCache>
            </c:strRef>
          </c:cat>
          <c:val>
            <c:numRef>
              <c:f>List4!$I$127:$I$133</c:f>
              <c:numCache>
                <c:formatCode>General</c:formatCode>
                <c:ptCount val="7"/>
                <c:pt idx="0">
                  <c:v>24.292452830188516</c:v>
                </c:pt>
                <c:pt idx="1">
                  <c:v>29.916183107672495</c:v>
                </c:pt>
                <c:pt idx="2">
                  <c:v>30.157866086009935</c:v>
                </c:pt>
                <c:pt idx="3">
                  <c:v>26.775093425969786</c:v>
                </c:pt>
                <c:pt idx="4">
                  <c:v>28.127200187749356</c:v>
                </c:pt>
                <c:pt idx="5">
                  <c:v>29.511216367344257</c:v>
                </c:pt>
                <c:pt idx="6">
                  <c:v>22.07485798057543</c:v>
                </c:pt>
              </c:numCache>
            </c:numRef>
          </c:val>
        </c:ser>
        <c:ser>
          <c:idx val="8"/>
          <c:order val="8"/>
          <c:tx>
            <c:strRef>
              <c:f>List4!$J$125:$J$126</c:f>
              <c:strCache>
                <c:ptCount val="1"/>
                <c:pt idx="0">
                  <c:v>NSZM žena nižší vzdělání</c:v>
                </c:pt>
              </c:strCache>
            </c:strRef>
          </c:tx>
          <c:spPr>
            <a:ln w="19050" cap="rnd">
              <a:solidFill>
                <a:schemeClr val="accent3"/>
              </a:solidFill>
              <a:prstDash val="sysDash"/>
              <a:round/>
            </a:ln>
            <a:effectLst/>
          </c:spPr>
          <c:marker>
            <c:symbol val="none"/>
          </c:marker>
          <c:cat>
            <c:strRef>
              <c:f>List4!$A$127:$A$133</c:f>
              <c:strCache>
                <c:ptCount val="7"/>
                <c:pt idx="0">
                  <c:v>-24</c:v>
                </c:pt>
                <c:pt idx="1">
                  <c:v>25-29</c:v>
                </c:pt>
                <c:pt idx="2">
                  <c:v>30-34</c:v>
                </c:pt>
                <c:pt idx="3">
                  <c:v>35-39</c:v>
                </c:pt>
                <c:pt idx="4">
                  <c:v>40-44</c:v>
                </c:pt>
                <c:pt idx="5">
                  <c:v>45-49</c:v>
                </c:pt>
                <c:pt idx="6">
                  <c:v>50+</c:v>
                </c:pt>
              </c:strCache>
            </c:strRef>
          </c:cat>
          <c:val>
            <c:numRef>
              <c:f>List4!$J$127:$J$133</c:f>
              <c:numCache>
                <c:formatCode>General</c:formatCode>
                <c:ptCount val="7"/>
                <c:pt idx="0">
                  <c:v>35.613207547169814</c:v>
                </c:pt>
                <c:pt idx="1">
                  <c:v>25.628626692456493</c:v>
                </c:pt>
                <c:pt idx="2">
                  <c:v>23.398657230992562</c:v>
                </c:pt>
                <c:pt idx="3">
                  <c:v>23.538080951629027</c:v>
                </c:pt>
                <c:pt idx="4">
                  <c:v>23.855902370335489</c:v>
                </c:pt>
                <c:pt idx="5">
                  <c:v>25.248338925070719</c:v>
                </c:pt>
                <c:pt idx="6">
                  <c:v>34.215228147333697</c:v>
                </c:pt>
              </c:numCache>
            </c:numRef>
          </c:val>
        </c:ser>
        <c:marker val="1"/>
        <c:axId val="38593280"/>
        <c:axId val="38595200"/>
      </c:lineChart>
      <c:catAx>
        <c:axId val="3859328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cs-CZ"/>
          </a:p>
        </c:txPr>
        <c:crossAx val="38595200"/>
        <c:crosses val="autoZero"/>
        <c:auto val="1"/>
        <c:lblAlgn val="ctr"/>
        <c:lblOffset val="100"/>
      </c:catAx>
      <c:valAx>
        <c:axId val="3859520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cs-CZ"/>
                  <a:t>podíl (%)</a:t>
                </a:r>
              </a:p>
            </c:rich>
          </c:tx>
          <c:layout>
            <c:manualLayout>
              <c:xMode val="edge"/>
              <c:yMode val="edge"/>
              <c:x val="6.9379115710253986E-3"/>
              <c:y val="0.36973223789937881"/>
            </c:manualLayout>
          </c:layout>
        </c:title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cs-CZ"/>
          </a:p>
        </c:txPr>
        <c:crossAx val="38593280"/>
        <c:crosses val="autoZero"/>
        <c:crossBetween val="between"/>
      </c:valAx>
      <c:spPr>
        <a:noFill/>
        <a:ln>
          <a:solidFill>
            <a:schemeClr val="bg1">
              <a:lumMod val="85000"/>
            </a:schemeClr>
          </a:solidFill>
        </a:ln>
        <a:effectLst/>
      </c:spPr>
    </c:plotArea>
    <c:legend>
      <c:legendPos val="b"/>
      <c:layout>
        <c:manualLayout>
          <c:xMode val="edge"/>
          <c:yMode val="edge"/>
          <c:x val="8.4865852845534565E-2"/>
          <c:y val="0.75223547008547986"/>
          <c:w val="0.90082314205079961"/>
          <c:h val="0.14632324292796794"/>
        </c:manualLayout>
      </c:layout>
      <c:spPr>
        <a:solidFill>
          <a:sysClr val="window" lastClr="FFFFFF"/>
        </a:solidFill>
        <a:ln>
          <a:solidFill>
            <a:sysClr val="window" lastClr="FFFFFF">
              <a:lumMod val="85000"/>
            </a:sysClr>
          </a:solidFill>
        </a:ln>
        <a:effectLst/>
      </c:spPr>
      <c:txPr>
        <a:bodyPr rot="0" vert="horz"/>
        <a:lstStyle/>
        <a:p>
          <a:pPr>
            <a:defRPr/>
          </a:pPr>
          <a:endParaRPr lang="cs-CZ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700">
          <a:latin typeface="Arial" pitchFamily="34" charset="0"/>
          <a:cs typeface="Arial" pitchFamily="34" charset="0"/>
        </a:defRPr>
      </a:pPr>
      <a:endParaRPr lang="cs-CZ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title>
      <c:tx>
        <c:rich>
          <a:bodyPr rot="0" vert="horz"/>
          <a:lstStyle/>
          <a:p>
            <a:pPr>
              <a:defRPr/>
            </a:pPr>
            <a:r>
              <a:rPr lang="en-US"/>
              <a:t>muži</a:t>
            </a:r>
          </a:p>
        </c:rich>
      </c:tx>
      <c:layout>
        <c:manualLayout>
          <c:xMode val="edge"/>
          <c:yMode val="edge"/>
          <c:x val="0.45605540974045239"/>
          <c:y val="0"/>
        </c:manualLayout>
      </c:layout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0.15884908584379451"/>
          <c:y val="6.1898392837881934E-2"/>
          <c:w val="0.84115091415620824"/>
          <c:h val="0.50086038902670427"/>
        </c:manualLayout>
      </c:layout>
      <c:barChart>
        <c:barDir val="col"/>
        <c:grouping val="stacked"/>
        <c:ser>
          <c:idx val="0"/>
          <c:order val="0"/>
          <c:tx>
            <c:strRef>
              <c:f>List5!$C$1</c:f>
              <c:strCache>
                <c:ptCount val="1"/>
                <c:pt idx="0">
                  <c:v>stejné vzdělání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dLbls>
            <c:txPr>
              <a:bodyPr rot="-5400000" vert="horz"/>
              <a:lstStyle/>
              <a:p>
                <a:pPr>
                  <a:defRPr sz="700"/>
                </a:pPr>
                <a:endParaRPr lang="cs-CZ"/>
              </a:p>
            </c:txPr>
            <c:showVal val="1"/>
          </c:dLbls>
          <c:cat>
            <c:multiLvlStrRef>
              <c:f>List5!$A$2:$B$9</c:f>
              <c:multiLvlStrCache>
                <c:ptCount val="8"/>
                <c:lvl>
                  <c:pt idx="0">
                    <c:v>manželství</c:v>
                  </c:pt>
                  <c:pt idx="1">
                    <c:v>nesezdané soužití</c:v>
                  </c:pt>
                  <c:pt idx="2">
                    <c:v>manželství</c:v>
                  </c:pt>
                  <c:pt idx="3">
                    <c:v>nesezdané soužití</c:v>
                  </c:pt>
                  <c:pt idx="4">
                    <c:v>manželství</c:v>
                  </c:pt>
                  <c:pt idx="5">
                    <c:v>nesezdané soužití</c:v>
                  </c:pt>
                  <c:pt idx="6">
                    <c:v>manželství</c:v>
                  </c:pt>
                  <c:pt idx="7">
                    <c:v>nesezdané soužití</c:v>
                  </c:pt>
                </c:lvl>
                <c:lvl>
                  <c:pt idx="0">
                    <c:v>základní</c:v>
                  </c:pt>
                  <c:pt idx="2">
                    <c:v>středoškolské bez maturity</c:v>
                  </c:pt>
                  <c:pt idx="4">
                    <c:v>středoškolské s maturitou</c:v>
                  </c:pt>
                  <c:pt idx="6">
                    <c:v>vysokoškolské</c:v>
                  </c:pt>
                </c:lvl>
              </c:multiLvlStrCache>
            </c:multiLvlStrRef>
          </c:cat>
          <c:val>
            <c:numRef>
              <c:f>List5!$C$2:$C$9</c:f>
              <c:numCache>
                <c:formatCode>0.0%</c:formatCode>
                <c:ptCount val="8"/>
                <c:pt idx="0">
                  <c:v>0.55531376866441851</c:v>
                </c:pt>
                <c:pt idx="1">
                  <c:v>0.42787558685446309</c:v>
                </c:pt>
                <c:pt idx="2">
                  <c:v>0.45062237961085377</c:v>
                </c:pt>
                <c:pt idx="3">
                  <c:v>0.41390683547474877</c:v>
                </c:pt>
                <c:pt idx="4">
                  <c:v>0.51854521625163863</c:v>
                </c:pt>
                <c:pt idx="5">
                  <c:v>0.50674385119450216</c:v>
                </c:pt>
                <c:pt idx="6">
                  <c:v>0.49042077918914218</c:v>
                </c:pt>
                <c:pt idx="7">
                  <c:v>0.55111086789974828</c:v>
                </c:pt>
              </c:numCache>
            </c:numRef>
          </c:val>
        </c:ser>
        <c:ser>
          <c:idx val="1"/>
          <c:order val="1"/>
          <c:tx>
            <c:strRef>
              <c:f>List5!$D$1</c:f>
              <c:strCache>
                <c:ptCount val="1"/>
                <c:pt idx="0">
                  <c:v>muž nižší vzdělání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  <a:ln>
              <a:noFill/>
            </a:ln>
            <a:effectLst/>
          </c:spPr>
          <c:dLbls>
            <c:dLbl>
              <c:idx val="6"/>
              <c:delete val="1"/>
            </c:dLbl>
            <c:dLbl>
              <c:idx val="7"/>
              <c:delete val="1"/>
            </c:dLbl>
            <c:txPr>
              <a:bodyPr rot="-5400000" vert="horz"/>
              <a:lstStyle/>
              <a:p>
                <a:pPr>
                  <a:defRPr sz="600"/>
                </a:pPr>
                <a:endParaRPr lang="cs-CZ"/>
              </a:p>
            </c:txPr>
            <c:showVal val="1"/>
          </c:dLbls>
          <c:cat>
            <c:multiLvlStrRef>
              <c:f>List5!$A$2:$B$9</c:f>
              <c:multiLvlStrCache>
                <c:ptCount val="8"/>
                <c:lvl>
                  <c:pt idx="0">
                    <c:v>manželství</c:v>
                  </c:pt>
                  <c:pt idx="1">
                    <c:v>nesezdané soužití</c:v>
                  </c:pt>
                  <c:pt idx="2">
                    <c:v>manželství</c:v>
                  </c:pt>
                  <c:pt idx="3">
                    <c:v>nesezdané soužití</c:v>
                  </c:pt>
                  <c:pt idx="4">
                    <c:v>manželství</c:v>
                  </c:pt>
                  <c:pt idx="5">
                    <c:v>nesezdané soužití</c:v>
                  </c:pt>
                  <c:pt idx="6">
                    <c:v>manželství</c:v>
                  </c:pt>
                  <c:pt idx="7">
                    <c:v>nesezdané soužití</c:v>
                  </c:pt>
                </c:lvl>
                <c:lvl>
                  <c:pt idx="0">
                    <c:v>základní</c:v>
                  </c:pt>
                  <c:pt idx="2">
                    <c:v>středoškolské bez maturity</c:v>
                  </c:pt>
                  <c:pt idx="4">
                    <c:v>středoškolské s maturitou</c:v>
                  </c:pt>
                  <c:pt idx="6">
                    <c:v>vysokoškolské</c:v>
                  </c:pt>
                </c:lvl>
              </c:multiLvlStrCache>
            </c:multiLvlStrRef>
          </c:cat>
          <c:val>
            <c:numRef>
              <c:f>List5!$D$2:$D$9</c:f>
              <c:numCache>
                <c:formatCode>0.0%</c:formatCode>
                <c:ptCount val="8"/>
                <c:pt idx="0">
                  <c:v>0.44468623133558138</c:v>
                </c:pt>
                <c:pt idx="1">
                  <c:v>0.57212441314554374</c:v>
                </c:pt>
                <c:pt idx="2">
                  <c:v>0.36706805777727292</c:v>
                </c:pt>
                <c:pt idx="3">
                  <c:v>0.43977079397551594</c:v>
                </c:pt>
                <c:pt idx="4">
                  <c:v>0.17775229357798281</c:v>
                </c:pt>
                <c:pt idx="5">
                  <c:v>0.20516587816990392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</c:ser>
        <c:ser>
          <c:idx val="2"/>
          <c:order val="2"/>
          <c:tx>
            <c:strRef>
              <c:f>List5!$E$1</c:f>
              <c:strCache>
                <c:ptCount val="1"/>
                <c:pt idx="0">
                  <c:v>muž vyšší vzdělání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dLbls>
            <c:dLbl>
              <c:idx val="0"/>
              <c:delete val="1"/>
            </c:dLbl>
            <c:dLbl>
              <c:idx val="1"/>
              <c:delete val="1"/>
            </c:dLbl>
            <c:txPr>
              <a:bodyPr rot="-5400000" vert="horz"/>
              <a:lstStyle/>
              <a:p>
                <a:pPr>
                  <a:defRPr sz="600"/>
                </a:pPr>
                <a:endParaRPr lang="cs-CZ"/>
              </a:p>
            </c:txPr>
            <c:showVal val="1"/>
          </c:dLbls>
          <c:cat>
            <c:multiLvlStrRef>
              <c:f>List5!$A$2:$B$9</c:f>
              <c:multiLvlStrCache>
                <c:ptCount val="8"/>
                <c:lvl>
                  <c:pt idx="0">
                    <c:v>manželství</c:v>
                  </c:pt>
                  <c:pt idx="1">
                    <c:v>nesezdané soužití</c:v>
                  </c:pt>
                  <c:pt idx="2">
                    <c:v>manželství</c:v>
                  </c:pt>
                  <c:pt idx="3">
                    <c:v>nesezdané soužití</c:v>
                  </c:pt>
                  <c:pt idx="4">
                    <c:v>manželství</c:v>
                  </c:pt>
                  <c:pt idx="5">
                    <c:v>nesezdané soužití</c:v>
                  </c:pt>
                  <c:pt idx="6">
                    <c:v>manželství</c:v>
                  </c:pt>
                  <c:pt idx="7">
                    <c:v>nesezdané soužití</c:v>
                  </c:pt>
                </c:lvl>
                <c:lvl>
                  <c:pt idx="0">
                    <c:v>základní</c:v>
                  </c:pt>
                  <c:pt idx="2">
                    <c:v>středoškolské bez maturity</c:v>
                  </c:pt>
                  <c:pt idx="4">
                    <c:v>středoškolské s maturitou</c:v>
                  </c:pt>
                  <c:pt idx="6">
                    <c:v>vysokoškolské</c:v>
                  </c:pt>
                </c:lvl>
              </c:multiLvlStrCache>
            </c:multiLvlStrRef>
          </c:cat>
          <c:val>
            <c:numRef>
              <c:f>List5!$E$2:$E$9</c:f>
              <c:numCache>
                <c:formatCode>0.0%</c:formatCode>
                <c:ptCount val="8"/>
                <c:pt idx="0">
                  <c:v>0</c:v>
                </c:pt>
                <c:pt idx="1">
                  <c:v>0</c:v>
                </c:pt>
                <c:pt idx="2">
                  <c:v>0.18230956261187739</c:v>
                </c:pt>
                <c:pt idx="3">
                  <c:v>0.14632237054973959</c:v>
                </c:pt>
                <c:pt idx="4">
                  <c:v>0.30370249017038031</c:v>
                </c:pt>
                <c:pt idx="5">
                  <c:v>0.28809027063559695</c:v>
                </c:pt>
                <c:pt idx="6">
                  <c:v>0.50957922081086049</c:v>
                </c:pt>
                <c:pt idx="7">
                  <c:v>0.44888913210025289</c:v>
                </c:pt>
              </c:numCache>
            </c:numRef>
          </c:val>
        </c:ser>
        <c:gapWidth val="33"/>
        <c:overlap val="100"/>
        <c:axId val="93578368"/>
        <c:axId val="93859200"/>
      </c:barChart>
      <c:catAx>
        <c:axId val="9357836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cs-CZ"/>
          </a:p>
        </c:txPr>
        <c:crossAx val="93859200"/>
        <c:crosses val="autoZero"/>
        <c:auto val="1"/>
        <c:lblAlgn val="ctr"/>
        <c:lblOffset val="100"/>
      </c:catAx>
      <c:valAx>
        <c:axId val="93859200"/>
        <c:scaling>
          <c:orientation val="minMax"/>
          <c:max val="1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cs-CZ"/>
                  <a:t>podíl zcelkového počtu daných</a:t>
                </a:r>
                <a:r>
                  <a:rPr lang="cs-CZ" baseline="0"/>
                  <a:t> svazků</a:t>
                </a:r>
              </a:p>
              <a:p>
                <a:pPr>
                  <a:defRPr/>
                </a:pPr>
                <a:endParaRPr lang="cs-CZ"/>
              </a:p>
            </c:rich>
          </c:tx>
          <c:layout>
            <c:manualLayout>
              <c:xMode val="edge"/>
              <c:yMode val="edge"/>
              <c:x val="0"/>
              <c:y val="2.5368712472584792E-2"/>
            </c:manualLayout>
          </c:layout>
        </c:title>
        <c:numFmt formatCode="0%" sourceLinked="0"/>
        <c:maj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cs-CZ"/>
          </a:p>
        </c:txPr>
        <c:crossAx val="93578368"/>
        <c:crosses val="autoZero"/>
        <c:crossBetween val="between"/>
      </c:valAx>
      <c:spPr>
        <a:noFill/>
        <a:ln>
          <a:solidFill>
            <a:schemeClr val="bg1">
              <a:lumMod val="85000"/>
            </a:schemeClr>
          </a:solidFill>
        </a:ln>
        <a:effectLst/>
      </c:spPr>
    </c:plotArea>
    <c:legend>
      <c:legendPos val="b"/>
      <c:layout>
        <c:manualLayout>
          <c:xMode val="edge"/>
          <c:yMode val="edge"/>
          <c:x val="1.8983471660637491E-2"/>
          <c:y val="0.93725200445834678"/>
          <c:w val="0.97554692487762518"/>
          <c:h val="6.2747995541653181E-2"/>
        </c:manualLayout>
      </c:layout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cs-CZ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700" b="0">
          <a:solidFill>
            <a:sysClr val="windowText" lastClr="000000"/>
          </a:solidFill>
          <a:latin typeface="Arial" pitchFamily="34" charset="0"/>
          <a:cs typeface="Arial" pitchFamily="34" charset="0"/>
        </a:defRPr>
      </a:pPr>
      <a:endParaRPr lang="cs-CZ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title>
      <c:tx>
        <c:rich>
          <a:bodyPr rot="0" vert="horz"/>
          <a:lstStyle/>
          <a:p>
            <a:pPr>
              <a:defRPr b="0"/>
            </a:pPr>
            <a:r>
              <a:rPr lang="en-US" b="0"/>
              <a:t>ženy</a:t>
            </a:r>
          </a:p>
        </c:rich>
      </c:tx>
      <c:layout>
        <c:manualLayout>
          <c:xMode val="edge"/>
          <c:yMode val="edge"/>
          <c:x val="0.47942010720882755"/>
          <c:y val="0"/>
        </c:manualLayout>
      </c:layout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1.9253910950661854E-2"/>
          <c:y val="6.7314197699693434E-2"/>
          <c:w val="0.98074608904933758"/>
          <c:h val="0.50082374872244328"/>
        </c:manualLayout>
      </c:layout>
      <c:barChart>
        <c:barDir val="col"/>
        <c:grouping val="stacked"/>
        <c:ser>
          <c:idx val="0"/>
          <c:order val="0"/>
          <c:tx>
            <c:strRef>
              <c:f>List5!$C$11</c:f>
              <c:strCache>
                <c:ptCount val="1"/>
                <c:pt idx="0">
                  <c:v>stejné vzdělání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dLbls>
            <c:txPr>
              <a:bodyPr rot="-5400000" vert="horz"/>
              <a:lstStyle/>
              <a:p>
                <a:pPr>
                  <a:defRPr sz="700"/>
                </a:pPr>
                <a:endParaRPr lang="cs-CZ"/>
              </a:p>
            </c:txPr>
            <c:showVal val="1"/>
          </c:dLbls>
          <c:cat>
            <c:multiLvlStrRef>
              <c:f>List5!$A$12:$B$19</c:f>
              <c:multiLvlStrCache>
                <c:ptCount val="8"/>
                <c:lvl>
                  <c:pt idx="0">
                    <c:v>manželství</c:v>
                  </c:pt>
                  <c:pt idx="1">
                    <c:v>nesezdané soužití</c:v>
                  </c:pt>
                  <c:pt idx="2">
                    <c:v>manželství</c:v>
                  </c:pt>
                  <c:pt idx="3">
                    <c:v>nesezdané soužití</c:v>
                  </c:pt>
                  <c:pt idx="4">
                    <c:v>manželství</c:v>
                  </c:pt>
                  <c:pt idx="5">
                    <c:v>nesezdané soužití</c:v>
                  </c:pt>
                  <c:pt idx="6">
                    <c:v>manželství</c:v>
                  </c:pt>
                  <c:pt idx="7">
                    <c:v>nesezdané soužití</c:v>
                  </c:pt>
                </c:lvl>
                <c:lvl>
                  <c:pt idx="0">
                    <c:v>základní</c:v>
                  </c:pt>
                  <c:pt idx="2">
                    <c:v>středoškolské bez maturity</c:v>
                  </c:pt>
                  <c:pt idx="4">
                    <c:v>středoškolské s maturitou</c:v>
                  </c:pt>
                  <c:pt idx="6">
                    <c:v>vysokoškolské</c:v>
                  </c:pt>
                </c:lvl>
              </c:multiLvlStrCache>
            </c:multiLvlStrRef>
          </c:cat>
          <c:val>
            <c:numRef>
              <c:f>List5!$C$12:$C$19</c:f>
              <c:numCache>
                <c:formatCode>0.0%</c:formatCode>
                <c:ptCount val="8"/>
                <c:pt idx="0">
                  <c:v>0.25187748461925802</c:v>
                </c:pt>
                <c:pt idx="1">
                  <c:v>0.28208302704375748</c:v>
                </c:pt>
                <c:pt idx="2">
                  <c:v>0.6533105474779981</c:v>
                </c:pt>
                <c:pt idx="3">
                  <c:v>0.62339458915630452</c:v>
                </c:pt>
                <c:pt idx="4">
                  <c:v>0.38715201330789561</c:v>
                </c:pt>
                <c:pt idx="5">
                  <c:v>0.39761133463218934</c:v>
                </c:pt>
                <c:pt idx="6">
                  <c:v>0.59737070532461756</c:v>
                </c:pt>
                <c:pt idx="7">
                  <c:v>0.48821989528796195</c:v>
                </c:pt>
              </c:numCache>
            </c:numRef>
          </c:val>
        </c:ser>
        <c:ser>
          <c:idx val="1"/>
          <c:order val="1"/>
          <c:tx>
            <c:strRef>
              <c:f>List5!$D$11</c:f>
              <c:strCache>
                <c:ptCount val="1"/>
                <c:pt idx="0">
                  <c:v>žena vyšší vzdělání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dLbls>
            <c:dLbl>
              <c:idx val="0"/>
              <c:delete val="1"/>
            </c:dLbl>
            <c:dLbl>
              <c:idx val="1"/>
              <c:delete val="1"/>
            </c:dLbl>
            <c:dLbl>
              <c:idx val="2"/>
              <c:spPr/>
              <c:txPr>
                <a:bodyPr rot="0" vert="horz"/>
                <a:lstStyle/>
                <a:p>
                  <a:pPr>
                    <a:defRPr sz="600"/>
                  </a:pPr>
                  <a:endParaRPr lang="cs-CZ"/>
                </a:p>
              </c:txPr>
            </c:dLbl>
            <c:dLbl>
              <c:idx val="3"/>
              <c:spPr/>
              <c:txPr>
                <a:bodyPr rot="0" vert="horz"/>
                <a:lstStyle/>
                <a:p>
                  <a:pPr>
                    <a:defRPr sz="600"/>
                  </a:pPr>
                  <a:endParaRPr lang="cs-CZ"/>
                </a:p>
              </c:txPr>
            </c:dLbl>
            <c:txPr>
              <a:bodyPr rot="-5400000" vert="horz"/>
              <a:lstStyle/>
              <a:p>
                <a:pPr>
                  <a:defRPr sz="600"/>
                </a:pPr>
                <a:endParaRPr lang="cs-CZ"/>
              </a:p>
            </c:txPr>
            <c:showVal val="1"/>
          </c:dLbls>
          <c:cat>
            <c:multiLvlStrRef>
              <c:f>List5!$A$12:$B$19</c:f>
              <c:multiLvlStrCache>
                <c:ptCount val="8"/>
                <c:lvl>
                  <c:pt idx="0">
                    <c:v>manželství</c:v>
                  </c:pt>
                  <c:pt idx="1">
                    <c:v>nesezdané soužití</c:v>
                  </c:pt>
                  <c:pt idx="2">
                    <c:v>manželství</c:v>
                  </c:pt>
                  <c:pt idx="3">
                    <c:v>nesezdané soužití</c:v>
                  </c:pt>
                  <c:pt idx="4">
                    <c:v>manželství</c:v>
                  </c:pt>
                  <c:pt idx="5">
                    <c:v>nesezdané soužití</c:v>
                  </c:pt>
                  <c:pt idx="6">
                    <c:v>manželství</c:v>
                  </c:pt>
                  <c:pt idx="7">
                    <c:v>nesezdané soužití</c:v>
                  </c:pt>
                </c:lvl>
                <c:lvl>
                  <c:pt idx="0">
                    <c:v>základní</c:v>
                  </c:pt>
                  <c:pt idx="2">
                    <c:v>středoškolské bez maturity</c:v>
                  </c:pt>
                  <c:pt idx="4">
                    <c:v>středoškolské s maturitou</c:v>
                  </c:pt>
                  <c:pt idx="6">
                    <c:v>vysokoškolské</c:v>
                  </c:pt>
                </c:lvl>
              </c:multiLvlStrCache>
            </c:multiLvlStrRef>
          </c:cat>
          <c:val>
            <c:numRef>
              <c:f>List5!$D$12:$D$19</c:f>
              <c:numCache>
                <c:formatCode>0.0%</c:formatCode>
                <c:ptCount val="8"/>
                <c:pt idx="0">
                  <c:v>0</c:v>
                </c:pt>
                <c:pt idx="1">
                  <c:v>0</c:v>
                </c:pt>
                <c:pt idx="2">
                  <c:v>5.8995630491397194E-2</c:v>
                </c:pt>
                <c:pt idx="3">
                  <c:v>8.7450678320469266E-2</c:v>
                </c:pt>
                <c:pt idx="4">
                  <c:v>0.47257693624932917</c:v>
                </c:pt>
                <c:pt idx="5">
                  <c:v>0.45156381494760561</c:v>
                </c:pt>
                <c:pt idx="6">
                  <c:v>0.4026292946753815</c:v>
                </c:pt>
                <c:pt idx="7">
                  <c:v>0.51178010471203683</c:v>
                </c:pt>
              </c:numCache>
            </c:numRef>
          </c:val>
        </c:ser>
        <c:ser>
          <c:idx val="2"/>
          <c:order val="2"/>
          <c:tx>
            <c:strRef>
              <c:f>List5!$E$11</c:f>
              <c:strCache>
                <c:ptCount val="1"/>
                <c:pt idx="0">
                  <c:v>žena nižší vzdělání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  <a:ln>
              <a:noFill/>
            </a:ln>
            <a:effectLst/>
          </c:spPr>
          <c:dLbls>
            <c:dLbl>
              <c:idx val="6"/>
              <c:delete val="1"/>
            </c:dLbl>
            <c:dLbl>
              <c:idx val="7"/>
              <c:delete val="1"/>
            </c:dLbl>
            <c:txPr>
              <a:bodyPr rot="-5400000" vert="horz"/>
              <a:lstStyle/>
              <a:p>
                <a:pPr>
                  <a:defRPr sz="600"/>
                </a:pPr>
                <a:endParaRPr lang="cs-CZ"/>
              </a:p>
            </c:txPr>
            <c:showVal val="1"/>
          </c:dLbls>
          <c:cat>
            <c:multiLvlStrRef>
              <c:f>List5!$A$12:$B$19</c:f>
              <c:multiLvlStrCache>
                <c:ptCount val="8"/>
                <c:lvl>
                  <c:pt idx="0">
                    <c:v>manželství</c:v>
                  </c:pt>
                  <c:pt idx="1">
                    <c:v>nesezdané soužití</c:v>
                  </c:pt>
                  <c:pt idx="2">
                    <c:v>manželství</c:v>
                  </c:pt>
                  <c:pt idx="3">
                    <c:v>nesezdané soužití</c:v>
                  </c:pt>
                  <c:pt idx="4">
                    <c:v>manželství</c:v>
                  </c:pt>
                  <c:pt idx="5">
                    <c:v>nesezdané soužití</c:v>
                  </c:pt>
                  <c:pt idx="6">
                    <c:v>manželství</c:v>
                  </c:pt>
                  <c:pt idx="7">
                    <c:v>nesezdané soužití</c:v>
                  </c:pt>
                </c:lvl>
                <c:lvl>
                  <c:pt idx="0">
                    <c:v>základní</c:v>
                  </c:pt>
                  <c:pt idx="2">
                    <c:v>středoškolské bez maturity</c:v>
                  </c:pt>
                  <c:pt idx="4">
                    <c:v>středoškolské s maturitou</c:v>
                  </c:pt>
                  <c:pt idx="6">
                    <c:v>vysokoškolské</c:v>
                  </c:pt>
                </c:lvl>
              </c:multiLvlStrCache>
            </c:multiLvlStrRef>
          </c:cat>
          <c:val>
            <c:numRef>
              <c:f>List5!$E$12:$E$19</c:f>
              <c:numCache>
                <c:formatCode>0.0%</c:formatCode>
                <c:ptCount val="8"/>
                <c:pt idx="0">
                  <c:v>0.74812251538074404</c:v>
                </c:pt>
                <c:pt idx="1">
                  <c:v>0.71791697295624246</c:v>
                </c:pt>
                <c:pt idx="2">
                  <c:v>0.28769382203060478</c:v>
                </c:pt>
                <c:pt idx="3">
                  <c:v>0.28915473252322627</c:v>
                </c:pt>
                <c:pt idx="4">
                  <c:v>0.14027105044278096</c:v>
                </c:pt>
                <c:pt idx="5">
                  <c:v>0.15082485042020691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</c:ser>
        <c:gapWidth val="33"/>
        <c:overlap val="100"/>
        <c:axId val="95627136"/>
        <c:axId val="95637504"/>
      </c:barChart>
      <c:catAx>
        <c:axId val="9562713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cs-CZ"/>
          </a:p>
        </c:txPr>
        <c:crossAx val="95637504"/>
        <c:crosses val="autoZero"/>
        <c:auto val="1"/>
        <c:lblAlgn val="ctr"/>
        <c:lblOffset val="100"/>
      </c:catAx>
      <c:valAx>
        <c:axId val="95637504"/>
        <c:scaling>
          <c:orientation val="minMax"/>
          <c:max val="1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tickLblPos val="none"/>
        <c:crossAx val="95627136"/>
        <c:crosses val="autoZero"/>
        <c:crossBetween val="between"/>
      </c:valAx>
      <c:spPr>
        <a:noFill/>
        <a:ln>
          <a:solidFill>
            <a:sysClr val="window" lastClr="FFFFFF">
              <a:lumMod val="85000"/>
            </a:sysClr>
          </a:solidFill>
        </a:ln>
        <a:effectLst/>
      </c:spPr>
    </c:plotArea>
    <c:legend>
      <c:legendPos val="b"/>
      <c:layout>
        <c:manualLayout>
          <c:xMode val="edge"/>
          <c:yMode val="edge"/>
          <c:x val="0"/>
          <c:y val="0.93719464797247765"/>
          <c:w val="0.9949150762934369"/>
          <c:h val="6.2805352027523062E-2"/>
        </c:manualLayout>
      </c:layout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cs-CZ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700">
          <a:solidFill>
            <a:sysClr val="windowText" lastClr="000000"/>
          </a:solidFill>
          <a:latin typeface="Arial" pitchFamily="34" charset="0"/>
          <a:cs typeface="Arial" pitchFamily="34" charset="0"/>
        </a:defRPr>
      </a:pPr>
      <a:endParaRPr lang="cs-CZ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title>
      <c:tx>
        <c:rich>
          <a:bodyPr rot="0" vert="horz"/>
          <a:lstStyle/>
          <a:p>
            <a:pPr>
              <a:defRPr/>
            </a:pPr>
            <a:r>
              <a:rPr lang="en-US"/>
              <a:t>muži</a:t>
            </a:r>
          </a:p>
        </c:rich>
      </c:tx>
      <c:layout>
        <c:manualLayout>
          <c:xMode val="edge"/>
          <c:yMode val="edge"/>
          <c:x val="8.5080110517699897E-2"/>
          <c:y val="4.3095070422535332E-2"/>
        </c:manualLayout>
      </c:layout>
      <c:spPr>
        <a:solidFill>
          <a:schemeClr val="bg1"/>
        </a:solidFill>
        <a:ln>
          <a:solidFill>
            <a:schemeClr val="bg1">
              <a:lumMod val="85000"/>
            </a:schemeClr>
          </a:solidFill>
        </a:ln>
        <a:effectLst/>
      </c:spPr>
    </c:title>
    <c:plotArea>
      <c:layout>
        <c:manualLayout>
          <c:layoutTarget val="inner"/>
          <c:xMode val="edge"/>
          <c:yMode val="edge"/>
          <c:x val="7.4704446633728924E-2"/>
          <c:y val="1.6309573347632448E-2"/>
          <c:w val="0.9102825164258046"/>
          <c:h val="0.90801744202045909"/>
        </c:manualLayout>
      </c:layout>
      <c:lineChart>
        <c:grouping val="standard"/>
        <c:ser>
          <c:idx val="0"/>
          <c:order val="0"/>
          <c:tx>
            <c:strRef>
              <c:f>List1!$B$78:$B$79</c:f>
              <c:strCache>
                <c:ptCount val="1"/>
                <c:pt idx="0">
                  <c:v>manželé stejné vzdělání</c:v>
                </c:pt>
              </c:strCache>
            </c:strRef>
          </c:tx>
          <c:spPr>
            <a:ln w="19050" cap="rnd">
              <a:solidFill>
                <a:schemeClr val="tx2"/>
              </a:solidFill>
              <a:round/>
            </a:ln>
            <a:effectLst/>
          </c:spPr>
          <c:marker>
            <c:symbol val="none"/>
          </c:marker>
          <c:cat>
            <c:strRef>
              <c:f>List1!$A$80:$A$86</c:f>
              <c:strCache>
                <c:ptCount val="7"/>
                <c:pt idx="0">
                  <c:v>-24</c:v>
                </c:pt>
                <c:pt idx="1">
                  <c:v>25-29</c:v>
                </c:pt>
                <c:pt idx="2">
                  <c:v>30-34</c:v>
                </c:pt>
                <c:pt idx="3">
                  <c:v>35-39</c:v>
                </c:pt>
                <c:pt idx="4">
                  <c:v>40-44</c:v>
                </c:pt>
                <c:pt idx="5">
                  <c:v>45-49</c:v>
                </c:pt>
                <c:pt idx="6">
                  <c:v>50+</c:v>
                </c:pt>
              </c:strCache>
            </c:strRef>
          </c:cat>
          <c:val>
            <c:numRef>
              <c:f>List1!$B$80:$B$86</c:f>
              <c:numCache>
                <c:formatCode>0.0</c:formatCode>
                <c:ptCount val="7"/>
                <c:pt idx="0">
                  <c:v>48.489369638194702</c:v>
                </c:pt>
                <c:pt idx="1">
                  <c:v>50.943230417715995</c:v>
                </c:pt>
                <c:pt idx="2">
                  <c:v>50.858623960799825</c:v>
                </c:pt>
                <c:pt idx="3">
                  <c:v>51.003099408834792</c:v>
                </c:pt>
                <c:pt idx="4">
                  <c:v>51.27866810125149</c:v>
                </c:pt>
                <c:pt idx="5">
                  <c:v>50.515811961081646</c:v>
                </c:pt>
                <c:pt idx="6">
                  <c:v>46.689211010515322</c:v>
                </c:pt>
              </c:numCache>
            </c:numRef>
          </c:val>
        </c:ser>
        <c:ser>
          <c:idx val="1"/>
          <c:order val="1"/>
          <c:tx>
            <c:strRef>
              <c:f>List1!$C$78:$C$79</c:f>
              <c:strCache>
                <c:ptCount val="1"/>
                <c:pt idx="0">
                  <c:v>manželé muž nižší vzdělání</c:v>
                </c:pt>
              </c:strCache>
            </c:strRef>
          </c:tx>
          <c:spPr>
            <a:ln w="19050" cap="rnd">
              <a:solidFill>
                <a:schemeClr val="tx2"/>
              </a:solidFill>
              <a:prstDash val="sysDash"/>
              <a:round/>
            </a:ln>
            <a:effectLst/>
          </c:spPr>
          <c:marker>
            <c:symbol val="none"/>
          </c:marker>
          <c:cat>
            <c:strRef>
              <c:f>List1!$A$80:$A$86</c:f>
              <c:strCache>
                <c:ptCount val="7"/>
                <c:pt idx="0">
                  <c:v>-24</c:v>
                </c:pt>
                <c:pt idx="1">
                  <c:v>25-29</c:v>
                </c:pt>
                <c:pt idx="2">
                  <c:v>30-34</c:v>
                </c:pt>
                <c:pt idx="3">
                  <c:v>35-39</c:v>
                </c:pt>
                <c:pt idx="4">
                  <c:v>40-44</c:v>
                </c:pt>
                <c:pt idx="5">
                  <c:v>45-49</c:v>
                </c:pt>
                <c:pt idx="6">
                  <c:v>50+</c:v>
                </c:pt>
              </c:strCache>
            </c:strRef>
          </c:cat>
          <c:val>
            <c:numRef>
              <c:f>List1!$C$80:$C$86</c:f>
              <c:numCache>
                <c:formatCode>0.0</c:formatCode>
                <c:ptCount val="7"/>
                <c:pt idx="0">
                  <c:v>33.979858261841997</c:v>
                </c:pt>
                <c:pt idx="1">
                  <c:v>33.730739937899529</c:v>
                </c:pt>
                <c:pt idx="2">
                  <c:v>33.187926230793941</c:v>
                </c:pt>
                <c:pt idx="3">
                  <c:v>31.100537692970189</c:v>
                </c:pt>
                <c:pt idx="4">
                  <c:v>26.810691432130923</c:v>
                </c:pt>
                <c:pt idx="5">
                  <c:v>26.500116223724877</c:v>
                </c:pt>
                <c:pt idx="6">
                  <c:v>19.977323971899889</c:v>
                </c:pt>
              </c:numCache>
            </c:numRef>
          </c:val>
        </c:ser>
        <c:ser>
          <c:idx val="2"/>
          <c:order val="2"/>
          <c:tx>
            <c:strRef>
              <c:f>List1!$D$78:$D$79</c:f>
              <c:strCache>
                <c:ptCount val="1"/>
                <c:pt idx="0">
                  <c:v>manželé muž vyšší vzdělání</c:v>
                </c:pt>
              </c:strCache>
            </c:strRef>
          </c:tx>
          <c:spPr>
            <a:ln w="19050" cap="rnd">
              <a:solidFill>
                <a:schemeClr val="tx2"/>
              </a:solidFill>
              <a:prstDash val="lgDashDot"/>
              <a:round/>
            </a:ln>
            <a:effectLst/>
          </c:spPr>
          <c:marker>
            <c:symbol val="none"/>
          </c:marker>
          <c:cat>
            <c:strRef>
              <c:f>List1!$A$80:$A$86</c:f>
              <c:strCache>
                <c:ptCount val="7"/>
                <c:pt idx="0">
                  <c:v>-24</c:v>
                </c:pt>
                <c:pt idx="1">
                  <c:v>25-29</c:v>
                </c:pt>
                <c:pt idx="2">
                  <c:v>30-34</c:v>
                </c:pt>
                <c:pt idx="3">
                  <c:v>35-39</c:v>
                </c:pt>
                <c:pt idx="4">
                  <c:v>40-44</c:v>
                </c:pt>
                <c:pt idx="5">
                  <c:v>45-49</c:v>
                </c:pt>
                <c:pt idx="6">
                  <c:v>50+</c:v>
                </c:pt>
              </c:strCache>
            </c:strRef>
          </c:cat>
          <c:val>
            <c:numRef>
              <c:f>List1!$D$80:$D$86</c:f>
              <c:numCache>
                <c:formatCode>0.0</c:formatCode>
                <c:ptCount val="7"/>
                <c:pt idx="0">
                  <c:v>17.530772099962689</c:v>
                </c:pt>
                <c:pt idx="1">
                  <c:v>15.326029644384557</c:v>
                </c:pt>
                <c:pt idx="2">
                  <c:v>15.953449808406466</c:v>
                </c:pt>
                <c:pt idx="3">
                  <c:v>17.896362898194816</c:v>
                </c:pt>
                <c:pt idx="4">
                  <c:v>21.91064046661759</c:v>
                </c:pt>
                <c:pt idx="5">
                  <c:v>22.984071815193186</c:v>
                </c:pt>
                <c:pt idx="6">
                  <c:v>33.333465017584786</c:v>
                </c:pt>
              </c:numCache>
            </c:numRef>
          </c:val>
        </c:ser>
        <c:ser>
          <c:idx val="3"/>
          <c:order val="3"/>
          <c:tx>
            <c:strRef>
              <c:f>List1!$E$78:$E$79</c:f>
              <c:strCache>
                <c:ptCount val="1"/>
                <c:pt idx="0">
                  <c:v>NS bez dětí stejné vzdělání</c:v>
                </c:pt>
              </c:strCache>
            </c:strRef>
          </c:tx>
          <c:spPr>
            <a:ln w="19050" cap="rnd">
              <a:solidFill>
                <a:srgbClr val="FFC000"/>
              </a:solidFill>
              <a:round/>
            </a:ln>
            <a:effectLst/>
          </c:spPr>
          <c:marker>
            <c:symbol val="none"/>
          </c:marker>
          <c:cat>
            <c:strRef>
              <c:f>List1!$A$80:$A$86</c:f>
              <c:strCache>
                <c:ptCount val="7"/>
                <c:pt idx="0">
                  <c:v>-24</c:v>
                </c:pt>
                <c:pt idx="1">
                  <c:v>25-29</c:v>
                </c:pt>
                <c:pt idx="2">
                  <c:v>30-34</c:v>
                </c:pt>
                <c:pt idx="3">
                  <c:v>35-39</c:v>
                </c:pt>
                <c:pt idx="4">
                  <c:v>40-44</c:v>
                </c:pt>
                <c:pt idx="5">
                  <c:v>45-49</c:v>
                </c:pt>
                <c:pt idx="6">
                  <c:v>50+</c:v>
                </c:pt>
              </c:strCache>
            </c:strRef>
          </c:cat>
          <c:val>
            <c:numRef>
              <c:f>List1!$E$80:$E$86</c:f>
              <c:numCache>
                <c:formatCode>0.0</c:formatCode>
                <c:ptCount val="7"/>
                <c:pt idx="0">
                  <c:v>47.741433021806856</c:v>
                </c:pt>
                <c:pt idx="1">
                  <c:v>51.168947946848206</c:v>
                </c:pt>
                <c:pt idx="2">
                  <c:v>48.715686274509913</c:v>
                </c:pt>
                <c:pt idx="3">
                  <c:v>46.076823478635994</c:v>
                </c:pt>
                <c:pt idx="4">
                  <c:v>47.414658634538156</c:v>
                </c:pt>
                <c:pt idx="5">
                  <c:v>45.515911282546</c:v>
                </c:pt>
                <c:pt idx="6">
                  <c:v>43.949435982970201</c:v>
                </c:pt>
              </c:numCache>
            </c:numRef>
          </c:val>
        </c:ser>
        <c:ser>
          <c:idx val="4"/>
          <c:order val="4"/>
          <c:tx>
            <c:strRef>
              <c:f>List1!$F$78:$F$79</c:f>
              <c:strCache>
                <c:ptCount val="1"/>
                <c:pt idx="0">
                  <c:v>NS bez dětí muž nižší vzdělání</c:v>
                </c:pt>
              </c:strCache>
            </c:strRef>
          </c:tx>
          <c:spPr>
            <a:ln w="19050" cap="rnd">
              <a:solidFill>
                <a:srgbClr val="FFC000"/>
              </a:solidFill>
              <a:prstDash val="sysDash"/>
              <a:round/>
            </a:ln>
            <a:effectLst/>
          </c:spPr>
          <c:marker>
            <c:symbol val="none"/>
          </c:marker>
          <c:cat>
            <c:strRef>
              <c:f>List1!$A$80:$A$86</c:f>
              <c:strCache>
                <c:ptCount val="7"/>
                <c:pt idx="0">
                  <c:v>-24</c:v>
                </c:pt>
                <c:pt idx="1">
                  <c:v>25-29</c:v>
                </c:pt>
                <c:pt idx="2">
                  <c:v>30-34</c:v>
                </c:pt>
                <c:pt idx="3">
                  <c:v>35-39</c:v>
                </c:pt>
                <c:pt idx="4">
                  <c:v>40-44</c:v>
                </c:pt>
                <c:pt idx="5">
                  <c:v>45-49</c:v>
                </c:pt>
                <c:pt idx="6">
                  <c:v>50+</c:v>
                </c:pt>
              </c:strCache>
            </c:strRef>
          </c:cat>
          <c:val>
            <c:numRef>
              <c:f>List1!$F$80:$F$86</c:f>
              <c:numCache>
                <c:formatCode>0.0</c:formatCode>
                <c:ptCount val="7"/>
                <c:pt idx="0">
                  <c:v>38.590342679128099</c:v>
                </c:pt>
                <c:pt idx="1">
                  <c:v>33.839544410030946</c:v>
                </c:pt>
                <c:pt idx="2">
                  <c:v>35.156862745098024</c:v>
                </c:pt>
                <c:pt idx="3">
                  <c:v>35.028053517479513</c:v>
                </c:pt>
                <c:pt idx="4">
                  <c:v>28.313253012048335</c:v>
                </c:pt>
                <c:pt idx="5">
                  <c:v>26.04735883424409</c:v>
                </c:pt>
                <c:pt idx="6">
                  <c:v>23.234429179651496</c:v>
                </c:pt>
              </c:numCache>
            </c:numRef>
          </c:val>
        </c:ser>
        <c:ser>
          <c:idx val="5"/>
          <c:order val="5"/>
          <c:tx>
            <c:strRef>
              <c:f>List1!$G$78:$G$79</c:f>
              <c:strCache>
                <c:ptCount val="1"/>
                <c:pt idx="0">
                  <c:v>NS bez dětí muž vyšší vzdělání</c:v>
                </c:pt>
              </c:strCache>
            </c:strRef>
          </c:tx>
          <c:spPr>
            <a:ln w="19050" cap="rnd">
              <a:solidFill>
                <a:srgbClr val="FFC000"/>
              </a:solidFill>
              <a:prstDash val="lgDashDot"/>
              <a:round/>
            </a:ln>
            <a:effectLst/>
          </c:spPr>
          <c:marker>
            <c:symbol val="none"/>
          </c:marker>
          <c:cat>
            <c:strRef>
              <c:f>List1!$A$80:$A$86</c:f>
              <c:strCache>
                <c:ptCount val="7"/>
                <c:pt idx="0">
                  <c:v>-24</c:v>
                </c:pt>
                <c:pt idx="1">
                  <c:v>25-29</c:v>
                </c:pt>
                <c:pt idx="2">
                  <c:v>30-34</c:v>
                </c:pt>
                <c:pt idx="3">
                  <c:v>35-39</c:v>
                </c:pt>
                <c:pt idx="4">
                  <c:v>40-44</c:v>
                </c:pt>
                <c:pt idx="5">
                  <c:v>45-49</c:v>
                </c:pt>
                <c:pt idx="6">
                  <c:v>50+</c:v>
                </c:pt>
              </c:strCache>
            </c:strRef>
          </c:cat>
          <c:val>
            <c:numRef>
              <c:f>List1!$G$80:$G$86</c:f>
              <c:numCache>
                <c:formatCode>0.0</c:formatCode>
                <c:ptCount val="7"/>
                <c:pt idx="0">
                  <c:v>13.66822429906542</c:v>
                </c:pt>
                <c:pt idx="1">
                  <c:v>14.99150764312119</c:v>
                </c:pt>
                <c:pt idx="2">
                  <c:v>16.127450980392158</c:v>
                </c:pt>
                <c:pt idx="3">
                  <c:v>18.895123003884329</c:v>
                </c:pt>
                <c:pt idx="4">
                  <c:v>24.272088353413654</c:v>
                </c:pt>
                <c:pt idx="5">
                  <c:v>28.436729883209843</c:v>
                </c:pt>
                <c:pt idx="6">
                  <c:v>32.816134837378762</c:v>
                </c:pt>
              </c:numCache>
            </c:numRef>
          </c:val>
        </c:ser>
        <c:ser>
          <c:idx val="6"/>
          <c:order val="6"/>
          <c:tx>
            <c:strRef>
              <c:f>List1!$H$78:$H$79</c:f>
              <c:strCache>
                <c:ptCount val="1"/>
                <c:pt idx="0">
                  <c:v>NS s dětmi stejné vzdělání</c:v>
                </c:pt>
              </c:strCache>
            </c:strRef>
          </c:tx>
          <c:spPr>
            <a:ln w="19050" cap="rnd">
              <a:solidFill>
                <a:schemeClr val="accent6">
                  <a:lumMod val="75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List1!$A$80:$A$86</c:f>
              <c:strCache>
                <c:ptCount val="7"/>
                <c:pt idx="0">
                  <c:v>-24</c:v>
                </c:pt>
                <c:pt idx="1">
                  <c:v>25-29</c:v>
                </c:pt>
                <c:pt idx="2">
                  <c:v>30-34</c:v>
                </c:pt>
                <c:pt idx="3">
                  <c:v>35-39</c:v>
                </c:pt>
                <c:pt idx="4">
                  <c:v>40-44</c:v>
                </c:pt>
                <c:pt idx="5">
                  <c:v>45-49</c:v>
                </c:pt>
                <c:pt idx="6">
                  <c:v>50+</c:v>
                </c:pt>
              </c:strCache>
            </c:strRef>
          </c:cat>
          <c:val>
            <c:numRef>
              <c:f>List1!$H$80:$H$86</c:f>
              <c:numCache>
                <c:formatCode>0.0</c:formatCode>
                <c:ptCount val="7"/>
                <c:pt idx="0">
                  <c:v>48.017241379309944</c:v>
                </c:pt>
                <c:pt idx="1">
                  <c:v>45.603390156987381</c:v>
                </c:pt>
                <c:pt idx="2">
                  <c:v>46.488321344863813</c:v>
                </c:pt>
                <c:pt idx="3">
                  <c:v>47.135235444212476</c:v>
                </c:pt>
                <c:pt idx="4">
                  <c:v>47.802409021014846</c:v>
                </c:pt>
                <c:pt idx="5">
                  <c:v>47.074788902291921</c:v>
                </c:pt>
                <c:pt idx="6">
                  <c:v>45.055970149253731</c:v>
                </c:pt>
              </c:numCache>
            </c:numRef>
          </c:val>
        </c:ser>
        <c:ser>
          <c:idx val="7"/>
          <c:order val="7"/>
          <c:tx>
            <c:strRef>
              <c:f>List1!$I$78:$I$79</c:f>
              <c:strCache>
                <c:ptCount val="1"/>
                <c:pt idx="0">
                  <c:v>NS s dětmi muž nižší vzdělání</c:v>
                </c:pt>
              </c:strCache>
            </c:strRef>
          </c:tx>
          <c:spPr>
            <a:ln w="19050" cap="rnd">
              <a:solidFill>
                <a:schemeClr val="accent6">
                  <a:lumMod val="75000"/>
                </a:schemeClr>
              </a:solidFill>
              <a:prstDash val="sysDash"/>
              <a:round/>
            </a:ln>
            <a:effectLst/>
          </c:spPr>
          <c:marker>
            <c:symbol val="none"/>
          </c:marker>
          <c:cat>
            <c:strRef>
              <c:f>List1!$A$80:$A$86</c:f>
              <c:strCache>
                <c:ptCount val="7"/>
                <c:pt idx="0">
                  <c:v>-24</c:v>
                </c:pt>
                <c:pt idx="1">
                  <c:v>25-29</c:v>
                </c:pt>
                <c:pt idx="2">
                  <c:v>30-34</c:v>
                </c:pt>
                <c:pt idx="3">
                  <c:v>35-39</c:v>
                </c:pt>
                <c:pt idx="4">
                  <c:v>40-44</c:v>
                </c:pt>
                <c:pt idx="5">
                  <c:v>45-49</c:v>
                </c:pt>
                <c:pt idx="6">
                  <c:v>50+</c:v>
                </c:pt>
              </c:strCache>
            </c:strRef>
          </c:cat>
          <c:val>
            <c:numRef>
              <c:f>List1!$I$80:$I$86</c:f>
              <c:numCache>
                <c:formatCode>0.0</c:formatCode>
                <c:ptCount val="7"/>
                <c:pt idx="0">
                  <c:v>30.129310344827587</c:v>
                </c:pt>
                <c:pt idx="1">
                  <c:v>31.773090628912648</c:v>
                </c:pt>
                <c:pt idx="2">
                  <c:v>33.132627495352217</c:v>
                </c:pt>
                <c:pt idx="3">
                  <c:v>33.283074306038863</c:v>
                </c:pt>
                <c:pt idx="4">
                  <c:v>28.677601230138389</c:v>
                </c:pt>
                <c:pt idx="5">
                  <c:v>27.905106554080955</c:v>
                </c:pt>
                <c:pt idx="6">
                  <c:v>29.45429104477612</c:v>
                </c:pt>
              </c:numCache>
            </c:numRef>
          </c:val>
        </c:ser>
        <c:ser>
          <c:idx val="8"/>
          <c:order val="8"/>
          <c:tx>
            <c:strRef>
              <c:f>List1!$J$78:$J$79</c:f>
              <c:strCache>
                <c:ptCount val="1"/>
                <c:pt idx="0">
                  <c:v>NS s dětmi muž vyšší vzdělání</c:v>
                </c:pt>
              </c:strCache>
            </c:strRef>
          </c:tx>
          <c:spPr>
            <a:ln w="19050" cap="rnd">
              <a:solidFill>
                <a:schemeClr val="accent6">
                  <a:lumMod val="75000"/>
                </a:schemeClr>
              </a:solidFill>
              <a:prstDash val="lgDashDot"/>
              <a:round/>
            </a:ln>
            <a:effectLst/>
          </c:spPr>
          <c:marker>
            <c:symbol val="none"/>
          </c:marker>
          <c:cat>
            <c:strRef>
              <c:f>List1!$A$80:$A$86</c:f>
              <c:strCache>
                <c:ptCount val="7"/>
                <c:pt idx="0">
                  <c:v>-24</c:v>
                </c:pt>
                <c:pt idx="1">
                  <c:v>25-29</c:v>
                </c:pt>
                <c:pt idx="2">
                  <c:v>30-34</c:v>
                </c:pt>
                <c:pt idx="3">
                  <c:v>35-39</c:v>
                </c:pt>
                <c:pt idx="4">
                  <c:v>40-44</c:v>
                </c:pt>
                <c:pt idx="5">
                  <c:v>45-49</c:v>
                </c:pt>
                <c:pt idx="6">
                  <c:v>50+</c:v>
                </c:pt>
              </c:strCache>
            </c:strRef>
          </c:cat>
          <c:val>
            <c:numRef>
              <c:f>List1!$J$80:$J$86</c:f>
              <c:numCache>
                <c:formatCode>0.0</c:formatCode>
                <c:ptCount val="7"/>
                <c:pt idx="0">
                  <c:v>21.853448275862029</c:v>
                </c:pt>
                <c:pt idx="1">
                  <c:v>22.623519214099929</c:v>
                </c:pt>
                <c:pt idx="2">
                  <c:v>20.379051159783398</c:v>
                </c:pt>
                <c:pt idx="3">
                  <c:v>19.581690249748689</c:v>
                </c:pt>
                <c:pt idx="4">
                  <c:v>23.519989748846935</c:v>
                </c:pt>
                <c:pt idx="5">
                  <c:v>25.020104543626829</c:v>
                </c:pt>
                <c:pt idx="6">
                  <c:v>25.489738805969683</c:v>
                </c:pt>
              </c:numCache>
            </c:numRef>
          </c:val>
        </c:ser>
        <c:marker val="1"/>
        <c:axId val="95927680"/>
        <c:axId val="132551424"/>
      </c:lineChart>
      <c:catAx>
        <c:axId val="95927680"/>
        <c:scaling>
          <c:orientation val="minMax"/>
        </c:scaling>
        <c:axPos val="b"/>
        <c:numFmt formatCode="General" sourceLinked="1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cs-CZ"/>
          </a:p>
        </c:txPr>
        <c:crossAx val="132551424"/>
        <c:crosses val="autoZero"/>
        <c:auto val="1"/>
        <c:lblAlgn val="ctr"/>
        <c:lblOffset val="100"/>
      </c:catAx>
      <c:valAx>
        <c:axId val="13255142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podíl (%)</a:t>
                </a:r>
              </a:p>
            </c:rich>
          </c:tx>
          <c:layout>
            <c:manualLayout>
              <c:xMode val="edge"/>
              <c:yMode val="edge"/>
              <c:x val="7.5066110621403543E-3"/>
              <c:y val="0.34283920187793432"/>
            </c:manualLayout>
          </c:layout>
        </c:title>
        <c:numFmt formatCode="0" sourceLinked="0"/>
        <c:maj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cs-CZ"/>
          </a:p>
        </c:txPr>
        <c:crossAx val="95927680"/>
        <c:crosses val="autoZero"/>
        <c:crossBetween val="between"/>
        <c:majorUnit val="10"/>
      </c:valAx>
      <c:spPr>
        <a:noFill/>
        <a:ln>
          <a:solidFill>
            <a:sysClr val="window" lastClr="FFFFFF">
              <a:lumMod val="85000"/>
            </a:sysClr>
          </a:solidFill>
        </a:ln>
        <a:effectLst/>
      </c:spPr>
    </c:plotArea>
    <c:legend>
      <c:legendPos val="b"/>
      <c:layout>
        <c:manualLayout>
          <c:xMode val="edge"/>
          <c:yMode val="edge"/>
          <c:x val="8.2204020710957698E-2"/>
          <c:y val="0.78029303599374022"/>
          <c:w val="0.88510362886200356"/>
          <c:h val="0.13506142410015651"/>
        </c:manualLayout>
      </c:layout>
      <c:spPr>
        <a:solidFill>
          <a:sysClr val="window" lastClr="FFFFFF"/>
        </a:solidFill>
        <a:ln>
          <a:solidFill>
            <a:sysClr val="windowText" lastClr="000000">
              <a:lumMod val="15000"/>
              <a:lumOff val="85000"/>
            </a:sysClr>
          </a:solidFill>
        </a:ln>
        <a:effectLst/>
      </c:spPr>
      <c:txPr>
        <a:bodyPr rot="0" vert="horz"/>
        <a:lstStyle/>
        <a:p>
          <a:pPr>
            <a:defRPr sz="600"/>
          </a:pPr>
          <a:endParaRPr lang="cs-CZ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800">
          <a:latin typeface="Arial" pitchFamily="34" charset="0"/>
          <a:cs typeface="Arial" pitchFamily="34" charset="0"/>
        </a:defRPr>
      </a:pPr>
      <a:endParaRPr lang="cs-CZ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title>
      <c:tx>
        <c:rich>
          <a:bodyPr rot="0" vert="horz"/>
          <a:lstStyle/>
          <a:p>
            <a:pPr>
              <a:defRPr/>
            </a:pPr>
            <a:r>
              <a:rPr lang="en-US"/>
              <a:t>ženy</a:t>
            </a:r>
          </a:p>
        </c:rich>
      </c:tx>
      <c:layout>
        <c:manualLayout>
          <c:xMode val="edge"/>
          <c:yMode val="edge"/>
          <c:x val="8.6051955170703701E-2"/>
          <c:y val="4.9528560250391512E-2"/>
        </c:manualLayout>
      </c:layout>
      <c:spPr>
        <a:solidFill>
          <a:sysClr val="window" lastClr="FFFFFF"/>
        </a:solidFill>
        <a:ln>
          <a:solidFill>
            <a:sysClr val="windowText" lastClr="000000">
              <a:lumMod val="15000"/>
              <a:lumOff val="85000"/>
            </a:sysClr>
          </a:solidFill>
        </a:ln>
        <a:effectLst/>
      </c:spPr>
    </c:title>
    <c:plotArea>
      <c:layout>
        <c:manualLayout>
          <c:layoutTarget val="inner"/>
          <c:xMode val="edge"/>
          <c:yMode val="edge"/>
          <c:x val="7.3099458522529456E-2"/>
          <c:y val="1.16338509956445E-2"/>
          <c:w val="0.91188731935319634"/>
          <c:h val="0.94193448318132578"/>
        </c:manualLayout>
      </c:layout>
      <c:lineChart>
        <c:grouping val="standard"/>
        <c:ser>
          <c:idx val="0"/>
          <c:order val="0"/>
          <c:tx>
            <c:strRef>
              <c:f>List1!$L$78:$L$79</c:f>
              <c:strCache>
                <c:ptCount val="1"/>
                <c:pt idx="0">
                  <c:v>manželé stejné vzdělání</c:v>
                </c:pt>
              </c:strCache>
            </c:strRef>
          </c:tx>
          <c:spPr>
            <a:ln w="19050" cap="rnd">
              <a:solidFill>
                <a:schemeClr val="tx2"/>
              </a:solidFill>
              <a:round/>
            </a:ln>
            <a:effectLst/>
          </c:spPr>
          <c:marker>
            <c:symbol val="none"/>
          </c:marker>
          <c:cat>
            <c:strRef>
              <c:f>List1!$K$80:$K$86</c:f>
              <c:strCache>
                <c:ptCount val="7"/>
                <c:pt idx="0">
                  <c:v>-24</c:v>
                </c:pt>
                <c:pt idx="1">
                  <c:v>25-29</c:v>
                </c:pt>
                <c:pt idx="2">
                  <c:v>30-34</c:v>
                </c:pt>
                <c:pt idx="3">
                  <c:v>35-39</c:v>
                </c:pt>
                <c:pt idx="4">
                  <c:v>40-44</c:v>
                </c:pt>
                <c:pt idx="5">
                  <c:v>45-49</c:v>
                </c:pt>
                <c:pt idx="6">
                  <c:v>50+</c:v>
                </c:pt>
              </c:strCache>
            </c:strRef>
          </c:cat>
          <c:val>
            <c:numRef>
              <c:f>List1!$L$80:$L$86</c:f>
              <c:numCache>
                <c:formatCode>0.0</c:formatCode>
                <c:ptCount val="7"/>
                <c:pt idx="0">
                  <c:v>46.770578647107037</c:v>
                </c:pt>
                <c:pt idx="1">
                  <c:v>48.653600340860677</c:v>
                </c:pt>
                <c:pt idx="2">
                  <c:v>50.012340139107032</c:v>
                </c:pt>
                <c:pt idx="3">
                  <c:v>51.928215156280281</c:v>
                </c:pt>
                <c:pt idx="4">
                  <c:v>51.073725055432121</c:v>
                </c:pt>
                <c:pt idx="5">
                  <c:v>50.011532505189628</c:v>
                </c:pt>
                <c:pt idx="6">
                  <c:v>46.457633901771999</c:v>
                </c:pt>
              </c:numCache>
            </c:numRef>
          </c:val>
        </c:ser>
        <c:ser>
          <c:idx val="1"/>
          <c:order val="1"/>
          <c:tx>
            <c:strRef>
              <c:f>List1!$M$78:$M$79</c:f>
              <c:strCache>
                <c:ptCount val="1"/>
                <c:pt idx="0">
                  <c:v>manželé žena vyšší vzdělání</c:v>
                </c:pt>
              </c:strCache>
            </c:strRef>
          </c:tx>
          <c:spPr>
            <a:ln w="19050" cap="rnd">
              <a:solidFill>
                <a:schemeClr val="tx2"/>
              </a:solidFill>
              <a:prstDash val="lgDashDot"/>
              <a:round/>
            </a:ln>
            <a:effectLst/>
          </c:spPr>
          <c:marker>
            <c:symbol val="none"/>
          </c:marker>
          <c:cat>
            <c:strRef>
              <c:f>List1!$K$80:$K$86</c:f>
              <c:strCache>
                <c:ptCount val="7"/>
                <c:pt idx="0">
                  <c:v>-24</c:v>
                </c:pt>
                <c:pt idx="1">
                  <c:v>25-29</c:v>
                </c:pt>
                <c:pt idx="2">
                  <c:v>30-34</c:v>
                </c:pt>
                <c:pt idx="3">
                  <c:v>35-39</c:v>
                </c:pt>
                <c:pt idx="4">
                  <c:v>40-44</c:v>
                </c:pt>
                <c:pt idx="5">
                  <c:v>45-49</c:v>
                </c:pt>
                <c:pt idx="6">
                  <c:v>50+</c:v>
                </c:pt>
              </c:strCache>
            </c:strRef>
          </c:cat>
          <c:val>
            <c:numRef>
              <c:f>List1!$M$80:$M$86</c:f>
              <c:numCache>
                <c:formatCode>0.0</c:formatCode>
                <c:ptCount val="7"/>
                <c:pt idx="0">
                  <c:v>29.513039934800329</c:v>
                </c:pt>
                <c:pt idx="1">
                  <c:v>35.602897315722196</c:v>
                </c:pt>
                <c:pt idx="2">
                  <c:v>33.079425622615993</c:v>
                </c:pt>
                <c:pt idx="3">
                  <c:v>26.880116787794929</c:v>
                </c:pt>
                <c:pt idx="4">
                  <c:v>27.247228381374722</c:v>
                </c:pt>
                <c:pt idx="5">
                  <c:v>27.488549869847169</c:v>
                </c:pt>
                <c:pt idx="6">
                  <c:v>19.050959379238293</c:v>
                </c:pt>
              </c:numCache>
            </c:numRef>
          </c:val>
        </c:ser>
        <c:ser>
          <c:idx val="2"/>
          <c:order val="2"/>
          <c:tx>
            <c:strRef>
              <c:f>List1!$N$78:$N$79</c:f>
              <c:strCache>
                <c:ptCount val="1"/>
                <c:pt idx="0">
                  <c:v>manželé ženy nižší vzdělání</c:v>
                </c:pt>
              </c:strCache>
            </c:strRef>
          </c:tx>
          <c:spPr>
            <a:ln w="19050" cap="rnd">
              <a:solidFill>
                <a:schemeClr val="tx2"/>
              </a:solidFill>
              <a:prstDash val="sysDash"/>
              <a:round/>
            </a:ln>
            <a:effectLst/>
          </c:spPr>
          <c:marker>
            <c:symbol val="none"/>
          </c:marker>
          <c:cat>
            <c:strRef>
              <c:f>List1!$K$80:$K$86</c:f>
              <c:strCache>
                <c:ptCount val="7"/>
                <c:pt idx="0">
                  <c:v>-24</c:v>
                </c:pt>
                <c:pt idx="1">
                  <c:v>25-29</c:v>
                </c:pt>
                <c:pt idx="2">
                  <c:v>30-34</c:v>
                </c:pt>
                <c:pt idx="3">
                  <c:v>35-39</c:v>
                </c:pt>
                <c:pt idx="4">
                  <c:v>40-44</c:v>
                </c:pt>
                <c:pt idx="5">
                  <c:v>45-49</c:v>
                </c:pt>
                <c:pt idx="6">
                  <c:v>50+</c:v>
                </c:pt>
              </c:strCache>
            </c:strRef>
          </c:cat>
          <c:val>
            <c:numRef>
              <c:f>List1!$N$80:$N$86</c:f>
              <c:numCache>
                <c:formatCode>0.0</c:formatCode>
                <c:ptCount val="7"/>
                <c:pt idx="0">
                  <c:v>23.71638141809305</c:v>
                </c:pt>
                <c:pt idx="1">
                  <c:v>15.743502343417118</c:v>
                </c:pt>
                <c:pt idx="2">
                  <c:v>16.908234238276709</c:v>
                </c:pt>
                <c:pt idx="3">
                  <c:v>21.19166805592479</c:v>
                </c:pt>
                <c:pt idx="4">
                  <c:v>21.679046563192902</c:v>
                </c:pt>
                <c:pt idx="5">
                  <c:v>22.499917624962929</c:v>
                </c:pt>
                <c:pt idx="6">
                  <c:v>34.491406718989928</c:v>
                </c:pt>
              </c:numCache>
            </c:numRef>
          </c:val>
        </c:ser>
        <c:ser>
          <c:idx val="3"/>
          <c:order val="3"/>
          <c:tx>
            <c:strRef>
              <c:f>List1!$O$78:$O$79</c:f>
              <c:strCache>
                <c:ptCount val="1"/>
                <c:pt idx="0">
                  <c:v>NS bez dětí stejné vzdělání</c:v>
                </c:pt>
              </c:strCache>
            </c:strRef>
          </c:tx>
          <c:spPr>
            <a:ln w="19050" cap="rnd">
              <a:solidFill>
                <a:srgbClr val="FFC000"/>
              </a:solidFill>
              <a:round/>
            </a:ln>
            <a:effectLst/>
          </c:spPr>
          <c:marker>
            <c:symbol val="none"/>
          </c:marker>
          <c:cat>
            <c:strRef>
              <c:f>List1!$K$80:$K$86</c:f>
              <c:strCache>
                <c:ptCount val="7"/>
                <c:pt idx="0">
                  <c:v>-24</c:v>
                </c:pt>
                <c:pt idx="1">
                  <c:v>25-29</c:v>
                </c:pt>
                <c:pt idx="2">
                  <c:v>30-34</c:v>
                </c:pt>
                <c:pt idx="3">
                  <c:v>35-39</c:v>
                </c:pt>
                <c:pt idx="4">
                  <c:v>40-44</c:v>
                </c:pt>
                <c:pt idx="5">
                  <c:v>45-49</c:v>
                </c:pt>
                <c:pt idx="6">
                  <c:v>50+</c:v>
                </c:pt>
              </c:strCache>
            </c:strRef>
          </c:cat>
          <c:val>
            <c:numRef>
              <c:f>List1!$O$80:$O$86</c:f>
              <c:numCache>
                <c:formatCode>0.0</c:formatCode>
                <c:ptCount val="7"/>
                <c:pt idx="0">
                  <c:v>45.8600275727838</c:v>
                </c:pt>
                <c:pt idx="1">
                  <c:v>49.714898013853244</c:v>
                </c:pt>
                <c:pt idx="2">
                  <c:v>49.565102793885373</c:v>
                </c:pt>
                <c:pt idx="3">
                  <c:v>49.016370890081213</c:v>
                </c:pt>
                <c:pt idx="4">
                  <c:v>48.109215017064862</c:v>
                </c:pt>
                <c:pt idx="5">
                  <c:v>45.462394474289994</c:v>
                </c:pt>
                <c:pt idx="6">
                  <c:v>43.60338573156001</c:v>
                </c:pt>
              </c:numCache>
            </c:numRef>
          </c:val>
        </c:ser>
        <c:ser>
          <c:idx val="4"/>
          <c:order val="4"/>
          <c:tx>
            <c:strRef>
              <c:f>List1!$P$78:$P$79</c:f>
              <c:strCache>
                <c:ptCount val="1"/>
                <c:pt idx="0">
                  <c:v>NS bez dětí žena vyšší vzdělání</c:v>
                </c:pt>
              </c:strCache>
            </c:strRef>
          </c:tx>
          <c:spPr>
            <a:ln w="19050" cap="rnd">
              <a:solidFill>
                <a:srgbClr val="FFC000"/>
              </a:solidFill>
              <a:prstDash val="lgDashDot"/>
              <a:round/>
            </a:ln>
            <a:effectLst/>
          </c:spPr>
          <c:marker>
            <c:symbol val="none"/>
          </c:marker>
          <c:cat>
            <c:strRef>
              <c:f>List1!$K$80:$K$86</c:f>
              <c:strCache>
                <c:ptCount val="7"/>
                <c:pt idx="0">
                  <c:v>-24</c:v>
                </c:pt>
                <c:pt idx="1">
                  <c:v>25-29</c:v>
                </c:pt>
                <c:pt idx="2">
                  <c:v>30-34</c:v>
                </c:pt>
                <c:pt idx="3">
                  <c:v>35-39</c:v>
                </c:pt>
                <c:pt idx="4">
                  <c:v>40-44</c:v>
                </c:pt>
                <c:pt idx="5">
                  <c:v>45-49</c:v>
                </c:pt>
                <c:pt idx="6">
                  <c:v>50+</c:v>
                </c:pt>
              </c:strCache>
            </c:strRef>
          </c:cat>
          <c:val>
            <c:numRef>
              <c:f>List1!$P$80:$P$86</c:f>
              <c:numCache>
                <c:formatCode>0.0</c:formatCode>
                <c:ptCount val="7"/>
                <c:pt idx="0">
                  <c:v>35.536452842430073</c:v>
                </c:pt>
                <c:pt idx="1">
                  <c:v>37.258428686234737</c:v>
                </c:pt>
                <c:pt idx="2">
                  <c:v>33.249868212967861</c:v>
                </c:pt>
                <c:pt idx="3">
                  <c:v>27.101389462099331</c:v>
                </c:pt>
                <c:pt idx="4">
                  <c:v>26.348122866894187</c:v>
                </c:pt>
                <c:pt idx="5">
                  <c:v>28.530314658480435</c:v>
                </c:pt>
                <c:pt idx="6">
                  <c:v>22.302297460701329</c:v>
                </c:pt>
              </c:numCache>
            </c:numRef>
          </c:val>
        </c:ser>
        <c:ser>
          <c:idx val="5"/>
          <c:order val="5"/>
          <c:tx>
            <c:strRef>
              <c:f>List1!$Q$78:$Q$79</c:f>
              <c:strCache>
                <c:ptCount val="1"/>
                <c:pt idx="0">
                  <c:v>NS bez dětí ženy nižší vzdělání</c:v>
                </c:pt>
              </c:strCache>
            </c:strRef>
          </c:tx>
          <c:spPr>
            <a:ln w="19050" cap="rnd">
              <a:solidFill>
                <a:srgbClr val="FFC000"/>
              </a:solidFill>
              <a:prstDash val="sysDash"/>
              <a:round/>
            </a:ln>
            <a:effectLst/>
          </c:spPr>
          <c:marker>
            <c:symbol val="none"/>
          </c:marker>
          <c:cat>
            <c:strRef>
              <c:f>List1!$K$80:$K$86</c:f>
              <c:strCache>
                <c:ptCount val="7"/>
                <c:pt idx="0">
                  <c:v>-24</c:v>
                </c:pt>
                <c:pt idx="1">
                  <c:v>25-29</c:v>
                </c:pt>
                <c:pt idx="2">
                  <c:v>30-34</c:v>
                </c:pt>
                <c:pt idx="3">
                  <c:v>35-39</c:v>
                </c:pt>
                <c:pt idx="4">
                  <c:v>40-44</c:v>
                </c:pt>
                <c:pt idx="5">
                  <c:v>45-49</c:v>
                </c:pt>
                <c:pt idx="6">
                  <c:v>50+</c:v>
                </c:pt>
              </c:strCache>
            </c:strRef>
          </c:cat>
          <c:val>
            <c:numRef>
              <c:f>List1!$Q$80:$Q$86</c:f>
              <c:numCache>
                <c:formatCode>0.0</c:formatCode>
                <c:ptCount val="7"/>
                <c:pt idx="0">
                  <c:v>18.603519584786167</c:v>
                </c:pt>
                <c:pt idx="1">
                  <c:v>13.02667329991198</c:v>
                </c:pt>
                <c:pt idx="2">
                  <c:v>17.185028993147029</c:v>
                </c:pt>
                <c:pt idx="3">
                  <c:v>23.882239647819489</c:v>
                </c:pt>
                <c:pt idx="4">
                  <c:v>25.542662116040926</c:v>
                </c:pt>
                <c:pt idx="5">
                  <c:v>26.007290867229475</c:v>
                </c:pt>
                <c:pt idx="6">
                  <c:v>34.094316807738863</c:v>
                </c:pt>
              </c:numCache>
            </c:numRef>
          </c:val>
        </c:ser>
        <c:ser>
          <c:idx val="6"/>
          <c:order val="6"/>
          <c:tx>
            <c:strRef>
              <c:f>List1!$R$78:$R$79</c:f>
              <c:strCache>
                <c:ptCount val="1"/>
                <c:pt idx="0">
                  <c:v>NS s dětmi stejné vzdělání</c:v>
                </c:pt>
              </c:strCache>
            </c:strRef>
          </c:tx>
          <c:spPr>
            <a:ln w="19050" cap="rnd">
              <a:solidFill>
                <a:schemeClr val="accent6">
                  <a:lumMod val="75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List1!$K$80:$K$86</c:f>
              <c:strCache>
                <c:ptCount val="7"/>
                <c:pt idx="0">
                  <c:v>-24</c:v>
                </c:pt>
                <c:pt idx="1">
                  <c:v>25-29</c:v>
                </c:pt>
                <c:pt idx="2">
                  <c:v>30-34</c:v>
                </c:pt>
                <c:pt idx="3">
                  <c:v>35-39</c:v>
                </c:pt>
                <c:pt idx="4">
                  <c:v>40-44</c:v>
                </c:pt>
                <c:pt idx="5">
                  <c:v>45-49</c:v>
                </c:pt>
                <c:pt idx="6">
                  <c:v>50+</c:v>
                </c:pt>
              </c:strCache>
            </c:strRef>
          </c:cat>
          <c:val>
            <c:numRef>
              <c:f>List1!$R$80:$R$86</c:f>
              <c:numCache>
                <c:formatCode>0.0</c:formatCode>
                <c:ptCount val="7"/>
                <c:pt idx="0">
                  <c:v>45.173813305099699</c:v>
                </c:pt>
                <c:pt idx="1">
                  <c:v>44.373483203474244</c:v>
                </c:pt>
                <c:pt idx="2">
                  <c:v>46.052907098485377</c:v>
                </c:pt>
                <c:pt idx="3">
                  <c:v>49.53393421154</c:v>
                </c:pt>
                <c:pt idx="4">
                  <c:v>47.762458599707308</c:v>
                </c:pt>
                <c:pt idx="5">
                  <c:v>44.988026000684194</c:v>
                </c:pt>
                <c:pt idx="6">
                  <c:v>43.246268656716083</c:v>
                </c:pt>
              </c:numCache>
            </c:numRef>
          </c:val>
        </c:ser>
        <c:ser>
          <c:idx val="7"/>
          <c:order val="7"/>
          <c:tx>
            <c:strRef>
              <c:f>List1!$S$78:$S$79</c:f>
              <c:strCache>
                <c:ptCount val="1"/>
                <c:pt idx="0">
                  <c:v>NS s dětmi žena vyšší vzdělání</c:v>
                </c:pt>
              </c:strCache>
            </c:strRef>
          </c:tx>
          <c:spPr>
            <a:ln w="19050" cap="rnd">
              <a:solidFill>
                <a:schemeClr val="accent6">
                  <a:lumMod val="75000"/>
                </a:schemeClr>
              </a:solidFill>
              <a:prstDash val="lgDashDot"/>
              <a:round/>
            </a:ln>
            <a:effectLst/>
          </c:spPr>
          <c:marker>
            <c:symbol val="none"/>
          </c:marker>
          <c:cat>
            <c:strRef>
              <c:f>List1!$K$80:$K$86</c:f>
              <c:strCache>
                <c:ptCount val="7"/>
                <c:pt idx="0">
                  <c:v>-24</c:v>
                </c:pt>
                <c:pt idx="1">
                  <c:v>25-29</c:v>
                </c:pt>
                <c:pt idx="2">
                  <c:v>30-34</c:v>
                </c:pt>
                <c:pt idx="3">
                  <c:v>35-39</c:v>
                </c:pt>
                <c:pt idx="4">
                  <c:v>40-44</c:v>
                </c:pt>
                <c:pt idx="5">
                  <c:v>45-49</c:v>
                </c:pt>
                <c:pt idx="6">
                  <c:v>50+</c:v>
                </c:pt>
              </c:strCache>
            </c:strRef>
          </c:cat>
          <c:val>
            <c:numRef>
              <c:f>List1!$S$80:$S$86</c:f>
              <c:numCache>
                <c:formatCode>0.0</c:formatCode>
                <c:ptCount val="7"/>
                <c:pt idx="0">
                  <c:v>25.657314275630842</c:v>
                </c:pt>
                <c:pt idx="1">
                  <c:v>33.874057989526094</c:v>
                </c:pt>
                <c:pt idx="2">
                  <c:v>34.483841697493808</c:v>
                </c:pt>
                <c:pt idx="3">
                  <c:v>28.664971881981327</c:v>
                </c:pt>
                <c:pt idx="4">
                  <c:v>30.11630593853501</c:v>
                </c:pt>
                <c:pt idx="5">
                  <c:v>32.295586725966473</c:v>
                </c:pt>
                <c:pt idx="6">
                  <c:v>26.380597014925172</c:v>
                </c:pt>
              </c:numCache>
            </c:numRef>
          </c:val>
        </c:ser>
        <c:ser>
          <c:idx val="8"/>
          <c:order val="8"/>
          <c:tx>
            <c:strRef>
              <c:f>List1!$T$78:$T$79</c:f>
              <c:strCache>
                <c:ptCount val="1"/>
                <c:pt idx="0">
                  <c:v>NS s dětmi ženy nižší vzdělání</c:v>
                </c:pt>
              </c:strCache>
            </c:strRef>
          </c:tx>
          <c:spPr>
            <a:ln w="19050" cap="rnd">
              <a:solidFill>
                <a:schemeClr val="accent6">
                  <a:lumMod val="75000"/>
                </a:schemeClr>
              </a:solidFill>
              <a:prstDash val="sysDash"/>
              <a:round/>
            </a:ln>
            <a:effectLst/>
          </c:spPr>
          <c:marker>
            <c:symbol val="none"/>
          </c:marker>
          <c:cat>
            <c:strRef>
              <c:f>List1!$K$80:$K$86</c:f>
              <c:strCache>
                <c:ptCount val="7"/>
                <c:pt idx="0">
                  <c:v>-24</c:v>
                </c:pt>
                <c:pt idx="1">
                  <c:v>25-29</c:v>
                </c:pt>
                <c:pt idx="2">
                  <c:v>30-34</c:v>
                </c:pt>
                <c:pt idx="3">
                  <c:v>35-39</c:v>
                </c:pt>
                <c:pt idx="4">
                  <c:v>40-44</c:v>
                </c:pt>
                <c:pt idx="5">
                  <c:v>45-49</c:v>
                </c:pt>
                <c:pt idx="6">
                  <c:v>50+</c:v>
                </c:pt>
              </c:strCache>
            </c:strRef>
          </c:cat>
          <c:val>
            <c:numRef>
              <c:f>List1!$T$80:$T$86</c:f>
              <c:numCache>
                <c:formatCode>0.0</c:formatCode>
                <c:ptCount val="7"/>
                <c:pt idx="0">
                  <c:v>29.168872419269455</c:v>
                </c:pt>
                <c:pt idx="1">
                  <c:v>21.752458806999616</c:v>
                </c:pt>
                <c:pt idx="2">
                  <c:v>19.463251204020256</c:v>
                </c:pt>
                <c:pt idx="3">
                  <c:v>21.801093906478698</c:v>
                </c:pt>
                <c:pt idx="4">
                  <c:v>22.121235461757731</c:v>
                </c:pt>
                <c:pt idx="5">
                  <c:v>22.716387273349159</c:v>
                </c:pt>
                <c:pt idx="6">
                  <c:v>30.373134328358208</c:v>
                </c:pt>
              </c:numCache>
            </c:numRef>
          </c:val>
        </c:ser>
        <c:marker val="1"/>
        <c:axId val="93104000"/>
        <c:axId val="93105536"/>
      </c:lineChart>
      <c:catAx>
        <c:axId val="9310400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cs-CZ"/>
          </a:p>
        </c:txPr>
        <c:crossAx val="93105536"/>
        <c:crosses val="autoZero"/>
        <c:auto val="1"/>
        <c:lblAlgn val="ctr"/>
        <c:lblOffset val="100"/>
      </c:catAx>
      <c:valAx>
        <c:axId val="9310553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podíl (%)</a:t>
                </a:r>
              </a:p>
            </c:rich>
          </c:tx>
          <c:layout>
            <c:manualLayout>
              <c:xMode val="edge"/>
              <c:yMode val="edge"/>
              <c:x val="8.2147539647854423E-4"/>
              <c:y val="0.35354929577465327"/>
            </c:manualLayout>
          </c:layout>
        </c:title>
        <c:numFmt formatCode="0" sourceLinked="0"/>
        <c:maj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cs-CZ"/>
          </a:p>
        </c:txPr>
        <c:crossAx val="93104000"/>
        <c:crosses val="autoZero"/>
        <c:crossBetween val="between"/>
      </c:valAx>
      <c:spPr>
        <a:noFill/>
        <a:ln>
          <a:solidFill>
            <a:sysClr val="windowText" lastClr="000000">
              <a:lumMod val="15000"/>
              <a:lumOff val="85000"/>
            </a:sysClr>
          </a:solidFill>
        </a:ln>
        <a:effectLst/>
      </c:spPr>
    </c:plotArea>
    <c:legend>
      <c:legendPos val="b"/>
      <c:layout>
        <c:manualLayout>
          <c:xMode val="edge"/>
          <c:yMode val="edge"/>
          <c:x val="7.8466270620217923E-2"/>
          <c:y val="0.77738282714660678"/>
          <c:w val="0.8934813445826254"/>
          <c:h val="0.12512402190923169"/>
        </c:manualLayout>
      </c:layout>
      <c:spPr>
        <a:solidFill>
          <a:sysClr val="window" lastClr="FFFFFF"/>
        </a:solidFill>
        <a:ln>
          <a:solidFill>
            <a:sysClr val="windowText" lastClr="000000">
              <a:lumMod val="15000"/>
              <a:lumOff val="85000"/>
            </a:sysClr>
          </a:solidFill>
        </a:ln>
        <a:effectLst/>
      </c:spPr>
      <c:txPr>
        <a:bodyPr rot="0" vert="horz"/>
        <a:lstStyle/>
        <a:p>
          <a:pPr>
            <a:defRPr sz="600"/>
          </a:pPr>
          <a:endParaRPr lang="cs-CZ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800">
          <a:latin typeface="Arial" pitchFamily="34" charset="0"/>
          <a:cs typeface="Arial" pitchFamily="34" charset="0"/>
        </a:defRPr>
      </a:pPr>
      <a:endParaRPr lang="cs-CZ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autoTitleDeleted val="1"/>
    <c:plotArea>
      <c:layout>
        <c:manualLayout>
          <c:layoutTarget val="inner"/>
          <c:xMode val="edge"/>
          <c:yMode val="edge"/>
          <c:x val="6.867449130006445E-2"/>
          <c:y val="2.329939049661725E-2"/>
          <c:w val="0.64880224342097415"/>
          <c:h val="0.8779569014868136"/>
        </c:manualLayout>
      </c:layout>
      <c:barChart>
        <c:barDir val="col"/>
        <c:grouping val="stacked"/>
        <c:ser>
          <c:idx val="0"/>
          <c:order val="0"/>
          <c:tx>
            <c:strRef>
              <c:f>List6!$Q$3</c:f>
              <c:strCache>
                <c:ptCount val="1"/>
                <c:pt idx="0">
                  <c:v>muž mladší o 10 let a více</c:v>
                </c:pt>
              </c:strCache>
            </c:strRef>
          </c:tx>
          <c:spPr>
            <a:solidFill>
              <a:schemeClr val="accent1">
                <a:lumMod val="50000"/>
              </a:schemeClr>
            </a:solidFill>
            <a:ln>
              <a:noFill/>
            </a:ln>
            <a:effectLst/>
          </c:spPr>
          <c:dLbls>
            <c:dLbl>
              <c:idx val="3"/>
              <c:showVal val="1"/>
            </c:dLbl>
            <c:delete val="1"/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cs-CZ"/>
              </a:p>
            </c:txPr>
          </c:dLbls>
          <c:cat>
            <c:strRef>
              <c:f>List6!$P$4:$P$7</c:f>
              <c:strCache>
                <c:ptCount val="4"/>
                <c:pt idx="0">
                  <c:v>manželé</c:v>
                </c:pt>
                <c:pt idx="1">
                  <c:v>nesezdané soužití</c:v>
                </c:pt>
                <c:pt idx="2">
                  <c:v>NS - oba svobodní</c:v>
                </c:pt>
                <c:pt idx="3">
                  <c:v>NS - alepsoň jeden zkušenost s manželstvím</c:v>
                </c:pt>
              </c:strCache>
              <c:extLst>
                <c:ext xmlns:c15="http://schemas.microsoft.com/office/drawing/2012/chart" uri="{02D57815-91ED-43cb-92C2-25804820EDAC}">
                  <c15:fullRef>
                    <c15:sqref>List6!$P$4:$P$9</c15:sqref>
                  </c15:fullRef>
                </c:ext>
              </c:extLst>
            </c:strRef>
          </c:cat>
          <c:val>
            <c:numRef>
              <c:f>List6!$Q$4:$Q$7</c:f>
              <c:numCache>
                <c:formatCode>0.0</c:formatCode>
                <c:ptCount val="4"/>
                <c:pt idx="0">
                  <c:v>0.48467584268682251</c:v>
                </c:pt>
                <c:pt idx="1">
                  <c:v>2.9018285787441047</c:v>
                </c:pt>
                <c:pt idx="2">
                  <c:v>0.54092930438922604</c:v>
                </c:pt>
                <c:pt idx="3">
                  <c:v>4.6206397922445914</c:v>
                </c:pt>
              </c:numCache>
              <c:extLst>
                <c:ext xmlns:c15="http://schemas.microsoft.com/office/drawing/2012/chart" uri="{02D57815-91ED-43cb-92C2-25804820EDAC}">
                  <c15:fullRef>
                    <c15:sqref>List6!$Q$4:$Q$9</c15:sqref>
                  </c15:fullRef>
                </c:ext>
              </c:extLst>
            </c:numRef>
          </c:val>
        </c:ser>
        <c:ser>
          <c:idx val="1"/>
          <c:order val="1"/>
          <c:tx>
            <c:strRef>
              <c:f>List6!$R$3</c:f>
              <c:strCache>
                <c:ptCount val="1"/>
                <c:pt idx="0">
                  <c:v>muž mladší o 7-9 let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noFill/>
            </a:ln>
            <a:effectLst/>
          </c:spPr>
          <c:dLbls>
            <c:dLbl>
              <c:idx val="1"/>
              <c:spPr/>
              <c:txPr>
                <a:bodyPr/>
                <a:lstStyle/>
                <a:p>
                  <a:pPr>
                    <a:defRPr sz="700">
                      <a:solidFill>
                        <a:schemeClr val="bg1"/>
                      </a:solidFill>
                    </a:defRPr>
                  </a:pPr>
                  <a:endParaRPr lang="cs-CZ"/>
                </a:p>
              </c:txPr>
              <c:showVal val="1"/>
            </c:dLbl>
            <c:dLbl>
              <c:idx val="3"/>
              <c:showVal val="1"/>
            </c:dLbl>
            <c:delete val="1"/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cs-CZ"/>
              </a:p>
            </c:txPr>
          </c:dLbls>
          <c:cat>
            <c:strRef>
              <c:f>List6!$P$4:$P$7</c:f>
              <c:strCache>
                <c:ptCount val="4"/>
                <c:pt idx="0">
                  <c:v>manželé</c:v>
                </c:pt>
                <c:pt idx="1">
                  <c:v>nesezdané soužití</c:v>
                </c:pt>
                <c:pt idx="2">
                  <c:v>NS - oba svobodní</c:v>
                </c:pt>
                <c:pt idx="3">
                  <c:v>NS - alepsoň jeden zkušenost s manželstvím</c:v>
                </c:pt>
              </c:strCache>
              <c:extLst>
                <c:ext xmlns:c15="http://schemas.microsoft.com/office/drawing/2012/chart" uri="{02D57815-91ED-43cb-92C2-25804820EDAC}">
                  <c15:fullRef>
                    <c15:sqref>List6!$P$4:$P$9</c15:sqref>
                  </c15:fullRef>
                </c:ext>
              </c:extLst>
            </c:strRef>
          </c:cat>
          <c:val>
            <c:numRef>
              <c:f>List6!$R$4:$R$7</c:f>
              <c:numCache>
                <c:formatCode>0.0</c:formatCode>
                <c:ptCount val="4"/>
                <c:pt idx="0">
                  <c:v>0.82064866374570233</c:v>
                </c:pt>
                <c:pt idx="1">
                  <c:v>2.8719568139629161</c:v>
                </c:pt>
                <c:pt idx="2">
                  <c:v>1.0869234899056919</c:v>
                </c:pt>
                <c:pt idx="3">
                  <c:v>4.1713391961282005</c:v>
                </c:pt>
              </c:numCache>
              <c:extLst>
                <c:ext xmlns:c15="http://schemas.microsoft.com/office/drawing/2012/chart" uri="{02D57815-91ED-43cb-92C2-25804820EDAC}">
                  <c15:fullRef>
                    <c15:sqref>List6!$R$4:$R$9</c15:sqref>
                  </c15:fullRef>
                </c:ext>
              </c:extLst>
            </c:numRef>
          </c:val>
        </c:ser>
        <c:ser>
          <c:idx val="2"/>
          <c:order val="2"/>
          <c:tx>
            <c:strRef>
              <c:f>List6!$S$3</c:f>
              <c:strCache>
                <c:ptCount val="1"/>
                <c:pt idx="0">
                  <c:v>muž mladší o 5-6 let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  <a:ln>
              <a:noFill/>
            </a:ln>
            <a:effectLst/>
          </c:spPr>
          <c:dLbls>
            <c:dLbl>
              <c:idx val="0"/>
              <c:delete val="1"/>
            </c:dLbl>
            <c:dLbl>
              <c:idx val="2"/>
              <c:delete val="1"/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cs-CZ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List6!$P$4:$P$7</c:f>
              <c:strCache>
                <c:ptCount val="4"/>
                <c:pt idx="0">
                  <c:v>manželé</c:v>
                </c:pt>
                <c:pt idx="1">
                  <c:v>nesezdané soužití</c:v>
                </c:pt>
                <c:pt idx="2">
                  <c:v>NS - oba svobodní</c:v>
                </c:pt>
                <c:pt idx="3">
                  <c:v>NS - alepsoň jeden zkušenost s manželstvím</c:v>
                </c:pt>
              </c:strCache>
              <c:extLst>
                <c:ext xmlns:c15="http://schemas.microsoft.com/office/drawing/2012/chart" uri="{02D57815-91ED-43cb-92C2-25804820EDAC}">
                  <c15:fullRef>
                    <c15:sqref>List6!$P$4:$P$9</c15:sqref>
                  </c15:fullRef>
                </c:ext>
              </c:extLst>
            </c:strRef>
          </c:cat>
          <c:val>
            <c:numRef>
              <c:f>List6!$S$4:$S$7</c:f>
              <c:numCache>
                <c:formatCode>0.0</c:formatCode>
                <c:ptCount val="4"/>
                <c:pt idx="0">
                  <c:v>1.257702445581022</c:v>
                </c:pt>
                <c:pt idx="1">
                  <c:v>3.4343994708430228</c:v>
                </c:pt>
                <c:pt idx="2">
                  <c:v>2.1242111447644358</c:v>
                </c:pt>
                <c:pt idx="3">
                  <c:v>4.388242932184391</c:v>
                </c:pt>
              </c:numCache>
              <c:extLst>
                <c:ext xmlns:c15="http://schemas.microsoft.com/office/drawing/2012/chart" uri="{02D57815-91ED-43cb-92C2-25804820EDAC}">
                  <c15:fullRef>
                    <c15:sqref>List6!$S$4:$S$9</c15:sqref>
                  </c15:fullRef>
                </c:ext>
              </c:extLst>
            </c:numRef>
          </c:val>
        </c:ser>
        <c:ser>
          <c:idx val="3"/>
          <c:order val="3"/>
          <c:tx>
            <c:strRef>
              <c:f>List6!$T$3</c:f>
              <c:strCache>
                <c:ptCount val="1"/>
                <c:pt idx="0">
                  <c:v>muž mladší o 2-4 roky</c:v>
                </c:pt>
              </c:strCache>
            </c:strRef>
          </c:tx>
          <c:spPr>
            <a:solidFill>
              <a:schemeClr val="accent1">
                <a:lumMod val="40000"/>
                <a:lumOff val="60000"/>
              </a:schemeClr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cs-CZ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List6!$P$4:$P$7</c:f>
              <c:strCache>
                <c:ptCount val="4"/>
                <c:pt idx="0">
                  <c:v>manželé</c:v>
                </c:pt>
                <c:pt idx="1">
                  <c:v>nesezdané soužití</c:v>
                </c:pt>
                <c:pt idx="2">
                  <c:v>NS - oba svobodní</c:v>
                </c:pt>
                <c:pt idx="3">
                  <c:v>NS - alepsoň jeden zkušenost s manželstvím</c:v>
                </c:pt>
              </c:strCache>
              <c:extLst>
                <c:ext xmlns:c15="http://schemas.microsoft.com/office/drawing/2012/chart" uri="{02D57815-91ED-43cb-92C2-25804820EDAC}">
                  <c15:fullRef>
                    <c15:sqref>List6!$P$4:$P$9</c15:sqref>
                  </c15:fullRef>
                </c:ext>
              </c:extLst>
            </c:strRef>
          </c:cat>
          <c:val>
            <c:numRef>
              <c:f>List6!$T$4:$T$7</c:f>
              <c:numCache>
                <c:formatCode>0.0</c:formatCode>
                <c:ptCount val="4"/>
                <c:pt idx="0">
                  <c:v>5.7581235707926774</c:v>
                </c:pt>
                <c:pt idx="1">
                  <c:v>9.6242558730023209</c:v>
                </c:pt>
                <c:pt idx="2">
                  <c:v>8.971930428792831</c:v>
                </c:pt>
                <c:pt idx="3">
                  <c:v>10.098565779377914</c:v>
                </c:pt>
              </c:numCache>
              <c:extLst>
                <c:ext xmlns:c15="http://schemas.microsoft.com/office/drawing/2012/chart" uri="{02D57815-91ED-43cb-92C2-25804820EDAC}">
                  <c15:fullRef>
                    <c15:sqref>List6!$T$4:$T$9</c15:sqref>
                  </c15:fullRef>
                </c:ext>
              </c:extLst>
            </c:numRef>
          </c:val>
        </c:ser>
        <c:ser>
          <c:idx val="4"/>
          <c:order val="4"/>
          <c:tx>
            <c:strRef>
              <c:f>List6!$U$3</c:f>
              <c:strCache>
                <c:ptCount val="1"/>
                <c:pt idx="0">
                  <c:v>podobně staří (0-1 rok)</c:v>
                </c:pt>
              </c:strCache>
            </c:strRef>
          </c:tx>
          <c:spPr>
            <a:solidFill>
              <a:srgbClr val="512373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cs-CZ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List6!$P$4:$P$7</c:f>
              <c:strCache>
                <c:ptCount val="4"/>
                <c:pt idx="0">
                  <c:v>manželé</c:v>
                </c:pt>
                <c:pt idx="1">
                  <c:v>nesezdané soužití</c:v>
                </c:pt>
                <c:pt idx="2">
                  <c:v>NS - oba svobodní</c:v>
                </c:pt>
                <c:pt idx="3">
                  <c:v>NS - alepsoň jeden zkušenost s manželstvím</c:v>
                </c:pt>
              </c:strCache>
              <c:extLst>
                <c:ext xmlns:c15="http://schemas.microsoft.com/office/drawing/2012/chart" uri="{02D57815-91ED-43cb-92C2-25804820EDAC}">
                  <c15:fullRef>
                    <c15:sqref>List6!$P$4:$P$9</c15:sqref>
                  </c15:fullRef>
                </c:ext>
              </c:extLst>
            </c:strRef>
          </c:cat>
          <c:val>
            <c:numRef>
              <c:f>List6!$U$4:$U$7</c:f>
              <c:numCache>
                <c:formatCode>0.0</c:formatCode>
                <c:ptCount val="4"/>
                <c:pt idx="0">
                  <c:v>28.622495068689236</c:v>
                </c:pt>
                <c:pt idx="1">
                  <c:v>23.936671858663853</c:v>
                </c:pt>
                <c:pt idx="2">
                  <c:v>30.351806643098115</c:v>
                </c:pt>
                <c:pt idx="3">
                  <c:v>19.263855279466448</c:v>
                </c:pt>
              </c:numCache>
              <c:extLst>
                <c:ext xmlns:c15="http://schemas.microsoft.com/office/drawing/2012/chart" uri="{02D57815-91ED-43cb-92C2-25804820EDAC}">
                  <c15:fullRef>
                    <c15:sqref>List6!$U$4:$U$9</c15:sqref>
                  </c15:fullRef>
                </c:ext>
              </c:extLst>
            </c:numRef>
          </c:val>
        </c:ser>
        <c:ser>
          <c:idx val="5"/>
          <c:order val="5"/>
          <c:tx>
            <c:strRef>
              <c:f>List6!$V$3</c:f>
              <c:strCache>
                <c:ptCount val="1"/>
                <c:pt idx="0">
                  <c:v>žena mladší o 2-4 roky</c:v>
                </c:pt>
              </c:strCache>
            </c:strRef>
          </c:tx>
          <c:spPr>
            <a:solidFill>
              <a:srgbClr val="FFA7A7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cs-CZ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List6!$P$4:$P$7</c:f>
              <c:strCache>
                <c:ptCount val="4"/>
                <c:pt idx="0">
                  <c:v>manželé</c:v>
                </c:pt>
                <c:pt idx="1">
                  <c:v>nesezdané soužití</c:v>
                </c:pt>
                <c:pt idx="2">
                  <c:v>NS - oba svobodní</c:v>
                </c:pt>
                <c:pt idx="3">
                  <c:v>NS - alepsoň jeden zkušenost s manželstvím</c:v>
                </c:pt>
              </c:strCache>
              <c:extLst>
                <c:ext xmlns:c15="http://schemas.microsoft.com/office/drawing/2012/chart" uri="{02D57815-91ED-43cb-92C2-25804820EDAC}">
                  <c15:fullRef>
                    <c15:sqref>List6!$P$4:$P$9</c15:sqref>
                  </c15:fullRef>
                </c:ext>
              </c:extLst>
            </c:strRef>
          </c:cat>
          <c:val>
            <c:numRef>
              <c:f>List6!$V$4:$V$7</c:f>
              <c:numCache>
                <c:formatCode>0.0</c:formatCode>
                <c:ptCount val="4"/>
                <c:pt idx="0">
                  <c:v>35.688179691727605</c:v>
                </c:pt>
                <c:pt idx="1">
                  <c:v>24.712911003477927</c:v>
                </c:pt>
                <c:pt idx="2">
                  <c:v>30.728633798964701</c:v>
                </c:pt>
                <c:pt idx="3">
                  <c:v>20.333618603553088</c:v>
                </c:pt>
              </c:numCache>
              <c:extLst>
                <c:ext xmlns:c15="http://schemas.microsoft.com/office/drawing/2012/chart" uri="{02D57815-91ED-43cb-92C2-25804820EDAC}">
                  <c15:fullRef>
                    <c15:sqref>List6!$V$4:$V$9</c15:sqref>
                  </c15:fullRef>
                </c:ext>
              </c:extLst>
            </c:numRef>
          </c:val>
        </c:ser>
        <c:ser>
          <c:idx val="6"/>
          <c:order val="6"/>
          <c:tx>
            <c:strRef>
              <c:f>List6!$W$3</c:f>
              <c:strCache>
                <c:ptCount val="1"/>
                <c:pt idx="0">
                  <c:v>žena mladší o 5-6 let</c:v>
                </c:pt>
              </c:strCache>
            </c:strRef>
          </c:tx>
          <c:spPr>
            <a:solidFill>
              <a:srgbClr val="F97777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cs-CZ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List6!$P$4:$P$7</c:f>
              <c:strCache>
                <c:ptCount val="4"/>
                <c:pt idx="0">
                  <c:v>manželé</c:v>
                </c:pt>
                <c:pt idx="1">
                  <c:v>nesezdané soužití</c:v>
                </c:pt>
                <c:pt idx="2">
                  <c:v>NS - oba svobodní</c:v>
                </c:pt>
                <c:pt idx="3">
                  <c:v>NS - alepsoň jeden zkušenost s manželstvím</c:v>
                </c:pt>
              </c:strCache>
              <c:extLst>
                <c:ext xmlns:c15="http://schemas.microsoft.com/office/drawing/2012/chart" uri="{02D57815-91ED-43cb-92C2-25804820EDAC}">
                  <c15:fullRef>
                    <c15:sqref>List6!$P$4:$P$9</c15:sqref>
                  </c15:fullRef>
                </c:ext>
              </c:extLst>
            </c:strRef>
          </c:cat>
          <c:val>
            <c:numRef>
              <c:f>List6!$W$4:$W$7</c:f>
              <c:numCache>
                <c:formatCode>0.0</c:formatCode>
                <c:ptCount val="4"/>
                <c:pt idx="0">
                  <c:v>13.619145704959244</c:v>
                </c:pt>
                <c:pt idx="1">
                  <c:v>11.12339172552114</c:v>
                </c:pt>
                <c:pt idx="2">
                  <c:v>11.808263860047205</c:v>
                </c:pt>
                <c:pt idx="3">
                  <c:v>10.624594227704673</c:v>
                </c:pt>
              </c:numCache>
              <c:extLst>
                <c:ext xmlns:c15="http://schemas.microsoft.com/office/drawing/2012/chart" uri="{02D57815-91ED-43cb-92C2-25804820EDAC}">
                  <c15:fullRef>
                    <c15:sqref>List6!$W$4:$W$9</c15:sqref>
                  </c15:fullRef>
                </c:ext>
              </c:extLst>
            </c:numRef>
          </c:val>
        </c:ser>
        <c:ser>
          <c:idx val="7"/>
          <c:order val="7"/>
          <c:tx>
            <c:strRef>
              <c:f>List6!$X$3</c:f>
              <c:strCache>
                <c:ptCount val="1"/>
                <c:pt idx="0">
                  <c:v>žena mladší o 7-9 let</c:v>
                </c:pt>
              </c:strCache>
            </c:strRef>
          </c:tx>
          <c:spPr>
            <a:solidFill>
              <a:srgbClr val="ED0909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cs-CZ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List6!$P$4:$P$7</c:f>
              <c:strCache>
                <c:ptCount val="4"/>
                <c:pt idx="0">
                  <c:v>manželé</c:v>
                </c:pt>
                <c:pt idx="1">
                  <c:v>nesezdané soužití</c:v>
                </c:pt>
                <c:pt idx="2">
                  <c:v>NS - oba svobodní</c:v>
                </c:pt>
                <c:pt idx="3">
                  <c:v>NS - alepsoň jeden zkušenost s manželstvím</c:v>
                </c:pt>
              </c:strCache>
              <c:extLst>
                <c:ext xmlns:c15="http://schemas.microsoft.com/office/drawing/2012/chart" uri="{02D57815-91ED-43cb-92C2-25804820EDAC}">
                  <c15:fullRef>
                    <c15:sqref>List6!$P$4:$P$9</c15:sqref>
                  </c15:fullRef>
                </c:ext>
              </c:extLst>
            </c:strRef>
          </c:cat>
          <c:val>
            <c:numRef>
              <c:f>List6!$X$4:$X$7</c:f>
              <c:numCache>
                <c:formatCode>0.0</c:formatCode>
                <c:ptCount val="4"/>
                <c:pt idx="0">
                  <c:v>8.4557796707804567</c:v>
                </c:pt>
                <c:pt idx="1">
                  <c:v>10.168775471013706</c:v>
                </c:pt>
                <c:pt idx="2">
                  <c:v>9.0458776932505227</c:v>
                </c:pt>
                <c:pt idx="3">
                  <c:v>10.98978929351356</c:v>
                </c:pt>
              </c:numCache>
              <c:extLst>
                <c:ext xmlns:c15="http://schemas.microsoft.com/office/drawing/2012/chart" uri="{02D57815-91ED-43cb-92C2-25804820EDAC}">
                  <c15:fullRef>
                    <c15:sqref>List6!$X$4:$X$9</c15:sqref>
                  </c15:fullRef>
                </c:ext>
              </c:extLst>
            </c:numRef>
          </c:val>
        </c:ser>
        <c:ser>
          <c:idx val="8"/>
          <c:order val="8"/>
          <c:tx>
            <c:strRef>
              <c:f>List6!$Y$3</c:f>
              <c:strCache>
                <c:ptCount val="1"/>
                <c:pt idx="0">
                  <c:v>žena mladší o 10 let a více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cs-CZ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List6!$P$4:$P$7</c:f>
              <c:strCache>
                <c:ptCount val="4"/>
                <c:pt idx="0">
                  <c:v>manželé</c:v>
                </c:pt>
                <c:pt idx="1">
                  <c:v>nesezdané soužití</c:v>
                </c:pt>
                <c:pt idx="2">
                  <c:v>NS - oba svobodní</c:v>
                </c:pt>
                <c:pt idx="3">
                  <c:v>NS - alepsoň jeden zkušenost s manželstvím</c:v>
                </c:pt>
              </c:strCache>
              <c:extLst>
                <c:ext xmlns:c15="http://schemas.microsoft.com/office/drawing/2012/chart" uri="{02D57815-91ED-43cb-92C2-25804820EDAC}">
                  <c15:fullRef>
                    <c15:sqref>List6!$P$4:$P$9</c15:sqref>
                  </c15:fullRef>
                </c:ext>
              </c:extLst>
            </c:strRef>
          </c:cat>
          <c:val>
            <c:numRef>
              <c:f>List6!$Y$4:$Y$7</c:f>
              <c:numCache>
                <c:formatCode>0.0</c:formatCode>
                <c:ptCount val="4"/>
                <c:pt idx="0">
                  <c:v>5.2932493410372334</c:v>
                </c:pt>
                <c:pt idx="1">
                  <c:v>11.22580920477095</c:v>
                </c:pt>
                <c:pt idx="2">
                  <c:v>5.341423636787245</c:v>
                </c:pt>
                <c:pt idx="3">
                  <c:v>15.509354895827197</c:v>
                </c:pt>
              </c:numCache>
              <c:extLst>
                <c:ext xmlns:c15="http://schemas.microsoft.com/office/drawing/2012/chart" uri="{02D57815-91ED-43cb-92C2-25804820EDAC}">
                  <c15:fullRef>
                    <c15:sqref>List6!$Y$4:$Y$9</c15:sqref>
                  </c15:fullRef>
                </c:ext>
              </c:extLst>
            </c:numRef>
          </c:val>
        </c:ser>
        <c:gapWidth val="27"/>
        <c:overlap val="100"/>
        <c:axId val="95335552"/>
        <c:axId val="95337088"/>
      </c:barChart>
      <c:catAx>
        <c:axId val="9533555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 sz="650"/>
            </a:pPr>
            <a:endParaRPr lang="cs-CZ"/>
          </a:p>
        </c:txPr>
        <c:crossAx val="95337088"/>
        <c:crosses val="autoZero"/>
        <c:auto val="1"/>
        <c:lblAlgn val="ctr"/>
        <c:lblOffset val="100"/>
      </c:catAx>
      <c:valAx>
        <c:axId val="95337088"/>
        <c:scaling>
          <c:orientation val="minMax"/>
          <c:max val="100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podíl z daného typu soužití (%)</a:t>
                </a:r>
              </a:p>
            </c:rich>
          </c:tx>
          <c:layout>
            <c:manualLayout>
              <c:xMode val="edge"/>
              <c:yMode val="edge"/>
              <c:x val="2.047207057725535E-3"/>
              <c:y val="7.8417760279964999E-2"/>
            </c:manualLayout>
          </c:layout>
        </c:title>
        <c:numFmt formatCode="0" sourceLinked="0"/>
        <c:maj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cs-CZ"/>
          </a:p>
        </c:txPr>
        <c:crossAx val="95335552"/>
        <c:crosses val="autoZero"/>
        <c:crossBetween val="between"/>
      </c:valAx>
      <c:spPr>
        <a:noFill/>
        <a:ln>
          <a:solidFill>
            <a:schemeClr val="bg1">
              <a:lumMod val="85000"/>
            </a:schemeClr>
          </a:solidFill>
        </a:ln>
        <a:effectLst/>
      </c:spPr>
    </c:plotArea>
    <c:legend>
      <c:legendPos val="b"/>
      <c:layout>
        <c:manualLayout>
          <c:xMode val="edge"/>
          <c:yMode val="edge"/>
          <c:x val="0.77317205057740757"/>
          <c:y val="1.8073338284014289E-2"/>
          <c:w val="0.22505759216598395"/>
          <c:h val="0.95625459317585304"/>
        </c:manualLayout>
      </c:layout>
      <c:spPr>
        <a:noFill/>
        <a:ln>
          <a:noFill/>
        </a:ln>
        <a:effectLst/>
      </c:spPr>
      <c:txPr>
        <a:bodyPr rot="0" vert="horz"/>
        <a:lstStyle/>
        <a:p>
          <a:pPr>
            <a:defRPr sz="700"/>
          </a:pPr>
          <a:endParaRPr lang="cs-CZ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8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title>
      <c:tx>
        <c:rich>
          <a:bodyPr rot="0" vert="horz"/>
          <a:lstStyle/>
          <a:p>
            <a:pPr>
              <a:defRPr/>
            </a:pPr>
            <a:r>
              <a:rPr lang="en-US"/>
              <a:t>muži</a:t>
            </a:r>
          </a:p>
        </c:rich>
      </c:tx>
      <c:layout>
        <c:manualLayout>
          <c:xMode val="edge"/>
          <c:yMode val="edge"/>
          <c:x val="0.91689728224235378"/>
          <c:y val="5.1019931102362234E-2"/>
        </c:manualLayout>
      </c:layout>
      <c:spPr>
        <a:solidFill>
          <a:sysClr val="window" lastClr="FFFFFF"/>
        </a:solidFill>
        <a:ln>
          <a:solidFill>
            <a:sysClr val="window" lastClr="FFFFFF">
              <a:lumMod val="85000"/>
            </a:sysClr>
          </a:solidFill>
        </a:ln>
        <a:effectLst/>
      </c:spPr>
    </c:title>
    <c:plotArea>
      <c:layout>
        <c:manualLayout>
          <c:layoutTarget val="inner"/>
          <c:xMode val="edge"/>
          <c:yMode val="edge"/>
          <c:x val="6.7840423404271114E-2"/>
          <c:y val="2.3945209973753292E-2"/>
          <c:w val="0.93215957659573301"/>
          <c:h val="0.74370845619606885"/>
        </c:manualLayout>
      </c:layout>
      <c:lineChart>
        <c:grouping val="standard"/>
        <c:ser>
          <c:idx val="0"/>
          <c:order val="0"/>
          <c:tx>
            <c:strRef>
              <c:f>List4!$U$2:$U$3</c:f>
              <c:strCache>
                <c:ptCount val="1"/>
                <c:pt idx="0">
                  <c:v>manželé muž - podobně staří</c:v>
                </c:pt>
              </c:strCache>
            </c:strRef>
          </c:tx>
          <c:spPr>
            <a:ln w="19050" cap="rnd">
              <a:solidFill>
                <a:schemeClr val="tx2"/>
              </a:solidFill>
              <a:round/>
            </a:ln>
            <a:effectLst/>
          </c:spPr>
          <c:marker>
            <c:symbol val="none"/>
          </c:marker>
          <c:cat>
            <c:strRef>
              <c:f>List4!$T$4:$T$10</c:f>
              <c:strCache>
                <c:ptCount val="7"/>
                <c:pt idx="0">
                  <c:v>-24</c:v>
                </c:pt>
                <c:pt idx="1">
                  <c:v>25-29</c:v>
                </c:pt>
                <c:pt idx="2">
                  <c:v>30-34</c:v>
                </c:pt>
                <c:pt idx="3">
                  <c:v>35-39</c:v>
                </c:pt>
                <c:pt idx="4">
                  <c:v>40-44</c:v>
                </c:pt>
                <c:pt idx="5">
                  <c:v>45-49</c:v>
                </c:pt>
                <c:pt idx="6">
                  <c:v>50+</c:v>
                </c:pt>
              </c:strCache>
            </c:strRef>
          </c:cat>
          <c:val>
            <c:numRef>
              <c:f>List4!$U$4:$U$10</c:f>
              <c:numCache>
                <c:formatCode>###0%</c:formatCode>
                <c:ptCount val="7"/>
                <c:pt idx="0">
                  <c:v>0.45114595898672949</c:v>
                </c:pt>
                <c:pt idx="1">
                  <c:v>0.43734464498000825</c:v>
                </c:pt>
                <c:pt idx="2">
                  <c:v>0.40294894366197181</c:v>
                </c:pt>
                <c:pt idx="3">
                  <c:v>0.35839508916959639</c:v>
                </c:pt>
                <c:pt idx="4">
                  <c:v>0.28566799870396381</c:v>
                </c:pt>
                <c:pt idx="5">
                  <c:v>0.27840585217556535</c:v>
                </c:pt>
                <c:pt idx="6">
                  <c:v>0.25220824229073624</c:v>
                </c:pt>
              </c:numCache>
            </c:numRef>
          </c:val>
        </c:ser>
        <c:ser>
          <c:idx val="1"/>
          <c:order val="1"/>
          <c:tx>
            <c:strRef>
              <c:f>List4!$V$2:$V$3</c:f>
              <c:strCache>
                <c:ptCount val="1"/>
                <c:pt idx="0">
                  <c:v>manželé muž mladší</c:v>
                </c:pt>
              </c:strCache>
            </c:strRef>
          </c:tx>
          <c:spPr>
            <a:ln w="19050" cap="rnd">
              <a:solidFill>
                <a:schemeClr val="tx2"/>
              </a:solidFill>
              <a:prstDash val="sysDash"/>
              <a:round/>
            </a:ln>
            <a:effectLst/>
          </c:spPr>
          <c:marker>
            <c:symbol val="none"/>
          </c:marker>
          <c:cat>
            <c:strRef>
              <c:f>List4!$T$4:$T$10</c:f>
              <c:strCache>
                <c:ptCount val="7"/>
                <c:pt idx="0">
                  <c:v>-24</c:v>
                </c:pt>
                <c:pt idx="1">
                  <c:v>25-29</c:v>
                </c:pt>
                <c:pt idx="2">
                  <c:v>30-34</c:v>
                </c:pt>
                <c:pt idx="3">
                  <c:v>35-39</c:v>
                </c:pt>
                <c:pt idx="4">
                  <c:v>40-44</c:v>
                </c:pt>
                <c:pt idx="5">
                  <c:v>45-49</c:v>
                </c:pt>
                <c:pt idx="6">
                  <c:v>50+</c:v>
                </c:pt>
              </c:strCache>
            </c:strRef>
          </c:cat>
          <c:val>
            <c:numRef>
              <c:f>List4!$V$4:$V$10</c:f>
              <c:numCache>
                <c:formatCode>###0%</c:formatCode>
                <c:ptCount val="7"/>
                <c:pt idx="0">
                  <c:v>0.37846803377563576</c:v>
                </c:pt>
                <c:pt idx="1">
                  <c:v>0.25156705933210849</c:v>
                </c:pt>
                <c:pt idx="2">
                  <c:v>0.16733161063153112</c:v>
                </c:pt>
                <c:pt idx="3">
                  <c:v>9.6055350885075719E-2</c:v>
                </c:pt>
                <c:pt idx="4">
                  <c:v>7.7756777189761775E-2</c:v>
                </c:pt>
                <c:pt idx="5">
                  <c:v>7.3310532649312823E-2</c:v>
                </c:pt>
                <c:pt idx="6">
                  <c:v>6.5489687989319922E-2</c:v>
                </c:pt>
              </c:numCache>
            </c:numRef>
          </c:val>
        </c:ser>
        <c:ser>
          <c:idx val="2"/>
          <c:order val="2"/>
          <c:tx>
            <c:strRef>
              <c:f>List4!$W$2:$W$3</c:f>
              <c:strCache>
                <c:ptCount val="1"/>
                <c:pt idx="0">
                  <c:v>manželé muž starší</c:v>
                </c:pt>
              </c:strCache>
            </c:strRef>
          </c:tx>
          <c:spPr>
            <a:ln w="19050" cap="rnd">
              <a:solidFill>
                <a:schemeClr val="tx2"/>
              </a:solidFill>
              <a:prstDash val="lgDashDot"/>
              <a:round/>
            </a:ln>
            <a:effectLst/>
          </c:spPr>
          <c:marker>
            <c:symbol val="none"/>
          </c:marker>
          <c:cat>
            <c:strRef>
              <c:f>List4!$T$4:$T$10</c:f>
              <c:strCache>
                <c:ptCount val="7"/>
                <c:pt idx="0">
                  <c:v>-24</c:v>
                </c:pt>
                <c:pt idx="1">
                  <c:v>25-29</c:v>
                </c:pt>
                <c:pt idx="2">
                  <c:v>30-34</c:v>
                </c:pt>
                <c:pt idx="3">
                  <c:v>35-39</c:v>
                </c:pt>
                <c:pt idx="4">
                  <c:v>40-44</c:v>
                </c:pt>
                <c:pt idx="5">
                  <c:v>45-49</c:v>
                </c:pt>
                <c:pt idx="6">
                  <c:v>50+</c:v>
                </c:pt>
              </c:strCache>
            </c:strRef>
          </c:cat>
          <c:val>
            <c:numRef>
              <c:f>List4!$W$4:$W$10</c:f>
              <c:numCache>
                <c:formatCode>###0%</c:formatCode>
                <c:ptCount val="7"/>
                <c:pt idx="0">
                  <c:v>0.17038600723763569</c:v>
                </c:pt>
                <c:pt idx="1">
                  <c:v>0.31108829568788909</c:v>
                </c:pt>
                <c:pt idx="2">
                  <c:v>0.42971944570649706</c:v>
                </c:pt>
                <c:pt idx="3">
                  <c:v>0.5455495599453295</c:v>
                </c:pt>
                <c:pt idx="4">
                  <c:v>0.63657522410627565</c:v>
                </c:pt>
                <c:pt idx="5">
                  <c:v>0.64828361517512501</c:v>
                </c:pt>
                <c:pt idx="6">
                  <c:v>0.68230206971993879</c:v>
                </c:pt>
              </c:numCache>
            </c:numRef>
          </c:val>
        </c:ser>
        <c:ser>
          <c:idx val="3"/>
          <c:order val="3"/>
          <c:tx>
            <c:strRef>
              <c:f>List4!$X$2:$X$3</c:f>
              <c:strCache>
                <c:ptCount val="1"/>
                <c:pt idx="0">
                  <c:v>NSS muž - podobně staří</c:v>
                </c:pt>
              </c:strCache>
            </c:strRef>
          </c:tx>
          <c:spPr>
            <a:ln w="19050" cap="rnd">
              <a:solidFill>
                <a:srgbClr val="00B0F0"/>
              </a:solidFill>
              <a:round/>
            </a:ln>
            <a:effectLst/>
          </c:spPr>
          <c:marker>
            <c:symbol val="none"/>
          </c:marker>
          <c:cat>
            <c:strRef>
              <c:f>List4!$T$4:$T$10</c:f>
              <c:strCache>
                <c:ptCount val="7"/>
                <c:pt idx="0">
                  <c:v>-24</c:v>
                </c:pt>
                <c:pt idx="1">
                  <c:v>25-29</c:v>
                </c:pt>
                <c:pt idx="2">
                  <c:v>30-34</c:v>
                </c:pt>
                <c:pt idx="3">
                  <c:v>35-39</c:v>
                </c:pt>
                <c:pt idx="4">
                  <c:v>40-44</c:v>
                </c:pt>
                <c:pt idx="5">
                  <c:v>45-49</c:v>
                </c:pt>
                <c:pt idx="6">
                  <c:v>50+</c:v>
                </c:pt>
              </c:strCache>
            </c:strRef>
          </c:cat>
          <c:val>
            <c:numRef>
              <c:f>List4!$X$4:$X$10</c:f>
              <c:numCache>
                <c:formatCode>###0%</c:formatCode>
                <c:ptCount val="7"/>
                <c:pt idx="0">
                  <c:v>0.45195729537366724</c:v>
                </c:pt>
                <c:pt idx="1">
                  <c:v>0.3562061239731143</c:v>
                </c:pt>
                <c:pt idx="2">
                  <c:v>0.27038709990771975</c:v>
                </c:pt>
                <c:pt idx="3">
                  <c:v>0.21954556762583971</c:v>
                </c:pt>
                <c:pt idx="4">
                  <c:v>0.16095204430305168</c:v>
                </c:pt>
                <c:pt idx="5">
                  <c:v>0.15307372030369817</c:v>
                </c:pt>
                <c:pt idx="6">
                  <c:v>0.15987411487018099</c:v>
                </c:pt>
              </c:numCache>
            </c:numRef>
          </c:val>
        </c:ser>
        <c:ser>
          <c:idx val="4"/>
          <c:order val="4"/>
          <c:tx>
            <c:strRef>
              <c:f>List4!$Y$2:$Y$3</c:f>
              <c:strCache>
                <c:ptCount val="1"/>
                <c:pt idx="0">
                  <c:v>NSS muž mladší</c:v>
                </c:pt>
              </c:strCache>
            </c:strRef>
          </c:tx>
          <c:spPr>
            <a:ln w="19050" cap="rnd">
              <a:solidFill>
                <a:srgbClr val="00B0F0"/>
              </a:solidFill>
              <a:prstDash val="sysDash"/>
              <a:round/>
            </a:ln>
            <a:effectLst/>
          </c:spPr>
          <c:marker>
            <c:symbol val="none"/>
          </c:marker>
          <c:cat>
            <c:strRef>
              <c:f>List4!$T$4:$T$10</c:f>
              <c:strCache>
                <c:ptCount val="7"/>
                <c:pt idx="0">
                  <c:v>-24</c:v>
                </c:pt>
                <c:pt idx="1">
                  <c:v>25-29</c:v>
                </c:pt>
                <c:pt idx="2">
                  <c:v>30-34</c:v>
                </c:pt>
                <c:pt idx="3">
                  <c:v>35-39</c:v>
                </c:pt>
                <c:pt idx="4">
                  <c:v>40-44</c:v>
                </c:pt>
                <c:pt idx="5">
                  <c:v>45-49</c:v>
                </c:pt>
                <c:pt idx="6">
                  <c:v>50+</c:v>
                </c:pt>
              </c:strCache>
            </c:strRef>
          </c:cat>
          <c:val>
            <c:numRef>
              <c:f>List4!$Y$4:$Y$10</c:f>
              <c:numCache>
                <c:formatCode>###0%</c:formatCode>
                <c:ptCount val="7"/>
                <c:pt idx="0">
                  <c:v>0.31540416878495525</c:v>
                </c:pt>
                <c:pt idx="1">
                  <c:v>0.21415982076176251</c:v>
                </c:pt>
                <c:pt idx="2">
                  <c:v>0.19745980863567925</c:v>
                </c:pt>
                <c:pt idx="3">
                  <c:v>0.16705365287337259</c:v>
                </c:pt>
                <c:pt idx="4">
                  <c:v>0.20572640509013873</c:v>
                </c:pt>
                <c:pt idx="5">
                  <c:v>0.28924810188587002</c:v>
                </c:pt>
                <c:pt idx="6">
                  <c:v>0.37560975609756098</c:v>
                </c:pt>
              </c:numCache>
            </c:numRef>
          </c:val>
        </c:ser>
        <c:ser>
          <c:idx val="5"/>
          <c:order val="5"/>
          <c:tx>
            <c:strRef>
              <c:f>List4!$Z$2:$Z$3</c:f>
              <c:strCache>
                <c:ptCount val="1"/>
                <c:pt idx="0">
                  <c:v>NSS muž starší</c:v>
                </c:pt>
              </c:strCache>
            </c:strRef>
          </c:tx>
          <c:spPr>
            <a:ln w="19050" cap="rnd">
              <a:solidFill>
                <a:srgbClr val="00B0F0"/>
              </a:solidFill>
              <a:prstDash val="lgDashDot"/>
              <a:round/>
            </a:ln>
            <a:effectLst/>
          </c:spPr>
          <c:marker>
            <c:symbol val="none"/>
          </c:marker>
          <c:cat>
            <c:strRef>
              <c:f>List4!$T$4:$T$10</c:f>
              <c:strCache>
                <c:ptCount val="7"/>
                <c:pt idx="0">
                  <c:v>-24</c:v>
                </c:pt>
                <c:pt idx="1">
                  <c:v>25-29</c:v>
                </c:pt>
                <c:pt idx="2">
                  <c:v>30-34</c:v>
                </c:pt>
                <c:pt idx="3">
                  <c:v>35-39</c:v>
                </c:pt>
                <c:pt idx="4">
                  <c:v>40-44</c:v>
                </c:pt>
                <c:pt idx="5">
                  <c:v>45-49</c:v>
                </c:pt>
                <c:pt idx="6">
                  <c:v>50+</c:v>
                </c:pt>
              </c:strCache>
            </c:strRef>
          </c:cat>
          <c:val>
            <c:numRef>
              <c:f>List4!$Z$4:$Z$10</c:f>
              <c:numCache>
                <c:formatCode>###0%</c:formatCode>
                <c:ptCount val="7"/>
                <c:pt idx="0">
                  <c:v>0.23263853584138294</c:v>
                </c:pt>
                <c:pt idx="1">
                  <c:v>0.42963405526512327</c:v>
                </c:pt>
                <c:pt idx="2">
                  <c:v>0.53215309145660306</c:v>
                </c:pt>
                <c:pt idx="3">
                  <c:v>0.61340077950078775</c:v>
                </c:pt>
                <c:pt idx="4">
                  <c:v>0.63332155060681439</c:v>
                </c:pt>
                <c:pt idx="5">
                  <c:v>0.55767817781043361</c:v>
                </c:pt>
                <c:pt idx="6">
                  <c:v>0.46451612903226014</c:v>
                </c:pt>
              </c:numCache>
            </c:numRef>
          </c:val>
        </c:ser>
        <c:ser>
          <c:idx val="6"/>
          <c:order val="6"/>
          <c:tx>
            <c:strRef>
              <c:f>List4!$AA$2:$AA$3</c:f>
              <c:strCache>
                <c:ptCount val="1"/>
                <c:pt idx="0">
                  <c:v>NSZM muž - podobně staří</c:v>
                </c:pt>
              </c:strCache>
            </c:strRef>
          </c:tx>
          <c:spPr>
            <a:ln w="19050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List4!$T$4:$T$10</c:f>
              <c:strCache>
                <c:ptCount val="7"/>
                <c:pt idx="0">
                  <c:v>-24</c:v>
                </c:pt>
                <c:pt idx="1">
                  <c:v>25-29</c:v>
                </c:pt>
                <c:pt idx="2">
                  <c:v>30-34</c:v>
                </c:pt>
                <c:pt idx="3">
                  <c:v>35-39</c:v>
                </c:pt>
                <c:pt idx="4">
                  <c:v>40-44</c:v>
                </c:pt>
                <c:pt idx="5">
                  <c:v>45-49</c:v>
                </c:pt>
                <c:pt idx="6">
                  <c:v>50+</c:v>
                </c:pt>
              </c:strCache>
            </c:strRef>
          </c:cat>
          <c:val>
            <c:numRef>
              <c:f>List4!$AA$4:$AA$10</c:f>
              <c:numCache>
                <c:formatCode>###0%</c:formatCode>
                <c:ptCount val="7"/>
                <c:pt idx="0">
                  <c:v>0.41666666666666846</c:v>
                </c:pt>
                <c:pt idx="1">
                  <c:v>0.2929210740439383</c:v>
                </c:pt>
                <c:pt idx="2">
                  <c:v>0.26268831358783246</c:v>
                </c:pt>
                <c:pt idx="3">
                  <c:v>0.23013517969007583</c:v>
                </c:pt>
                <c:pt idx="4">
                  <c:v>0.18205853418593304</c:v>
                </c:pt>
                <c:pt idx="5">
                  <c:v>0.17694535148789564</c:v>
                </c:pt>
                <c:pt idx="6">
                  <c:v>0.17200227687596989</c:v>
                </c:pt>
              </c:numCache>
            </c:numRef>
          </c:val>
        </c:ser>
        <c:ser>
          <c:idx val="7"/>
          <c:order val="7"/>
          <c:tx>
            <c:strRef>
              <c:f>List4!$AB$2:$AB$3</c:f>
              <c:strCache>
                <c:ptCount val="1"/>
                <c:pt idx="0">
                  <c:v>NSZM muž mladší</c:v>
                </c:pt>
              </c:strCache>
            </c:strRef>
          </c:tx>
          <c:spPr>
            <a:ln w="19050" cap="rnd">
              <a:solidFill>
                <a:schemeClr val="accent3"/>
              </a:solidFill>
              <a:prstDash val="sysDash"/>
              <a:round/>
            </a:ln>
            <a:effectLst/>
          </c:spPr>
          <c:marker>
            <c:symbol val="none"/>
          </c:marker>
          <c:cat>
            <c:strRef>
              <c:f>List4!$T$4:$T$10</c:f>
              <c:strCache>
                <c:ptCount val="7"/>
                <c:pt idx="0">
                  <c:v>-24</c:v>
                </c:pt>
                <c:pt idx="1">
                  <c:v>25-29</c:v>
                </c:pt>
                <c:pt idx="2">
                  <c:v>30-34</c:v>
                </c:pt>
                <c:pt idx="3">
                  <c:v>35-39</c:v>
                </c:pt>
                <c:pt idx="4">
                  <c:v>40-44</c:v>
                </c:pt>
                <c:pt idx="5">
                  <c:v>45-49</c:v>
                </c:pt>
                <c:pt idx="6">
                  <c:v>50+</c:v>
                </c:pt>
              </c:strCache>
            </c:strRef>
          </c:cat>
          <c:val>
            <c:numRef>
              <c:f>List4!$AB$4:$AB$10</c:f>
              <c:numCache>
                <c:formatCode>###0%</c:formatCode>
                <c:ptCount val="7"/>
                <c:pt idx="0">
                  <c:v>0.35714285714285965</c:v>
                </c:pt>
                <c:pt idx="1">
                  <c:v>0.30431244914565042</c:v>
                </c:pt>
                <c:pt idx="2">
                  <c:v>0.22539125347374578</c:v>
                </c:pt>
                <c:pt idx="3">
                  <c:v>0.1657764589515332</c:v>
                </c:pt>
                <c:pt idx="4">
                  <c:v>0.15100836202656259</c:v>
                </c:pt>
                <c:pt idx="5">
                  <c:v>0.15008317417287981</c:v>
                </c:pt>
                <c:pt idx="6">
                  <c:v>0.1378687655799164</c:v>
                </c:pt>
              </c:numCache>
            </c:numRef>
          </c:val>
        </c:ser>
        <c:ser>
          <c:idx val="8"/>
          <c:order val="8"/>
          <c:tx>
            <c:strRef>
              <c:f>List4!$AC$2:$AC$3</c:f>
              <c:strCache>
                <c:ptCount val="1"/>
                <c:pt idx="0">
                  <c:v>NSZM muž starší</c:v>
                </c:pt>
              </c:strCache>
            </c:strRef>
          </c:tx>
          <c:spPr>
            <a:ln w="19050" cap="rnd">
              <a:solidFill>
                <a:schemeClr val="accent3"/>
              </a:solidFill>
              <a:prstDash val="lgDashDot"/>
              <a:round/>
            </a:ln>
            <a:effectLst/>
          </c:spPr>
          <c:marker>
            <c:symbol val="none"/>
          </c:marker>
          <c:cat>
            <c:strRef>
              <c:f>List4!$T$4:$T$10</c:f>
              <c:strCache>
                <c:ptCount val="7"/>
                <c:pt idx="0">
                  <c:v>-24</c:v>
                </c:pt>
                <c:pt idx="1">
                  <c:v>25-29</c:v>
                </c:pt>
                <c:pt idx="2">
                  <c:v>30-34</c:v>
                </c:pt>
                <c:pt idx="3">
                  <c:v>35-39</c:v>
                </c:pt>
                <c:pt idx="4">
                  <c:v>40-44</c:v>
                </c:pt>
                <c:pt idx="5">
                  <c:v>45-49</c:v>
                </c:pt>
                <c:pt idx="6">
                  <c:v>50+</c:v>
                </c:pt>
              </c:strCache>
            </c:strRef>
          </c:cat>
          <c:val>
            <c:numRef>
              <c:f>List4!$AC$4:$AC$10</c:f>
              <c:numCache>
                <c:formatCode>###0%</c:formatCode>
                <c:ptCount val="7"/>
                <c:pt idx="0">
                  <c:v>0.22619047619047641</c:v>
                </c:pt>
                <c:pt idx="1">
                  <c:v>0.40276647681041633</c:v>
                </c:pt>
                <c:pt idx="2">
                  <c:v>0.51192043293842693</c:v>
                </c:pt>
                <c:pt idx="3">
                  <c:v>0.60408836135839161</c:v>
                </c:pt>
                <c:pt idx="4">
                  <c:v>0.66693310378750614</c:v>
                </c:pt>
                <c:pt idx="5">
                  <c:v>0.67297147433923299</c:v>
                </c:pt>
                <c:pt idx="6">
                  <c:v>0.69012895754411863</c:v>
                </c:pt>
              </c:numCache>
            </c:numRef>
          </c:val>
        </c:ser>
        <c:marker val="1"/>
        <c:axId val="95888128"/>
        <c:axId val="95889664"/>
        <c:extLst/>
      </c:lineChart>
      <c:catAx>
        <c:axId val="95888128"/>
        <c:scaling>
          <c:orientation val="minMax"/>
        </c:scaling>
        <c:axPos val="b"/>
        <c:numFmt formatCode="General" sourceLinked="1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cs-CZ"/>
          </a:p>
        </c:txPr>
        <c:crossAx val="95889664"/>
        <c:crosses val="autoZero"/>
        <c:auto val="1"/>
        <c:lblAlgn val="ctr"/>
        <c:lblOffset val="100"/>
      </c:catAx>
      <c:valAx>
        <c:axId val="95889664"/>
        <c:scaling>
          <c:orientation val="minMax"/>
          <c:max val="1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##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cs-CZ"/>
          </a:p>
        </c:txPr>
        <c:crossAx val="95888128"/>
        <c:crosses val="autoZero"/>
        <c:crossBetween val="between"/>
      </c:valAx>
      <c:spPr>
        <a:noFill/>
        <a:ln>
          <a:solidFill>
            <a:sysClr val="window" lastClr="FFFFFF">
              <a:lumMod val="85000"/>
            </a:sysClr>
          </a:solidFill>
        </a:ln>
        <a:effectLst/>
      </c:spPr>
    </c:plotArea>
    <c:legend>
      <c:legendPos val="b"/>
      <c:layout>
        <c:manualLayout>
          <c:xMode val="edge"/>
          <c:yMode val="edge"/>
          <c:x val="4.2365810399183593E-2"/>
          <c:y val="0.84368793406996978"/>
          <c:w val="0.94392969000532723"/>
          <c:h val="0.14360346931942194"/>
        </c:manualLayout>
      </c:layout>
      <c:spPr>
        <a:noFill/>
        <a:ln>
          <a:noFill/>
        </a:ln>
        <a:effectLst/>
      </c:spPr>
      <c:txPr>
        <a:bodyPr rot="0" vert="horz"/>
        <a:lstStyle/>
        <a:p>
          <a:pPr>
            <a:defRPr sz="700"/>
          </a:pPr>
          <a:endParaRPr lang="cs-CZ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800">
          <a:latin typeface="Arial" pitchFamily="34" charset="0"/>
          <a:cs typeface="Arial" pitchFamily="34" charset="0"/>
        </a:defRPr>
      </a:pPr>
      <a:endParaRPr lang="cs-CZ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title>
      <c:tx>
        <c:rich>
          <a:bodyPr rot="0" vert="horz"/>
          <a:lstStyle/>
          <a:p>
            <a:pPr>
              <a:defRPr/>
            </a:pPr>
            <a:r>
              <a:rPr lang="en-US"/>
              <a:t>ženy</a:t>
            </a:r>
          </a:p>
        </c:rich>
      </c:tx>
      <c:layout>
        <c:manualLayout>
          <c:xMode val="edge"/>
          <c:yMode val="edge"/>
          <c:x val="0.90830512366575067"/>
          <c:y val="7.1509929427211572E-2"/>
        </c:manualLayout>
      </c:layout>
      <c:spPr>
        <a:solidFill>
          <a:sysClr val="window" lastClr="FFFFFF"/>
        </a:solidFill>
        <a:ln>
          <a:solidFill>
            <a:sysClr val="windowText" lastClr="000000">
              <a:lumMod val="15000"/>
              <a:lumOff val="85000"/>
            </a:sysClr>
          </a:solidFill>
        </a:ln>
        <a:effectLst/>
      </c:spPr>
    </c:title>
    <c:plotArea>
      <c:layout>
        <c:manualLayout>
          <c:layoutTarget val="inner"/>
          <c:xMode val="edge"/>
          <c:yMode val="edge"/>
          <c:x val="6.7840423404271114E-2"/>
          <c:y val="2.2663952573982456E-2"/>
          <c:w val="0.93215957659573301"/>
          <c:h val="0.72561819595645349"/>
        </c:manualLayout>
      </c:layout>
      <c:lineChart>
        <c:grouping val="standard"/>
        <c:ser>
          <c:idx val="0"/>
          <c:order val="0"/>
          <c:tx>
            <c:strRef>
              <c:f>List4!$AD$2:$AD$3</c:f>
              <c:strCache>
                <c:ptCount val="1"/>
                <c:pt idx="0">
                  <c:v>manželé žena - podobně staří</c:v>
                </c:pt>
              </c:strCache>
            </c:strRef>
          </c:tx>
          <c:spPr>
            <a:ln w="19050" cap="rnd">
              <a:solidFill>
                <a:schemeClr val="tx2"/>
              </a:solidFill>
              <a:round/>
            </a:ln>
            <a:effectLst/>
          </c:spPr>
          <c:marker>
            <c:symbol val="none"/>
          </c:marker>
          <c:cat>
            <c:strRef>
              <c:f>List4!$T$4:$T$10</c:f>
              <c:strCache>
                <c:ptCount val="7"/>
                <c:pt idx="0">
                  <c:v>-24</c:v>
                </c:pt>
                <c:pt idx="1">
                  <c:v>25-29</c:v>
                </c:pt>
                <c:pt idx="2">
                  <c:v>30-34</c:v>
                </c:pt>
                <c:pt idx="3">
                  <c:v>35-39</c:v>
                </c:pt>
                <c:pt idx="4">
                  <c:v>40-44</c:v>
                </c:pt>
                <c:pt idx="5">
                  <c:v>45-49</c:v>
                </c:pt>
                <c:pt idx="6">
                  <c:v>50+</c:v>
                </c:pt>
              </c:strCache>
            </c:strRef>
          </c:cat>
          <c:val>
            <c:numRef>
              <c:f>List4!$AD$4:$AD$10</c:f>
              <c:numCache>
                <c:formatCode>###0%</c:formatCode>
                <c:ptCount val="7"/>
                <c:pt idx="0">
                  <c:v>0.14407720556836701</c:v>
                </c:pt>
                <c:pt idx="1">
                  <c:v>0.230091552945241</c:v>
                </c:pt>
                <c:pt idx="2">
                  <c:v>0.31213180656680672</c:v>
                </c:pt>
                <c:pt idx="3">
                  <c:v>0.32546454957204918</c:v>
                </c:pt>
                <c:pt idx="4">
                  <c:v>0.27995255669633629</c:v>
                </c:pt>
                <c:pt idx="5">
                  <c:v>0.27458421347814038</c:v>
                </c:pt>
                <c:pt idx="6">
                  <c:v>0.28129908957316324</c:v>
                </c:pt>
              </c:numCache>
            </c:numRef>
          </c:val>
        </c:ser>
        <c:ser>
          <c:idx val="1"/>
          <c:order val="1"/>
          <c:tx>
            <c:strRef>
              <c:f>List4!$AE$2:$AE$3</c:f>
              <c:strCache>
                <c:ptCount val="1"/>
                <c:pt idx="0">
                  <c:v>manželé žena starší</c:v>
                </c:pt>
              </c:strCache>
            </c:strRef>
          </c:tx>
          <c:spPr>
            <a:ln w="19050" cap="rnd">
              <a:solidFill>
                <a:schemeClr val="tx2"/>
              </a:solidFill>
              <a:prstDash val="lgDashDot"/>
              <a:round/>
            </a:ln>
            <a:effectLst/>
          </c:spPr>
          <c:marker>
            <c:symbol val="none"/>
          </c:marker>
          <c:cat>
            <c:strRef>
              <c:f>List4!$T$4:$T$10</c:f>
              <c:strCache>
                <c:ptCount val="7"/>
                <c:pt idx="0">
                  <c:v>-24</c:v>
                </c:pt>
                <c:pt idx="1">
                  <c:v>25-29</c:v>
                </c:pt>
                <c:pt idx="2">
                  <c:v>30-34</c:v>
                </c:pt>
                <c:pt idx="3">
                  <c:v>35-39</c:v>
                </c:pt>
                <c:pt idx="4">
                  <c:v>40-44</c:v>
                </c:pt>
                <c:pt idx="5">
                  <c:v>45-49</c:v>
                </c:pt>
                <c:pt idx="6">
                  <c:v>50+</c:v>
                </c:pt>
              </c:strCache>
            </c:strRef>
          </c:cat>
          <c:val>
            <c:numRef>
              <c:f>List4!$AE$4:$AE$10</c:f>
              <c:numCache>
                <c:formatCode>###0%</c:formatCode>
                <c:ptCount val="7"/>
                <c:pt idx="0">
                  <c:v>7.7717994704928559E-3</c:v>
                </c:pt>
                <c:pt idx="1">
                  <c:v>3.0867560492711651E-2</c:v>
                </c:pt>
                <c:pt idx="2">
                  <c:v>7.2184623279982082E-2</c:v>
                </c:pt>
                <c:pt idx="3">
                  <c:v>9.9212978111492642E-2</c:v>
                </c:pt>
                <c:pt idx="4">
                  <c:v>8.9215649936195143E-2</c:v>
                </c:pt>
                <c:pt idx="5">
                  <c:v>7.6552942348112774E-2</c:v>
                </c:pt>
                <c:pt idx="6">
                  <c:v>8.6700631724743696E-2</c:v>
                </c:pt>
              </c:numCache>
            </c:numRef>
          </c:val>
        </c:ser>
        <c:ser>
          <c:idx val="2"/>
          <c:order val="2"/>
          <c:tx>
            <c:strRef>
              <c:f>List4!$AF$2:$AF$3</c:f>
              <c:strCache>
                <c:ptCount val="1"/>
                <c:pt idx="0">
                  <c:v>manželé žena mladší</c:v>
                </c:pt>
              </c:strCache>
            </c:strRef>
          </c:tx>
          <c:spPr>
            <a:ln w="19050" cap="rnd">
              <a:solidFill>
                <a:schemeClr val="tx2"/>
              </a:solidFill>
              <a:prstDash val="sysDash"/>
              <a:round/>
            </a:ln>
            <a:effectLst/>
          </c:spPr>
          <c:marker>
            <c:symbol val="none"/>
          </c:marker>
          <c:cat>
            <c:strRef>
              <c:f>List4!$T$4:$T$10</c:f>
              <c:strCache>
                <c:ptCount val="7"/>
                <c:pt idx="0">
                  <c:v>-24</c:v>
                </c:pt>
                <c:pt idx="1">
                  <c:v>25-29</c:v>
                </c:pt>
                <c:pt idx="2">
                  <c:v>30-34</c:v>
                </c:pt>
                <c:pt idx="3">
                  <c:v>35-39</c:v>
                </c:pt>
                <c:pt idx="4">
                  <c:v>40-44</c:v>
                </c:pt>
                <c:pt idx="5">
                  <c:v>45-49</c:v>
                </c:pt>
                <c:pt idx="6">
                  <c:v>50+</c:v>
                </c:pt>
              </c:strCache>
            </c:strRef>
          </c:cat>
          <c:val>
            <c:numRef>
              <c:f>List4!$AF$4:$AF$10</c:f>
              <c:numCache>
                <c:formatCode>###0%</c:formatCode>
                <c:ptCount val="7"/>
                <c:pt idx="0">
                  <c:v>0.84815099496114099</c:v>
                </c:pt>
                <c:pt idx="1">
                  <c:v>0.73904088656205102</c:v>
                </c:pt>
                <c:pt idx="2">
                  <c:v>0.61568357015321162</c:v>
                </c:pt>
                <c:pt idx="3">
                  <c:v>0.57532247231646205</c:v>
                </c:pt>
                <c:pt idx="4">
                  <c:v>0.63083179336746864</c:v>
                </c:pt>
                <c:pt idx="5">
                  <c:v>0.64886284417374762</c:v>
                </c:pt>
                <c:pt idx="6">
                  <c:v>0.63200027870209285</c:v>
                </c:pt>
              </c:numCache>
            </c:numRef>
          </c:val>
        </c:ser>
        <c:ser>
          <c:idx val="3"/>
          <c:order val="3"/>
          <c:tx>
            <c:strRef>
              <c:f>List4!$AG$2:$AG$3</c:f>
              <c:strCache>
                <c:ptCount val="1"/>
                <c:pt idx="0">
                  <c:v>NSS žena - podobně staří</c:v>
                </c:pt>
              </c:strCache>
            </c:strRef>
          </c:tx>
          <c:spPr>
            <a:ln w="19050" cap="rnd">
              <a:solidFill>
                <a:srgbClr val="00B0F0"/>
              </a:solidFill>
              <a:round/>
            </a:ln>
            <a:effectLst/>
          </c:spPr>
          <c:marker>
            <c:symbol val="none"/>
          </c:marker>
          <c:cat>
            <c:strRef>
              <c:f>List4!$T$4:$T$10</c:f>
              <c:strCache>
                <c:ptCount val="7"/>
                <c:pt idx="0">
                  <c:v>-24</c:v>
                </c:pt>
                <c:pt idx="1">
                  <c:v>25-29</c:v>
                </c:pt>
                <c:pt idx="2">
                  <c:v>30-34</c:v>
                </c:pt>
                <c:pt idx="3">
                  <c:v>35-39</c:v>
                </c:pt>
                <c:pt idx="4">
                  <c:v>40-44</c:v>
                </c:pt>
                <c:pt idx="5">
                  <c:v>45-49</c:v>
                </c:pt>
                <c:pt idx="6">
                  <c:v>50+</c:v>
                </c:pt>
              </c:strCache>
            </c:strRef>
          </c:cat>
          <c:val>
            <c:numRef>
              <c:f>List4!$AG$4:$AG$10</c:f>
              <c:numCache>
                <c:formatCode>###0%</c:formatCode>
                <c:ptCount val="7"/>
                <c:pt idx="0">
                  <c:v>0.20583510615204353</c:v>
                </c:pt>
                <c:pt idx="1">
                  <c:v>0.27935155602887235</c:v>
                </c:pt>
                <c:pt idx="2">
                  <c:v>0.29313101363332322</c:v>
                </c:pt>
                <c:pt idx="3">
                  <c:v>0.26640171998175782</c:v>
                </c:pt>
                <c:pt idx="4">
                  <c:v>0.20257640818388481</c:v>
                </c:pt>
                <c:pt idx="5">
                  <c:v>0.16350275566442141</c:v>
                </c:pt>
                <c:pt idx="6">
                  <c:v>0.16914230953521844</c:v>
                </c:pt>
              </c:numCache>
            </c:numRef>
          </c:val>
        </c:ser>
        <c:ser>
          <c:idx val="4"/>
          <c:order val="4"/>
          <c:tx>
            <c:strRef>
              <c:f>List4!$AH$2:$AH$3</c:f>
              <c:strCache>
                <c:ptCount val="1"/>
                <c:pt idx="0">
                  <c:v>NSS žena starší</c:v>
                </c:pt>
              </c:strCache>
            </c:strRef>
          </c:tx>
          <c:spPr>
            <a:ln w="19050" cap="rnd">
              <a:solidFill>
                <a:srgbClr val="00B0F0"/>
              </a:solidFill>
              <a:prstDash val="lgDashDot"/>
              <a:round/>
            </a:ln>
            <a:effectLst/>
          </c:spPr>
          <c:marker>
            <c:symbol val="none"/>
          </c:marker>
          <c:cat>
            <c:strRef>
              <c:f>List4!$T$4:$T$10</c:f>
              <c:strCache>
                <c:ptCount val="7"/>
                <c:pt idx="0">
                  <c:v>-24</c:v>
                </c:pt>
                <c:pt idx="1">
                  <c:v>25-29</c:v>
                </c:pt>
                <c:pt idx="2">
                  <c:v>30-34</c:v>
                </c:pt>
                <c:pt idx="3">
                  <c:v>35-39</c:v>
                </c:pt>
                <c:pt idx="4">
                  <c:v>40-44</c:v>
                </c:pt>
                <c:pt idx="5">
                  <c:v>45-49</c:v>
                </c:pt>
                <c:pt idx="6">
                  <c:v>50+</c:v>
                </c:pt>
              </c:strCache>
            </c:strRef>
          </c:cat>
          <c:val>
            <c:numRef>
              <c:f>List4!$AH$4:$AH$10</c:f>
              <c:numCache>
                <c:formatCode>###0%</c:formatCode>
                <c:ptCount val="7"/>
                <c:pt idx="0">
                  <c:v>1.8364954630313131E-2</c:v>
                </c:pt>
                <c:pt idx="1">
                  <c:v>6.9009584664536813E-2</c:v>
                </c:pt>
                <c:pt idx="2">
                  <c:v>0.14833871108398011</c:v>
                </c:pt>
                <c:pt idx="3">
                  <c:v>0.21981888070884179</c:v>
                </c:pt>
                <c:pt idx="4">
                  <c:v>0.22960343521091189</c:v>
                </c:pt>
                <c:pt idx="5">
                  <c:v>0.20024494794856093</c:v>
                </c:pt>
                <c:pt idx="6">
                  <c:v>0.27886919022520518</c:v>
                </c:pt>
              </c:numCache>
            </c:numRef>
          </c:val>
        </c:ser>
        <c:ser>
          <c:idx val="5"/>
          <c:order val="5"/>
          <c:tx>
            <c:strRef>
              <c:f>List4!$AI$2:$AI$3</c:f>
              <c:strCache>
                <c:ptCount val="1"/>
                <c:pt idx="0">
                  <c:v>NSS žena mladší</c:v>
                </c:pt>
              </c:strCache>
            </c:strRef>
          </c:tx>
          <c:spPr>
            <a:ln w="19050" cap="rnd">
              <a:solidFill>
                <a:srgbClr val="00B0F0"/>
              </a:solidFill>
              <a:prstDash val="sysDash"/>
              <a:round/>
            </a:ln>
            <a:effectLst/>
          </c:spPr>
          <c:marker>
            <c:symbol val="none"/>
          </c:marker>
          <c:cat>
            <c:strRef>
              <c:f>List4!$T$4:$T$10</c:f>
              <c:strCache>
                <c:ptCount val="7"/>
                <c:pt idx="0">
                  <c:v>-24</c:v>
                </c:pt>
                <c:pt idx="1">
                  <c:v>25-29</c:v>
                </c:pt>
                <c:pt idx="2">
                  <c:v>30-34</c:v>
                </c:pt>
                <c:pt idx="3">
                  <c:v>35-39</c:v>
                </c:pt>
                <c:pt idx="4">
                  <c:v>40-44</c:v>
                </c:pt>
                <c:pt idx="5">
                  <c:v>45-49</c:v>
                </c:pt>
                <c:pt idx="6">
                  <c:v>50+</c:v>
                </c:pt>
              </c:strCache>
            </c:strRef>
          </c:cat>
          <c:val>
            <c:numRef>
              <c:f>List4!$AI$4:$AI$10</c:f>
              <c:numCache>
                <c:formatCode>###0%</c:formatCode>
                <c:ptCount val="7"/>
                <c:pt idx="0">
                  <c:v>0.77579993921764734</c:v>
                </c:pt>
                <c:pt idx="1">
                  <c:v>0.65163885930659726</c:v>
                </c:pt>
                <c:pt idx="2">
                  <c:v>0.55853027528269528</c:v>
                </c:pt>
                <c:pt idx="3">
                  <c:v>0.51377939930940164</c:v>
                </c:pt>
                <c:pt idx="4">
                  <c:v>0.56782015660520646</c:v>
                </c:pt>
                <c:pt idx="5">
                  <c:v>0.63625229638701775</c:v>
                </c:pt>
                <c:pt idx="6">
                  <c:v>0.55198850023958146</c:v>
                </c:pt>
              </c:numCache>
            </c:numRef>
          </c:val>
        </c:ser>
        <c:ser>
          <c:idx val="6"/>
          <c:order val="6"/>
          <c:tx>
            <c:strRef>
              <c:f>List4!$AJ$2:$AJ$3</c:f>
              <c:strCache>
                <c:ptCount val="1"/>
                <c:pt idx="0">
                  <c:v>NSZM žena - podobně staří</c:v>
                </c:pt>
              </c:strCache>
            </c:strRef>
          </c:tx>
          <c:spPr>
            <a:ln w="19050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List4!$T$4:$T$10</c:f>
              <c:strCache>
                <c:ptCount val="7"/>
                <c:pt idx="0">
                  <c:v>-24</c:v>
                </c:pt>
                <c:pt idx="1">
                  <c:v>25-29</c:v>
                </c:pt>
                <c:pt idx="2">
                  <c:v>30-34</c:v>
                </c:pt>
                <c:pt idx="3">
                  <c:v>35-39</c:v>
                </c:pt>
                <c:pt idx="4">
                  <c:v>40-44</c:v>
                </c:pt>
                <c:pt idx="5">
                  <c:v>45-49</c:v>
                </c:pt>
                <c:pt idx="6">
                  <c:v>50+</c:v>
                </c:pt>
              </c:strCache>
            </c:strRef>
          </c:cat>
          <c:val>
            <c:numRef>
              <c:f>List4!$AJ$4:$AJ$10</c:f>
              <c:numCache>
                <c:formatCode>###0%</c:formatCode>
                <c:ptCount val="7"/>
                <c:pt idx="0">
                  <c:v>0.16856492027334852</c:v>
                </c:pt>
                <c:pt idx="1">
                  <c:v>0.19646799116997887</c:v>
                </c:pt>
                <c:pt idx="2">
                  <c:v>0.23434577358154449</c:v>
                </c:pt>
                <c:pt idx="3">
                  <c:v>0.23772823669373624</c:v>
                </c:pt>
                <c:pt idx="4">
                  <c:v>0.19747535881030695</c:v>
                </c:pt>
                <c:pt idx="5">
                  <c:v>0.20696112617848444</c:v>
                </c:pt>
                <c:pt idx="6">
                  <c:v>0.21055936841160924</c:v>
                </c:pt>
              </c:numCache>
            </c:numRef>
          </c:val>
        </c:ser>
        <c:ser>
          <c:idx val="7"/>
          <c:order val="7"/>
          <c:tx>
            <c:strRef>
              <c:f>List4!$AK$2:$AK$3</c:f>
              <c:strCache>
                <c:ptCount val="1"/>
                <c:pt idx="0">
                  <c:v>NSZM žena starší</c:v>
                </c:pt>
              </c:strCache>
            </c:strRef>
          </c:tx>
          <c:spPr>
            <a:ln w="19050" cap="rnd">
              <a:solidFill>
                <a:schemeClr val="accent3"/>
              </a:solidFill>
              <a:prstDash val="lgDashDot"/>
              <a:round/>
            </a:ln>
            <a:effectLst/>
          </c:spPr>
          <c:marker>
            <c:symbol val="none"/>
          </c:marker>
          <c:cat>
            <c:strRef>
              <c:f>List4!$T$4:$T$10</c:f>
              <c:strCache>
                <c:ptCount val="7"/>
                <c:pt idx="0">
                  <c:v>-24</c:v>
                </c:pt>
                <c:pt idx="1">
                  <c:v>25-29</c:v>
                </c:pt>
                <c:pt idx="2">
                  <c:v>30-34</c:v>
                </c:pt>
                <c:pt idx="3">
                  <c:v>35-39</c:v>
                </c:pt>
                <c:pt idx="4">
                  <c:v>40-44</c:v>
                </c:pt>
                <c:pt idx="5">
                  <c:v>45-49</c:v>
                </c:pt>
                <c:pt idx="6">
                  <c:v>50+</c:v>
                </c:pt>
              </c:strCache>
            </c:strRef>
          </c:cat>
          <c:val>
            <c:numRef>
              <c:f>List4!$AK$4:$AK$10</c:f>
              <c:numCache>
                <c:formatCode>###0%</c:formatCode>
                <c:ptCount val="7"/>
                <c:pt idx="0">
                  <c:v>1.5945330296127668E-2</c:v>
                </c:pt>
                <c:pt idx="1">
                  <c:v>9.7445600756859041E-2</c:v>
                </c:pt>
                <c:pt idx="2">
                  <c:v>0.18785071702146641</c:v>
                </c:pt>
                <c:pt idx="3">
                  <c:v>0.2583665235607529</c:v>
                </c:pt>
                <c:pt idx="4">
                  <c:v>0.29269698541702732</c:v>
                </c:pt>
                <c:pt idx="5">
                  <c:v>0.27037324034611904</c:v>
                </c:pt>
                <c:pt idx="6">
                  <c:v>0.30964876867178037</c:v>
                </c:pt>
              </c:numCache>
            </c:numRef>
          </c:val>
        </c:ser>
        <c:ser>
          <c:idx val="8"/>
          <c:order val="8"/>
          <c:tx>
            <c:strRef>
              <c:f>List4!$AL$2:$AL$3</c:f>
              <c:strCache>
                <c:ptCount val="1"/>
                <c:pt idx="0">
                  <c:v>NSZM žena mladší</c:v>
                </c:pt>
              </c:strCache>
            </c:strRef>
          </c:tx>
          <c:spPr>
            <a:ln w="19050" cap="rnd">
              <a:solidFill>
                <a:schemeClr val="accent3"/>
              </a:solidFill>
              <a:prstDash val="sysDash"/>
              <a:round/>
            </a:ln>
            <a:effectLst/>
          </c:spPr>
          <c:marker>
            <c:symbol val="none"/>
          </c:marker>
          <c:cat>
            <c:strRef>
              <c:f>List4!$T$4:$T$10</c:f>
              <c:strCache>
                <c:ptCount val="7"/>
                <c:pt idx="0">
                  <c:v>-24</c:v>
                </c:pt>
                <c:pt idx="1">
                  <c:v>25-29</c:v>
                </c:pt>
                <c:pt idx="2">
                  <c:v>30-34</c:v>
                </c:pt>
                <c:pt idx="3">
                  <c:v>35-39</c:v>
                </c:pt>
                <c:pt idx="4">
                  <c:v>40-44</c:v>
                </c:pt>
                <c:pt idx="5">
                  <c:v>45-49</c:v>
                </c:pt>
                <c:pt idx="6">
                  <c:v>50+</c:v>
                </c:pt>
              </c:strCache>
            </c:strRef>
          </c:cat>
          <c:val>
            <c:numRef>
              <c:f>List4!$AL$4:$AL$10</c:f>
              <c:numCache>
                <c:formatCode>###0%</c:formatCode>
                <c:ptCount val="7"/>
                <c:pt idx="0">
                  <c:v>0.81548974943052388</c:v>
                </c:pt>
                <c:pt idx="1">
                  <c:v>0.70608640807316303</c:v>
                </c:pt>
                <c:pt idx="2">
                  <c:v>0.57780350939698943</c:v>
                </c:pt>
                <c:pt idx="3">
                  <c:v>0.50390523974551282</c:v>
                </c:pt>
                <c:pt idx="4">
                  <c:v>0.50982765577266398</c:v>
                </c:pt>
                <c:pt idx="5">
                  <c:v>0.5226656334754014</c:v>
                </c:pt>
                <c:pt idx="6">
                  <c:v>0.47979186291661058</c:v>
                </c:pt>
              </c:numCache>
            </c:numRef>
          </c:val>
        </c:ser>
        <c:marker val="1"/>
        <c:axId val="95936896"/>
        <c:axId val="95938432"/>
        <c:extLst/>
      </c:lineChart>
      <c:catAx>
        <c:axId val="95936896"/>
        <c:scaling>
          <c:orientation val="minMax"/>
        </c:scaling>
        <c:axPos val="b"/>
        <c:numFmt formatCode="General" sourceLinked="1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cs-CZ"/>
          </a:p>
        </c:txPr>
        <c:crossAx val="95938432"/>
        <c:crosses val="autoZero"/>
        <c:auto val="1"/>
        <c:lblAlgn val="ctr"/>
        <c:lblOffset val="100"/>
      </c:catAx>
      <c:valAx>
        <c:axId val="9593843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##0%" sourceLinked="0"/>
        <c:maj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cs-CZ"/>
          </a:p>
        </c:txPr>
        <c:crossAx val="95936896"/>
        <c:crosses val="autoZero"/>
        <c:crossBetween val="between"/>
        <c:majorUnit val="0.2"/>
      </c:valAx>
      <c:spPr>
        <a:noFill/>
        <a:ln>
          <a:solidFill>
            <a:schemeClr val="bg1">
              <a:lumMod val="85000"/>
            </a:schemeClr>
          </a:solidFill>
        </a:ln>
        <a:effectLst/>
      </c:spPr>
    </c:plotArea>
    <c:legend>
      <c:legendPos val="b"/>
      <c:layout>
        <c:manualLayout>
          <c:xMode val="edge"/>
          <c:yMode val="edge"/>
          <c:x val="8.7969718742824127E-3"/>
          <c:y val="0.83073613271124858"/>
          <c:w val="0.98830490144517469"/>
          <c:h val="0.15655564195610874"/>
        </c:manualLayout>
      </c:layout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cs-CZ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800">
          <a:latin typeface="Arial" pitchFamily="34" charset="0"/>
          <a:cs typeface="Arial" pitchFamily="34" charset="0"/>
        </a:defRPr>
      </a:pPr>
      <a:endParaRPr lang="cs-CZ"/>
    </a:p>
  </c:txPr>
  <c:externalData r:id="rId1"/>
</c:chartSpace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ADC10E-319E-4ADD-B867-13E3927B6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1938</Words>
  <Characters>11435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kohoutova4061</dc:creator>
  <cp:lastModifiedBy>kohoutova4061</cp:lastModifiedBy>
  <cp:revision>4</cp:revision>
  <cp:lastPrinted>2014-04-03T06:04:00Z</cp:lastPrinted>
  <dcterms:created xsi:type="dcterms:W3CDTF">2014-04-07T11:32:00Z</dcterms:created>
  <dcterms:modified xsi:type="dcterms:W3CDTF">2014-04-07T14:43:00Z</dcterms:modified>
</cp:coreProperties>
</file>