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7E5E7E" w:rsidP="00E42E00">
      <w:pPr>
        <w:pStyle w:val="Datum"/>
      </w:pPr>
      <w:r>
        <w:t>17. 02. 2014</w:t>
      </w:r>
    </w:p>
    <w:p w:rsidR="00867569" w:rsidRPr="00A56C80" w:rsidRDefault="007E5E7E" w:rsidP="00A56C80">
      <w:pPr>
        <w:pStyle w:val="Nzev"/>
      </w:pPr>
      <w:r>
        <w:t>Ceny vývozu a dovoz</w:t>
      </w:r>
      <w:r w:rsidR="00A61F2F">
        <w:t>u</w:t>
      </w:r>
      <w:r>
        <w:t>: Nebýt slabé koruny, import deflace by zesílil</w:t>
      </w:r>
    </w:p>
    <w:p w:rsidR="007E5E7E" w:rsidRPr="006C2F82" w:rsidRDefault="007E5E7E" w:rsidP="007E5E7E">
      <w:pPr>
        <w:rPr>
          <w:rFonts w:cs="Arial"/>
          <w:b/>
          <w:szCs w:val="20"/>
        </w:rPr>
      </w:pPr>
      <w:r w:rsidRPr="006C2F82">
        <w:rPr>
          <w:rFonts w:cs="Arial"/>
          <w:b/>
          <w:szCs w:val="20"/>
        </w:rPr>
        <w:t>Růst dovozních a zejména vývozních cen loni v prosinci meziročně dále výrazně akceleroval. Konkurenceschopnost exportérů díky slabé koruně narůstá.</w:t>
      </w:r>
    </w:p>
    <w:p w:rsidR="007E5E7E" w:rsidRDefault="007E5E7E" w:rsidP="00E42E00">
      <w:pPr>
        <w:pStyle w:val="Nadpis1"/>
        <w:rPr>
          <w:rFonts w:eastAsia="Calibri" w:cs="Arial"/>
          <w:bCs w:val="0"/>
          <w:szCs w:val="18"/>
        </w:rPr>
      </w:pPr>
    </w:p>
    <w:p w:rsidR="007E5E7E" w:rsidRPr="006C2F82" w:rsidRDefault="007E5E7E" w:rsidP="007E5E7E">
      <w:pPr>
        <w:rPr>
          <w:rFonts w:cs="Arial"/>
          <w:szCs w:val="20"/>
        </w:rPr>
      </w:pPr>
      <w:r w:rsidRPr="006C2F82">
        <w:rPr>
          <w:rFonts w:cs="Arial"/>
          <w:szCs w:val="20"/>
        </w:rPr>
        <w:t xml:space="preserve">Ceny zboží  vyváženého  z ČR v posledním měsíci loňského roku  meziročně i meziměsíčně prudce stouply, o málo nižším tempem vzrostly i ceny jeho dovozů. Obojí významně ovlivnila oslabená koruna – při úplné eliminaci kurzového vlivu bylo totiž importované zboží levnější meziročně o čtyři procenta, to vyvážené pak o více než procento. </w:t>
      </w:r>
    </w:p>
    <w:p w:rsidR="001F6C45" w:rsidRDefault="001F6C45" w:rsidP="00E42E00"/>
    <w:p w:rsidR="007E5E7E" w:rsidRPr="006C2F82" w:rsidRDefault="007E5E7E" w:rsidP="007E5E7E">
      <w:pPr>
        <w:rPr>
          <w:rFonts w:cs="Arial"/>
          <w:b/>
          <w:szCs w:val="20"/>
        </w:rPr>
      </w:pPr>
      <w:r w:rsidRPr="006C2F82">
        <w:rPr>
          <w:rFonts w:cs="Arial"/>
          <w:b/>
          <w:szCs w:val="20"/>
        </w:rPr>
        <w:t xml:space="preserve">Export dražší o šest procent, import o 3,8 procenta </w:t>
      </w:r>
    </w:p>
    <w:p w:rsidR="007E5E7E" w:rsidRPr="006C2F82" w:rsidRDefault="007E5E7E" w:rsidP="007E5E7E">
      <w:pPr>
        <w:rPr>
          <w:rFonts w:cs="Arial"/>
          <w:i/>
          <w:szCs w:val="20"/>
        </w:rPr>
      </w:pPr>
    </w:p>
    <w:p w:rsidR="007E5E7E" w:rsidRPr="006C2F82" w:rsidRDefault="007E5E7E" w:rsidP="007E5E7E">
      <w:pPr>
        <w:rPr>
          <w:rFonts w:cs="Arial"/>
          <w:szCs w:val="20"/>
        </w:rPr>
      </w:pPr>
      <w:r w:rsidRPr="006C2F82">
        <w:rPr>
          <w:rFonts w:cs="Arial"/>
          <w:szCs w:val="20"/>
        </w:rPr>
        <w:t>Ceny exportovaného zboží byly v prosinci proti stejnému období 201</w:t>
      </w:r>
      <w:r w:rsidR="0035537D">
        <w:rPr>
          <w:rFonts w:cs="Arial"/>
          <w:szCs w:val="20"/>
        </w:rPr>
        <w:t>2</w:t>
      </w:r>
      <w:r w:rsidRPr="006C2F82">
        <w:rPr>
          <w:rFonts w:cs="Arial"/>
          <w:szCs w:val="20"/>
        </w:rPr>
        <w:t xml:space="preserve"> výš o 6 %, ceny strojů a dopravních prostředků o 6,6 %. Za průmyslové spotřební zboží si exportéři účtovali v korunách dokonce o 7,1 % více než v prosinci 201</w:t>
      </w:r>
      <w:r w:rsidR="0035537D">
        <w:rPr>
          <w:rFonts w:cs="Arial"/>
          <w:szCs w:val="20"/>
        </w:rPr>
        <w:t>2</w:t>
      </w:r>
      <w:r w:rsidRPr="006C2F82">
        <w:rPr>
          <w:rFonts w:cs="Arial"/>
          <w:szCs w:val="20"/>
        </w:rPr>
        <w:t xml:space="preserve">. V meziměsíčním srovnání se sice prudký skokový růst cen exportu zaznamenaný měsíc předtím poněkud zmírnil, i tak však stouply prosincové ceny vývozu proti listopadu v úhrnu o 2,2 %, což byl druhý nejvyšší meziměsíční růst od února 2009.    </w:t>
      </w:r>
    </w:p>
    <w:p w:rsidR="007E5E7E" w:rsidRPr="006C2F82" w:rsidRDefault="007E5E7E" w:rsidP="007E5E7E">
      <w:pPr>
        <w:rPr>
          <w:rFonts w:cs="Arial"/>
          <w:szCs w:val="20"/>
        </w:rPr>
      </w:pPr>
    </w:p>
    <w:p w:rsidR="007E5E7E" w:rsidRPr="006C2F82" w:rsidRDefault="007E5E7E" w:rsidP="007E5E7E">
      <w:pPr>
        <w:rPr>
          <w:rFonts w:cs="Arial"/>
          <w:szCs w:val="20"/>
        </w:rPr>
      </w:pPr>
      <w:r w:rsidRPr="006C2F82">
        <w:rPr>
          <w:rFonts w:cs="Arial"/>
          <w:szCs w:val="20"/>
        </w:rPr>
        <w:t xml:space="preserve">Dovozy zdražily meziročně o 3,8 %. Jejich tempo brzdila cenová dynamika minerálních paliv a také chemikálií, dvou položek představujících v hodnotě zhruba pětinu dovozů do České republiky. Dovoz strojů a dopravních prostředků tvořící další dvě pětiny celkových dovozů, stál importéry v prosinci naopak o 5,3 % víc než před rokem.   </w:t>
      </w:r>
    </w:p>
    <w:p w:rsidR="007E5E7E" w:rsidRDefault="007E5E7E" w:rsidP="007E5E7E">
      <w:pPr>
        <w:rPr>
          <w:rFonts w:cs="Arial"/>
          <w:b/>
          <w:szCs w:val="20"/>
        </w:rPr>
      </w:pPr>
    </w:p>
    <w:p w:rsidR="007E5E7E" w:rsidRPr="006C2F82" w:rsidRDefault="007E5E7E" w:rsidP="007E5E7E">
      <w:pPr>
        <w:rPr>
          <w:rFonts w:cs="Arial"/>
          <w:b/>
          <w:szCs w:val="20"/>
        </w:rPr>
      </w:pPr>
      <w:r w:rsidRPr="006C2F82">
        <w:rPr>
          <w:rFonts w:cs="Arial"/>
          <w:b/>
          <w:szCs w:val="20"/>
        </w:rPr>
        <w:t xml:space="preserve">Ceny </w:t>
      </w:r>
      <w:r>
        <w:rPr>
          <w:rFonts w:cs="Arial"/>
          <w:b/>
          <w:szCs w:val="20"/>
        </w:rPr>
        <w:t>zvýšily více hodnotu vývozu než dovozu</w:t>
      </w:r>
    </w:p>
    <w:p w:rsidR="007E5E7E" w:rsidRPr="006C2F82" w:rsidRDefault="007E5E7E" w:rsidP="007E5E7E">
      <w:pPr>
        <w:rPr>
          <w:rFonts w:cs="Arial"/>
          <w:szCs w:val="20"/>
        </w:rPr>
      </w:pPr>
    </w:p>
    <w:p w:rsidR="007E5E7E" w:rsidRPr="006C2F82" w:rsidRDefault="007E5E7E" w:rsidP="007E5E7E">
      <w:pPr>
        <w:rPr>
          <w:rFonts w:cs="Arial"/>
          <w:szCs w:val="20"/>
        </w:rPr>
      </w:pPr>
      <w:r w:rsidRPr="006C2F82">
        <w:rPr>
          <w:rFonts w:cs="Arial"/>
          <w:szCs w:val="20"/>
        </w:rPr>
        <w:t>Důležité je, že pokračoval předstih růstové dynamiky cen vývozu nad tempem cen dovozu. Promítl se příznivě do jejich vzájemného poměru, čímž směnné relace dále pokračovaly v pozitivním trendu posledních tří měsíců – byly opět vyšší. Tím vylepšily nominální výsledek zahraničního obchodu, který tak mohl posílit v běžných cenách vyjádřený HDP za loňské poslední čtvrtletí. Ceny tak působily na zahraniční obchod příznivě a není pochyb, že především vlivem měnové intervence ČNB, která oslabila korunu. Jak by ceny vypadaly, kdyby kurzový vliv vůbec nepůsobil?</w:t>
      </w:r>
    </w:p>
    <w:p w:rsidR="007E5E7E" w:rsidRDefault="007E5E7E" w:rsidP="00E42E00">
      <w:pPr>
        <w:pStyle w:val="TabulkaGraf"/>
      </w:pPr>
    </w:p>
    <w:p w:rsidR="007E5E7E" w:rsidRPr="006C2F82" w:rsidRDefault="007E5E7E" w:rsidP="007E5E7E">
      <w:pPr>
        <w:rPr>
          <w:rFonts w:cs="Arial"/>
          <w:b/>
          <w:szCs w:val="20"/>
        </w:rPr>
      </w:pPr>
      <w:r w:rsidRPr="006C2F82">
        <w:rPr>
          <w:rFonts w:cs="Arial"/>
          <w:b/>
          <w:szCs w:val="20"/>
        </w:rPr>
        <w:t>Energie zlevňují…</w:t>
      </w:r>
    </w:p>
    <w:p w:rsidR="007E5E7E" w:rsidRPr="006C2F82" w:rsidRDefault="007E5E7E" w:rsidP="007E5E7E">
      <w:pPr>
        <w:rPr>
          <w:rFonts w:cs="Arial"/>
          <w:szCs w:val="20"/>
        </w:rPr>
      </w:pPr>
    </w:p>
    <w:p w:rsidR="007E5E7E" w:rsidRPr="006C2F82" w:rsidRDefault="007E5E7E" w:rsidP="007E5E7E">
      <w:pPr>
        <w:rPr>
          <w:rFonts w:cs="Arial"/>
          <w:szCs w:val="20"/>
        </w:rPr>
      </w:pPr>
      <w:r w:rsidRPr="006C2F82">
        <w:rPr>
          <w:rFonts w:cs="Arial"/>
          <w:szCs w:val="20"/>
        </w:rPr>
        <w:t>Jsme svědky deflace, zasahující světové ceny mnoha komodit, především  minerálních paliv</w:t>
      </w:r>
      <w:r w:rsidRPr="006C2F82">
        <w:rPr>
          <w:rFonts w:cs="Arial"/>
          <w:i/>
          <w:szCs w:val="20"/>
        </w:rPr>
        <w:t xml:space="preserve">. </w:t>
      </w:r>
      <w:r w:rsidRPr="006C2F82">
        <w:rPr>
          <w:rFonts w:cs="Arial"/>
          <w:szCs w:val="20"/>
        </w:rPr>
        <w:t xml:space="preserve">Průběžný komoditní index v dolarovém vyjádření letos do začátku února klesal, cena elektřiny v trendu už od poloviny roku 2011 (z 84 eur za megawatthodinu na dnešních 49 eur). Cena americké lehké ropy spadla ze110 dolarů za barel vloni v září až na 91 dolarů na počátku letošního roku. Uhlí se na tamějším trhu propadlo ze 450 dolarů z poloviny roku 2011 na </w:t>
      </w:r>
      <w:r w:rsidRPr="006C2F82">
        <w:rPr>
          <w:rFonts w:cs="Arial"/>
          <w:szCs w:val="20"/>
        </w:rPr>
        <w:lastRenderedPageBreak/>
        <w:t xml:space="preserve">nynějších 129 dolarů. Oproti minulosti slabší poptávkové impulsy a také využívané nové zdroje vedou k tomu, že energie prostě zlevňují, což se vzhledem k jejich postavení v surovinovém a výrobním řetězci může promítat do cen i dalšího zobchodovávaného zboží. </w:t>
      </w:r>
    </w:p>
    <w:p w:rsidR="007E5E7E" w:rsidRPr="006C2F82" w:rsidRDefault="007E5E7E" w:rsidP="007E5E7E">
      <w:pPr>
        <w:rPr>
          <w:rFonts w:cs="Arial"/>
          <w:szCs w:val="20"/>
        </w:rPr>
      </w:pPr>
    </w:p>
    <w:p w:rsidR="007E5E7E" w:rsidRPr="006C2F82" w:rsidRDefault="007E5E7E" w:rsidP="007E5E7E">
      <w:pPr>
        <w:rPr>
          <w:rFonts w:cs="Arial"/>
          <w:szCs w:val="20"/>
        </w:rPr>
      </w:pPr>
      <w:r w:rsidRPr="006C2F82">
        <w:rPr>
          <w:rFonts w:cs="Arial"/>
          <w:szCs w:val="20"/>
        </w:rPr>
        <w:t xml:space="preserve">Neobchodují se však jen energie. Druhým významným  faktorem - přinejmenším dezinflačním - je ekonomická slabost eurozóny, patrná již  víc než  půldruhého roku. Chyběla tak živná půda pro výraznější růst cen v obchodech s finalizovanějším zbožím, který by za jiných okolností mohla generovat vyšší poptávka. </w:t>
      </w:r>
    </w:p>
    <w:p w:rsidR="007E5E7E" w:rsidRDefault="007E5E7E" w:rsidP="007E5E7E"/>
    <w:p w:rsidR="007E5E7E" w:rsidRPr="006C2F82" w:rsidRDefault="007E5E7E" w:rsidP="007E5E7E">
      <w:pPr>
        <w:rPr>
          <w:rFonts w:cs="Arial"/>
          <w:b/>
          <w:szCs w:val="20"/>
        </w:rPr>
      </w:pPr>
      <w:r w:rsidRPr="006C2F82">
        <w:rPr>
          <w:rFonts w:cs="Arial"/>
          <w:b/>
          <w:szCs w:val="20"/>
        </w:rPr>
        <w:t xml:space="preserve">…a </w:t>
      </w:r>
      <w:r>
        <w:rPr>
          <w:rFonts w:cs="Arial"/>
          <w:b/>
          <w:szCs w:val="20"/>
        </w:rPr>
        <w:t xml:space="preserve">mají hlavní vliv </w:t>
      </w:r>
      <w:r w:rsidRPr="006C2F82">
        <w:rPr>
          <w:rFonts w:cs="Arial"/>
          <w:b/>
          <w:szCs w:val="20"/>
        </w:rPr>
        <w:t xml:space="preserve">na </w:t>
      </w:r>
      <w:r>
        <w:rPr>
          <w:rFonts w:cs="Arial"/>
          <w:b/>
          <w:szCs w:val="20"/>
        </w:rPr>
        <w:t>„</w:t>
      </w:r>
      <w:r w:rsidRPr="006C2F82">
        <w:rPr>
          <w:rFonts w:cs="Arial"/>
          <w:b/>
          <w:szCs w:val="20"/>
        </w:rPr>
        <w:t>dovoz deflace</w:t>
      </w:r>
      <w:r>
        <w:rPr>
          <w:rFonts w:cs="Arial"/>
          <w:b/>
          <w:szCs w:val="20"/>
        </w:rPr>
        <w:t>“</w:t>
      </w:r>
      <w:r w:rsidRPr="006C2F82">
        <w:rPr>
          <w:rFonts w:cs="Arial"/>
          <w:b/>
          <w:szCs w:val="20"/>
        </w:rPr>
        <w:t xml:space="preserve"> do ČR</w:t>
      </w:r>
    </w:p>
    <w:p w:rsidR="007E5E7E" w:rsidRPr="006C2F82" w:rsidRDefault="007E5E7E" w:rsidP="007E5E7E">
      <w:pPr>
        <w:rPr>
          <w:rFonts w:cs="Arial"/>
          <w:szCs w:val="20"/>
        </w:rPr>
      </w:pPr>
    </w:p>
    <w:p w:rsidR="007E5E7E" w:rsidRPr="006C2F82" w:rsidRDefault="007E5E7E" w:rsidP="007E5E7E">
      <w:pPr>
        <w:rPr>
          <w:rFonts w:cs="Arial"/>
          <w:szCs w:val="20"/>
        </w:rPr>
      </w:pPr>
      <w:r w:rsidRPr="006C2F82">
        <w:rPr>
          <w:rFonts w:cs="Arial"/>
          <w:szCs w:val="20"/>
        </w:rPr>
        <w:t xml:space="preserve">Vše výše zmíněné ústí v „dovoz deflace“ do České republiky. Je velmi dobře patrný při očištění cen dovozu o kurzové vlivy. V prosinci byly takto očištěné ceny nižší meziročně o 4 %, zatímco při působení směnného kurzu vykázaly růst o 3,8 % (rozdíl je plných 7,8 procentního bodu). Analogicky u vývozu: silný prosincový růst cen exportu o 6 % proti stejnému měsíci roku 2012 se při eliminaci kurzového vlivu scvrkl na deflačních -1,2 %. Znamená to, že nebýt pohybu koruny, exportéři vyváželi levněji. Stržili meziročně o dost více právě díky oslabené koruně.          </w:t>
      </w:r>
    </w:p>
    <w:p w:rsidR="007E5E7E" w:rsidRPr="006C2F82" w:rsidRDefault="007E5E7E" w:rsidP="007E5E7E">
      <w:pPr>
        <w:rPr>
          <w:rFonts w:cs="Arial"/>
          <w:szCs w:val="20"/>
        </w:rPr>
      </w:pPr>
    </w:p>
    <w:p w:rsidR="007E5E7E" w:rsidRPr="006C2F82" w:rsidRDefault="007E5E7E" w:rsidP="007E5E7E">
      <w:pPr>
        <w:rPr>
          <w:rFonts w:cs="Arial"/>
          <w:szCs w:val="20"/>
        </w:rPr>
      </w:pPr>
      <w:r w:rsidRPr="006C2F82">
        <w:rPr>
          <w:rFonts w:cs="Arial"/>
          <w:szCs w:val="20"/>
        </w:rPr>
        <w:t xml:space="preserve">Významný vliv deflace z dovozů energií do ČR dokládá i cenový vývoj ve skupině Minerální paliva – i když zde slabá koruna logicky import „zdražovala“, jejich ceny meziročně pouze stagnovaly (+0,2 %). Ani v listopadu nevedl kurzový impuls k meziročnímu růstu cen minerálních paliv (-5,2 %, v říjnu -9 %). Pohyb cen na trzích směrem dolů byl silnější. </w:t>
      </w:r>
    </w:p>
    <w:p w:rsidR="007E5E7E" w:rsidRDefault="007E5E7E" w:rsidP="007E5E7E"/>
    <w:p w:rsidR="007E5E7E" w:rsidRPr="006C2F82" w:rsidRDefault="007E5E7E" w:rsidP="007E5E7E">
      <w:pPr>
        <w:rPr>
          <w:rFonts w:cs="Arial"/>
          <w:b/>
          <w:szCs w:val="20"/>
        </w:rPr>
      </w:pPr>
      <w:r w:rsidRPr="006C2F82">
        <w:rPr>
          <w:rFonts w:cs="Arial"/>
          <w:b/>
          <w:szCs w:val="20"/>
        </w:rPr>
        <w:t>Dovoz potravin zdražuje víc než jejich vývoz</w:t>
      </w:r>
    </w:p>
    <w:p w:rsidR="007E5E7E" w:rsidRPr="006C2F82" w:rsidRDefault="007E5E7E" w:rsidP="007E5E7E">
      <w:pPr>
        <w:rPr>
          <w:rFonts w:cs="Arial"/>
          <w:szCs w:val="20"/>
        </w:rPr>
      </w:pPr>
    </w:p>
    <w:p w:rsidR="007E5E7E" w:rsidRPr="006C2F82" w:rsidRDefault="007E5E7E" w:rsidP="007E5E7E">
      <w:pPr>
        <w:rPr>
          <w:rFonts w:cs="Arial"/>
          <w:szCs w:val="20"/>
        </w:rPr>
      </w:pPr>
      <w:r w:rsidRPr="006C2F82">
        <w:rPr>
          <w:rFonts w:cs="Arial"/>
          <w:szCs w:val="20"/>
        </w:rPr>
        <w:t xml:space="preserve">Slabá koruna podpořila v prosinci směnné relace prakticky u všech skupin obchodovaného zboží – tempo růstu cen vývozu v nich bylo vesměs příznivější než dynamika cen dovozu. Výjimkou byly potraviny – vyvážející firmy dosáhly v prosinci na zahraničních trzích i při oslabení koruny cen  o 2,1 % vyšších než před rokem, zatímco importéři museli za dovážené potraviny zaplatit o 7,7 % více. Platí to však dlouhodobě (podle podílu 12měsíčních klouzavých průměrů ceny vývozu potravin +2,4 %, ceny dovozu pak +5,7 %). Podobné, i když mírněji negativní, byly cenové relace v obchodech skupiny Tržní výrobky, kterým však právě umělé oslabení koruny velmi pomohlo (v prosinci ceny vývozu  meziročně +5,5 % proti +0,2 % podle 12měsíčních klouzavých průměrů). </w:t>
      </w:r>
    </w:p>
    <w:p w:rsidR="007E5E7E" w:rsidRPr="006C2F82" w:rsidRDefault="007E5E7E" w:rsidP="007E5E7E">
      <w:pPr>
        <w:rPr>
          <w:rFonts w:cs="Arial"/>
          <w:szCs w:val="20"/>
        </w:rPr>
      </w:pPr>
    </w:p>
    <w:p w:rsidR="007E5E7E" w:rsidRPr="006C2F82" w:rsidRDefault="007E5E7E" w:rsidP="007E5E7E">
      <w:pPr>
        <w:rPr>
          <w:rFonts w:cs="Arial"/>
          <w:color w:val="000000"/>
          <w:szCs w:val="20"/>
        </w:rPr>
      </w:pPr>
      <w:r w:rsidRPr="006C2F82">
        <w:rPr>
          <w:rFonts w:cs="Arial"/>
          <w:szCs w:val="20"/>
        </w:rPr>
        <w:t xml:space="preserve">Na druhém pólu stojí export nápojů a cigaret, který v prosinci zdražil meziročně o více než čtvrtinu, tj. o 27,5 % (!). Už v listopadu ceny vylétly o pětinu (+20,3 %), což ostře kontrastuje s vývojem předchozích dvou let (12měsíční klouzavý průměr +8,2 %).  </w:t>
      </w:r>
    </w:p>
    <w:p w:rsidR="007E5E7E" w:rsidRDefault="007E5E7E" w:rsidP="007E5E7E"/>
    <w:p w:rsidR="007E5E7E" w:rsidRPr="006C2F82" w:rsidRDefault="007E5E7E" w:rsidP="007E5E7E">
      <w:pPr>
        <w:rPr>
          <w:rFonts w:cs="Arial"/>
          <w:b/>
          <w:color w:val="000000"/>
          <w:szCs w:val="20"/>
        </w:rPr>
      </w:pPr>
      <w:r w:rsidRPr="006C2F82">
        <w:rPr>
          <w:rFonts w:cs="Arial"/>
          <w:b/>
          <w:color w:val="000000"/>
          <w:szCs w:val="20"/>
        </w:rPr>
        <w:t>Konkurenceschopnost se zvýšila</w:t>
      </w:r>
    </w:p>
    <w:p w:rsidR="007E5E7E" w:rsidRPr="006C2F82" w:rsidRDefault="007E5E7E" w:rsidP="007E5E7E">
      <w:pPr>
        <w:rPr>
          <w:rFonts w:cs="Arial"/>
          <w:color w:val="000000"/>
          <w:szCs w:val="20"/>
        </w:rPr>
      </w:pPr>
    </w:p>
    <w:p w:rsidR="007E5E7E" w:rsidRPr="006C2F82" w:rsidRDefault="007E5E7E" w:rsidP="007E5E7E">
      <w:pPr>
        <w:rPr>
          <w:rFonts w:cs="Arial"/>
          <w:szCs w:val="20"/>
        </w:rPr>
      </w:pPr>
      <w:r w:rsidRPr="006C2F82">
        <w:rPr>
          <w:rFonts w:cs="Arial"/>
          <w:szCs w:val="20"/>
        </w:rPr>
        <w:t xml:space="preserve">„Polštář“, který vytvořila měnová intervence ČNB pro zesílení konkurenceschopnosti českých exportérů na zahraničních trzích, je zatím docela naditý. Cenová dynamika bude postupně slábnout, i tak však budou tržby exportérů představovat výnosy, jichž se před umělým oslabením koruny jistě nenadáli. Teď zbývá jen maličkost: podělit se o ně se zaměstnanci. Kromě posílení zisků by měly posílit i mzdy. Pak teprve se může naplnit další stupeň v architektuře měnové intervence ČNB, a to oživení poptávky domácností vlivem jejich vyšších příjmů.       </w:t>
      </w:r>
    </w:p>
    <w:p w:rsidR="007E5E7E" w:rsidRDefault="007E5E7E" w:rsidP="007E5E7E"/>
    <w:p w:rsidR="005F699D" w:rsidRDefault="005F699D" w:rsidP="00E42E00"/>
    <w:p w:rsidR="007B1333" w:rsidRDefault="007B1333" w:rsidP="00E42E00">
      <w:pPr>
        <w:rPr>
          <w:b/>
        </w:rPr>
      </w:pPr>
      <w:r>
        <w:rPr>
          <w:b/>
        </w:rPr>
        <w:t>Autor</w:t>
      </w:r>
      <w:r w:rsidR="007E5E7E">
        <w:rPr>
          <w:b/>
        </w:rPr>
        <w:t>ka</w:t>
      </w:r>
    </w:p>
    <w:p w:rsidR="007E5E7E" w:rsidRPr="00BB0037" w:rsidRDefault="007E5E7E" w:rsidP="007E5E7E">
      <w:pPr>
        <w:spacing w:line="240" w:lineRule="auto"/>
        <w:rPr>
          <w:rFonts w:cs="Arial"/>
          <w:szCs w:val="20"/>
        </w:rPr>
      </w:pPr>
      <w:r w:rsidRPr="00BB0037">
        <w:rPr>
          <w:rFonts w:cs="Arial"/>
          <w:szCs w:val="20"/>
        </w:rPr>
        <w:t>Drahomíra Dubská</w:t>
      </w:r>
    </w:p>
    <w:p w:rsidR="007E5E7E" w:rsidRPr="00BB0037" w:rsidRDefault="007E5E7E" w:rsidP="007E5E7E">
      <w:pPr>
        <w:spacing w:line="240" w:lineRule="auto"/>
        <w:rPr>
          <w:rFonts w:cs="Arial"/>
          <w:szCs w:val="20"/>
        </w:rPr>
      </w:pPr>
      <w:r w:rsidRPr="00BB0037">
        <w:rPr>
          <w:rFonts w:cs="Arial"/>
          <w:szCs w:val="20"/>
        </w:rPr>
        <w:t xml:space="preserve">analytička </w:t>
      </w:r>
    </w:p>
    <w:p w:rsidR="007E5E7E" w:rsidRPr="00BB0037" w:rsidRDefault="007E5E7E" w:rsidP="007E5E7E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Pr="00BB0037">
        <w:rPr>
          <w:rFonts w:cs="Arial"/>
          <w:szCs w:val="20"/>
        </w:rPr>
        <w:t>ddělení svodných analýz ČSÚ</w:t>
      </w:r>
    </w:p>
    <w:p w:rsidR="007E5E7E" w:rsidRDefault="007E5E7E" w:rsidP="007E5E7E">
      <w:pPr>
        <w:pStyle w:val="Nadpis3"/>
        <w:spacing w:before="0"/>
        <w:rPr>
          <w:rFonts w:cs="Arial"/>
          <w:b w:val="0"/>
        </w:rPr>
      </w:pPr>
      <w:r>
        <w:rPr>
          <w:rFonts w:cs="Arial"/>
          <w:b w:val="0"/>
        </w:rPr>
        <w:t>Tel. 2 7405 4041</w:t>
      </w:r>
    </w:p>
    <w:p w:rsidR="007E5E7E" w:rsidRDefault="007E5E7E" w:rsidP="007E5E7E">
      <w:pPr>
        <w:pStyle w:val="Nadpis3"/>
        <w:spacing w:before="0"/>
        <w:rPr>
          <w:rFonts w:cs="Arial"/>
          <w:b w:val="0"/>
        </w:rPr>
      </w:pPr>
      <w:r>
        <w:rPr>
          <w:rFonts w:cs="Arial"/>
          <w:b w:val="0"/>
        </w:rPr>
        <w:t xml:space="preserve">E-mail: </w:t>
      </w:r>
      <w:hyperlink r:id="rId7" w:history="1">
        <w:r w:rsidRPr="00D63C63">
          <w:rPr>
            <w:rStyle w:val="Hypertextovodkaz"/>
            <w:rFonts w:cs="Arial"/>
            <w:b w:val="0"/>
          </w:rPr>
          <w:t>drahomira.dubska@czso.cz</w:t>
        </w:r>
      </w:hyperlink>
    </w:p>
    <w:p w:rsidR="007E5E7E" w:rsidRDefault="007E5E7E" w:rsidP="007E5E7E">
      <w:pPr>
        <w:rPr>
          <w:sz w:val="22"/>
        </w:rPr>
      </w:pPr>
    </w:p>
    <w:sectPr w:rsidR="007E5E7E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2D6" w:rsidRDefault="007D42D6" w:rsidP="00BA6370">
      <w:r>
        <w:separator/>
      </w:r>
    </w:p>
  </w:endnote>
  <w:endnote w:type="continuationSeparator" w:id="0">
    <w:p w:rsidR="007D42D6" w:rsidRDefault="007D42D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E3B1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E3B1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3B15" w:rsidRPr="004E479E">
                  <w:rPr>
                    <w:rFonts w:cs="Arial"/>
                    <w:szCs w:val="15"/>
                  </w:rPr>
                  <w:fldChar w:fldCharType="separate"/>
                </w:r>
                <w:r w:rsidR="007D42D6">
                  <w:rPr>
                    <w:rFonts w:cs="Arial"/>
                    <w:noProof/>
                    <w:szCs w:val="15"/>
                  </w:rPr>
                  <w:t>1</w:t>
                </w:r>
                <w:r w:rsidR="00CE3B1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2D6" w:rsidRDefault="007D42D6" w:rsidP="00BA6370">
      <w:r>
        <w:separator/>
      </w:r>
    </w:p>
  </w:footnote>
  <w:footnote w:type="continuationSeparator" w:id="0">
    <w:p w:rsidR="007D42D6" w:rsidRDefault="007D42D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E3B15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112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EB"/>
    <w:rsid w:val="00043BF4"/>
    <w:rsid w:val="000843A5"/>
    <w:rsid w:val="000B6F63"/>
    <w:rsid w:val="000F5B28"/>
    <w:rsid w:val="00127216"/>
    <w:rsid w:val="001404AB"/>
    <w:rsid w:val="001658A9"/>
    <w:rsid w:val="0017231D"/>
    <w:rsid w:val="00175ABA"/>
    <w:rsid w:val="001810DC"/>
    <w:rsid w:val="00183A7B"/>
    <w:rsid w:val="001A59BF"/>
    <w:rsid w:val="001B607F"/>
    <w:rsid w:val="001D369A"/>
    <w:rsid w:val="001F6C45"/>
    <w:rsid w:val="002070FB"/>
    <w:rsid w:val="00213729"/>
    <w:rsid w:val="002406FA"/>
    <w:rsid w:val="002B2E47"/>
    <w:rsid w:val="002D6A6C"/>
    <w:rsid w:val="003301A3"/>
    <w:rsid w:val="0035537D"/>
    <w:rsid w:val="0036777B"/>
    <w:rsid w:val="0038282A"/>
    <w:rsid w:val="00397580"/>
    <w:rsid w:val="003A1794"/>
    <w:rsid w:val="003A45C8"/>
    <w:rsid w:val="003C2DCF"/>
    <w:rsid w:val="003C7FE7"/>
    <w:rsid w:val="003D0499"/>
    <w:rsid w:val="003F526A"/>
    <w:rsid w:val="00405244"/>
    <w:rsid w:val="00413E41"/>
    <w:rsid w:val="004436EE"/>
    <w:rsid w:val="0045547F"/>
    <w:rsid w:val="00461AA0"/>
    <w:rsid w:val="004920AD"/>
    <w:rsid w:val="004D05B3"/>
    <w:rsid w:val="004E479E"/>
    <w:rsid w:val="004F78E6"/>
    <w:rsid w:val="00512D99"/>
    <w:rsid w:val="00531DBB"/>
    <w:rsid w:val="005320B3"/>
    <w:rsid w:val="00553DAA"/>
    <w:rsid w:val="005646B3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C09DD"/>
    <w:rsid w:val="006E024F"/>
    <w:rsid w:val="006E4E81"/>
    <w:rsid w:val="00707F7D"/>
    <w:rsid w:val="00717EC5"/>
    <w:rsid w:val="00737B80"/>
    <w:rsid w:val="007A57F2"/>
    <w:rsid w:val="007B1333"/>
    <w:rsid w:val="007D42D6"/>
    <w:rsid w:val="007E23A3"/>
    <w:rsid w:val="007E5E7E"/>
    <w:rsid w:val="007F4AEB"/>
    <w:rsid w:val="007F75B2"/>
    <w:rsid w:val="008043C4"/>
    <w:rsid w:val="00815588"/>
    <w:rsid w:val="00830309"/>
    <w:rsid w:val="00831B1B"/>
    <w:rsid w:val="00861D0E"/>
    <w:rsid w:val="00867569"/>
    <w:rsid w:val="008A18A9"/>
    <w:rsid w:val="008A750A"/>
    <w:rsid w:val="008C384C"/>
    <w:rsid w:val="008D0F11"/>
    <w:rsid w:val="008F73B4"/>
    <w:rsid w:val="0090741A"/>
    <w:rsid w:val="00931A52"/>
    <w:rsid w:val="009B55B1"/>
    <w:rsid w:val="00A25EAE"/>
    <w:rsid w:val="00A4343D"/>
    <w:rsid w:val="00A47EEB"/>
    <w:rsid w:val="00A502F1"/>
    <w:rsid w:val="00A56C80"/>
    <w:rsid w:val="00A61F2F"/>
    <w:rsid w:val="00A70A83"/>
    <w:rsid w:val="00A81EB3"/>
    <w:rsid w:val="00B00C1D"/>
    <w:rsid w:val="00B33194"/>
    <w:rsid w:val="00BA439F"/>
    <w:rsid w:val="00BA6370"/>
    <w:rsid w:val="00BC748B"/>
    <w:rsid w:val="00C269D4"/>
    <w:rsid w:val="00C4160D"/>
    <w:rsid w:val="00C8406E"/>
    <w:rsid w:val="00CB2709"/>
    <w:rsid w:val="00CB6F89"/>
    <w:rsid w:val="00CE228C"/>
    <w:rsid w:val="00CE3B15"/>
    <w:rsid w:val="00CF545B"/>
    <w:rsid w:val="00D27D69"/>
    <w:rsid w:val="00D448C2"/>
    <w:rsid w:val="00D666C3"/>
    <w:rsid w:val="00DD1EAE"/>
    <w:rsid w:val="00DF47FE"/>
    <w:rsid w:val="00E26704"/>
    <w:rsid w:val="00E31980"/>
    <w:rsid w:val="00E42E00"/>
    <w:rsid w:val="00E6423C"/>
    <w:rsid w:val="00E93830"/>
    <w:rsid w:val="00E93E0E"/>
    <w:rsid w:val="00EA7B94"/>
    <w:rsid w:val="00EB1ED3"/>
    <w:rsid w:val="00EC2D51"/>
    <w:rsid w:val="00ED7B69"/>
    <w:rsid w:val="00F13564"/>
    <w:rsid w:val="00F26395"/>
    <w:rsid w:val="00F32DA4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ahomira.dubska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UBSKA~1\LOCALS~1\Temp\Anal&#253;z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46ED-DB90-45A9-9E39-90F688B7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CZ-1</Template>
  <TotalTime>5</TotalTime>
  <Pages>3</Pages>
  <Words>845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Titulek – Arial (16 b), tučně, barva RGB 189/27/33, zarovnat text doleva</vt:lpstr>
      <vt:lpstr>Mezititulek – Arial (10 b), tučně, barva automatická, zarovnat text doleva</vt:lpstr>
    </vt:vector>
  </TitlesOfParts>
  <Company/>
  <LinksUpToDate>false</LinksUpToDate>
  <CharactersWithSpaces>5825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cp:lastModifiedBy>Jurij Kogan</cp:lastModifiedBy>
  <cp:revision>3</cp:revision>
  <dcterms:created xsi:type="dcterms:W3CDTF">2014-02-17T12:02:00Z</dcterms:created>
  <dcterms:modified xsi:type="dcterms:W3CDTF">2014-02-17T14:18:00Z</dcterms:modified>
</cp:coreProperties>
</file>