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2B" w:rsidRDefault="00DF412B" w:rsidP="00D0712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VOLBY DO EVROPSKÉHO PARLAMENTU V LETECH 2004 AŽ 2014</w:t>
      </w:r>
    </w:p>
    <w:p w:rsidR="00555911" w:rsidRPr="003F4DD1" w:rsidRDefault="00403564" w:rsidP="00D0712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3F4DD1">
        <w:rPr>
          <w:rFonts w:ascii="Arial" w:hAnsi="Arial" w:cs="Arial"/>
          <w:b/>
        </w:rPr>
        <w:t xml:space="preserve">Kandidátní listiny </w:t>
      </w:r>
    </w:p>
    <w:p w:rsidR="00B26DCD" w:rsidRPr="00A07847" w:rsidRDefault="003A087D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Podávání kandidátních listin a nominace kandidátů se v</w:t>
      </w:r>
      <w:r w:rsidR="007120E6">
        <w:rPr>
          <w:rFonts w:ascii="Arial" w:hAnsi="Arial" w:cs="Arial"/>
          <w:sz w:val="20"/>
          <w:szCs w:val="20"/>
        </w:rPr>
        <w:t> </w:t>
      </w:r>
      <w:r w:rsidR="00BA49A2">
        <w:rPr>
          <w:rFonts w:ascii="Arial" w:hAnsi="Arial" w:cs="Arial"/>
          <w:sz w:val="20"/>
          <w:szCs w:val="20"/>
        </w:rPr>
        <w:t>každé</w:t>
      </w:r>
      <w:r w:rsidR="007120E6">
        <w:rPr>
          <w:rFonts w:ascii="Arial" w:hAnsi="Arial" w:cs="Arial"/>
          <w:sz w:val="20"/>
          <w:szCs w:val="20"/>
        </w:rPr>
        <w:t>m státě</w:t>
      </w:r>
      <w:r w:rsidR="00BA49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EU řídil</w:t>
      </w:r>
      <w:r w:rsidR="00AD11D9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="004B66B7">
        <w:rPr>
          <w:rFonts w:ascii="Arial" w:hAnsi="Arial" w:cs="Arial"/>
          <w:sz w:val="20"/>
          <w:szCs w:val="20"/>
        </w:rPr>
        <w:t xml:space="preserve">vlastními </w:t>
      </w:r>
      <w:r>
        <w:rPr>
          <w:rFonts w:ascii="Arial" w:hAnsi="Arial" w:cs="Arial"/>
          <w:sz w:val="20"/>
          <w:szCs w:val="20"/>
        </w:rPr>
        <w:t>pravidly</w:t>
      </w:r>
      <w:r w:rsidR="004B66B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 ČR </w:t>
      </w:r>
      <w:r w:rsidR="0016152A" w:rsidRPr="00A07847">
        <w:rPr>
          <w:rFonts w:ascii="Arial" w:hAnsi="Arial" w:cs="Arial"/>
          <w:sz w:val="20"/>
          <w:szCs w:val="20"/>
        </w:rPr>
        <w:t>podáva</w:t>
      </w:r>
      <w:r w:rsidR="00B26DCD" w:rsidRPr="00A07847">
        <w:rPr>
          <w:rFonts w:ascii="Arial" w:hAnsi="Arial" w:cs="Arial"/>
          <w:sz w:val="20"/>
          <w:szCs w:val="20"/>
        </w:rPr>
        <w:t>ly</w:t>
      </w:r>
      <w:r w:rsidR="0016152A" w:rsidRPr="00A0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A07847">
        <w:rPr>
          <w:rFonts w:ascii="Arial" w:hAnsi="Arial" w:cs="Arial"/>
          <w:sz w:val="20"/>
          <w:szCs w:val="20"/>
        </w:rPr>
        <w:t xml:space="preserve">o EP </w:t>
      </w:r>
      <w:r w:rsidR="0016152A" w:rsidRPr="00A07847">
        <w:rPr>
          <w:rFonts w:ascii="Arial" w:hAnsi="Arial" w:cs="Arial"/>
          <w:sz w:val="20"/>
          <w:szCs w:val="20"/>
        </w:rPr>
        <w:t>kandidátní listiny</w:t>
      </w:r>
      <w:r w:rsidR="00B26DCD" w:rsidRPr="00A07847">
        <w:rPr>
          <w:rFonts w:ascii="Arial" w:hAnsi="Arial" w:cs="Arial"/>
          <w:sz w:val="20"/>
          <w:szCs w:val="20"/>
        </w:rPr>
        <w:t xml:space="preserve"> volební strany, které</w:t>
      </w:r>
      <w:r w:rsidR="0016152A" w:rsidRPr="00A07847">
        <w:rPr>
          <w:rFonts w:ascii="Arial" w:hAnsi="Arial" w:cs="Arial"/>
          <w:sz w:val="20"/>
          <w:szCs w:val="20"/>
        </w:rPr>
        <w:t xml:space="preserve"> </w:t>
      </w:r>
      <w:r w:rsidR="00B26DCD" w:rsidRPr="00A07847">
        <w:rPr>
          <w:rFonts w:ascii="Arial" w:hAnsi="Arial" w:cs="Arial"/>
          <w:sz w:val="20"/>
          <w:szCs w:val="20"/>
        </w:rPr>
        <w:t>mohly být tvořeny registrovanými politickými stranami a hnutími</w:t>
      </w:r>
      <w:r w:rsidR="0016152A" w:rsidRPr="00A07847">
        <w:rPr>
          <w:rFonts w:ascii="Arial" w:hAnsi="Arial" w:cs="Arial"/>
          <w:sz w:val="20"/>
          <w:szCs w:val="20"/>
        </w:rPr>
        <w:t xml:space="preserve"> (dále strana), jejichž činnost nebyla pozastavena</w:t>
      </w:r>
      <w:r w:rsidR="009C24E7" w:rsidRPr="00A07847">
        <w:rPr>
          <w:rFonts w:ascii="Arial" w:hAnsi="Arial" w:cs="Arial"/>
          <w:sz w:val="20"/>
          <w:szCs w:val="20"/>
        </w:rPr>
        <w:t xml:space="preserve">, </w:t>
      </w:r>
      <w:r w:rsidR="0016152A" w:rsidRPr="00A07847">
        <w:rPr>
          <w:rFonts w:ascii="Arial" w:hAnsi="Arial" w:cs="Arial"/>
          <w:sz w:val="20"/>
          <w:szCs w:val="20"/>
        </w:rPr>
        <w:t>a jejich koalice</w:t>
      </w:r>
      <w:r w:rsidR="00B26DCD" w:rsidRPr="00A07847">
        <w:rPr>
          <w:rFonts w:ascii="Arial" w:hAnsi="Arial" w:cs="Arial"/>
          <w:sz w:val="20"/>
          <w:szCs w:val="20"/>
        </w:rPr>
        <w:t>mi</w:t>
      </w:r>
      <w:r w:rsidR="0016152A" w:rsidRPr="00A07847">
        <w:rPr>
          <w:rFonts w:ascii="Arial" w:hAnsi="Arial" w:cs="Arial"/>
          <w:sz w:val="20"/>
          <w:szCs w:val="20"/>
        </w:rPr>
        <w:t xml:space="preserve">. Jelikož ČR tvoří jeden volební obvod, mohla každá strana </w:t>
      </w:r>
      <w:r w:rsidR="004B2480" w:rsidRPr="00A07847">
        <w:rPr>
          <w:rFonts w:ascii="Arial" w:hAnsi="Arial" w:cs="Arial"/>
          <w:sz w:val="20"/>
          <w:szCs w:val="20"/>
        </w:rPr>
        <w:t xml:space="preserve">v jedněch volbách </w:t>
      </w:r>
      <w:r w:rsidR="0016152A" w:rsidRPr="00A07847">
        <w:rPr>
          <w:rFonts w:ascii="Arial" w:hAnsi="Arial" w:cs="Arial"/>
          <w:sz w:val="20"/>
          <w:szCs w:val="20"/>
        </w:rPr>
        <w:t>podat pouze jednu kandidátní listinu</w:t>
      </w:r>
      <w:r w:rsidR="00DA1F11">
        <w:rPr>
          <w:rFonts w:ascii="Arial" w:hAnsi="Arial" w:cs="Arial"/>
          <w:sz w:val="20"/>
          <w:szCs w:val="20"/>
        </w:rPr>
        <w:t>,</w:t>
      </w:r>
      <w:r w:rsidR="00D82222" w:rsidRPr="00A07847">
        <w:rPr>
          <w:rFonts w:ascii="Arial" w:hAnsi="Arial" w:cs="Arial"/>
          <w:sz w:val="20"/>
          <w:szCs w:val="20"/>
        </w:rPr>
        <w:t xml:space="preserve"> a to</w:t>
      </w:r>
      <w:r w:rsidR="0016152A" w:rsidRPr="00A07847">
        <w:rPr>
          <w:rFonts w:ascii="Arial" w:hAnsi="Arial" w:cs="Arial"/>
          <w:sz w:val="20"/>
          <w:szCs w:val="20"/>
        </w:rPr>
        <w:t xml:space="preserve"> buď samostatně</w:t>
      </w:r>
      <w:r w:rsidR="000A5ED9" w:rsidRPr="00A07847">
        <w:rPr>
          <w:rFonts w:ascii="Arial" w:hAnsi="Arial" w:cs="Arial"/>
          <w:sz w:val="20"/>
          <w:szCs w:val="20"/>
        </w:rPr>
        <w:t>,</w:t>
      </w:r>
      <w:r w:rsidR="0016152A" w:rsidRPr="00A07847">
        <w:rPr>
          <w:rFonts w:ascii="Arial" w:hAnsi="Arial" w:cs="Arial"/>
          <w:sz w:val="20"/>
          <w:szCs w:val="20"/>
        </w:rPr>
        <w:t xml:space="preserve"> nebo v</w:t>
      </w:r>
      <w:r w:rsidR="009C24E7" w:rsidRPr="00A07847">
        <w:rPr>
          <w:rFonts w:ascii="Arial" w:hAnsi="Arial" w:cs="Arial"/>
          <w:sz w:val="20"/>
          <w:szCs w:val="20"/>
        </w:rPr>
        <w:t> </w:t>
      </w:r>
      <w:r w:rsidR="0016152A" w:rsidRPr="00A07847">
        <w:rPr>
          <w:rFonts w:ascii="Arial" w:hAnsi="Arial" w:cs="Arial"/>
          <w:sz w:val="20"/>
          <w:szCs w:val="20"/>
        </w:rPr>
        <w:t>koalici</w:t>
      </w:r>
      <w:r w:rsidR="009C24E7" w:rsidRPr="00A07847">
        <w:rPr>
          <w:rFonts w:ascii="Arial" w:hAnsi="Arial" w:cs="Arial"/>
          <w:sz w:val="20"/>
          <w:szCs w:val="20"/>
        </w:rPr>
        <w:t xml:space="preserve"> s jinou stranou</w:t>
      </w:r>
      <w:r w:rsidR="0016152A" w:rsidRPr="00A07847">
        <w:rPr>
          <w:rFonts w:ascii="Arial" w:hAnsi="Arial" w:cs="Arial"/>
          <w:sz w:val="20"/>
          <w:szCs w:val="20"/>
        </w:rPr>
        <w:t xml:space="preserve">. </w:t>
      </w:r>
      <w:r w:rsidR="00FC0499" w:rsidRPr="00A07847">
        <w:rPr>
          <w:rFonts w:ascii="Arial" w:hAnsi="Arial" w:cs="Arial"/>
          <w:sz w:val="20"/>
          <w:szCs w:val="20"/>
        </w:rPr>
        <w:t xml:space="preserve">Pokud strany vytvořily koalici, bylo u každého kandidáta na kandidátní listině uvedeno, kterou stranou byl navržen. </w:t>
      </w:r>
      <w:r w:rsidR="004B66B7">
        <w:rPr>
          <w:rFonts w:ascii="Arial" w:hAnsi="Arial" w:cs="Arial"/>
          <w:sz w:val="20"/>
          <w:szCs w:val="20"/>
        </w:rPr>
        <w:t>Jestliže</w:t>
      </w:r>
      <w:r w:rsidR="00FC0499" w:rsidRPr="00A07847">
        <w:rPr>
          <w:rFonts w:ascii="Arial" w:hAnsi="Arial" w:cs="Arial"/>
          <w:sz w:val="20"/>
          <w:szCs w:val="20"/>
        </w:rPr>
        <w:t xml:space="preserve"> strana kandidovala samostatně, byla navrhující strana shodná s</w:t>
      </w:r>
      <w:r w:rsidR="00B26DCD" w:rsidRPr="00A07847">
        <w:rPr>
          <w:rFonts w:ascii="Arial" w:hAnsi="Arial" w:cs="Arial"/>
          <w:sz w:val="20"/>
          <w:szCs w:val="20"/>
        </w:rPr>
        <w:t xml:space="preserve"> volební</w:t>
      </w:r>
      <w:r w:rsidR="00FC0499" w:rsidRPr="00A07847">
        <w:rPr>
          <w:rFonts w:ascii="Arial" w:hAnsi="Arial" w:cs="Arial"/>
          <w:sz w:val="20"/>
          <w:szCs w:val="20"/>
        </w:rPr>
        <w:t xml:space="preserve"> stranou</w:t>
      </w:r>
      <w:r w:rsidR="00B26DCD" w:rsidRPr="00A07847">
        <w:rPr>
          <w:rFonts w:ascii="Arial" w:hAnsi="Arial" w:cs="Arial"/>
          <w:sz w:val="20"/>
          <w:szCs w:val="20"/>
        </w:rPr>
        <w:t>.</w:t>
      </w:r>
      <w:r w:rsidR="00FC0499" w:rsidRPr="00A07847">
        <w:rPr>
          <w:rFonts w:ascii="Arial" w:hAnsi="Arial" w:cs="Arial"/>
          <w:sz w:val="20"/>
          <w:szCs w:val="20"/>
        </w:rPr>
        <w:t xml:space="preserve"> </w:t>
      </w:r>
    </w:p>
    <w:p w:rsidR="004916BE" w:rsidRPr="00A07847" w:rsidRDefault="004916B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07847">
        <w:rPr>
          <w:rFonts w:ascii="Arial" w:hAnsi="Arial" w:cs="Arial"/>
          <w:sz w:val="20"/>
          <w:szCs w:val="20"/>
        </w:rPr>
        <w:t xml:space="preserve">Jednotlivé volební strany vstupovaly do voleb pod pořadovým číslem vylosovaným Státní volební komisí. Toto pořadové číslo bylo u každých voleb jiné, i když se jednalo o stejnou stranu. Pro lepší srovnatelnost budeme v této publikaci nejčastěji používat rozlišení kandidátů podle strany, která kandidáta navrhla, jelikož </w:t>
      </w:r>
      <w:r w:rsidR="00744B88">
        <w:rPr>
          <w:rFonts w:ascii="Arial" w:hAnsi="Arial" w:cs="Arial"/>
          <w:sz w:val="20"/>
          <w:szCs w:val="20"/>
        </w:rPr>
        <w:t xml:space="preserve">její číslo uvedené v číselníku navrhujících stran </w:t>
      </w:r>
      <w:r w:rsidRPr="00A07847">
        <w:rPr>
          <w:rFonts w:ascii="Arial" w:hAnsi="Arial" w:cs="Arial"/>
          <w:sz w:val="20"/>
          <w:szCs w:val="20"/>
        </w:rPr>
        <w:t xml:space="preserve">zůstává po celou dobu existence strany (i když se změní např. její název) </w:t>
      </w:r>
      <w:r w:rsidR="003A087D">
        <w:rPr>
          <w:rFonts w:ascii="Arial" w:hAnsi="Arial" w:cs="Arial"/>
          <w:sz w:val="20"/>
          <w:szCs w:val="20"/>
        </w:rPr>
        <w:t>neměn</w:t>
      </w:r>
      <w:r w:rsidRPr="00A07847">
        <w:rPr>
          <w:rFonts w:ascii="Arial" w:hAnsi="Arial" w:cs="Arial"/>
          <w:sz w:val="20"/>
          <w:szCs w:val="20"/>
        </w:rPr>
        <w:t>né.</w:t>
      </w:r>
      <w:r w:rsidR="00502C35">
        <w:rPr>
          <w:rFonts w:ascii="Arial" w:hAnsi="Arial" w:cs="Arial"/>
          <w:sz w:val="20"/>
          <w:szCs w:val="20"/>
        </w:rPr>
        <w:t xml:space="preserve"> </w:t>
      </w:r>
    </w:p>
    <w:p w:rsidR="003763DE" w:rsidRPr="00A07847" w:rsidRDefault="003763D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07847">
        <w:rPr>
          <w:rFonts w:ascii="Arial" w:hAnsi="Arial" w:cs="Arial"/>
          <w:sz w:val="20"/>
          <w:szCs w:val="20"/>
        </w:rPr>
        <w:t xml:space="preserve">Počet kandidujících subjektů se </w:t>
      </w:r>
      <w:r w:rsidR="004B2480" w:rsidRPr="00A07847">
        <w:rPr>
          <w:rFonts w:ascii="Arial" w:hAnsi="Arial" w:cs="Arial"/>
          <w:sz w:val="20"/>
          <w:szCs w:val="20"/>
        </w:rPr>
        <w:t xml:space="preserve">postupně zvyšoval. </w:t>
      </w:r>
      <w:r w:rsidR="009C6D7C" w:rsidRPr="00A07847">
        <w:rPr>
          <w:rFonts w:ascii="Arial" w:hAnsi="Arial" w:cs="Arial"/>
          <w:sz w:val="20"/>
          <w:szCs w:val="20"/>
        </w:rPr>
        <w:t xml:space="preserve">V roce 2004 kandidovalo 31 volebních stran, z toho </w:t>
      </w:r>
      <w:r w:rsidR="004B2480" w:rsidRPr="00A07847">
        <w:rPr>
          <w:rFonts w:ascii="Arial" w:hAnsi="Arial" w:cs="Arial"/>
          <w:sz w:val="20"/>
          <w:szCs w:val="20"/>
        </w:rPr>
        <w:t>4 koalice, v</w:t>
      </w:r>
      <w:r w:rsidR="009C6D7C" w:rsidRPr="00A07847">
        <w:rPr>
          <w:rFonts w:ascii="Arial" w:hAnsi="Arial" w:cs="Arial"/>
          <w:sz w:val="20"/>
          <w:szCs w:val="20"/>
        </w:rPr>
        <w:t xml:space="preserve"> následujících volbách v roce 2009 to bylo 33 volebních stran, z nich 3 koalice a v roce 2014 bylo zaregistrováno již 38 kandidujících subjektů, z toho 3 koalice. </w:t>
      </w:r>
      <w:r w:rsidR="00721ED7" w:rsidRPr="00A07847">
        <w:rPr>
          <w:rFonts w:ascii="Arial" w:hAnsi="Arial" w:cs="Arial"/>
          <w:sz w:val="20"/>
          <w:szCs w:val="20"/>
        </w:rPr>
        <w:t xml:space="preserve">Z deseti </w:t>
      </w:r>
      <w:r w:rsidR="009C6D7C" w:rsidRPr="00A07847">
        <w:rPr>
          <w:rFonts w:ascii="Arial" w:hAnsi="Arial" w:cs="Arial"/>
          <w:sz w:val="20"/>
          <w:szCs w:val="20"/>
        </w:rPr>
        <w:t>koalic</w:t>
      </w:r>
      <w:r w:rsidR="00721ED7" w:rsidRPr="00A07847">
        <w:rPr>
          <w:rFonts w:ascii="Arial" w:hAnsi="Arial" w:cs="Arial"/>
          <w:sz w:val="20"/>
          <w:szCs w:val="20"/>
        </w:rPr>
        <w:t xml:space="preserve"> kandidujících celkem do EP bylo devět tvořeno dvěma subjekty, v jedné koalici v roce 2004 byly sdruženy 4 strany. </w:t>
      </w:r>
      <w:r w:rsidR="00BB29EB" w:rsidRPr="00A07847">
        <w:rPr>
          <w:rFonts w:ascii="Arial" w:hAnsi="Arial" w:cs="Arial"/>
          <w:sz w:val="20"/>
          <w:szCs w:val="20"/>
        </w:rPr>
        <w:t xml:space="preserve"> Pouze</w:t>
      </w:r>
      <w:r w:rsidR="00721ED7" w:rsidRPr="00A07847">
        <w:rPr>
          <w:rFonts w:ascii="Arial" w:hAnsi="Arial" w:cs="Arial"/>
          <w:sz w:val="20"/>
          <w:szCs w:val="20"/>
        </w:rPr>
        <w:t xml:space="preserve"> </w:t>
      </w:r>
      <w:r w:rsidR="00BB29EB" w:rsidRPr="00A07847">
        <w:rPr>
          <w:rFonts w:ascii="Arial" w:hAnsi="Arial" w:cs="Arial"/>
          <w:sz w:val="20"/>
          <w:szCs w:val="20"/>
        </w:rPr>
        <w:t>jedna strana vytvořila koalici ve více než jedněch volbách. Byla to strana STAROSTOVÉ A NEZÁVISLÍ, která v roce 2009</w:t>
      </w:r>
      <w:r w:rsidRPr="00A07847">
        <w:rPr>
          <w:rFonts w:ascii="Arial" w:hAnsi="Arial" w:cs="Arial"/>
          <w:sz w:val="20"/>
          <w:szCs w:val="20"/>
        </w:rPr>
        <w:t xml:space="preserve"> kandidovala společně s hnutím ALTERNATIVA a v roce 2014 s politickou stranou TOP09.</w:t>
      </w:r>
      <w:r w:rsidR="00BA0201">
        <w:rPr>
          <w:rFonts w:ascii="Arial" w:hAnsi="Arial" w:cs="Arial"/>
          <w:sz w:val="20"/>
          <w:szCs w:val="20"/>
        </w:rPr>
        <w:t xml:space="preserve"> Z 2</w:t>
      </w:r>
      <w:r w:rsidR="006431B7">
        <w:rPr>
          <w:rFonts w:ascii="Arial" w:hAnsi="Arial" w:cs="Arial"/>
          <w:sz w:val="20"/>
          <w:szCs w:val="20"/>
        </w:rPr>
        <w:t>2</w:t>
      </w:r>
      <w:r w:rsidR="00BA0201">
        <w:rPr>
          <w:rFonts w:ascii="Arial" w:hAnsi="Arial" w:cs="Arial"/>
          <w:sz w:val="20"/>
          <w:szCs w:val="20"/>
        </w:rPr>
        <w:t xml:space="preserve"> navrhujících stran tvořících koalice </w:t>
      </w:r>
      <w:r w:rsidR="00AD11D9">
        <w:rPr>
          <w:rFonts w:ascii="Arial" w:hAnsi="Arial" w:cs="Arial"/>
          <w:sz w:val="20"/>
          <w:szCs w:val="20"/>
        </w:rPr>
        <w:t xml:space="preserve">kandidovaly </w:t>
      </w:r>
      <w:r w:rsidR="004B66B7">
        <w:rPr>
          <w:rFonts w:ascii="Arial" w:hAnsi="Arial" w:cs="Arial"/>
          <w:sz w:val="20"/>
          <w:szCs w:val="20"/>
        </w:rPr>
        <w:t>čtyři</w:t>
      </w:r>
      <w:r w:rsidR="00BA0201">
        <w:rPr>
          <w:rFonts w:ascii="Arial" w:hAnsi="Arial" w:cs="Arial"/>
          <w:sz w:val="20"/>
          <w:szCs w:val="20"/>
        </w:rPr>
        <w:t xml:space="preserve"> strany v obou dalších volbách jako samostatné subjekty (</w:t>
      </w:r>
      <w:r w:rsidR="00BA0201" w:rsidRPr="004B66B7">
        <w:rPr>
          <w:rFonts w:ascii="Arial" w:hAnsi="Arial" w:cs="Arial"/>
          <w:sz w:val="20"/>
          <w:szCs w:val="20"/>
        </w:rPr>
        <w:t>Česká strana národně sociální</w:t>
      </w:r>
      <w:r w:rsidR="00A64937" w:rsidRPr="004B66B7">
        <w:rPr>
          <w:rFonts w:ascii="Arial" w:hAnsi="Arial" w:cs="Arial"/>
          <w:sz w:val="20"/>
          <w:szCs w:val="20"/>
        </w:rPr>
        <w:t>, Moravané, SNK Evropští demokraté a Strana zdravého rozumu</w:t>
      </w:r>
      <w:r w:rsidR="0082045E">
        <w:rPr>
          <w:rFonts w:ascii="Arial" w:hAnsi="Arial" w:cs="Arial"/>
          <w:sz w:val="20"/>
          <w:szCs w:val="20"/>
        </w:rPr>
        <w:t xml:space="preserve"> </w:t>
      </w:r>
      <w:r w:rsidR="00A64937" w:rsidRPr="004B66B7">
        <w:rPr>
          <w:rFonts w:ascii="Arial" w:hAnsi="Arial" w:cs="Arial"/>
          <w:sz w:val="20"/>
          <w:szCs w:val="20"/>
        </w:rPr>
        <w:t>-</w:t>
      </w:r>
      <w:r w:rsidR="0082045E">
        <w:rPr>
          <w:rFonts w:ascii="Arial" w:hAnsi="Arial" w:cs="Arial"/>
          <w:sz w:val="20"/>
          <w:szCs w:val="20"/>
        </w:rPr>
        <w:t xml:space="preserve"> </w:t>
      </w:r>
      <w:r w:rsidR="00A64937" w:rsidRPr="004B66B7">
        <w:rPr>
          <w:rFonts w:ascii="Arial" w:hAnsi="Arial" w:cs="Arial"/>
          <w:sz w:val="20"/>
          <w:szCs w:val="20"/>
        </w:rPr>
        <w:t>NECHCEME EURO). Jedenáct z</w:t>
      </w:r>
      <w:r w:rsidR="004B66B7">
        <w:rPr>
          <w:rFonts w:ascii="Arial" w:hAnsi="Arial" w:cs="Arial"/>
          <w:sz w:val="20"/>
          <w:szCs w:val="20"/>
        </w:rPr>
        <w:t> </w:t>
      </w:r>
      <w:r w:rsidR="00A64937" w:rsidRPr="004B66B7">
        <w:rPr>
          <w:rFonts w:ascii="Arial" w:hAnsi="Arial" w:cs="Arial"/>
          <w:sz w:val="20"/>
          <w:szCs w:val="20"/>
        </w:rPr>
        <w:t xml:space="preserve">nich </w:t>
      </w:r>
      <w:r w:rsidR="00BA0201">
        <w:rPr>
          <w:rFonts w:ascii="Arial" w:hAnsi="Arial" w:cs="Arial"/>
          <w:sz w:val="20"/>
          <w:szCs w:val="20"/>
        </w:rPr>
        <w:t>samostatně nekandidovalo v žádných volbách do EP.</w:t>
      </w:r>
      <w:r w:rsidR="00125689" w:rsidRPr="00125689">
        <w:rPr>
          <w:rFonts w:ascii="Arial" w:hAnsi="Arial" w:cs="Arial"/>
          <w:sz w:val="20"/>
          <w:szCs w:val="20"/>
        </w:rPr>
        <w:t xml:space="preserve"> </w:t>
      </w:r>
      <w:r w:rsidR="00125689">
        <w:rPr>
          <w:rFonts w:ascii="Arial" w:hAnsi="Arial" w:cs="Arial"/>
          <w:sz w:val="20"/>
          <w:szCs w:val="20"/>
        </w:rPr>
        <w:t xml:space="preserve">(Úplný seznam a složení volebních stran - kandidátních listin - s pořadovými čísly, pod kterými šly do voleb v jednotlivých letech je uveden v příloze </w:t>
      </w:r>
      <w:r w:rsidR="008040E2">
        <w:rPr>
          <w:rFonts w:ascii="Arial" w:hAnsi="Arial" w:cs="Arial"/>
          <w:sz w:val="20"/>
          <w:szCs w:val="20"/>
        </w:rPr>
        <w:t>1</w:t>
      </w:r>
      <w:r w:rsidR="00125689">
        <w:rPr>
          <w:rFonts w:ascii="Arial" w:hAnsi="Arial" w:cs="Arial"/>
          <w:sz w:val="20"/>
          <w:szCs w:val="20"/>
        </w:rPr>
        <w:t>)</w:t>
      </w:r>
    </w:p>
    <w:p w:rsidR="004916BE" w:rsidRPr="00A07847" w:rsidRDefault="004916B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916BE">
        <w:rPr>
          <w:rFonts w:ascii="Arial" w:hAnsi="Arial" w:cs="Arial"/>
          <w:b/>
          <w:sz w:val="20"/>
          <w:szCs w:val="20"/>
        </w:rPr>
        <w:t xml:space="preserve">T 2 </w:t>
      </w:r>
      <w:r w:rsidR="00383F82">
        <w:rPr>
          <w:rFonts w:ascii="Arial" w:hAnsi="Arial" w:cs="Arial"/>
          <w:b/>
          <w:sz w:val="20"/>
          <w:szCs w:val="20"/>
        </w:rPr>
        <w:t xml:space="preserve"> </w:t>
      </w:r>
      <w:r w:rsidRPr="004916BE">
        <w:rPr>
          <w:rFonts w:ascii="Arial" w:hAnsi="Arial" w:cs="Arial"/>
          <w:b/>
          <w:sz w:val="20"/>
          <w:szCs w:val="20"/>
        </w:rPr>
        <w:t>Struktura</w:t>
      </w:r>
      <w:proofErr w:type="gramEnd"/>
      <w:r w:rsidRPr="004916BE">
        <w:rPr>
          <w:rFonts w:ascii="Arial" w:hAnsi="Arial" w:cs="Arial"/>
          <w:b/>
          <w:sz w:val="20"/>
          <w:szCs w:val="20"/>
        </w:rPr>
        <w:t xml:space="preserve"> volebních subjektů</w:t>
      </w:r>
    </w:p>
    <w:p w:rsidR="004916BE" w:rsidRPr="00A07847" w:rsidRDefault="00DF473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F473A">
        <w:rPr>
          <w:noProof/>
          <w:szCs w:val="20"/>
          <w:lang w:eastAsia="cs-CZ"/>
        </w:rPr>
        <w:drawing>
          <wp:inline distT="0" distB="0" distL="0" distR="0">
            <wp:extent cx="3724275" cy="1076325"/>
            <wp:effectExtent l="19050" t="0" r="0" b="0"/>
            <wp:docPr id="28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64" w:rsidRPr="00A07847" w:rsidRDefault="003763D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07847">
        <w:rPr>
          <w:rFonts w:ascii="Arial" w:hAnsi="Arial" w:cs="Arial"/>
          <w:sz w:val="20"/>
          <w:szCs w:val="20"/>
        </w:rPr>
        <w:t>Během všech voleb do EP navrhlo své kandidáty celkem 78 různých stran.</w:t>
      </w:r>
      <w:r w:rsidR="004916BE" w:rsidRPr="00A07847">
        <w:rPr>
          <w:rFonts w:ascii="Arial" w:hAnsi="Arial" w:cs="Arial"/>
          <w:sz w:val="20"/>
          <w:szCs w:val="20"/>
        </w:rPr>
        <w:t xml:space="preserve"> Z toho </w:t>
      </w:r>
      <w:r w:rsidR="00F83003" w:rsidRPr="00A07847">
        <w:rPr>
          <w:rFonts w:ascii="Arial" w:hAnsi="Arial" w:cs="Arial"/>
          <w:sz w:val="20"/>
          <w:szCs w:val="20"/>
        </w:rPr>
        <w:t xml:space="preserve">11 kandidovalo ve všech volbách, 13 </w:t>
      </w:r>
      <w:r w:rsidR="00A561C7">
        <w:rPr>
          <w:rFonts w:ascii="Arial" w:hAnsi="Arial" w:cs="Arial"/>
          <w:sz w:val="20"/>
          <w:szCs w:val="20"/>
        </w:rPr>
        <w:t>kandidovalo dvakrát</w:t>
      </w:r>
      <w:r w:rsidR="00F83003" w:rsidRPr="00A07847">
        <w:rPr>
          <w:rFonts w:ascii="Arial" w:hAnsi="Arial" w:cs="Arial"/>
          <w:sz w:val="20"/>
          <w:szCs w:val="20"/>
        </w:rPr>
        <w:t xml:space="preserve"> a ostatní pouze </w:t>
      </w:r>
      <w:r w:rsidR="00A561C7">
        <w:rPr>
          <w:rFonts w:ascii="Arial" w:hAnsi="Arial" w:cs="Arial"/>
          <w:sz w:val="20"/>
          <w:szCs w:val="20"/>
        </w:rPr>
        <w:t>jedenkrát</w:t>
      </w:r>
      <w:r w:rsidR="00403564" w:rsidRPr="00A07847">
        <w:rPr>
          <w:rFonts w:ascii="Arial" w:hAnsi="Arial" w:cs="Arial"/>
          <w:sz w:val="20"/>
          <w:szCs w:val="20"/>
        </w:rPr>
        <w:t xml:space="preserve">. </w:t>
      </w:r>
    </w:p>
    <w:p w:rsidR="00125689" w:rsidRPr="003F4DD1" w:rsidRDefault="00125689" w:rsidP="00D0712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3F4DD1">
        <w:rPr>
          <w:rFonts w:ascii="Arial" w:hAnsi="Arial" w:cs="Arial"/>
          <w:b/>
        </w:rPr>
        <w:t>Kandidáti</w:t>
      </w:r>
    </w:p>
    <w:p w:rsidR="009B0B0B" w:rsidRDefault="00601307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07847">
        <w:rPr>
          <w:rFonts w:ascii="Arial" w:hAnsi="Arial" w:cs="Arial"/>
          <w:sz w:val="20"/>
          <w:szCs w:val="20"/>
        </w:rPr>
        <w:t xml:space="preserve">Kandidovat mohli kromě občanů ČR také občané jiných členských států, kteří </w:t>
      </w:r>
      <w:r w:rsidR="008040E2">
        <w:rPr>
          <w:rFonts w:ascii="Arial" w:hAnsi="Arial" w:cs="Arial"/>
          <w:sz w:val="20"/>
          <w:szCs w:val="20"/>
        </w:rPr>
        <w:t>měli hlášený pobyt</w:t>
      </w:r>
      <w:r w:rsidRPr="00A07847">
        <w:rPr>
          <w:rFonts w:ascii="Arial" w:hAnsi="Arial" w:cs="Arial"/>
          <w:sz w:val="20"/>
          <w:szCs w:val="20"/>
        </w:rPr>
        <w:t xml:space="preserve"> alespoň 45 dnů přede dnem voleb na území ČR a splňovali další podmínky dle volebního zákona. Každý kandidát mohl kandidovat pouze na jedné kandidátní listině.  </w:t>
      </w:r>
      <w:r w:rsidR="009C24E7" w:rsidRPr="00A07847">
        <w:rPr>
          <w:rFonts w:ascii="Arial" w:hAnsi="Arial" w:cs="Arial"/>
          <w:sz w:val="20"/>
          <w:szCs w:val="20"/>
        </w:rPr>
        <w:t>Nejvyšší počet kandidátů, který</w:t>
      </w:r>
      <w:r w:rsidR="00EE1506" w:rsidRPr="00A07847">
        <w:rPr>
          <w:rFonts w:ascii="Arial" w:hAnsi="Arial" w:cs="Arial"/>
          <w:sz w:val="20"/>
          <w:szCs w:val="20"/>
        </w:rPr>
        <w:t xml:space="preserve"> mohla strana na kandidátní listině uvést</w:t>
      </w:r>
      <w:r w:rsidR="000A5ED9" w:rsidRPr="00A07847">
        <w:rPr>
          <w:rFonts w:ascii="Arial" w:hAnsi="Arial" w:cs="Arial"/>
          <w:sz w:val="20"/>
          <w:szCs w:val="20"/>
        </w:rPr>
        <w:t>,</w:t>
      </w:r>
      <w:r w:rsidR="00EE1506" w:rsidRPr="00A07847">
        <w:rPr>
          <w:rFonts w:ascii="Arial" w:hAnsi="Arial" w:cs="Arial"/>
          <w:sz w:val="20"/>
          <w:szCs w:val="20"/>
        </w:rPr>
        <w:t xml:space="preserve"> byl o jednu třetinu vyšší než počet poslanců EP volených na území ČR.  </w:t>
      </w:r>
      <w:r w:rsidRPr="00A07847">
        <w:rPr>
          <w:rFonts w:ascii="Arial" w:hAnsi="Arial" w:cs="Arial"/>
          <w:sz w:val="20"/>
          <w:szCs w:val="20"/>
        </w:rPr>
        <w:t xml:space="preserve">Tak v roce 2004 mohla volební strana nominovat nejvýše 32 kandidátů, v roce </w:t>
      </w:r>
      <w:r w:rsidR="005C2383" w:rsidRPr="00A07847">
        <w:rPr>
          <w:rFonts w:ascii="Arial" w:hAnsi="Arial" w:cs="Arial"/>
          <w:sz w:val="20"/>
          <w:szCs w:val="20"/>
        </w:rPr>
        <w:t>2009 to bylo 2</w:t>
      </w:r>
      <w:r w:rsidR="00431B7A">
        <w:rPr>
          <w:rFonts w:ascii="Arial" w:hAnsi="Arial" w:cs="Arial"/>
          <w:sz w:val="20"/>
          <w:szCs w:val="20"/>
        </w:rPr>
        <w:t>9</w:t>
      </w:r>
      <w:r w:rsidRPr="00A07847">
        <w:rPr>
          <w:rFonts w:ascii="Arial" w:hAnsi="Arial" w:cs="Arial"/>
          <w:sz w:val="20"/>
          <w:szCs w:val="20"/>
        </w:rPr>
        <w:t xml:space="preserve"> a v</w:t>
      </w:r>
      <w:r w:rsidR="00635606">
        <w:rPr>
          <w:rFonts w:ascii="Arial" w:hAnsi="Arial" w:cs="Arial"/>
          <w:sz w:val="20"/>
          <w:szCs w:val="20"/>
        </w:rPr>
        <w:t> následujících volbách</w:t>
      </w:r>
      <w:r w:rsidRPr="00A07847">
        <w:rPr>
          <w:rFonts w:ascii="Arial" w:hAnsi="Arial" w:cs="Arial"/>
          <w:sz w:val="20"/>
          <w:szCs w:val="20"/>
        </w:rPr>
        <w:t xml:space="preserve"> </w:t>
      </w:r>
      <w:r w:rsidR="005C2383" w:rsidRPr="00A07847">
        <w:rPr>
          <w:rFonts w:ascii="Arial" w:hAnsi="Arial" w:cs="Arial"/>
          <w:sz w:val="20"/>
          <w:szCs w:val="20"/>
        </w:rPr>
        <w:t>2</w:t>
      </w:r>
      <w:r w:rsidR="00431B7A">
        <w:rPr>
          <w:rFonts w:ascii="Arial" w:hAnsi="Arial" w:cs="Arial"/>
          <w:sz w:val="20"/>
          <w:szCs w:val="20"/>
        </w:rPr>
        <w:t>8</w:t>
      </w:r>
      <w:r w:rsidR="005C2383" w:rsidRPr="00A07847">
        <w:rPr>
          <w:rFonts w:ascii="Arial" w:hAnsi="Arial" w:cs="Arial"/>
          <w:sz w:val="20"/>
          <w:szCs w:val="20"/>
        </w:rPr>
        <w:t xml:space="preserve"> kandidátů. </w:t>
      </w:r>
      <w:r w:rsidR="00F72526" w:rsidRPr="00A07847">
        <w:rPr>
          <w:rFonts w:ascii="Arial" w:hAnsi="Arial" w:cs="Arial"/>
          <w:sz w:val="20"/>
          <w:szCs w:val="20"/>
        </w:rPr>
        <w:t xml:space="preserve">Celkem mohla strana tudíž navrhnout 89 kandidátů. Toho využily pouze dvě strany – KDU-ČSL a ODS. </w:t>
      </w:r>
    </w:p>
    <w:p w:rsidR="00F72526" w:rsidRPr="00A07847" w:rsidRDefault="009B0B0B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2EDF">
        <w:rPr>
          <w:rFonts w:ascii="Arial" w:hAnsi="Arial" w:cs="Arial"/>
          <w:sz w:val="20"/>
          <w:szCs w:val="20"/>
        </w:rPr>
        <w:t xml:space="preserve">očet </w:t>
      </w:r>
      <w:r w:rsidR="00D93315">
        <w:rPr>
          <w:rFonts w:ascii="Arial" w:hAnsi="Arial" w:cs="Arial"/>
          <w:sz w:val="20"/>
          <w:szCs w:val="20"/>
        </w:rPr>
        <w:t>za</w:t>
      </w:r>
      <w:r w:rsidR="00500BD2">
        <w:rPr>
          <w:rFonts w:ascii="Arial" w:hAnsi="Arial" w:cs="Arial"/>
          <w:sz w:val="20"/>
          <w:szCs w:val="20"/>
        </w:rPr>
        <w:t xml:space="preserve">registrovaných platných </w:t>
      </w:r>
      <w:r w:rsidR="00082EDF">
        <w:rPr>
          <w:rFonts w:ascii="Arial" w:hAnsi="Arial" w:cs="Arial"/>
          <w:sz w:val="20"/>
          <w:szCs w:val="20"/>
        </w:rPr>
        <w:t>kandidátů</w:t>
      </w:r>
      <w:r w:rsidR="00500B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byl nejvyšší v roce 2014, přestože se volil nejnižší počet poslanců. Činil 849 kandidátů, </w:t>
      </w:r>
      <w:r w:rsidR="002F0DA7">
        <w:rPr>
          <w:rFonts w:ascii="Arial" w:hAnsi="Arial" w:cs="Arial"/>
          <w:sz w:val="20"/>
          <w:szCs w:val="20"/>
        </w:rPr>
        <w:t xml:space="preserve">zatímco </w:t>
      </w:r>
      <w:r>
        <w:rPr>
          <w:rFonts w:ascii="Arial" w:hAnsi="Arial" w:cs="Arial"/>
          <w:sz w:val="20"/>
          <w:szCs w:val="20"/>
        </w:rPr>
        <w:t xml:space="preserve">v roce 2009 </w:t>
      </w:r>
      <w:r w:rsidR="00500BD2">
        <w:rPr>
          <w:rFonts w:ascii="Arial" w:hAnsi="Arial" w:cs="Arial"/>
          <w:sz w:val="20"/>
          <w:szCs w:val="20"/>
        </w:rPr>
        <w:t>to bylo</w:t>
      </w:r>
      <w:r>
        <w:rPr>
          <w:rFonts w:ascii="Arial" w:hAnsi="Arial" w:cs="Arial"/>
          <w:sz w:val="20"/>
          <w:szCs w:val="20"/>
        </w:rPr>
        <w:t xml:space="preserve"> </w:t>
      </w:r>
      <w:r w:rsidR="00DB0E67">
        <w:rPr>
          <w:rFonts w:ascii="Arial" w:hAnsi="Arial" w:cs="Arial"/>
          <w:sz w:val="20"/>
          <w:szCs w:val="20"/>
        </w:rPr>
        <w:t>708 a v</w:t>
      </w:r>
      <w:r w:rsidR="00500BD2">
        <w:rPr>
          <w:rFonts w:ascii="Arial" w:hAnsi="Arial" w:cs="Arial"/>
          <w:sz w:val="20"/>
          <w:szCs w:val="20"/>
        </w:rPr>
        <w:t> prvních volbách do EP</w:t>
      </w:r>
      <w:r w:rsidR="00DB0E67">
        <w:rPr>
          <w:rFonts w:ascii="Arial" w:hAnsi="Arial" w:cs="Arial"/>
          <w:sz w:val="20"/>
          <w:szCs w:val="20"/>
        </w:rPr>
        <w:t xml:space="preserve"> 806 kandidátů. O</w:t>
      </w:r>
      <w:r w:rsidR="00500BD2">
        <w:rPr>
          <w:rFonts w:ascii="Arial" w:hAnsi="Arial" w:cs="Arial"/>
          <w:sz w:val="20"/>
          <w:szCs w:val="20"/>
        </w:rPr>
        <w:t> </w:t>
      </w:r>
      <w:r w:rsidR="00DB0E67">
        <w:rPr>
          <w:rFonts w:ascii="Arial" w:hAnsi="Arial" w:cs="Arial"/>
          <w:sz w:val="20"/>
          <w:szCs w:val="20"/>
        </w:rPr>
        <w:t>jeden mandát se tak v roce 2004</w:t>
      </w:r>
      <w:r w:rsidR="00500BD2">
        <w:rPr>
          <w:rFonts w:ascii="Arial" w:hAnsi="Arial" w:cs="Arial"/>
          <w:sz w:val="20"/>
          <w:szCs w:val="20"/>
        </w:rPr>
        <w:t>,</w:t>
      </w:r>
      <w:r w:rsidR="00DB0E67">
        <w:rPr>
          <w:rFonts w:ascii="Arial" w:hAnsi="Arial" w:cs="Arial"/>
          <w:sz w:val="20"/>
          <w:szCs w:val="20"/>
        </w:rPr>
        <w:t xml:space="preserve"> stejně jako v roce 2009</w:t>
      </w:r>
      <w:r w:rsidR="00500BD2">
        <w:rPr>
          <w:rFonts w:ascii="Arial" w:hAnsi="Arial" w:cs="Arial"/>
          <w:sz w:val="20"/>
          <w:szCs w:val="20"/>
        </w:rPr>
        <w:t>,</w:t>
      </w:r>
      <w:r w:rsidR="00DB0E67">
        <w:rPr>
          <w:rFonts w:ascii="Arial" w:hAnsi="Arial" w:cs="Arial"/>
          <w:sz w:val="20"/>
          <w:szCs w:val="20"/>
        </w:rPr>
        <w:t xml:space="preserve"> ucházelo přibližně 25 kandidátů</w:t>
      </w:r>
      <w:r w:rsidR="002F0DA7">
        <w:rPr>
          <w:rFonts w:ascii="Arial" w:hAnsi="Arial" w:cs="Arial"/>
          <w:sz w:val="20"/>
          <w:szCs w:val="20"/>
        </w:rPr>
        <w:t>,</w:t>
      </w:r>
      <w:r w:rsidR="00DB0E67">
        <w:rPr>
          <w:rFonts w:ascii="Arial" w:hAnsi="Arial" w:cs="Arial"/>
          <w:sz w:val="20"/>
          <w:szCs w:val="20"/>
        </w:rPr>
        <w:t xml:space="preserve"> </w:t>
      </w:r>
      <w:r w:rsidR="002F0DA7">
        <w:rPr>
          <w:rFonts w:ascii="Arial" w:hAnsi="Arial" w:cs="Arial"/>
          <w:sz w:val="20"/>
          <w:szCs w:val="20"/>
        </w:rPr>
        <w:t>v</w:t>
      </w:r>
      <w:r w:rsidR="00DB0E67">
        <w:rPr>
          <w:rFonts w:ascii="Arial" w:hAnsi="Arial" w:cs="Arial"/>
          <w:sz w:val="20"/>
          <w:szCs w:val="20"/>
        </w:rPr>
        <w:t xml:space="preserve"> roce 2014 to bylo již více než 31 kandidátů. </w:t>
      </w:r>
      <w:r w:rsidR="00F72526" w:rsidRPr="00A07847">
        <w:rPr>
          <w:rFonts w:ascii="Arial" w:hAnsi="Arial" w:cs="Arial"/>
          <w:sz w:val="20"/>
          <w:szCs w:val="20"/>
        </w:rPr>
        <w:t>V tabulce T</w:t>
      </w:r>
      <w:r w:rsidR="00AE3EBD">
        <w:rPr>
          <w:rFonts w:ascii="Arial" w:hAnsi="Arial" w:cs="Arial"/>
          <w:sz w:val="20"/>
          <w:szCs w:val="20"/>
        </w:rPr>
        <w:t xml:space="preserve"> </w:t>
      </w:r>
      <w:r w:rsidR="00F72526" w:rsidRPr="00A07847">
        <w:rPr>
          <w:rFonts w:ascii="Arial" w:hAnsi="Arial" w:cs="Arial"/>
          <w:sz w:val="20"/>
          <w:szCs w:val="20"/>
        </w:rPr>
        <w:t xml:space="preserve">3 je uveden počet kandidátů </w:t>
      </w:r>
      <w:r w:rsidR="002F0DA7">
        <w:rPr>
          <w:rFonts w:ascii="Arial" w:hAnsi="Arial" w:cs="Arial"/>
          <w:sz w:val="20"/>
          <w:szCs w:val="20"/>
        </w:rPr>
        <w:t xml:space="preserve">těch </w:t>
      </w:r>
      <w:r w:rsidR="002F0DA7">
        <w:rPr>
          <w:rFonts w:ascii="Arial" w:hAnsi="Arial" w:cs="Arial"/>
          <w:sz w:val="20"/>
          <w:szCs w:val="20"/>
        </w:rPr>
        <w:lastRenderedPageBreak/>
        <w:t xml:space="preserve">navrhujících </w:t>
      </w:r>
      <w:r w:rsidR="00F72526" w:rsidRPr="00A07847">
        <w:rPr>
          <w:rFonts w:ascii="Arial" w:hAnsi="Arial" w:cs="Arial"/>
          <w:sz w:val="20"/>
          <w:szCs w:val="20"/>
        </w:rPr>
        <w:t xml:space="preserve">stran, které ve všech třech volbách do EP navrhly </w:t>
      </w:r>
      <w:r w:rsidR="00500BD2">
        <w:rPr>
          <w:rFonts w:ascii="Arial" w:hAnsi="Arial" w:cs="Arial"/>
          <w:sz w:val="20"/>
          <w:szCs w:val="20"/>
        </w:rPr>
        <w:t xml:space="preserve">celkem </w:t>
      </w:r>
      <w:r w:rsidR="00F72526" w:rsidRPr="00A07847">
        <w:rPr>
          <w:rFonts w:ascii="Arial" w:hAnsi="Arial" w:cs="Arial"/>
          <w:sz w:val="20"/>
          <w:szCs w:val="20"/>
        </w:rPr>
        <w:t>alespoň 27 kandidátů nebo získaly v některých volbách mandát.</w:t>
      </w:r>
    </w:p>
    <w:p w:rsidR="00F72526" w:rsidRDefault="00FE583C" w:rsidP="00D07127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281305</wp:posOffset>
            </wp:positionV>
            <wp:extent cx="5562600" cy="8178800"/>
            <wp:effectExtent l="19050" t="0" r="0" b="0"/>
            <wp:wrapNone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2526" w:rsidRPr="00F72526">
        <w:rPr>
          <w:rFonts w:ascii="Arial" w:hAnsi="Arial" w:cs="Arial"/>
          <w:b/>
          <w:sz w:val="20"/>
          <w:szCs w:val="20"/>
        </w:rPr>
        <w:t xml:space="preserve">T </w:t>
      </w:r>
      <w:r w:rsidR="00F72526" w:rsidRPr="00A07847">
        <w:rPr>
          <w:rFonts w:ascii="Arial" w:hAnsi="Arial" w:cs="Arial"/>
          <w:b/>
          <w:sz w:val="20"/>
          <w:szCs w:val="20"/>
        </w:rPr>
        <w:t>3</w:t>
      </w:r>
      <w:r w:rsidR="00F72526" w:rsidRPr="00F72526">
        <w:rPr>
          <w:rFonts w:ascii="Arial" w:hAnsi="Arial" w:cs="Arial"/>
          <w:b/>
          <w:sz w:val="20"/>
          <w:szCs w:val="20"/>
        </w:rPr>
        <w:t xml:space="preserve">  </w:t>
      </w:r>
      <w:r w:rsidR="00A561C7">
        <w:rPr>
          <w:rFonts w:ascii="Arial" w:hAnsi="Arial" w:cs="Arial"/>
          <w:b/>
          <w:sz w:val="20"/>
          <w:szCs w:val="20"/>
        </w:rPr>
        <w:t>K</w:t>
      </w:r>
      <w:r w:rsidR="00F72526" w:rsidRPr="00F72526">
        <w:rPr>
          <w:rFonts w:ascii="Arial" w:hAnsi="Arial" w:cs="Arial"/>
          <w:b/>
          <w:sz w:val="20"/>
          <w:szCs w:val="20"/>
        </w:rPr>
        <w:t>andidát</w:t>
      </w:r>
      <w:r w:rsidR="00A561C7">
        <w:rPr>
          <w:rFonts w:ascii="Arial" w:hAnsi="Arial" w:cs="Arial"/>
          <w:b/>
          <w:sz w:val="20"/>
          <w:szCs w:val="20"/>
        </w:rPr>
        <w:t>i</w:t>
      </w:r>
      <w:proofErr w:type="gramEnd"/>
      <w:r w:rsidR="00F72526" w:rsidRPr="00F72526">
        <w:rPr>
          <w:rFonts w:ascii="Arial" w:hAnsi="Arial" w:cs="Arial"/>
          <w:b/>
          <w:sz w:val="20"/>
          <w:szCs w:val="20"/>
        </w:rPr>
        <w:t xml:space="preserve"> podle navrhující strany</w:t>
      </w:r>
    </w:p>
    <w:p w:rsidR="00FE583C" w:rsidRPr="00A07847" w:rsidRDefault="00FE583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55911" w:rsidRDefault="00555911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Default="00117985" w:rsidP="00D07127">
      <w:pPr>
        <w:spacing w:before="100" w:beforeAutospacing="1" w:after="100" w:afterAutospacing="1" w:line="240" w:lineRule="auto"/>
        <w:jc w:val="both"/>
        <w:rPr>
          <w:noProof/>
          <w:szCs w:val="20"/>
          <w:lang w:eastAsia="cs-CZ"/>
        </w:rPr>
      </w:pPr>
    </w:p>
    <w:p w:rsidR="00117985" w:rsidRPr="00A07847" w:rsidRDefault="00117985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E1455D" w:rsidRPr="003F4DD1" w:rsidRDefault="00C91483" w:rsidP="00D07127">
      <w:pPr>
        <w:pStyle w:val="Odstavecseseznamem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  <w:r w:rsidR="00E1455D" w:rsidRPr="003F4DD1">
        <w:rPr>
          <w:rFonts w:ascii="Arial" w:hAnsi="Arial" w:cs="Arial"/>
          <w:b/>
          <w:i/>
          <w:sz w:val="20"/>
          <w:szCs w:val="20"/>
        </w:rPr>
        <w:t>Kandidáti podle politické příslušnosti</w:t>
      </w:r>
    </w:p>
    <w:p w:rsidR="008D524F" w:rsidRPr="00E1455D" w:rsidRDefault="00AB3F7C" w:rsidP="00D07127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hAnsi="Arial" w:cs="Arial"/>
          <w:sz w:val="20"/>
          <w:szCs w:val="20"/>
        </w:rPr>
        <w:t>Z celkového počtu 2 363 kandidátů bylo členy některé z 84 politických stran nebo hnutí</w:t>
      </w:r>
      <w:r w:rsidR="0099298A" w:rsidRPr="00E1455D">
        <w:rPr>
          <w:rFonts w:ascii="Arial" w:hAnsi="Arial" w:cs="Arial"/>
          <w:sz w:val="20"/>
          <w:szCs w:val="20"/>
        </w:rPr>
        <w:t xml:space="preserve">, </w:t>
      </w:r>
      <w:r w:rsidR="005A467D">
        <w:rPr>
          <w:rFonts w:ascii="Arial" w:hAnsi="Arial" w:cs="Arial"/>
          <w:sz w:val="20"/>
          <w:szCs w:val="20"/>
        </w:rPr>
        <w:t>jejichž</w:t>
      </w:r>
      <w:r w:rsidR="0099298A" w:rsidRPr="00E1455D">
        <w:rPr>
          <w:rFonts w:ascii="Arial" w:hAnsi="Arial" w:cs="Arial"/>
          <w:sz w:val="20"/>
          <w:szCs w:val="20"/>
        </w:rPr>
        <w:t xml:space="preserve"> členové kandidovali,</w:t>
      </w:r>
      <w:r w:rsidR="004B2D18" w:rsidRPr="00E1455D">
        <w:rPr>
          <w:rFonts w:ascii="Arial" w:hAnsi="Arial" w:cs="Arial"/>
          <w:sz w:val="20"/>
          <w:szCs w:val="20"/>
        </w:rPr>
        <w:t xml:space="preserve"> 65 % kandidátů,</w:t>
      </w:r>
      <w:r w:rsidRPr="00E1455D">
        <w:rPr>
          <w:rFonts w:ascii="Arial" w:hAnsi="Arial" w:cs="Arial"/>
          <w:sz w:val="20"/>
          <w:szCs w:val="20"/>
        </w:rPr>
        <w:t xml:space="preserve"> </w:t>
      </w:r>
      <w:r w:rsidR="004B2D18" w:rsidRPr="00E1455D">
        <w:rPr>
          <w:rFonts w:ascii="Arial" w:hAnsi="Arial" w:cs="Arial"/>
          <w:sz w:val="20"/>
          <w:szCs w:val="20"/>
        </w:rPr>
        <w:t>zbývající v</w:t>
      </w:r>
      <w:r w:rsidR="000F62F0" w:rsidRPr="00E1455D">
        <w:rPr>
          <w:rFonts w:ascii="Arial" w:hAnsi="Arial" w:cs="Arial"/>
          <w:sz w:val="20"/>
          <w:szCs w:val="20"/>
        </w:rPr>
        <w:t>íce než jedna třetina kandidátů byla bez politické příslušnosti.</w:t>
      </w:r>
      <w:r w:rsidRPr="00E1455D">
        <w:rPr>
          <w:rFonts w:ascii="Arial" w:hAnsi="Arial" w:cs="Arial"/>
          <w:sz w:val="20"/>
          <w:szCs w:val="20"/>
        </w:rPr>
        <w:t xml:space="preserve"> </w:t>
      </w:r>
      <w:r w:rsidR="00DA21B2" w:rsidRPr="00E1455D">
        <w:rPr>
          <w:rFonts w:ascii="Arial" w:hAnsi="Arial" w:cs="Arial"/>
          <w:sz w:val="20"/>
          <w:szCs w:val="20"/>
        </w:rPr>
        <w:t xml:space="preserve">Bezpartijní kandidáti se vyskytovali na kandidátních listinách téměř </w:t>
      </w:r>
      <w:r w:rsidR="0029321B" w:rsidRPr="00E1455D">
        <w:rPr>
          <w:rFonts w:ascii="Arial" w:hAnsi="Arial" w:cs="Arial"/>
          <w:sz w:val="20"/>
          <w:szCs w:val="20"/>
        </w:rPr>
        <w:t xml:space="preserve">všech stran, kde ve velké míře doplňovali kandidáty s politickou příslušností ke straně, která kandidáta navrhla. Pouze </w:t>
      </w:r>
      <w:r w:rsidR="00300833" w:rsidRPr="00E1455D">
        <w:rPr>
          <w:rFonts w:ascii="Arial" w:hAnsi="Arial" w:cs="Arial"/>
          <w:sz w:val="20"/>
          <w:szCs w:val="20"/>
        </w:rPr>
        <w:t xml:space="preserve">tři navrhující strany nominovaly výhradně kandidáty bez politické příslušnosti. Byla to strana </w:t>
      </w:r>
      <w:r w:rsidR="00300833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"Sdružení nestraníků", která v roce </w:t>
      </w:r>
      <w:r w:rsidR="00A13E33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2004 </w:t>
      </w:r>
      <w:r w:rsidR="00300833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navrhla plnou </w:t>
      </w:r>
      <w:r w:rsidR="00A13E33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kandidátku</w:t>
      </w:r>
      <w:r w:rsidR="00CE402F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(32 kandidátů)</w:t>
      </w:r>
      <w:r w:rsidR="00A13E33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osob </w:t>
      </w:r>
      <w:r w:rsidR="00206655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bez politické příslušnosti, dále hnutí </w:t>
      </w:r>
      <w:r w:rsidR="0029321B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Úsvit přímé demokracie </w:t>
      </w:r>
      <w:proofErr w:type="spellStart"/>
      <w:r w:rsidR="0029321B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Tomia</w:t>
      </w:r>
      <w:proofErr w:type="spellEnd"/>
      <w:r w:rsidR="0029321B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29321B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Okamury</w:t>
      </w:r>
      <w:proofErr w:type="spellEnd"/>
      <w:r w:rsidR="00206655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 20 kandidáty v roce 2014 a ČESKÝ POLITICKÝ STŘED se 4 kandidáty v roce 2009.</w:t>
      </w:r>
      <w:r w:rsidR="00CE402F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Všechny tyto strany kandidovaly pouze v uvedených letech</w:t>
      </w:r>
      <w:r w:rsidR="00E1455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FB4624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6D42B5" w:rsidRPr="00E1455D" w:rsidRDefault="00206655" w:rsidP="00D07127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Naproti tomu </w:t>
      </w:r>
      <w:r w:rsidR="006D42B5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dvě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stran</w:t>
      </w:r>
      <w:r w:rsidR="006D42B5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y sestavily kandidátní listinu pouze s kandidáty s politickou příslušností k</w:t>
      </w:r>
      <w:r w:rsidR="000C704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vlastní </w:t>
      </w:r>
      <w:r w:rsidR="006D42B5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navrhující straně. Byla to strana LEV 21 – Národní socialisté, která kandidovala jen v roce 2014 a postavila 28 kandidátů a dále Sdružení pro republiku-Republikán</w:t>
      </w:r>
      <w:r w:rsidR="000C704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ská </w:t>
      </w:r>
      <w:r w:rsidR="006D42B5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strana Českos</w:t>
      </w:r>
      <w:r w:rsidR="000C704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lovenska, kandidující v roce 2009 s 20 kandidáty.</w:t>
      </w:r>
    </w:p>
    <w:p w:rsidR="00200AA6" w:rsidRPr="00E1455D" w:rsidRDefault="00600D0B" w:rsidP="00D07127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Během všech dosud uskutečněných voleb do EP kandidovalo nejvíce kandidátů s politickou příslušností k ODS a to 87</w:t>
      </w:r>
      <w:r w:rsidR="00AB3F7C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(3,7 %</w:t>
      </w:r>
      <w:r w:rsidR="004B2D18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všech kandidátů</w:t>
      </w:r>
      <w:r w:rsidR="00AB3F7C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z nichž jednoho navrhla jiná strana než ODS. </w:t>
      </w:r>
      <w:r w:rsidR="00A84877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politickou příslušností k ČSSD kandidovalo 84 kandidátů, všichni na kandidátce </w:t>
      </w:r>
      <w:r w:rsidR="004D0191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</w:t>
      </w:r>
      <w:r w:rsidR="00A84877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SSD. Třetí nejvyšší počet kandidátů měl politickou příslušnost ke KDU-ČSL a to 81, přičemž 2 z nich byli navrženi jinou stranou.</w:t>
      </w:r>
      <w:r w:rsidR="004D0191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FB4624" w:rsidRDefault="00FB4624" w:rsidP="00D07127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gramStart"/>
      <w:r w:rsidRPr="008C126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 4</w:t>
      </w:r>
      <w:r w:rsidR="00452C5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Pr="008C126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Kandidáti</w:t>
      </w:r>
      <w:proofErr w:type="gramEnd"/>
      <w:r w:rsidRPr="008C126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podle politické příslušnosti </w:t>
      </w:r>
      <w:r w:rsidR="002651A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8C126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strany nad 1 % z celkového počtu kandidátů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FB4624" w:rsidRDefault="007B59E2" w:rsidP="00D07127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7B59E2">
        <w:rPr>
          <w:noProof/>
          <w:szCs w:val="18"/>
          <w:lang w:eastAsia="cs-CZ"/>
        </w:rPr>
        <w:drawing>
          <wp:inline distT="0" distB="0" distL="0" distR="0">
            <wp:extent cx="5543550" cy="4505325"/>
            <wp:effectExtent l="19050" t="0" r="0" b="0"/>
            <wp:docPr id="31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88" cy="4502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24" w:rsidRDefault="00FB4624" w:rsidP="00D07127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C2BDD" w:rsidRPr="00E1455D" w:rsidRDefault="00FB4624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Počet kandidátů bez politické příslušnosti se postupně snižoval. Zatímco v roce 2004 činil 37 %, v roce 2014 to bylo jen 30 % ze všech kandidátů kandidujících v příslušném roce.</w:t>
      </w:r>
      <w:r w:rsidR="00F7104A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Snižoval se podíl </w:t>
      </w:r>
      <w:r w:rsidR="00F7104A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 xml:space="preserve">kandidátů s politickou příslušností k navrhující straně u velkých </w:t>
      </w:r>
      <w:r w:rsidR="001C2BD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„parlamentních“ stran</w:t>
      </w:r>
      <w:r w:rsidR="0039641A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 výjimkou KSČM)</w:t>
      </w:r>
      <w:r w:rsidR="001C2BD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naproti tomu menší strany navrhovaly postupně stále větší podíl kandidátů s politi</w:t>
      </w:r>
      <w:r w:rsidR="00CE77A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</w:t>
      </w:r>
      <w:r w:rsidR="001C2BDD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kou příslušností k vlastní straně, jak o tom svědčí graf G 1.</w:t>
      </w:r>
      <w:r w:rsidR="00FD24C7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grafu byly vybrány strany, jejichž členové činili alespoň 2 % všech kandidátů.</w:t>
      </w:r>
    </w:p>
    <w:p w:rsidR="003F329B" w:rsidRPr="00E1455D" w:rsidRDefault="001C2BDD" w:rsidP="00D071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proofErr w:type="gramStart"/>
      <w:r w:rsidR="0019179C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G 1  Podíl</w:t>
      </w:r>
      <w:proofErr w:type="gramEnd"/>
      <w:r w:rsidR="0019179C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kandidátů s politickou příslušností k vlastní navrhující straně</w:t>
      </w:r>
      <w:r w:rsidR="00FD24C7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za vybrané strany</w:t>
      </w:r>
      <w:r w:rsidR="0019179C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</w:p>
    <w:p w:rsidR="00E1455D" w:rsidRDefault="00E1455D" w:rsidP="00D071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1455D" w:rsidRDefault="00C64A98" w:rsidP="00D071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60720" cy="2345629"/>
            <wp:effectExtent l="19050" t="0" r="0" b="0"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4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FE" w:rsidRPr="000D1615" w:rsidRDefault="003158FE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0D1615">
        <w:rPr>
          <w:rFonts w:ascii="Arial" w:hAnsi="Arial" w:cs="Arial"/>
          <w:sz w:val="20"/>
          <w:szCs w:val="20"/>
        </w:rPr>
        <w:t xml:space="preserve">ěkteří kandidáti kandidovali </w:t>
      </w:r>
      <w:r>
        <w:rPr>
          <w:rFonts w:ascii="Arial" w:hAnsi="Arial" w:cs="Arial"/>
          <w:sz w:val="20"/>
          <w:szCs w:val="20"/>
        </w:rPr>
        <w:t>opakovaně. Do všech sledovaných voleb se přihlásilo 24 kandidátů, vesměs z</w:t>
      </w:r>
      <w:r w:rsidR="00AA52B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tradičních </w:t>
      </w:r>
      <w:r w:rsidR="00B158FA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parlamentních</w:t>
      </w:r>
      <w:r w:rsidR="00B158F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stran, kromě nich bylo 6 kandidátů za  stranu Volte Pravý</w:t>
      </w:r>
      <w:r w:rsidR="00405C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Blok </w:t>
      </w:r>
      <w:proofErr w:type="gramStart"/>
      <w:r>
        <w:rPr>
          <w:rFonts w:ascii="Arial" w:hAnsi="Arial" w:cs="Arial"/>
          <w:sz w:val="20"/>
          <w:szCs w:val="20"/>
        </w:rPr>
        <w:t>www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cibulka</w:t>
      </w:r>
      <w:proofErr w:type="gram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cz</w:t>
      </w:r>
      <w:proofErr w:type="spellEnd"/>
      <w:r>
        <w:rPr>
          <w:rFonts w:ascii="Arial" w:hAnsi="Arial" w:cs="Arial"/>
          <w:sz w:val="20"/>
          <w:szCs w:val="20"/>
        </w:rPr>
        <w:t xml:space="preserve">. Z třikrát kandidujících kandidátů </w:t>
      </w:r>
      <w:r w:rsidR="002941B2">
        <w:rPr>
          <w:rFonts w:ascii="Arial" w:hAnsi="Arial" w:cs="Arial"/>
          <w:sz w:val="20"/>
          <w:szCs w:val="20"/>
        </w:rPr>
        <w:t xml:space="preserve">ve všech volbách </w:t>
      </w:r>
      <w:r>
        <w:rPr>
          <w:rFonts w:ascii="Arial" w:hAnsi="Arial" w:cs="Arial"/>
          <w:sz w:val="20"/>
          <w:szCs w:val="20"/>
        </w:rPr>
        <w:t>uspěli tři kandidáti, šest se dostalo do EP dvakrát a jedenkrát byli úspěšní tři kandidáti.</w:t>
      </w:r>
    </w:p>
    <w:p w:rsidR="003158FE" w:rsidRDefault="003158FE" w:rsidP="00D0712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</w:p>
    <w:p w:rsidR="00E1455D" w:rsidRPr="003F4DD1" w:rsidRDefault="00452C5C" w:rsidP="00D07127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 </w:t>
      </w:r>
      <w:r w:rsidR="00C436DF" w:rsidRPr="003F4DD1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Kandidáti podle pohlaví,</w:t>
      </w:r>
      <w:r w:rsidR="00AB0508" w:rsidRPr="003F4DD1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 věku</w:t>
      </w:r>
      <w:r w:rsidR="00C436DF" w:rsidRPr="003F4DD1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 a státní příslušnosti</w:t>
      </w:r>
    </w:p>
    <w:p w:rsidR="00AB0508" w:rsidRDefault="00AB0508" w:rsidP="00D071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EB378C" w:rsidRPr="00E1455D" w:rsidRDefault="00EB378C" w:rsidP="00D071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 rozdělení kandidátů do věkových skup</w:t>
      </w:r>
      <w:r w:rsidR="005A467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 po deseti letech (s výjimkou 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nejstarší kategorie, která zahrnuje všechny šedesátileté a starší kandidáty) byla nejčetnější skupina kandidátů od 50 do 59 let, která činila čtvrtinu všech kandidátů. Nejméně bylo kandidátů do 30 let</w:t>
      </w:r>
      <w:r w:rsidR="00D754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jen 13 procent. </w:t>
      </w:r>
    </w:p>
    <w:p w:rsidR="00A31FF6" w:rsidRPr="00E1455D" w:rsidRDefault="003029E6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proofErr w:type="gramStart"/>
      <w:r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 5  Kandidáti</w:t>
      </w:r>
      <w:proofErr w:type="gramEnd"/>
      <w:r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podle věku a pohlaví</w:t>
      </w:r>
      <w:r w:rsidR="00D90FE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</w:p>
    <w:p w:rsidR="003029E6" w:rsidRPr="00E1455D" w:rsidRDefault="00C34DB4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3175</wp:posOffset>
            </wp:positionV>
            <wp:extent cx="5760085" cy="1630045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A98" w:rsidRPr="00E1455D" w:rsidRDefault="00C64A9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64A98" w:rsidRPr="00E1455D" w:rsidRDefault="00C64A9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64A98" w:rsidRPr="00E1455D" w:rsidRDefault="00C64A9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64A98" w:rsidRPr="00E1455D" w:rsidRDefault="00C64A9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C64A98" w:rsidRPr="00E1455D" w:rsidRDefault="00C64A9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22525" w:rsidRPr="00E1455D" w:rsidRDefault="00422525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 celkového počtu 2 363 kandidátů, kteří kandidovali do EP</w:t>
      </w:r>
      <w:r w:rsidR="00D754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bylo 27 % žen. Nejvyšší podíl žen uvedených na kandidátních listinách byl v roce 2009</w:t>
      </w:r>
      <w:r w:rsidR="008262A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28 %</w:t>
      </w:r>
      <w:r w:rsidR="008262A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nejnižší při prvních volbách do EP</w:t>
      </w:r>
      <w:r w:rsidR="00D754E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pouze jedna čtvrtina. Nejvyšší podíl žen byl mezi nejmladšími kandidáty do 30 let, kde činil</w:t>
      </w:r>
      <w:r w:rsidR="00B20E9A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</w:t>
      </w:r>
      <w:r w:rsidR="00AB05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B20E9A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úhrnu</w:t>
      </w:r>
      <w:r w:rsidR="00AB05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všechny volby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40</w:t>
      </w:r>
      <w:r w:rsidR="00AB050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%. V dalších věkových kategoriích se postupně sni</w:t>
      </w:r>
      <w:r w:rsidR="00AE7960"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žoval, v nejstarší kategorii dosáh</w:t>
      </w:r>
      <w:r w:rsidR="00BB133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 pouhých 15 %, jak je patrné z grafu G 2.</w:t>
      </w:r>
    </w:p>
    <w:p w:rsidR="00D90FEF" w:rsidRDefault="00D90FEF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A71F17" w:rsidRDefault="00A71F17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D90FEF" w:rsidRPr="00E1455D" w:rsidRDefault="00D90FEF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lastRenderedPageBreak/>
        <w:t>T 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a</w:t>
      </w:r>
      <w:r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Kandidáti podle věku a pohlaví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– </w:t>
      </w:r>
      <w:r w:rsidRPr="00D90FE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podíl z celkového počtu kandidátů v příslušném roce</w:t>
      </w:r>
    </w:p>
    <w:p w:rsidR="00D90FEF" w:rsidRDefault="00D90FEF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0FEF">
        <w:rPr>
          <w:noProof/>
          <w:szCs w:val="20"/>
          <w:lang w:eastAsia="cs-CZ"/>
        </w:rPr>
        <w:drawing>
          <wp:inline distT="0" distB="0" distL="0" distR="0">
            <wp:extent cx="5760720" cy="1633533"/>
            <wp:effectExtent l="19050" t="0" r="0" b="0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EF" w:rsidRDefault="00D90FEF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90FEF" w:rsidRDefault="00D90FEF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D90FEF" w:rsidRDefault="00D90FEF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422525" w:rsidRPr="00E1455D" w:rsidRDefault="00422525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gramStart"/>
      <w:r w:rsidRPr="00E145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G 2  Podíl</w:t>
      </w:r>
      <w:proofErr w:type="gramEnd"/>
      <w:r w:rsidRPr="00E145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pohlaví ve věkové skupině za kandidáty ve volbách 2004, 2009 a 2014 úhrnem</w:t>
      </w:r>
    </w:p>
    <w:p w:rsidR="00422525" w:rsidRPr="00E1455D" w:rsidRDefault="00A1066C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102235</wp:posOffset>
            </wp:positionV>
            <wp:extent cx="5695950" cy="2486025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FF6" w:rsidRPr="00E1455D" w:rsidRDefault="00A31FF6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3029E6" w:rsidRPr="00E1455D" w:rsidRDefault="003029E6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A31FF6" w:rsidRPr="00E1455D" w:rsidRDefault="00A31FF6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A31FF6" w:rsidRPr="00E1455D" w:rsidRDefault="00A31FF6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A31FF6" w:rsidRPr="00E1455D" w:rsidRDefault="00A31FF6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AE7960" w:rsidRPr="00E1455D" w:rsidRDefault="00AE7960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AB0508" w:rsidRDefault="00AB050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AE7960" w:rsidRDefault="00AE7960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214630</wp:posOffset>
            </wp:positionV>
            <wp:extent cx="5695950" cy="3248025"/>
            <wp:effectExtent l="1905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42834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G </w:t>
      </w:r>
      <w:r w:rsidR="00A1066C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3</w:t>
      </w:r>
      <w:r w:rsidR="00F42834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 Podíl</w:t>
      </w:r>
      <w:proofErr w:type="gramEnd"/>
      <w:r w:rsidR="00F42834"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věkových skupin kandidátů podle pohlaví </w:t>
      </w:r>
    </w:p>
    <w:p w:rsidR="00AE7960" w:rsidRPr="001A4ED8" w:rsidRDefault="00AE7960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:rsidR="00462758" w:rsidRDefault="00462758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9D4A5B" w:rsidRDefault="009D4A5B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9179C" w:rsidRDefault="0019179C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19179C" w:rsidRDefault="0019179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A1066C" w:rsidRDefault="00A1066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A1066C" w:rsidRDefault="00A1066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A1066C" w:rsidRDefault="00A1066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A1066C" w:rsidRDefault="00A1066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2E037D" w:rsidRDefault="002E037D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A640E2" w:rsidRDefault="00AE796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Nejvyšší podíl žen z kandidátů v příslušném roce byl ve věkové skupině 40 až 49 </w:t>
      </w:r>
      <w:r w:rsidR="00731EF8">
        <w:rPr>
          <w:rFonts w:ascii="Arial" w:hAnsi="Arial" w:cs="Arial"/>
          <w:sz w:val="20"/>
          <w:szCs w:val="20"/>
        </w:rPr>
        <w:t xml:space="preserve">let </w:t>
      </w:r>
      <w:r w:rsidR="00455715">
        <w:rPr>
          <w:rFonts w:ascii="Arial" w:hAnsi="Arial" w:cs="Arial"/>
          <w:sz w:val="20"/>
          <w:szCs w:val="20"/>
        </w:rPr>
        <w:t>v roce 2009</w:t>
      </w:r>
      <w:r w:rsidR="00D754E7">
        <w:rPr>
          <w:rFonts w:ascii="Arial" w:hAnsi="Arial" w:cs="Arial"/>
          <w:sz w:val="20"/>
          <w:szCs w:val="20"/>
        </w:rPr>
        <w:t>,</w:t>
      </w:r>
      <w:r w:rsidR="00455715">
        <w:rPr>
          <w:rFonts w:ascii="Arial" w:hAnsi="Arial" w:cs="Arial"/>
          <w:sz w:val="20"/>
          <w:szCs w:val="20"/>
        </w:rPr>
        <w:t xml:space="preserve"> a to téměř 8 %. Naproti tomu necelá 2 % činil podíl žen nejstarší věkové kategorie v roce 2004.</w:t>
      </w:r>
    </w:p>
    <w:p w:rsidR="00A1066C" w:rsidRDefault="004B1B44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volbách do EP kandidovalo celkem 7 ka</w:t>
      </w:r>
      <w:r w:rsidR="002651A7">
        <w:rPr>
          <w:rFonts w:ascii="Arial" w:hAnsi="Arial" w:cs="Arial"/>
          <w:sz w:val="20"/>
          <w:szCs w:val="20"/>
        </w:rPr>
        <w:t>ndidátů starších 80 let. N</w:t>
      </w:r>
      <w:r>
        <w:rPr>
          <w:rFonts w:ascii="Arial" w:hAnsi="Arial" w:cs="Arial"/>
          <w:sz w:val="20"/>
          <w:szCs w:val="20"/>
        </w:rPr>
        <w:t>ejstarším kandidátem byl Miroslav Kracík, redaktor z Ostravy, kterému bylo v roce 2009</w:t>
      </w:r>
      <w:r w:rsidR="00BC23D4">
        <w:rPr>
          <w:rFonts w:ascii="Arial" w:hAnsi="Arial" w:cs="Arial"/>
          <w:sz w:val="20"/>
          <w:szCs w:val="20"/>
        </w:rPr>
        <w:t>, kdy kandidoval</w:t>
      </w:r>
      <w:r>
        <w:rPr>
          <w:rFonts w:ascii="Arial" w:hAnsi="Arial" w:cs="Arial"/>
          <w:sz w:val="20"/>
          <w:szCs w:val="20"/>
        </w:rPr>
        <w:t xml:space="preserve"> </w:t>
      </w:r>
      <w:r w:rsidR="00BC23D4">
        <w:rPr>
          <w:rFonts w:ascii="Arial" w:hAnsi="Arial" w:cs="Arial"/>
          <w:sz w:val="20"/>
          <w:szCs w:val="20"/>
        </w:rPr>
        <w:t>za Českou stranu národně socialistickou</w:t>
      </w:r>
      <w:r>
        <w:rPr>
          <w:rFonts w:ascii="Arial" w:hAnsi="Arial" w:cs="Arial"/>
          <w:sz w:val="20"/>
          <w:szCs w:val="20"/>
        </w:rPr>
        <w:t xml:space="preserve">, </w:t>
      </w:r>
      <w:r w:rsidR="00BC23D4">
        <w:rPr>
          <w:rFonts w:ascii="Arial" w:hAnsi="Arial" w:cs="Arial"/>
          <w:sz w:val="20"/>
          <w:szCs w:val="20"/>
        </w:rPr>
        <w:t>84 let.</w:t>
      </w:r>
      <w:r>
        <w:rPr>
          <w:rFonts w:ascii="Arial" w:hAnsi="Arial" w:cs="Arial"/>
          <w:sz w:val="20"/>
          <w:szCs w:val="20"/>
        </w:rPr>
        <w:t xml:space="preserve"> </w:t>
      </w:r>
      <w:r w:rsidR="00BC23D4">
        <w:rPr>
          <w:rFonts w:ascii="Arial" w:hAnsi="Arial" w:cs="Arial"/>
          <w:sz w:val="20"/>
          <w:szCs w:val="20"/>
        </w:rPr>
        <w:t>Nejmladších – 21letých – kandidátů kandidovalo celkem 14, nejvíce (8) v roce 2014.</w:t>
      </w:r>
    </w:p>
    <w:p w:rsidR="00073E8C" w:rsidRDefault="0018798F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Průměrný věk kandidáta, který kandidoval v některých volbách do EP byl 45,8 roku. </w:t>
      </w:r>
      <w:r w:rsidR="00731EF8">
        <w:rPr>
          <w:rFonts w:ascii="Arial" w:hAnsi="Arial" w:cs="Arial"/>
          <w:sz w:val="20"/>
          <w:szCs w:val="20"/>
        </w:rPr>
        <w:t xml:space="preserve">Přitom průměrný věk žen byl ve všech volbách výrazně nižší než u mužů, i když se rozdíl postupně snižoval. Zatímco v roce 2004 byly kandidující ženy </w:t>
      </w:r>
      <w:r w:rsidR="00E071AE">
        <w:rPr>
          <w:rFonts w:ascii="Arial" w:hAnsi="Arial" w:cs="Arial"/>
          <w:sz w:val="20"/>
          <w:szCs w:val="20"/>
        </w:rPr>
        <w:t>„mladší“ téměř o 5 let, v roce 2009 činil rozdíl 4 roky a v posledních volbách se snížil o další rok na 3 roky.</w:t>
      </w:r>
      <w:r w:rsidR="00731E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Průměrně nejmladší kandidáti byli v roce 2009</w:t>
      </w:r>
      <w:r w:rsidR="00D74175">
        <w:rPr>
          <w:rFonts w:ascii="Arial" w:hAnsi="Arial" w:cs="Arial"/>
          <w:sz w:val="20"/>
          <w:szCs w:val="20"/>
        </w:rPr>
        <w:t>, kdy jejich průměrný věk činil 45,1 roku, přitom nejmladší ženy kandidovaly v roce 2004 s průměrným věkem 41,7 roku</w:t>
      </w:r>
      <w:r w:rsidR="003361DB">
        <w:rPr>
          <w:rFonts w:ascii="Arial" w:hAnsi="Arial" w:cs="Arial"/>
          <w:sz w:val="20"/>
          <w:szCs w:val="20"/>
        </w:rPr>
        <w:t xml:space="preserve"> (viz graf G 4)</w:t>
      </w:r>
      <w:r w:rsidR="00D74175">
        <w:rPr>
          <w:rFonts w:ascii="Arial" w:hAnsi="Arial" w:cs="Arial"/>
          <w:sz w:val="20"/>
          <w:szCs w:val="20"/>
        </w:rPr>
        <w:t>.</w:t>
      </w:r>
    </w:p>
    <w:p w:rsidR="00A1066C" w:rsidRPr="00424E61" w:rsidRDefault="00424E61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424E61">
        <w:rPr>
          <w:rFonts w:ascii="Arial" w:hAnsi="Arial" w:cs="Arial"/>
          <w:b/>
          <w:sz w:val="20"/>
          <w:szCs w:val="20"/>
        </w:rPr>
        <w:t>G 4  Průměrný</w:t>
      </w:r>
      <w:proofErr w:type="gramEnd"/>
      <w:r w:rsidRPr="00424E61">
        <w:rPr>
          <w:rFonts w:ascii="Arial" w:hAnsi="Arial" w:cs="Arial"/>
          <w:b/>
          <w:sz w:val="20"/>
          <w:szCs w:val="20"/>
        </w:rPr>
        <w:t xml:space="preserve"> věk kandidátů</w:t>
      </w:r>
    </w:p>
    <w:p w:rsidR="00A1066C" w:rsidRDefault="00424E61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424E61">
        <w:rPr>
          <w:noProof/>
          <w:szCs w:val="20"/>
          <w:lang w:eastAsia="cs-CZ"/>
        </w:rPr>
        <w:drawing>
          <wp:inline distT="0" distB="0" distL="0" distR="0">
            <wp:extent cx="5495925" cy="2867025"/>
            <wp:effectExtent l="1905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75" w:rsidRDefault="007A4D1B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Naprostá většina kandidátů byla občany České republiky. Pouze necelé jedno procento (15 kandidátů) byli občané jiného státu Evropské unie. </w:t>
      </w:r>
      <w:r w:rsidR="00C76F92">
        <w:rPr>
          <w:rFonts w:ascii="Arial" w:hAnsi="Arial" w:cs="Arial"/>
          <w:sz w:val="20"/>
          <w:szCs w:val="20"/>
        </w:rPr>
        <w:t>Sedm kandidátů</w:t>
      </w:r>
      <w:r>
        <w:rPr>
          <w:rFonts w:ascii="Arial" w:hAnsi="Arial" w:cs="Arial"/>
          <w:sz w:val="20"/>
          <w:szCs w:val="20"/>
        </w:rPr>
        <w:t xml:space="preserve"> mělo státní občanství Slovensk</w:t>
      </w:r>
      <w:r w:rsidR="00C76F92">
        <w:rPr>
          <w:rFonts w:ascii="Arial" w:hAnsi="Arial" w:cs="Arial"/>
          <w:sz w:val="20"/>
          <w:szCs w:val="20"/>
        </w:rPr>
        <w:t>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C76F92">
        <w:rPr>
          <w:rFonts w:ascii="Arial" w:hAnsi="Arial" w:cs="Arial"/>
          <w:sz w:val="20"/>
          <w:szCs w:val="20"/>
        </w:rPr>
        <w:t xml:space="preserve">tři Itálie, </w:t>
      </w:r>
      <w:r>
        <w:rPr>
          <w:rFonts w:ascii="Arial" w:hAnsi="Arial" w:cs="Arial"/>
          <w:sz w:val="20"/>
          <w:szCs w:val="20"/>
        </w:rPr>
        <w:t xml:space="preserve">dva Francie a </w:t>
      </w:r>
      <w:proofErr w:type="gramStart"/>
      <w:r>
        <w:rPr>
          <w:rFonts w:ascii="Arial" w:hAnsi="Arial" w:cs="Arial"/>
          <w:sz w:val="20"/>
          <w:szCs w:val="20"/>
        </w:rPr>
        <w:t>po</w:t>
      </w:r>
      <w:proofErr w:type="gramEnd"/>
      <w:r>
        <w:rPr>
          <w:rFonts w:ascii="Arial" w:hAnsi="Arial" w:cs="Arial"/>
          <w:sz w:val="20"/>
          <w:szCs w:val="20"/>
        </w:rPr>
        <w:t xml:space="preserve"> jednom </w:t>
      </w:r>
      <w:proofErr w:type="gramStart"/>
      <w:r>
        <w:rPr>
          <w:rFonts w:ascii="Arial" w:hAnsi="Arial" w:cs="Arial"/>
          <w:sz w:val="20"/>
          <w:szCs w:val="20"/>
        </w:rPr>
        <w:t>Německa,</w:t>
      </w:r>
      <w:r w:rsidR="00672278">
        <w:rPr>
          <w:rFonts w:ascii="Arial" w:hAnsi="Arial" w:cs="Arial"/>
          <w:sz w:val="20"/>
          <w:szCs w:val="20"/>
        </w:rPr>
        <w:t xml:space="preserve"> </w:t>
      </w:r>
      <w:r w:rsidR="00C76F92">
        <w:rPr>
          <w:rFonts w:ascii="Arial" w:hAnsi="Arial" w:cs="Arial"/>
          <w:sz w:val="20"/>
          <w:szCs w:val="20"/>
        </w:rPr>
        <w:t>Velké</w:t>
      </w:r>
      <w:proofErr w:type="gramEnd"/>
      <w:r w:rsidR="00C76F92">
        <w:rPr>
          <w:rFonts w:ascii="Arial" w:hAnsi="Arial" w:cs="Arial"/>
          <w:sz w:val="20"/>
          <w:szCs w:val="20"/>
        </w:rPr>
        <w:t xml:space="preserve"> Británie </w:t>
      </w:r>
      <w:r>
        <w:rPr>
          <w:rFonts w:ascii="Arial" w:hAnsi="Arial" w:cs="Arial"/>
          <w:sz w:val="20"/>
          <w:szCs w:val="20"/>
        </w:rPr>
        <w:t xml:space="preserve">a </w:t>
      </w:r>
      <w:r w:rsidR="00C76F92">
        <w:rPr>
          <w:rFonts w:ascii="Arial" w:hAnsi="Arial" w:cs="Arial"/>
          <w:sz w:val="20"/>
          <w:szCs w:val="20"/>
        </w:rPr>
        <w:t>Irska.</w:t>
      </w:r>
    </w:p>
    <w:p w:rsidR="00672278" w:rsidRPr="003F4DD1" w:rsidRDefault="0065659E" w:rsidP="00D0712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3F4DD1">
        <w:rPr>
          <w:rFonts w:ascii="Arial" w:hAnsi="Arial" w:cs="Arial"/>
          <w:b/>
        </w:rPr>
        <w:t>Průběh voleb</w:t>
      </w:r>
      <w:r w:rsidR="00672278" w:rsidRPr="003F4DD1">
        <w:rPr>
          <w:rFonts w:ascii="Arial" w:hAnsi="Arial" w:cs="Arial"/>
          <w:b/>
        </w:rPr>
        <w:t xml:space="preserve"> a volební účast</w:t>
      </w:r>
    </w:p>
    <w:p w:rsidR="00811D48" w:rsidRDefault="0040244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Volby do EP probíhaly</w:t>
      </w:r>
      <w:r w:rsidR="00811D48">
        <w:rPr>
          <w:rFonts w:ascii="Arial" w:hAnsi="Arial" w:cs="Arial"/>
          <w:sz w:val="20"/>
          <w:szCs w:val="20"/>
        </w:rPr>
        <w:t xml:space="preserve"> v členských státech EU v jednotném termínu na základě rozhodnutí Rady Evropské unie, </w:t>
      </w:r>
      <w:r>
        <w:rPr>
          <w:rFonts w:ascii="Arial" w:hAnsi="Arial" w:cs="Arial"/>
          <w:sz w:val="20"/>
          <w:szCs w:val="20"/>
        </w:rPr>
        <w:t>každý členský stát měl</w:t>
      </w:r>
      <w:r w:rsidR="00CF5394">
        <w:rPr>
          <w:rFonts w:ascii="Arial" w:hAnsi="Arial" w:cs="Arial"/>
          <w:sz w:val="20"/>
          <w:szCs w:val="20"/>
        </w:rPr>
        <w:t xml:space="preserve"> vlastní volební systém. Volebními dny v rámci celé EU byly čtvrtek až sobota. ČR byl</w:t>
      </w:r>
      <w:r w:rsidR="00C74C56">
        <w:rPr>
          <w:rFonts w:ascii="Arial" w:hAnsi="Arial" w:cs="Arial"/>
          <w:sz w:val="20"/>
          <w:szCs w:val="20"/>
        </w:rPr>
        <w:t>a</w:t>
      </w:r>
      <w:r w:rsidR="00CF5394">
        <w:rPr>
          <w:rFonts w:ascii="Arial" w:hAnsi="Arial" w:cs="Arial"/>
          <w:sz w:val="20"/>
          <w:szCs w:val="20"/>
        </w:rPr>
        <w:t xml:space="preserve"> jediný stát EU, kde </w:t>
      </w:r>
      <w:r w:rsidR="00A82C19">
        <w:rPr>
          <w:rFonts w:ascii="Arial" w:hAnsi="Arial" w:cs="Arial"/>
          <w:sz w:val="20"/>
          <w:szCs w:val="20"/>
        </w:rPr>
        <w:t>volby probíhaly ve dvou dnech – v pátek a sobotu.</w:t>
      </w:r>
      <w:r w:rsidR="00442B22">
        <w:rPr>
          <w:rFonts w:ascii="Arial" w:hAnsi="Arial" w:cs="Arial"/>
          <w:sz w:val="20"/>
          <w:szCs w:val="20"/>
        </w:rPr>
        <w:t xml:space="preserve"> Nejdříve – ve čtvrtek – proběhly volby ve Spojeném království a Nizozemí, </w:t>
      </w:r>
      <w:r w:rsidR="00E16263">
        <w:rPr>
          <w:rFonts w:ascii="Arial" w:hAnsi="Arial" w:cs="Arial"/>
          <w:sz w:val="20"/>
          <w:szCs w:val="20"/>
        </w:rPr>
        <w:t>jen</w:t>
      </w:r>
      <w:r w:rsidR="00442B22">
        <w:rPr>
          <w:rFonts w:ascii="Arial" w:hAnsi="Arial" w:cs="Arial"/>
          <w:sz w:val="20"/>
          <w:szCs w:val="20"/>
        </w:rPr>
        <w:t xml:space="preserve"> v pátek se volilo v</w:t>
      </w:r>
      <w:r w:rsidR="00E16263">
        <w:rPr>
          <w:rFonts w:ascii="Arial" w:hAnsi="Arial" w:cs="Arial"/>
          <w:sz w:val="20"/>
          <w:szCs w:val="20"/>
        </w:rPr>
        <w:t> </w:t>
      </w:r>
      <w:r w:rsidR="00442B22">
        <w:rPr>
          <w:rFonts w:ascii="Arial" w:hAnsi="Arial" w:cs="Arial"/>
          <w:sz w:val="20"/>
          <w:szCs w:val="20"/>
        </w:rPr>
        <w:t>Irsku</w:t>
      </w:r>
      <w:r w:rsidR="00E16263">
        <w:rPr>
          <w:rFonts w:ascii="Arial" w:hAnsi="Arial" w:cs="Arial"/>
          <w:sz w:val="20"/>
          <w:szCs w:val="20"/>
        </w:rPr>
        <w:t xml:space="preserve"> a</w:t>
      </w:r>
      <w:r w:rsidR="00A82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Slovensku</w:t>
      </w:r>
      <w:r w:rsidR="00E1626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 Lotyšsku volili pouze v sobotu a v ostatních státech </w:t>
      </w:r>
      <w:r w:rsidR="00442B22">
        <w:rPr>
          <w:rFonts w:ascii="Arial" w:hAnsi="Arial" w:cs="Arial"/>
          <w:sz w:val="20"/>
          <w:szCs w:val="20"/>
        </w:rPr>
        <w:t>byla v roce 2014 volebním dnem neděle</w:t>
      </w:r>
      <w:r>
        <w:rPr>
          <w:rFonts w:ascii="Arial" w:hAnsi="Arial" w:cs="Arial"/>
          <w:sz w:val="20"/>
          <w:szCs w:val="20"/>
        </w:rPr>
        <w:t>.</w:t>
      </w:r>
      <w:r w:rsidR="00442B22">
        <w:rPr>
          <w:rFonts w:ascii="Arial" w:hAnsi="Arial" w:cs="Arial"/>
          <w:sz w:val="20"/>
          <w:szCs w:val="20"/>
        </w:rPr>
        <w:t xml:space="preserve">  </w:t>
      </w:r>
    </w:p>
    <w:p w:rsidR="00672278" w:rsidRDefault="003414A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území ČR </w:t>
      </w:r>
      <w:r w:rsidR="008A564F">
        <w:rPr>
          <w:rFonts w:ascii="Arial" w:hAnsi="Arial" w:cs="Arial"/>
          <w:sz w:val="20"/>
          <w:szCs w:val="20"/>
        </w:rPr>
        <w:t>vyhlaš</w:t>
      </w:r>
      <w:r w:rsidR="0047002F">
        <w:rPr>
          <w:rFonts w:ascii="Arial" w:hAnsi="Arial" w:cs="Arial"/>
          <w:sz w:val="20"/>
          <w:szCs w:val="20"/>
        </w:rPr>
        <w:t>oval</w:t>
      </w:r>
      <w:r w:rsidR="008A564F">
        <w:rPr>
          <w:rFonts w:ascii="Arial" w:hAnsi="Arial" w:cs="Arial"/>
          <w:sz w:val="20"/>
          <w:szCs w:val="20"/>
        </w:rPr>
        <w:t xml:space="preserve"> </w:t>
      </w:r>
      <w:r w:rsidR="0047002F">
        <w:rPr>
          <w:rFonts w:ascii="Arial" w:hAnsi="Arial" w:cs="Arial"/>
          <w:sz w:val="20"/>
          <w:szCs w:val="20"/>
        </w:rPr>
        <w:t xml:space="preserve">volby do EP </w:t>
      </w:r>
      <w:r w:rsidR="008A564F">
        <w:rPr>
          <w:rFonts w:ascii="Arial" w:hAnsi="Arial" w:cs="Arial"/>
          <w:sz w:val="20"/>
          <w:szCs w:val="20"/>
        </w:rPr>
        <w:t xml:space="preserve">prezident republiky. Voličem </w:t>
      </w:r>
      <w:r w:rsidR="00547332">
        <w:rPr>
          <w:rFonts w:ascii="Arial" w:hAnsi="Arial" w:cs="Arial"/>
          <w:sz w:val="20"/>
          <w:szCs w:val="20"/>
        </w:rPr>
        <w:t>byl</w:t>
      </w:r>
      <w:r w:rsidR="008A564F">
        <w:rPr>
          <w:rFonts w:ascii="Arial" w:hAnsi="Arial" w:cs="Arial"/>
          <w:sz w:val="20"/>
          <w:szCs w:val="20"/>
        </w:rPr>
        <w:t xml:space="preserve"> občan ČR</w:t>
      </w:r>
      <w:r w:rsidR="006661C8">
        <w:rPr>
          <w:rFonts w:ascii="Arial" w:hAnsi="Arial" w:cs="Arial"/>
          <w:sz w:val="20"/>
          <w:szCs w:val="20"/>
        </w:rPr>
        <w:t>,</w:t>
      </w:r>
      <w:r w:rsidR="008A564F">
        <w:rPr>
          <w:rFonts w:ascii="Arial" w:hAnsi="Arial" w:cs="Arial"/>
          <w:sz w:val="20"/>
          <w:szCs w:val="20"/>
        </w:rPr>
        <w:t xml:space="preserve"> nebo občan jiného členského státu E</w:t>
      </w:r>
      <w:r w:rsidR="006661C8">
        <w:rPr>
          <w:rFonts w:ascii="Arial" w:hAnsi="Arial" w:cs="Arial"/>
          <w:sz w:val="20"/>
          <w:szCs w:val="20"/>
        </w:rPr>
        <w:t>U</w:t>
      </w:r>
      <w:r w:rsidR="008A564F">
        <w:rPr>
          <w:rFonts w:ascii="Arial" w:hAnsi="Arial" w:cs="Arial"/>
          <w:sz w:val="20"/>
          <w:szCs w:val="20"/>
        </w:rPr>
        <w:t xml:space="preserve">, který </w:t>
      </w:r>
      <w:r w:rsidR="006661C8">
        <w:rPr>
          <w:rFonts w:ascii="Arial" w:hAnsi="Arial" w:cs="Arial"/>
          <w:sz w:val="20"/>
          <w:szCs w:val="20"/>
        </w:rPr>
        <w:t>byl hlášen k pobytu na území ČR</w:t>
      </w:r>
      <w:r w:rsidR="008A564F">
        <w:rPr>
          <w:rFonts w:ascii="Arial" w:hAnsi="Arial" w:cs="Arial"/>
          <w:sz w:val="20"/>
          <w:szCs w:val="20"/>
        </w:rPr>
        <w:t xml:space="preserve"> </w:t>
      </w:r>
      <w:r w:rsidR="006661C8">
        <w:rPr>
          <w:rFonts w:ascii="Arial" w:hAnsi="Arial" w:cs="Arial"/>
          <w:sz w:val="20"/>
          <w:szCs w:val="20"/>
        </w:rPr>
        <w:t>po dobu nejméně 45 dnů, který dosáhl 18 let</w:t>
      </w:r>
      <w:r w:rsidR="00547332">
        <w:rPr>
          <w:rFonts w:ascii="Arial" w:hAnsi="Arial" w:cs="Arial"/>
          <w:sz w:val="20"/>
          <w:szCs w:val="20"/>
        </w:rPr>
        <w:t>,</w:t>
      </w:r>
      <w:r w:rsidR="006661C8">
        <w:rPr>
          <w:rFonts w:ascii="Arial" w:hAnsi="Arial" w:cs="Arial"/>
          <w:sz w:val="20"/>
          <w:szCs w:val="20"/>
        </w:rPr>
        <w:t xml:space="preserve"> a </w:t>
      </w:r>
      <w:r w:rsidR="00547332">
        <w:rPr>
          <w:rFonts w:ascii="Arial" w:hAnsi="Arial" w:cs="Arial"/>
          <w:sz w:val="20"/>
          <w:szCs w:val="20"/>
        </w:rPr>
        <w:t xml:space="preserve">nevyskytla se u něj překážka ve výkonu volebního práva dle Zákona. Volilo se pouze na území ČR, volič na voličský průkaz mohl volit v kterémkoliv okrsku. </w:t>
      </w:r>
      <w:r w:rsidR="00D20D63">
        <w:rPr>
          <w:rFonts w:ascii="Arial" w:hAnsi="Arial" w:cs="Arial"/>
          <w:sz w:val="20"/>
          <w:szCs w:val="20"/>
        </w:rPr>
        <w:t xml:space="preserve">Volič hlasoval tím způsobem, že ze sady hlasovacích lístků vybral jeden, na kterém mohl </w:t>
      </w:r>
      <w:r w:rsidR="0047002F">
        <w:rPr>
          <w:rFonts w:ascii="Arial" w:hAnsi="Arial" w:cs="Arial"/>
          <w:sz w:val="20"/>
          <w:szCs w:val="20"/>
        </w:rPr>
        <w:t xml:space="preserve">zakroužkováním pořadových čísel nejvýše </w:t>
      </w:r>
      <w:r w:rsidR="004A2EFC">
        <w:rPr>
          <w:rFonts w:ascii="Arial" w:hAnsi="Arial" w:cs="Arial"/>
          <w:sz w:val="20"/>
          <w:szCs w:val="20"/>
        </w:rPr>
        <w:t xml:space="preserve">dvou kandidátů vyznačit, </w:t>
      </w:r>
      <w:proofErr w:type="gramStart"/>
      <w:r w:rsidR="004A2EFC">
        <w:rPr>
          <w:rFonts w:ascii="Arial" w:hAnsi="Arial" w:cs="Arial"/>
          <w:sz w:val="20"/>
          <w:szCs w:val="20"/>
        </w:rPr>
        <w:t>kterém</w:t>
      </w:r>
      <w:proofErr w:type="gramEnd"/>
      <w:r w:rsidR="004A2EFC">
        <w:rPr>
          <w:rFonts w:ascii="Arial" w:hAnsi="Arial" w:cs="Arial"/>
          <w:sz w:val="20"/>
          <w:szCs w:val="20"/>
        </w:rPr>
        <w:t xml:space="preserve"> kandidátům</w:t>
      </w:r>
      <w:r w:rsidR="0047002F">
        <w:rPr>
          <w:rFonts w:ascii="Arial" w:hAnsi="Arial" w:cs="Arial"/>
          <w:sz w:val="20"/>
          <w:szCs w:val="20"/>
        </w:rPr>
        <w:t xml:space="preserve"> dává přednost.</w:t>
      </w:r>
      <w:r w:rsidR="00C74C56">
        <w:rPr>
          <w:rFonts w:ascii="Arial" w:hAnsi="Arial" w:cs="Arial"/>
          <w:sz w:val="20"/>
          <w:szCs w:val="20"/>
        </w:rPr>
        <w:t xml:space="preserve"> Způsob hlasování se </w:t>
      </w:r>
      <w:r w:rsidR="00EA211F">
        <w:rPr>
          <w:rFonts w:ascii="Arial" w:hAnsi="Arial" w:cs="Arial"/>
          <w:sz w:val="20"/>
          <w:szCs w:val="20"/>
        </w:rPr>
        <w:t>během sledovaného období neměnil.</w:t>
      </w:r>
    </w:p>
    <w:p w:rsidR="00D40856" w:rsidRPr="003F4DD1" w:rsidRDefault="00452C5C" w:rsidP="00D07127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</w:t>
      </w:r>
      <w:r w:rsidR="000D2BBC" w:rsidRPr="003F4DD1">
        <w:rPr>
          <w:rFonts w:ascii="Arial" w:hAnsi="Arial" w:cs="Arial"/>
          <w:b/>
          <w:i/>
          <w:sz w:val="20"/>
          <w:szCs w:val="20"/>
        </w:rPr>
        <w:t xml:space="preserve">Volební účast </w:t>
      </w:r>
    </w:p>
    <w:p w:rsidR="00D118EE" w:rsidRDefault="00E060EB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E060EB">
        <w:rPr>
          <w:rFonts w:ascii="Arial" w:hAnsi="Arial" w:cs="Arial"/>
          <w:sz w:val="20"/>
          <w:szCs w:val="20"/>
        </w:rPr>
        <w:t>V tabulce T</w:t>
      </w:r>
      <w:r w:rsidR="0000397C">
        <w:rPr>
          <w:rFonts w:ascii="Arial" w:hAnsi="Arial" w:cs="Arial"/>
          <w:sz w:val="20"/>
          <w:szCs w:val="20"/>
        </w:rPr>
        <w:t xml:space="preserve"> </w:t>
      </w:r>
      <w:r w:rsidRPr="00E060EB">
        <w:rPr>
          <w:rFonts w:ascii="Arial" w:hAnsi="Arial" w:cs="Arial"/>
          <w:sz w:val="20"/>
          <w:szCs w:val="20"/>
        </w:rPr>
        <w:t>6 a grafu G</w:t>
      </w:r>
      <w:r w:rsidR="00E44B03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je uvedena volební účast ve volbách do EP v členských státech EU. </w:t>
      </w:r>
      <w:r w:rsidR="00687A56">
        <w:rPr>
          <w:rFonts w:ascii="Arial" w:hAnsi="Arial" w:cs="Arial"/>
          <w:sz w:val="20"/>
          <w:szCs w:val="20"/>
        </w:rPr>
        <w:t>I když odhlédneme od toho, že</w:t>
      </w:r>
      <w:r>
        <w:rPr>
          <w:rFonts w:ascii="Arial" w:hAnsi="Arial" w:cs="Arial"/>
          <w:sz w:val="20"/>
          <w:szCs w:val="20"/>
        </w:rPr>
        <w:t xml:space="preserve"> některé členské státy mají účast ve volbách povinnou, </w:t>
      </w:r>
      <w:r w:rsidR="00687A56">
        <w:rPr>
          <w:rFonts w:ascii="Arial" w:hAnsi="Arial" w:cs="Arial"/>
          <w:sz w:val="20"/>
          <w:szCs w:val="20"/>
        </w:rPr>
        <w:t xml:space="preserve">je zřejmé, že účast voličů v ČR patří k nejnižším. V roce 2004 byla 4. nejnižší, v roce 2009 si sice o jedno místo </w:t>
      </w:r>
      <w:r w:rsidR="00783764">
        <w:rPr>
          <w:rFonts w:ascii="Arial" w:hAnsi="Arial" w:cs="Arial"/>
          <w:sz w:val="20"/>
          <w:szCs w:val="20"/>
        </w:rPr>
        <w:t>p</w:t>
      </w:r>
      <w:r w:rsidR="00687A56">
        <w:rPr>
          <w:rFonts w:ascii="Arial" w:hAnsi="Arial" w:cs="Arial"/>
          <w:sz w:val="20"/>
          <w:szCs w:val="20"/>
        </w:rPr>
        <w:t>olepšila, ale v roce 2014 měla nižší volební účast jen Slovenská republika.</w:t>
      </w:r>
      <w:r w:rsidR="00783764">
        <w:rPr>
          <w:rFonts w:ascii="Arial" w:hAnsi="Arial" w:cs="Arial"/>
          <w:sz w:val="20"/>
          <w:szCs w:val="20"/>
        </w:rPr>
        <w:t xml:space="preserve"> </w:t>
      </w:r>
      <w:r w:rsidR="00D118EE">
        <w:rPr>
          <w:rFonts w:ascii="Arial" w:hAnsi="Arial" w:cs="Arial"/>
          <w:sz w:val="20"/>
          <w:szCs w:val="20"/>
        </w:rPr>
        <w:t xml:space="preserve">Dlouhodobě (tj. za všechny volby do EP, kterých se ČR zúčastnila) byla volební účast v ČR průměrně necelých 25 %. Nižší volební účast mělo pouze Polsko (23 %) a Slovensko </w:t>
      </w:r>
      <w:r w:rsidR="0000397C">
        <w:rPr>
          <w:rFonts w:ascii="Arial" w:hAnsi="Arial" w:cs="Arial"/>
          <w:sz w:val="20"/>
          <w:szCs w:val="20"/>
        </w:rPr>
        <w:t>(</w:t>
      </w:r>
      <w:r w:rsidR="00D118EE">
        <w:rPr>
          <w:rFonts w:ascii="Arial" w:hAnsi="Arial" w:cs="Arial"/>
          <w:sz w:val="20"/>
          <w:szCs w:val="20"/>
        </w:rPr>
        <w:t>17 %</w:t>
      </w:r>
      <w:r w:rsidR="0000397C">
        <w:rPr>
          <w:rFonts w:ascii="Arial" w:hAnsi="Arial" w:cs="Arial"/>
          <w:sz w:val="20"/>
          <w:szCs w:val="20"/>
        </w:rPr>
        <w:t>)</w:t>
      </w:r>
      <w:r w:rsidR="00D118EE">
        <w:rPr>
          <w:rFonts w:ascii="Arial" w:hAnsi="Arial" w:cs="Arial"/>
          <w:sz w:val="20"/>
          <w:szCs w:val="20"/>
        </w:rPr>
        <w:t xml:space="preserve">. </w:t>
      </w:r>
    </w:p>
    <w:p w:rsidR="00EA211F" w:rsidRPr="00E060EB" w:rsidRDefault="00D118E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Průměrná volební účast za </w:t>
      </w:r>
      <w:r w:rsidR="00F95E91">
        <w:rPr>
          <w:rFonts w:ascii="Arial" w:hAnsi="Arial" w:cs="Arial"/>
          <w:sz w:val="20"/>
          <w:szCs w:val="20"/>
        </w:rPr>
        <w:t xml:space="preserve">sledované období za všechny státy EU byla 44 %. Nižší průměrnou účast voličů vykazuje 15 členských zemí (převážně z východní Evropy), 13 zemí </w:t>
      </w:r>
      <w:r w:rsidR="00E44B03">
        <w:rPr>
          <w:rFonts w:ascii="Arial" w:hAnsi="Arial" w:cs="Arial"/>
          <w:sz w:val="20"/>
          <w:szCs w:val="20"/>
        </w:rPr>
        <w:t>se pohybuje nad tímto průměrem.</w:t>
      </w:r>
    </w:p>
    <w:p w:rsidR="00A2652E" w:rsidRPr="00A2652E" w:rsidRDefault="00D90FEF" w:rsidP="00D07127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-9477</wp:posOffset>
            </wp:positionH>
            <wp:positionV relativeFrom="paragraph">
              <wp:posOffset>315332</wp:posOffset>
            </wp:positionV>
            <wp:extent cx="5622625" cy="6236898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25" cy="623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2652E">
        <w:rPr>
          <w:rFonts w:ascii="Arial" w:hAnsi="Arial" w:cs="Arial"/>
          <w:b/>
          <w:sz w:val="20"/>
          <w:szCs w:val="20"/>
        </w:rPr>
        <w:t>T 6  Počet</w:t>
      </w:r>
      <w:proofErr w:type="gramEnd"/>
      <w:r w:rsidRPr="00A2652E">
        <w:rPr>
          <w:rFonts w:ascii="Arial" w:hAnsi="Arial" w:cs="Arial"/>
          <w:b/>
          <w:sz w:val="20"/>
          <w:szCs w:val="20"/>
        </w:rPr>
        <w:t xml:space="preserve"> voličů a volební účast v členských </w:t>
      </w:r>
      <w:r w:rsidR="00AA52BF">
        <w:rPr>
          <w:rFonts w:ascii="Arial" w:hAnsi="Arial" w:cs="Arial"/>
          <w:b/>
          <w:sz w:val="20"/>
          <w:szCs w:val="20"/>
        </w:rPr>
        <w:t>státech</w:t>
      </w:r>
      <w:r w:rsidRPr="00A2652E">
        <w:rPr>
          <w:rFonts w:ascii="Arial" w:hAnsi="Arial" w:cs="Arial"/>
          <w:b/>
          <w:sz w:val="20"/>
          <w:szCs w:val="20"/>
        </w:rPr>
        <w:t xml:space="preserve"> EU</w:t>
      </w:r>
      <w:r>
        <w:rPr>
          <w:rFonts w:ascii="Arial" w:hAnsi="Arial" w:cs="Arial"/>
          <w:b/>
          <w:i/>
          <w:noProof/>
          <w:sz w:val="20"/>
          <w:szCs w:val="20"/>
          <w:lang w:eastAsia="cs-CZ"/>
        </w:rPr>
        <w:t xml:space="preserve"> </w:t>
      </w:r>
      <w:r w:rsidR="00EA211F">
        <w:rPr>
          <w:rFonts w:ascii="Arial" w:hAnsi="Arial" w:cs="Arial"/>
          <w:b/>
          <w:i/>
          <w:sz w:val="20"/>
          <w:szCs w:val="20"/>
        </w:rPr>
        <w:br w:type="page"/>
      </w:r>
    </w:p>
    <w:p w:rsidR="004350A9" w:rsidRPr="004350A9" w:rsidRDefault="004350A9" w:rsidP="00D07127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i/>
          <w:iCs/>
          <w:sz w:val="20"/>
          <w:szCs w:val="20"/>
          <w:lang w:eastAsia="cs-CZ"/>
        </w:rPr>
      </w:pPr>
      <w:r w:rsidRPr="004350A9">
        <w:rPr>
          <w:rFonts w:ascii="Arial" w:hAnsi="Arial" w:cs="Arial"/>
          <w:b/>
          <w:noProof/>
          <w:sz w:val="20"/>
          <w:szCs w:val="20"/>
          <w:lang w:eastAsia="cs-CZ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149752</wp:posOffset>
            </wp:positionH>
            <wp:positionV relativeFrom="paragraph">
              <wp:posOffset>149752</wp:posOffset>
            </wp:positionV>
            <wp:extent cx="5201728" cy="8264106"/>
            <wp:effectExtent l="0" t="0" r="0" b="0"/>
            <wp:wrapNone/>
            <wp:docPr id="16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28" cy="826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B4F56">
        <w:rPr>
          <w:rFonts w:ascii="Arial" w:hAnsi="Arial" w:cs="Arial"/>
          <w:b/>
          <w:sz w:val="20"/>
          <w:szCs w:val="20"/>
        </w:rPr>
        <w:t>G</w:t>
      </w:r>
      <w:r w:rsidRPr="004350A9">
        <w:rPr>
          <w:rFonts w:ascii="Arial" w:hAnsi="Arial" w:cs="Arial"/>
          <w:b/>
          <w:sz w:val="20"/>
          <w:szCs w:val="20"/>
        </w:rPr>
        <w:t xml:space="preserve"> </w:t>
      </w:r>
      <w:r w:rsidR="00DB4F56">
        <w:rPr>
          <w:rFonts w:ascii="Arial" w:hAnsi="Arial" w:cs="Arial"/>
          <w:b/>
          <w:sz w:val="20"/>
          <w:szCs w:val="20"/>
        </w:rPr>
        <w:t xml:space="preserve">5  </w:t>
      </w:r>
      <w:r w:rsidRPr="004350A9">
        <w:rPr>
          <w:rFonts w:ascii="Arial" w:hAnsi="Arial" w:cs="Arial"/>
          <w:b/>
          <w:sz w:val="20"/>
          <w:szCs w:val="20"/>
        </w:rPr>
        <w:t>Volební</w:t>
      </w:r>
      <w:proofErr w:type="gramEnd"/>
      <w:r w:rsidRPr="004350A9">
        <w:rPr>
          <w:rFonts w:ascii="Arial" w:hAnsi="Arial" w:cs="Arial"/>
          <w:b/>
          <w:sz w:val="20"/>
          <w:szCs w:val="20"/>
        </w:rPr>
        <w:t xml:space="preserve"> účast</w:t>
      </w:r>
      <w:r w:rsidR="00AA52BF">
        <w:rPr>
          <w:rFonts w:ascii="Arial" w:hAnsi="Arial" w:cs="Arial"/>
          <w:b/>
          <w:sz w:val="20"/>
          <w:szCs w:val="20"/>
        </w:rPr>
        <w:t xml:space="preserve"> v</w:t>
      </w:r>
      <w:r w:rsidRPr="004350A9">
        <w:rPr>
          <w:rFonts w:ascii="Arial" w:hAnsi="Arial" w:cs="Arial"/>
          <w:b/>
          <w:sz w:val="20"/>
          <w:szCs w:val="20"/>
        </w:rPr>
        <w:t xml:space="preserve"> jednotlivých členských </w:t>
      </w:r>
      <w:r w:rsidR="00AA52BF">
        <w:rPr>
          <w:rFonts w:ascii="Arial" w:hAnsi="Arial" w:cs="Arial"/>
          <w:b/>
          <w:sz w:val="20"/>
          <w:szCs w:val="20"/>
        </w:rPr>
        <w:t>státech</w:t>
      </w:r>
      <w:r w:rsidRPr="004350A9">
        <w:rPr>
          <w:rFonts w:ascii="Arial" w:hAnsi="Arial" w:cs="Arial"/>
          <w:b/>
          <w:sz w:val="20"/>
          <w:szCs w:val="20"/>
        </w:rPr>
        <w:t xml:space="preserve"> EU v %</w:t>
      </w:r>
    </w:p>
    <w:p w:rsidR="004350A9" w:rsidRDefault="004350A9" w:rsidP="00D0712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2BBC" w:rsidRDefault="000D2BBC" w:rsidP="00D0712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3F4DD1">
        <w:rPr>
          <w:rFonts w:ascii="Arial" w:hAnsi="Arial" w:cs="Arial"/>
          <w:b/>
        </w:rPr>
        <w:lastRenderedPageBreak/>
        <w:t>Výsledky voleb</w:t>
      </w:r>
    </w:p>
    <w:p w:rsidR="003F4DD1" w:rsidRPr="003F4DD1" w:rsidRDefault="003F4DD1" w:rsidP="00D07127">
      <w:pPr>
        <w:pStyle w:val="Odstavecseseznamem"/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C436DF" w:rsidRPr="003F4DD1" w:rsidRDefault="00452C5C" w:rsidP="00D07127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C436DF" w:rsidRPr="003F4DD1">
        <w:rPr>
          <w:rFonts w:ascii="Arial" w:hAnsi="Arial" w:cs="Arial"/>
          <w:b/>
          <w:i/>
          <w:sz w:val="20"/>
          <w:szCs w:val="20"/>
        </w:rPr>
        <w:t>Hlasy</w:t>
      </w:r>
    </w:p>
    <w:p w:rsidR="00B8566D" w:rsidRDefault="007513A1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Celkový počet hlasů ve volbách úzce souvisí s volební účastí. Zatímco v letech 2004 a 2009 byla volební účast i počet hlasů odevzdaný pro všechny strany téměř shodná, v roce 2014 </w:t>
      </w:r>
      <w:r w:rsidR="004F4F1A">
        <w:rPr>
          <w:rFonts w:ascii="Arial" w:hAnsi="Arial" w:cs="Arial"/>
          <w:sz w:val="20"/>
          <w:szCs w:val="20"/>
        </w:rPr>
        <w:t xml:space="preserve">činil počet hlasů necelé dvě třetiny z hodnoty předchozích voleb. V tabulce T </w:t>
      </w:r>
      <w:r w:rsidR="00915A3A">
        <w:rPr>
          <w:rFonts w:ascii="Arial" w:hAnsi="Arial" w:cs="Arial"/>
          <w:sz w:val="20"/>
          <w:szCs w:val="20"/>
        </w:rPr>
        <w:t>7</w:t>
      </w:r>
      <w:r w:rsidR="004F4F1A">
        <w:rPr>
          <w:rFonts w:ascii="Arial" w:hAnsi="Arial" w:cs="Arial"/>
          <w:sz w:val="20"/>
          <w:szCs w:val="20"/>
        </w:rPr>
        <w:t xml:space="preserve"> </w:t>
      </w:r>
      <w:r w:rsidR="00E379CF">
        <w:rPr>
          <w:rFonts w:ascii="Arial" w:hAnsi="Arial" w:cs="Arial"/>
          <w:sz w:val="20"/>
          <w:szCs w:val="20"/>
        </w:rPr>
        <w:t xml:space="preserve">jsou uvedeny počty hlasů pro volební strany, které získaly v úhrnu za všechny volby alespoň půl procenta všech hlasů. Nejúspěšnější </w:t>
      </w:r>
      <w:r w:rsidR="00B877CA">
        <w:rPr>
          <w:rFonts w:ascii="Arial" w:hAnsi="Arial" w:cs="Arial"/>
          <w:sz w:val="20"/>
          <w:szCs w:val="20"/>
        </w:rPr>
        <w:t xml:space="preserve">z nich byla ODS se ziskem </w:t>
      </w:r>
      <w:r w:rsidR="00915A3A">
        <w:rPr>
          <w:rFonts w:ascii="Arial" w:hAnsi="Arial" w:cs="Arial"/>
          <w:sz w:val="20"/>
          <w:szCs w:val="20"/>
        </w:rPr>
        <w:t>25 %</w:t>
      </w:r>
      <w:r w:rsidR="00B877CA">
        <w:rPr>
          <w:rFonts w:ascii="Arial" w:hAnsi="Arial" w:cs="Arial"/>
          <w:sz w:val="20"/>
          <w:szCs w:val="20"/>
        </w:rPr>
        <w:t xml:space="preserve"> všech hlasů. Strany, které se umístily na druhém a třetím místě </w:t>
      </w:r>
      <w:r w:rsidR="00CE77A2">
        <w:rPr>
          <w:rFonts w:ascii="Arial" w:hAnsi="Arial" w:cs="Arial"/>
          <w:sz w:val="20"/>
          <w:szCs w:val="20"/>
        </w:rPr>
        <w:t>-</w:t>
      </w:r>
      <w:r w:rsidR="00B877CA">
        <w:rPr>
          <w:rFonts w:ascii="Arial" w:hAnsi="Arial" w:cs="Arial"/>
          <w:sz w:val="20"/>
          <w:szCs w:val="20"/>
        </w:rPr>
        <w:t xml:space="preserve"> KSČM a</w:t>
      </w:r>
      <w:r w:rsidR="00CE77A2">
        <w:rPr>
          <w:rFonts w:ascii="Arial" w:hAnsi="Arial" w:cs="Arial"/>
          <w:sz w:val="20"/>
          <w:szCs w:val="20"/>
        </w:rPr>
        <w:t> </w:t>
      </w:r>
      <w:r w:rsidR="00B877CA">
        <w:rPr>
          <w:rFonts w:ascii="Arial" w:hAnsi="Arial" w:cs="Arial"/>
          <w:sz w:val="20"/>
          <w:szCs w:val="20"/>
        </w:rPr>
        <w:t>ČSSD</w:t>
      </w:r>
      <w:r w:rsidR="00CE77A2">
        <w:rPr>
          <w:rFonts w:ascii="Arial" w:hAnsi="Arial" w:cs="Arial"/>
          <w:sz w:val="20"/>
          <w:szCs w:val="20"/>
        </w:rPr>
        <w:t xml:space="preserve"> -</w:t>
      </w:r>
      <w:r w:rsidR="00B877CA">
        <w:rPr>
          <w:rFonts w:ascii="Arial" w:hAnsi="Arial" w:cs="Arial"/>
          <w:sz w:val="20"/>
          <w:szCs w:val="20"/>
        </w:rPr>
        <w:t xml:space="preserve"> získaly </w:t>
      </w:r>
      <w:r w:rsidR="00B94BA6">
        <w:rPr>
          <w:rFonts w:ascii="Arial" w:hAnsi="Arial" w:cs="Arial"/>
          <w:sz w:val="20"/>
          <w:szCs w:val="20"/>
        </w:rPr>
        <w:t xml:space="preserve">téměř </w:t>
      </w:r>
      <w:r w:rsidR="00B877CA">
        <w:rPr>
          <w:rFonts w:ascii="Arial" w:hAnsi="Arial" w:cs="Arial"/>
          <w:sz w:val="20"/>
          <w:szCs w:val="20"/>
        </w:rPr>
        <w:t xml:space="preserve">o 10 procentních bodů méně hlasů. </w:t>
      </w:r>
    </w:p>
    <w:p w:rsidR="00B8566D" w:rsidRPr="001C6E53" w:rsidRDefault="00685331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T</w:t>
      </w:r>
      <w:r w:rsidR="001C6E53" w:rsidRPr="001C6E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</w:t>
      </w:r>
      <w:r w:rsidR="001C6E53" w:rsidRPr="001C6E53">
        <w:rPr>
          <w:rFonts w:ascii="Arial" w:hAnsi="Arial" w:cs="Arial"/>
          <w:b/>
          <w:sz w:val="20"/>
          <w:szCs w:val="20"/>
        </w:rPr>
        <w:t xml:space="preserve">  Počet</w:t>
      </w:r>
      <w:proofErr w:type="gramEnd"/>
      <w:r w:rsidR="001C6E53" w:rsidRPr="001C6E53">
        <w:rPr>
          <w:rFonts w:ascii="Arial" w:hAnsi="Arial" w:cs="Arial"/>
          <w:b/>
          <w:sz w:val="20"/>
          <w:szCs w:val="20"/>
        </w:rPr>
        <w:t xml:space="preserve"> hlasů za vybrané strany </w:t>
      </w:r>
    </w:p>
    <w:p w:rsidR="004273C6" w:rsidRDefault="00685331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685331">
        <w:rPr>
          <w:noProof/>
          <w:szCs w:val="20"/>
          <w:lang w:eastAsia="cs-CZ"/>
        </w:rPr>
        <w:drawing>
          <wp:inline distT="0" distB="0" distL="0" distR="0">
            <wp:extent cx="5619750" cy="5181600"/>
            <wp:effectExtent l="19050" t="0" r="0" b="0"/>
            <wp:docPr id="32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C9F">
        <w:rPr>
          <w:rFonts w:ascii="Arial" w:hAnsi="Arial" w:cs="Arial"/>
          <w:sz w:val="20"/>
          <w:szCs w:val="20"/>
        </w:rPr>
        <w:t xml:space="preserve"> </w:t>
      </w:r>
    </w:p>
    <w:p w:rsidR="000900B3" w:rsidRDefault="001C6E53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Úspěšnost stran v jednotlivých volbách je patrná z grafu G </w:t>
      </w:r>
      <w:r w:rsidR="007C4E0C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Nejvyšší počet hlasů získala ODS v roce 2009, kdy </w:t>
      </w:r>
      <w:r w:rsidR="007C1C9C">
        <w:rPr>
          <w:rFonts w:ascii="Arial" w:hAnsi="Arial" w:cs="Arial"/>
          <w:sz w:val="20"/>
          <w:szCs w:val="20"/>
        </w:rPr>
        <w:t>je</w:t>
      </w:r>
      <w:r w:rsidR="00CE77A2">
        <w:rPr>
          <w:rFonts w:ascii="Arial" w:hAnsi="Arial" w:cs="Arial"/>
          <w:sz w:val="20"/>
          <w:szCs w:val="20"/>
        </w:rPr>
        <w:t>jí</w:t>
      </w:r>
      <w:r>
        <w:rPr>
          <w:rFonts w:ascii="Arial" w:hAnsi="Arial" w:cs="Arial"/>
          <w:sz w:val="20"/>
          <w:szCs w:val="20"/>
        </w:rPr>
        <w:t xml:space="preserve"> podíl překročil 30 %. V následujících volbách však zaznamenala tato strana </w:t>
      </w:r>
      <w:r w:rsidR="008D61AA">
        <w:rPr>
          <w:rFonts w:ascii="Arial" w:hAnsi="Arial" w:cs="Arial"/>
          <w:sz w:val="20"/>
          <w:szCs w:val="20"/>
        </w:rPr>
        <w:t xml:space="preserve">prudký pokles počtu hlasů na necelých osm procent. </w:t>
      </w:r>
      <w:r w:rsidR="00071676">
        <w:rPr>
          <w:rFonts w:ascii="Arial" w:hAnsi="Arial" w:cs="Arial"/>
          <w:sz w:val="20"/>
          <w:szCs w:val="20"/>
        </w:rPr>
        <w:t>Také zisk hlasů druhé nejúspěšnější strany KSČM měl sestupnou tendenci. V roce 2004 přesáhl 20 %, v roce 20</w:t>
      </w:r>
      <w:r w:rsidR="007C1C9C">
        <w:rPr>
          <w:rFonts w:ascii="Arial" w:hAnsi="Arial" w:cs="Arial"/>
          <w:sz w:val="20"/>
          <w:szCs w:val="20"/>
        </w:rPr>
        <w:t>1</w:t>
      </w:r>
      <w:r w:rsidR="00071676">
        <w:rPr>
          <w:rFonts w:ascii="Arial" w:hAnsi="Arial" w:cs="Arial"/>
          <w:sz w:val="20"/>
          <w:szCs w:val="20"/>
        </w:rPr>
        <w:t>4</w:t>
      </w:r>
      <w:r w:rsidR="00E501EF">
        <w:rPr>
          <w:rFonts w:ascii="Arial" w:hAnsi="Arial" w:cs="Arial"/>
          <w:sz w:val="20"/>
          <w:szCs w:val="20"/>
        </w:rPr>
        <w:t xml:space="preserve"> byl o 10 procentních bodů nižší. ČSSD jako třetí nejúspěšnější strana získala relativně nejvyšší počet hlasů v roce 2009 a to více než 20 procent, v roce 2014</w:t>
      </w:r>
      <w:r w:rsidR="007C1C9C">
        <w:rPr>
          <w:rFonts w:ascii="Arial" w:hAnsi="Arial" w:cs="Arial"/>
          <w:sz w:val="20"/>
          <w:szCs w:val="20"/>
        </w:rPr>
        <w:t>,</w:t>
      </w:r>
      <w:r w:rsidR="00E501EF">
        <w:rPr>
          <w:rFonts w:ascii="Arial" w:hAnsi="Arial" w:cs="Arial"/>
          <w:sz w:val="20"/>
          <w:szCs w:val="20"/>
        </w:rPr>
        <w:t xml:space="preserve"> </w:t>
      </w:r>
      <w:r w:rsidR="00CE77A2">
        <w:rPr>
          <w:rFonts w:ascii="Arial" w:hAnsi="Arial" w:cs="Arial"/>
          <w:sz w:val="20"/>
          <w:szCs w:val="20"/>
        </w:rPr>
        <w:t>i přes značný pokles proti</w:t>
      </w:r>
      <w:r w:rsidR="007C1C9C">
        <w:rPr>
          <w:rFonts w:ascii="Arial" w:hAnsi="Arial" w:cs="Arial"/>
          <w:sz w:val="20"/>
          <w:szCs w:val="20"/>
        </w:rPr>
        <w:t xml:space="preserve"> předchozím volbám, </w:t>
      </w:r>
      <w:r w:rsidR="00E501EF">
        <w:rPr>
          <w:rFonts w:ascii="Arial" w:hAnsi="Arial" w:cs="Arial"/>
          <w:sz w:val="20"/>
          <w:szCs w:val="20"/>
        </w:rPr>
        <w:t>byl počet hlasů, který získala</w:t>
      </w:r>
      <w:r w:rsidR="007C1C9C">
        <w:rPr>
          <w:rFonts w:ascii="Arial" w:hAnsi="Arial" w:cs="Arial"/>
          <w:sz w:val="20"/>
          <w:szCs w:val="20"/>
        </w:rPr>
        <w:t>,</w:t>
      </w:r>
      <w:r w:rsidR="00E501EF">
        <w:rPr>
          <w:rFonts w:ascii="Arial" w:hAnsi="Arial" w:cs="Arial"/>
          <w:sz w:val="20"/>
          <w:szCs w:val="20"/>
        </w:rPr>
        <w:t xml:space="preserve"> nejvyšší z </w:t>
      </w:r>
      <w:r w:rsidR="007C1C9C">
        <w:rPr>
          <w:rFonts w:ascii="Arial" w:hAnsi="Arial" w:cs="Arial"/>
          <w:sz w:val="20"/>
          <w:szCs w:val="20"/>
        </w:rPr>
        <w:t>uvedených</w:t>
      </w:r>
      <w:r w:rsidR="00E501EF">
        <w:rPr>
          <w:rFonts w:ascii="Arial" w:hAnsi="Arial" w:cs="Arial"/>
          <w:sz w:val="20"/>
          <w:szCs w:val="20"/>
        </w:rPr>
        <w:t xml:space="preserve"> tří stran. </w:t>
      </w:r>
      <w:r w:rsidR="000900B3" w:rsidRPr="000900B3">
        <w:rPr>
          <w:rFonts w:ascii="Arial" w:hAnsi="Arial" w:cs="Arial"/>
          <w:sz w:val="20"/>
          <w:szCs w:val="20"/>
        </w:rPr>
        <w:t>Vyrovnaných výsledků dos</w:t>
      </w:r>
      <w:r w:rsidR="000900B3">
        <w:rPr>
          <w:rFonts w:ascii="Arial" w:hAnsi="Arial" w:cs="Arial"/>
          <w:sz w:val="20"/>
          <w:szCs w:val="20"/>
        </w:rPr>
        <w:t>a</w:t>
      </w:r>
      <w:r w:rsidR="000900B3" w:rsidRPr="000900B3">
        <w:rPr>
          <w:rFonts w:ascii="Arial" w:hAnsi="Arial" w:cs="Arial"/>
          <w:sz w:val="20"/>
          <w:szCs w:val="20"/>
        </w:rPr>
        <w:t>h</w:t>
      </w:r>
      <w:r w:rsidR="000900B3">
        <w:rPr>
          <w:rFonts w:ascii="Arial" w:hAnsi="Arial" w:cs="Arial"/>
          <w:sz w:val="20"/>
          <w:szCs w:val="20"/>
        </w:rPr>
        <w:t>ova</w:t>
      </w:r>
      <w:r w:rsidR="000900B3" w:rsidRPr="000900B3">
        <w:rPr>
          <w:rFonts w:ascii="Arial" w:hAnsi="Arial" w:cs="Arial"/>
          <w:sz w:val="20"/>
          <w:szCs w:val="20"/>
        </w:rPr>
        <w:t>la KDU-ČSL</w:t>
      </w:r>
      <w:r w:rsidR="000900B3">
        <w:rPr>
          <w:rFonts w:ascii="Arial" w:hAnsi="Arial" w:cs="Arial"/>
          <w:sz w:val="20"/>
          <w:szCs w:val="20"/>
        </w:rPr>
        <w:t xml:space="preserve">, zisk jejich hlasů byl v rozmezí 7,5 až 10 procent. Ve všech třech letech kandidovala i Strana zelených, ovšem ani jednou se jí nepodařilo překročit 5 procentní hranici. V roce 2004 úspěšně kandidovala i koalice </w:t>
      </w:r>
      <w:r w:rsidR="00191CFF">
        <w:rPr>
          <w:rFonts w:ascii="Arial" w:hAnsi="Arial" w:cs="Arial"/>
          <w:sz w:val="20"/>
          <w:szCs w:val="20"/>
        </w:rPr>
        <w:t xml:space="preserve">SNK sdružení nezávislých a Evropští demokraté, která získala 11 % hlasů a strana NEZÁVISLÍ s 8 % hlasů. </w:t>
      </w:r>
      <w:r w:rsidR="00191CFF">
        <w:rPr>
          <w:rFonts w:ascii="Arial" w:hAnsi="Arial" w:cs="Arial"/>
          <w:sz w:val="20"/>
          <w:szCs w:val="20"/>
        </w:rPr>
        <w:lastRenderedPageBreak/>
        <w:t xml:space="preserve">Nejvyrovnanější výsledky </w:t>
      </w:r>
      <w:r w:rsidR="007C1C9C">
        <w:rPr>
          <w:rFonts w:ascii="Arial" w:hAnsi="Arial" w:cs="Arial"/>
          <w:sz w:val="20"/>
          <w:szCs w:val="20"/>
        </w:rPr>
        <w:t xml:space="preserve">mezi volebními stranami byly </w:t>
      </w:r>
      <w:r w:rsidR="00191CFF">
        <w:rPr>
          <w:rFonts w:ascii="Arial" w:hAnsi="Arial" w:cs="Arial"/>
          <w:sz w:val="20"/>
          <w:szCs w:val="20"/>
        </w:rPr>
        <w:t>v roce 2014, kdy více než 5 % hlasů získalo celkem 7 volebních stran, přičemž úspěšnější než tradiční „parlamentní“ strany byla strana ANO 2011</w:t>
      </w:r>
      <w:r w:rsidR="004E43C1">
        <w:rPr>
          <w:rFonts w:ascii="Arial" w:hAnsi="Arial" w:cs="Arial"/>
          <w:sz w:val="20"/>
          <w:szCs w:val="20"/>
        </w:rPr>
        <w:t xml:space="preserve"> a koalice TOP 09 a Starostové.  </w:t>
      </w:r>
    </w:p>
    <w:p w:rsidR="00C16D03" w:rsidRPr="000900B3" w:rsidRDefault="00C16D03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71676" w:rsidRDefault="00B94BA6" w:rsidP="00D071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proofErr w:type="gramStart"/>
      <w:r w:rsidRPr="00B94BA6">
        <w:rPr>
          <w:rFonts w:ascii="Arial" w:hAnsi="Arial" w:cs="Arial"/>
          <w:b/>
          <w:sz w:val="20"/>
          <w:szCs w:val="20"/>
        </w:rPr>
        <w:t xml:space="preserve">G </w:t>
      </w:r>
      <w:r w:rsidR="00DB4F56">
        <w:rPr>
          <w:rFonts w:ascii="Arial" w:hAnsi="Arial" w:cs="Arial"/>
          <w:b/>
          <w:sz w:val="20"/>
          <w:szCs w:val="20"/>
        </w:rPr>
        <w:t>6</w:t>
      </w:r>
      <w:r w:rsidRPr="00B94BA6">
        <w:rPr>
          <w:rFonts w:ascii="Arial" w:hAnsi="Arial" w:cs="Arial"/>
          <w:b/>
          <w:sz w:val="20"/>
          <w:szCs w:val="20"/>
        </w:rPr>
        <w:t xml:space="preserve">  Zisk</w:t>
      </w:r>
      <w:proofErr w:type="gramEnd"/>
      <w:r w:rsidRPr="00B94BA6">
        <w:rPr>
          <w:rFonts w:ascii="Arial" w:hAnsi="Arial" w:cs="Arial"/>
          <w:b/>
          <w:sz w:val="20"/>
          <w:szCs w:val="20"/>
        </w:rPr>
        <w:t xml:space="preserve"> hlasů v jednotlivých letech za vybrané strany</w:t>
      </w:r>
      <w:r w:rsidR="00071676">
        <w:rPr>
          <w:rFonts w:ascii="Arial" w:hAnsi="Arial" w:cs="Arial"/>
          <w:b/>
          <w:sz w:val="20"/>
          <w:szCs w:val="20"/>
        </w:rPr>
        <w:t xml:space="preserve"> v % </w:t>
      </w:r>
    </w:p>
    <w:p w:rsidR="00B94BA6" w:rsidRPr="00071676" w:rsidRDefault="00071676" w:rsidP="00D07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07167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strany, které obdržely alespoň 2 % hlasů celkem, nebo získaly mandát) </w:t>
      </w:r>
    </w:p>
    <w:bookmarkEnd w:id="0"/>
    <w:p w:rsidR="00696594" w:rsidRDefault="00E132C9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132C9">
        <w:rPr>
          <w:noProof/>
          <w:szCs w:val="20"/>
          <w:lang w:eastAsia="cs-CZ"/>
        </w:rPr>
        <w:drawing>
          <wp:inline distT="0" distB="0" distL="0" distR="0">
            <wp:extent cx="5760720" cy="3392528"/>
            <wp:effectExtent l="19050" t="0" r="0" b="0"/>
            <wp:docPr id="13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C21" w:rsidRPr="003F4DD1" w:rsidRDefault="00452C5C" w:rsidP="00D07127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04C21" w:rsidRPr="003F4DD1">
        <w:rPr>
          <w:rFonts w:ascii="Arial" w:hAnsi="Arial" w:cs="Arial"/>
          <w:b/>
          <w:i/>
          <w:sz w:val="20"/>
          <w:szCs w:val="20"/>
        </w:rPr>
        <w:t>Mandáty</w:t>
      </w:r>
    </w:p>
    <w:p w:rsidR="000D2BBC" w:rsidRDefault="00DA504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Každá volební strana, která získala alespoň 5 % platných hlasů</w:t>
      </w:r>
      <w:r w:rsidR="00E57CCF">
        <w:rPr>
          <w:rFonts w:ascii="Arial" w:hAnsi="Arial" w:cs="Arial"/>
          <w:sz w:val="20"/>
          <w:szCs w:val="20"/>
        </w:rPr>
        <w:t>, postoupila do skrutinia – tj. mezi strany, mezi které se způsobem uvedeným v Zákoně rozdělovaly mandáty.</w:t>
      </w:r>
      <w:r w:rsidR="00CD3D09">
        <w:rPr>
          <w:rFonts w:ascii="Arial" w:hAnsi="Arial" w:cs="Arial"/>
          <w:sz w:val="20"/>
          <w:szCs w:val="20"/>
        </w:rPr>
        <w:t xml:space="preserve"> </w:t>
      </w:r>
      <w:r w:rsidR="00DD2971">
        <w:rPr>
          <w:rFonts w:ascii="Arial" w:hAnsi="Arial" w:cs="Arial"/>
          <w:sz w:val="20"/>
          <w:szCs w:val="20"/>
        </w:rPr>
        <w:t xml:space="preserve">Nejúspěšnější stranou, která se dostala do skrutinia a získala </w:t>
      </w:r>
      <w:r w:rsidR="00471001">
        <w:rPr>
          <w:rFonts w:ascii="Arial" w:hAnsi="Arial" w:cs="Arial"/>
          <w:sz w:val="20"/>
          <w:szCs w:val="20"/>
        </w:rPr>
        <w:t xml:space="preserve">nejvyšší počet mandátů </w:t>
      </w:r>
      <w:r w:rsidR="00DD2971">
        <w:rPr>
          <w:rFonts w:ascii="Arial" w:hAnsi="Arial" w:cs="Arial"/>
          <w:sz w:val="20"/>
          <w:szCs w:val="20"/>
        </w:rPr>
        <w:t>v úhrnu za všechny volby</w:t>
      </w:r>
      <w:r w:rsidR="00AF233C">
        <w:rPr>
          <w:rFonts w:ascii="Arial" w:hAnsi="Arial" w:cs="Arial"/>
          <w:sz w:val="20"/>
          <w:szCs w:val="20"/>
        </w:rPr>
        <w:t>,</w:t>
      </w:r>
      <w:r w:rsidR="00471001">
        <w:rPr>
          <w:rFonts w:ascii="Arial" w:hAnsi="Arial" w:cs="Arial"/>
          <w:sz w:val="20"/>
          <w:szCs w:val="20"/>
        </w:rPr>
        <w:t xml:space="preserve"> byla</w:t>
      </w:r>
      <w:r w:rsidR="00DD2971">
        <w:rPr>
          <w:rFonts w:ascii="Arial" w:hAnsi="Arial" w:cs="Arial"/>
          <w:sz w:val="20"/>
          <w:szCs w:val="20"/>
        </w:rPr>
        <w:t xml:space="preserve"> ODS se ziskem 20 mandátů. </w:t>
      </w:r>
      <w:r w:rsidR="003D19C3">
        <w:rPr>
          <w:rFonts w:ascii="Arial" w:hAnsi="Arial" w:cs="Arial"/>
          <w:sz w:val="20"/>
          <w:szCs w:val="20"/>
        </w:rPr>
        <w:t xml:space="preserve">Za ní následovaly </w:t>
      </w:r>
      <w:r w:rsidR="00E132C9">
        <w:rPr>
          <w:rFonts w:ascii="Arial" w:hAnsi="Arial" w:cs="Arial"/>
          <w:sz w:val="20"/>
          <w:szCs w:val="20"/>
        </w:rPr>
        <w:t xml:space="preserve">ČSSD a </w:t>
      </w:r>
      <w:r w:rsidR="003D19C3">
        <w:rPr>
          <w:rFonts w:ascii="Arial" w:hAnsi="Arial" w:cs="Arial"/>
          <w:sz w:val="20"/>
          <w:szCs w:val="20"/>
        </w:rPr>
        <w:t>KSČM s 13 mandáty a KDU-ČSL se 7 mandáty. Další volební strany byly úspěšné vždy jen v</w:t>
      </w:r>
      <w:r w:rsidR="00471001">
        <w:rPr>
          <w:rFonts w:ascii="Arial" w:hAnsi="Arial" w:cs="Arial"/>
          <w:sz w:val="20"/>
          <w:szCs w:val="20"/>
        </w:rPr>
        <w:t> </w:t>
      </w:r>
      <w:r w:rsidR="003D19C3">
        <w:rPr>
          <w:rFonts w:ascii="Arial" w:hAnsi="Arial" w:cs="Arial"/>
          <w:sz w:val="20"/>
          <w:szCs w:val="20"/>
        </w:rPr>
        <w:t>jedn</w:t>
      </w:r>
      <w:r w:rsidR="00471001">
        <w:rPr>
          <w:rFonts w:ascii="Arial" w:hAnsi="Arial" w:cs="Arial"/>
          <w:sz w:val="20"/>
          <w:szCs w:val="20"/>
        </w:rPr>
        <w:t>om roce</w:t>
      </w:r>
      <w:r w:rsidR="003D19C3">
        <w:rPr>
          <w:rFonts w:ascii="Arial" w:hAnsi="Arial" w:cs="Arial"/>
          <w:sz w:val="20"/>
          <w:szCs w:val="20"/>
        </w:rPr>
        <w:t xml:space="preserve"> vol</w:t>
      </w:r>
      <w:r w:rsidR="00471001">
        <w:rPr>
          <w:rFonts w:ascii="Arial" w:hAnsi="Arial" w:cs="Arial"/>
          <w:sz w:val="20"/>
          <w:szCs w:val="20"/>
        </w:rPr>
        <w:t>e</w:t>
      </w:r>
      <w:r w:rsidR="003D19C3">
        <w:rPr>
          <w:rFonts w:ascii="Arial" w:hAnsi="Arial" w:cs="Arial"/>
          <w:sz w:val="20"/>
          <w:szCs w:val="20"/>
        </w:rPr>
        <w:t xml:space="preserve">b. </w:t>
      </w:r>
    </w:p>
    <w:p w:rsidR="00DC03F2" w:rsidRDefault="008D5C0D" w:rsidP="00D071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C4E0C">
        <w:rPr>
          <w:rFonts w:ascii="Arial" w:hAnsi="Arial" w:cs="Arial"/>
          <w:b/>
          <w:sz w:val="20"/>
          <w:szCs w:val="20"/>
        </w:rPr>
        <w:t xml:space="preserve">T </w:t>
      </w:r>
      <w:r w:rsidR="001610D0" w:rsidRPr="007C4E0C">
        <w:rPr>
          <w:rFonts w:ascii="Arial" w:hAnsi="Arial" w:cs="Arial"/>
          <w:b/>
          <w:sz w:val="20"/>
          <w:szCs w:val="20"/>
        </w:rPr>
        <w:t xml:space="preserve">8 </w:t>
      </w:r>
      <w:r w:rsidRPr="007C4E0C">
        <w:rPr>
          <w:rFonts w:ascii="Arial" w:hAnsi="Arial" w:cs="Arial"/>
          <w:b/>
          <w:sz w:val="20"/>
          <w:szCs w:val="20"/>
        </w:rPr>
        <w:t xml:space="preserve"> Získané</w:t>
      </w:r>
      <w:proofErr w:type="gramEnd"/>
      <w:r w:rsidRPr="007C4E0C">
        <w:rPr>
          <w:rFonts w:ascii="Arial" w:hAnsi="Arial" w:cs="Arial"/>
          <w:b/>
          <w:sz w:val="20"/>
          <w:szCs w:val="20"/>
        </w:rPr>
        <w:t xml:space="preserve"> mandáty v</w:t>
      </w:r>
      <w:r w:rsidR="00DC03F2" w:rsidRPr="007C4E0C">
        <w:rPr>
          <w:rFonts w:ascii="Arial" w:hAnsi="Arial" w:cs="Arial"/>
          <w:b/>
          <w:sz w:val="20"/>
          <w:szCs w:val="20"/>
        </w:rPr>
        <w:t>e</w:t>
      </w:r>
      <w:r w:rsidRPr="007C4E0C">
        <w:rPr>
          <w:rFonts w:ascii="Arial" w:hAnsi="Arial" w:cs="Arial"/>
          <w:b/>
          <w:sz w:val="20"/>
          <w:szCs w:val="20"/>
        </w:rPr>
        <w:t> </w:t>
      </w:r>
      <w:r w:rsidR="00DC03F2" w:rsidRPr="007C4E0C">
        <w:rPr>
          <w:rFonts w:ascii="Arial" w:hAnsi="Arial" w:cs="Arial"/>
          <w:b/>
          <w:sz w:val="20"/>
          <w:szCs w:val="20"/>
        </w:rPr>
        <w:t>volbách do EP</w:t>
      </w:r>
    </w:p>
    <w:p w:rsidR="00DC03F2" w:rsidRDefault="00723E3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3E3A">
        <w:rPr>
          <w:noProof/>
          <w:szCs w:val="20"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170899</wp:posOffset>
            </wp:positionV>
            <wp:extent cx="3871463" cy="2216989"/>
            <wp:effectExtent l="1905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63" cy="221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3F2" w:rsidRDefault="00DC03F2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3F2" w:rsidRDefault="00DC03F2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03F2" w:rsidRDefault="00DC03F2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708A" w:rsidRDefault="00B5708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B5708A" w:rsidRDefault="00B5708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D7764" w:rsidRDefault="006D7764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696594" w:rsidRDefault="00E132C9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Strany ODS, </w:t>
      </w:r>
      <w:r w:rsidR="00645FFD">
        <w:rPr>
          <w:rFonts w:ascii="Arial" w:hAnsi="Arial" w:cs="Arial"/>
          <w:sz w:val="20"/>
          <w:szCs w:val="20"/>
        </w:rPr>
        <w:t xml:space="preserve">ČSSD, KSČM a KDU-ČSL získaly mandát ve všech volbách. Zatímco však v roce 2009 byly mandáty rozděleny pouze mezi tyto strany, v roce 2004 byly úspěšné další dvě strany – SNK-ED a NEZÁVISLÍ. </w:t>
      </w:r>
      <w:r w:rsidR="00696594">
        <w:rPr>
          <w:rFonts w:ascii="Arial" w:hAnsi="Arial" w:cs="Arial"/>
          <w:sz w:val="20"/>
          <w:szCs w:val="20"/>
        </w:rPr>
        <w:t xml:space="preserve">V roce 2014 se do skrutinia dostalo nejvíce (7) </w:t>
      </w:r>
      <w:r w:rsidR="00645FFD">
        <w:rPr>
          <w:rFonts w:ascii="Arial" w:hAnsi="Arial" w:cs="Arial"/>
          <w:sz w:val="20"/>
          <w:szCs w:val="20"/>
        </w:rPr>
        <w:t>stran a rozdělení mandátů mezi ně bylo poměrně rovnoměrné, jak je patrné z grafu G</w:t>
      </w:r>
      <w:r w:rsidR="006D7764">
        <w:rPr>
          <w:rFonts w:ascii="Arial" w:hAnsi="Arial" w:cs="Arial"/>
          <w:sz w:val="20"/>
          <w:szCs w:val="20"/>
        </w:rPr>
        <w:t xml:space="preserve"> 7</w:t>
      </w:r>
      <w:r w:rsidR="00645FFD">
        <w:rPr>
          <w:rFonts w:ascii="Arial" w:hAnsi="Arial" w:cs="Arial"/>
          <w:sz w:val="20"/>
          <w:szCs w:val="20"/>
        </w:rPr>
        <w:t>.</w:t>
      </w:r>
      <w:r w:rsidR="00696594">
        <w:rPr>
          <w:rFonts w:ascii="Arial" w:hAnsi="Arial" w:cs="Arial"/>
          <w:sz w:val="20"/>
          <w:szCs w:val="20"/>
        </w:rPr>
        <w:t xml:space="preserve"> Na úkor „parlamentních</w:t>
      </w:r>
      <w:r w:rsidR="00CD3FF4">
        <w:rPr>
          <w:rFonts w:ascii="Arial" w:hAnsi="Arial" w:cs="Arial"/>
          <w:sz w:val="20"/>
          <w:szCs w:val="20"/>
        </w:rPr>
        <w:t>“</w:t>
      </w:r>
      <w:r w:rsidR="00696594">
        <w:rPr>
          <w:rFonts w:ascii="Arial" w:hAnsi="Arial" w:cs="Arial"/>
          <w:sz w:val="20"/>
          <w:szCs w:val="20"/>
        </w:rPr>
        <w:t xml:space="preserve"> stran byly v tomto roce úspěšnější mladé politické subjekty ANO 2011 a koalice TOP 09 a Starostové. S nimi držela krok pouze ČSSD, </w:t>
      </w:r>
      <w:r w:rsidR="008A08CD">
        <w:rPr>
          <w:rFonts w:ascii="Arial" w:hAnsi="Arial" w:cs="Arial"/>
          <w:sz w:val="20"/>
          <w:szCs w:val="20"/>
        </w:rPr>
        <w:t xml:space="preserve">přestože proti předchozím volbám ztratila 3 mandáty. </w:t>
      </w:r>
      <w:r w:rsidR="00696594">
        <w:rPr>
          <w:rFonts w:ascii="Arial" w:hAnsi="Arial" w:cs="Arial"/>
          <w:sz w:val="20"/>
          <w:szCs w:val="20"/>
        </w:rPr>
        <w:t xml:space="preserve">ODS získala pouze dva mandáty, což značilo oproti předchozím volbám propad o sedm mandátů. </w:t>
      </w:r>
      <w:r w:rsidR="008A08CD">
        <w:rPr>
          <w:rFonts w:ascii="Arial" w:hAnsi="Arial" w:cs="Arial"/>
          <w:sz w:val="20"/>
          <w:szCs w:val="20"/>
        </w:rPr>
        <w:t xml:space="preserve">Zisk mandátů KSČM má mírně klesající tendenci, u KDU-ČSL </w:t>
      </w:r>
      <w:r w:rsidR="001C4F6E">
        <w:rPr>
          <w:rFonts w:ascii="Arial" w:hAnsi="Arial" w:cs="Arial"/>
          <w:sz w:val="20"/>
          <w:szCs w:val="20"/>
        </w:rPr>
        <w:t xml:space="preserve">vidíme výsledky poměrně vyrovnané. </w:t>
      </w:r>
    </w:p>
    <w:p w:rsidR="00DC03F2" w:rsidRDefault="00900EA7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G </w:t>
      </w:r>
      <w:r w:rsidR="00DB4F56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 Rozdělení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mandátů ve volbách do EP</w:t>
      </w:r>
    </w:p>
    <w:p w:rsidR="00FA4762" w:rsidRPr="00DC03F2" w:rsidRDefault="00FA4762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4762">
        <w:rPr>
          <w:noProof/>
          <w:szCs w:val="20"/>
          <w:lang w:eastAsia="cs-CZ"/>
        </w:rPr>
        <w:drawing>
          <wp:inline distT="0" distB="0" distL="0" distR="0">
            <wp:extent cx="5638800" cy="40100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BBC" w:rsidRPr="003F4DD1" w:rsidRDefault="00447045" w:rsidP="00D0712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3F4DD1">
        <w:rPr>
          <w:rFonts w:ascii="Arial" w:hAnsi="Arial" w:cs="Arial"/>
          <w:b/>
        </w:rPr>
        <w:t>Zvolení p</w:t>
      </w:r>
      <w:r w:rsidR="00DD2971" w:rsidRPr="003F4DD1">
        <w:rPr>
          <w:rFonts w:ascii="Arial" w:hAnsi="Arial" w:cs="Arial"/>
          <w:b/>
        </w:rPr>
        <w:t>oslanci</w:t>
      </w:r>
    </w:p>
    <w:p w:rsidR="00CC5AF2" w:rsidRDefault="00E430EE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jednotlivých stran připad</w:t>
      </w:r>
      <w:r w:rsidR="000A0A30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mandáty kandidátům v zásadě podle pořadí, jak </w:t>
      </w:r>
      <w:r w:rsidR="000A0A30">
        <w:rPr>
          <w:rFonts w:ascii="Arial" w:hAnsi="Arial" w:cs="Arial"/>
          <w:sz w:val="20"/>
          <w:szCs w:val="20"/>
        </w:rPr>
        <w:t>byli</w:t>
      </w:r>
      <w:r>
        <w:rPr>
          <w:rFonts w:ascii="Arial" w:hAnsi="Arial" w:cs="Arial"/>
          <w:sz w:val="20"/>
          <w:szCs w:val="20"/>
        </w:rPr>
        <w:t xml:space="preserve"> uvedeni na hlasovacím lístku. Jestliže však některý z kandidátů získal alespoň 5 % </w:t>
      </w:r>
      <w:r w:rsidR="00081D7A">
        <w:rPr>
          <w:rFonts w:ascii="Arial" w:hAnsi="Arial" w:cs="Arial"/>
          <w:sz w:val="20"/>
          <w:szCs w:val="20"/>
        </w:rPr>
        <w:t xml:space="preserve">přednostních </w:t>
      </w:r>
      <w:r>
        <w:rPr>
          <w:rFonts w:ascii="Arial" w:hAnsi="Arial" w:cs="Arial"/>
          <w:sz w:val="20"/>
          <w:szCs w:val="20"/>
        </w:rPr>
        <w:t>hlasů z celkového počtu platnýc</w:t>
      </w:r>
      <w:r w:rsidR="000A0A30">
        <w:rPr>
          <w:rFonts w:ascii="Arial" w:hAnsi="Arial" w:cs="Arial"/>
          <w:sz w:val="20"/>
          <w:szCs w:val="20"/>
        </w:rPr>
        <w:t>h hlasů pro tuto stranu, připadl</w:t>
      </w:r>
      <w:r>
        <w:rPr>
          <w:rFonts w:ascii="Arial" w:hAnsi="Arial" w:cs="Arial"/>
          <w:sz w:val="20"/>
          <w:szCs w:val="20"/>
        </w:rPr>
        <w:t xml:space="preserve"> mandát tomuto</w:t>
      </w:r>
      <w:r w:rsidR="006D7764">
        <w:rPr>
          <w:rFonts w:ascii="Arial" w:hAnsi="Arial" w:cs="Arial"/>
          <w:sz w:val="20"/>
          <w:szCs w:val="20"/>
        </w:rPr>
        <w:t xml:space="preserve"> kandidátovi. Bylo</w:t>
      </w:r>
      <w:r>
        <w:rPr>
          <w:rFonts w:ascii="Arial" w:hAnsi="Arial" w:cs="Arial"/>
          <w:sz w:val="20"/>
          <w:szCs w:val="20"/>
        </w:rPr>
        <w:t xml:space="preserve">-li </w:t>
      </w:r>
      <w:r w:rsidR="000A0A30">
        <w:rPr>
          <w:rFonts w:ascii="Arial" w:hAnsi="Arial" w:cs="Arial"/>
          <w:sz w:val="20"/>
          <w:szCs w:val="20"/>
        </w:rPr>
        <w:t>takových kandidátů více, rozdělily</w:t>
      </w:r>
      <w:r>
        <w:rPr>
          <w:rFonts w:ascii="Arial" w:hAnsi="Arial" w:cs="Arial"/>
          <w:sz w:val="20"/>
          <w:szCs w:val="20"/>
        </w:rPr>
        <w:t xml:space="preserve"> se mandáty přednostně mezi tyto kandidáty v pořadí podle počtu získaných </w:t>
      </w:r>
      <w:r w:rsidR="00CC5AF2">
        <w:rPr>
          <w:rFonts w:ascii="Arial" w:hAnsi="Arial" w:cs="Arial"/>
          <w:sz w:val="20"/>
          <w:szCs w:val="20"/>
        </w:rPr>
        <w:t xml:space="preserve">přednostních </w:t>
      </w:r>
      <w:r>
        <w:rPr>
          <w:rFonts w:ascii="Arial" w:hAnsi="Arial" w:cs="Arial"/>
          <w:sz w:val="20"/>
          <w:szCs w:val="20"/>
        </w:rPr>
        <w:t xml:space="preserve">hlasů. </w:t>
      </w:r>
    </w:p>
    <w:p w:rsidR="00361E8A" w:rsidRPr="00306657" w:rsidRDefault="00E331FA" w:rsidP="00D0712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C91483">
        <w:rPr>
          <w:rFonts w:ascii="Arial" w:hAnsi="Arial" w:cs="Arial"/>
          <w:b/>
          <w:i/>
          <w:sz w:val="20"/>
          <w:szCs w:val="20"/>
        </w:rPr>
        <w:t xml:space="preserve">.1. </w:t>
      </w:r>
      <w:r w:rsidR="00361E8A" w:rsidRPr="00306657">
        <w:rPr>
          <w:rFonts w:ascii="Arial" w:hAnsi="Arial" w:cs="Arial"/>
          <w:b/>
          <w:i/>
          <w:sz w:val="20"/>
          <w:szCs w:val="20"/>
        </w:rPr>
        <w:t xml:space="preserve">Poslanci podle </w:t>
      </w:r>
      <w:r w:rsidR="002D6A27">
        <w:rPr>
          <w:rFonts w:ascii="Arial" w:hAnsi="Arial" w:cs="Arial"/>
          <w:b/>
          <w:i/>
          <w:sz w:val="20"/>
          <w:szCs w:val="20"/>
        </w:rPr>
        <w:t xml:space="preserve">navrhující strany a </w:t>
      </w:r>
      <w:r w:rsidR="00361E8A" w:rsidRPr="00306657">
        <w:rPr>
          <w:rFonts w:ascii="Arial" w:hAnsi="Arial" w:cs="Arial"/>
          <w:b/>
          <w:i/>
          <w:sz w:val="20"/>
          <w:szCs w:val="20"/>
        </w:rPr>
        <w:t>politické příslušnosti</w:t>
      </w:r>
    </w:p>
    <w:p w:rsidR="00CC5AF2" w:rsidRDefault="00FF68C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Nejvíce poslanců za celé sledované období měla ODS před ČSSD a KSČM. </w:t>
      </w:r>
      <w:r w:rsidR="00C0364D">
        <w:rPr>
          <w:rFonts w:ascii="Arial" w:hAnsi="Arial" w:cs="Arial"/>
          <w:sz w:val="20"/>
          <w:szCs w:val="20"/>
        </w:rPr>
        <w:t>Složení</w:t>
      </w:r>
      <w:r w:rsidR="00AA4EFD">
        <w:rPr>
          <w:rFonts w:ascii="Arial" w:hAnsi="Arial" w:cs="Arial"/>
          <w:b/>
          <w:sz w:val="20"/>
          <w:szCs w:val="20"/>
        </w:rPr>
        <w:t xml:space="preserve"> </w:t>
      </w:r>
      <w:r w:rsidR="00AA4EFD">
        <w:rPr>
          <w:rFonts w:ascii="Arial" w:hAnsi="Arial" w:cs="Arial"/>
          <w:sz w:val="20"/>
          <w:szCs w:val="20"/>
        </w:rPr>
        <w:t xml:space="preserve">poslanců podle navrhující strany v podstatě odpovídalo rozložení mandátů podle </w:t>
      </w:r>
      <w:r w:rsidR="00FA4762">
        <w:rPr>
          <w:rFonts w:ascii="Arial" w:hAnsi="Arial" w:cs="Arial"/>
          <w:sz w:val="20"/>
          <w:szCs w:val="20"/>
        </w:rPr>
        <w:t>volebníc</w:t>
      </w:r>
      <w:r w:rsidR="00AA4EFD">
        <w:rPr>
          <w:rFonts w:ascii="Arial" w:hAnsi="Arial" w:cs="Arial"/>
          <w:sz w:val="20"/>
          <w:szCs w:val="20"/>
        </w:rPr>
        <w:t xml:space="preserve">h stran </w:t>
      </w:r>
      <w:r w:rsidR="00FA4762">
        <w:rPr>
          <w:rFonts w:ascii="Arial" w:hAnsi="Arial" w:cs="Arial"/>
          <w:sz w:val="20"/>
          <w:szCs w:val="20"/>
        </w:rPr>
        <w:t xml:space="preserve">s výjimkou roku 2014, kdy za koalici TOP 09 a STAN byli zvoleni tři poslanci </w:t>
      </w:r>
      <w:r w:rsidR="00A9053A">
        <w:rPr>
          <w:rFonts w:ascii="Arial" w:hAnsi="Arial" w:cs="Arial"/>
          <w:sz w:val="20"/>
          <w:szCs w:val="20"/>
        </w:rPr>
        <w:t>navrženi</w:t>
      </w:r>
      <w:r w:rsidR="00FA4762">
        <w:rPr>
          <w:rFonts w:ascii="Arial" w:hAnsi="Arial" w:cs="Arial"/>
          <w:sz w:val="20"/>
          <w:szCs w:val="20"/>
        </w:rPr>
        <w:t xml:space="preserve"> TOP 09 a jeden poslanec </w:t>
      </w:r>
      <w:r w:rsidR="00A9053A">
        <w:rPr>
          <w:rFonts w:ascii="Arial" w:hAnsi="Arial" w:cs="Arial"/>
          <w:sz w:val="20"/>
          <w:szCs w:val="20"/>
        </w:rPr>
        <w:t xml:space="preserve">navržen </w:t>
      </w:r>
      <w:r w:rsidR="004A2EFC">
        <w:rPr>
          <w:rFonts w:ascii="Arial" w:hAnsi="Arial" w:cs="Arial"/>
          <w:sz w:val="20"/>
          <w:szCs w:val="20"/>
        </w:rPr>
        <w:t>hnutím</w:t>
      </w:r>
      <w:r w:rsidR="00FA4762">
        <w:rPr>
          <w:rFonts w:ascii="Arial" w:hAnsi="Arial" w:cs="Arial"/>
          <w:sz w:val="20"/>
          <w:szCs w:val="20"/>
        </w:rPr>
        <w:t xml:space="preserve"> Starostové a nezávislí. </w:t>
      </w:r>
    </w:p>
    <w:p w:rsidR="008B7684" w:rsidRDefault="00CF7CDB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Nejvíce poslanců mělo politickou příslušnost k</w:t>
      </w:r>
      <w:r w:rsidR="00081D7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ODS</w:t>
      </w:r>
      <w:r w:rsidR="00081D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všech 20 poslanců zvolených </w:t>
      </w:r>
      <w:r w:rsidR="00D11B26">
        <w:rPr>
          <w:rFonts w:ascii="Arial" w:hAnsi="Arial" w:cs="Arial"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za tuto stranu. Příslušnost k ČSSD uvádělo 12 z 13 zvolených poslanců, ke KSČM 10 z 13 zvolených a </w:t>
      </w:r>
      <w:r w:rsidR="004719E1">
        <w:rPr>
          <w:rFonts w:ascii="Arial" w:hAnsi="Arial" w:cs="Arial"/>
          <w:sz w:val="20"/>
          <w:szCs w:val="20"/>
        </w:rPr>
        <w:t xml:space="preserve">za KDU-ČSL byli </w:t>
      </w:r>
      <w:r w:rsidR="00AA492F">
        <w:rPr>
          <w:rFonts w:ascii="Arial" w:hAnsi="Arial" w:cs="Arial"/>
          <w:sz w:val="20"/>
          <w:szCs w:val="20"/>
        </w:rPr>
        <w:t xml:space="preserve">všichni </w:t>
      </w:r>
      <w:r w:rsidR="004719E1">
        <w:rPr>
          <w:rFonts w:ascii="Arial" w:hAnsi="Arial" w:cs="Arial"/>
          <w:sz w:val="20"/>
          <w:szCs w:val="20"/>
        </w:rPr>
        <w:t>zvolen</w:t>
      </w:r>
      <w:r w:rsidR="00AA492F">
        <w:rPr>
          <w:rFonts w:ascii="Arial" w:hAnsi="Arial" w:cs="Arial"/>
          <w:sz w:val="20"/>
          <w:szCs w:val="20"/>
        </w:rPr>
        <w:t xml:space="preserve">í </w:t>
      </w:r>
      <w:r w:rsidR="00DA59EB">
        <w:rPr>
          <w:rFonts w:ascii="Arial" w:hAnsi="Arial" w:cs="Arial"/>
          <w:sz w:val="20"/>
          <w:szCs w:val="20"/>
        </w:rPr>
        <w:t xml:space="preserve">poslanci </w:t>
      </w:r>
      <w:r w:rsidR="004719E1">
        <w:rPr>
          <w:rFonts w:ascii="Arial" w:hAnsi="Arial" w:cs="Arial"/>
          <w:sz w:val="20"/>
          <w:szCs w:val="20"/>
        </w:rPr>
        <w:t>příslušní</w:t>
      </w:r>
      <w:r w:rsidR="00DA59EB">
        <w:rPr>
          <w:rFonts w:ascii="Arial" w:hAnsi="Arial" w:cs="Arial"/>
          <w:sz w:val="20"/>
          <w:szCs w:val="20"/>
        </w:rPr>
        <w:t>ky</w:t>
      </w:r>
      <w:r w:rsidR="004719E1">
        <w:rPr>
          <w:rFonts w:ascii="Arial" w:hAnsi="Arial" w:cs="Arial"/>
          <w:sz w:val="20"/>
          <w:szCs w:val="20"/>
        </w:rPr>
        <w:t xml:space="preserve"> této strany. Kromě poslanců s politickou příslušností k vlastní navrhující straně bylo zvoleno</w:t>
      </w:r>
      <w:r w:rsidR="00A9053A">
        <w:rPr>
          <w:rFonts w:ascii="Arial" w:hAnsi="Arial" w:cs="Arial"/>
          <w:sz w:val="20"/>
          <w:szCs w:val="20"/>
        </w:rPr>
        <w:t xml:space="preserve"> </w:t>
      </w:r>
      <w:r w:rsidR="00081D7A">
        <w:rPr>
          <w:rFonts w:ascii="Arial" w:hAnsi="Arial" w:cs="Arial"/>
          <w:sz w:val="20"/>
          <w:szCs w:val="20"/>
        </w:rPr>
        <w:t xml:space="preserve">i </w:t>
      </w:r>
      <w:r w:rsidR="00A9053A">
        <w:rPr>
          <w:rFonts w:ascii="Arial" w:hAnsi="Arial" w:cs="Arial"/>
          <w:sz w:val="20"/>
          <w:szCs w:val="20"/>
        </w:rPr>
        <w:t>celkem</w:t>
      </w:r>
      <w:r w:rsidR="004719E1">
        <w:rPr>
          <w:rFonts w:ascii="Arial" w:hAnsi="Arial" w:cs="Arial"/>
          <w:sz w:val="20"/>
          <w:szCs w:val="20"/>
        </w:rPr>
        <w:t xml:space="preserve"> 16 posl</w:t>
      </w:r>
      <w:r w:rsidR="00A9053A">
        <w:rPr>
          <w:rFonts w:ascii="Arial" w:hAnsi="Arial" w:cs="Arial"/>
          <w:sz w:val="20"/>
          <w:szCs w:val="20"/>
        </w:rPr>
        <w:t>anců bez politické pří</w:t>
      </w:r>
      <w:r w:rsidR="008B7684">
        <w:rPr>
          <w:rFonts w:ascii="Arial" w:hAnsi="Arial" w:cs="Arial"/>
          <w:sz w:val="20"/>
          <w:szCs w:val="20"/>
        </w:rPr>
        <w:t xml:space="preserve">slušnosti. Tři </w:t>
      </w:r>
      <w:r w:rsidR="009924DE">
        <w:rPr>
          <w:rFonts w:ascii="Arial" w:hAnsi="Arial" w:cs="Arial"/>
          <w:sz w:val="20"/>
          <w:szCs w:val="20"/>
        </w:rPr>
        <w:t xml:space="preserve">z nich </w:t>
      </w:r>
      <w:r w:rsidR="008B7684">
        <w:rPr>
          <w:rFonts w:ascii="Arial" w:hAnsi="Arial" w:cs="Arial"/>
          <w:sz w:val="20"/>
          <w:szCs w:val="20"/>
        </w:rPr>
        <w:t>byli</w:t>
      </w:r>
      <w:r w:rsidR="009924DE">
        <w:rPr>
          <w:rFonts w:ascii="Arial" w:hAnsi="Arial" w:cs="Arial"/>
          <w:sz w:val="20"/>
          <w:szCs w:val="20"/>
        </w:rPr>
        <w:t xml:space="preserve"> </w:t>
      </w:r>
      <w:r w:rsidR="009924DE">
        <w:rPr>
          <w:rFonts w:ascii="Arial" w:hAnsi="Arial" w:cs="Arial"/>
          <w:sz w:val="20"/>
          <w:szCs w:val="20"/>
        </w:rPr>
        <w:lastRenderedPageBreak/>
        <w:t xml:space="preserve">navrženi KSČM, </w:t>
      </w:r>
      <w:r w:rsidR="005952B3">
        <w:rPr>
          <w:rFonts w:ascii="Arial" w:hAnsi="Arial" w:cs="Arial"/>
          <w:sz w:val="20"/>
          <w:szCs w:val="20"/>
        </w:rPr>
        <w:t>jeden</w:t>
      </w:r>
      <w:r w:rsidR="009924DE">
        <w:rPr>
          <w:rFonts w:ascii="Arial" w:hAnsi="Arial" w:cs="Arial"/>
          <w:sz w:val="20"/>
          <w:szCs w:val="20"/>
        </w:rPr>
        <w:t xml:space="preserve"> ČSSD a ostatní byli za strany, které měly své zástupce v EP pouze </w:t>
      </w:r>
      <w:r w:rsidR="007D6654">
        <w:rPr>
          <w:rFonts w:ascii="Arial" w:hAnsi="Arial" w:cs="Arial"/>
          <w:sz w:val="20"/>
          <w:szCs w:val="20"/>
        </w:rPr>
        <w:t>v jednom volebním období</w:t>
      </w:r>
      <w:r w:rsidR="009924DE">
        <w:rPr>
          <w:rFonts w:ascii="Arial" w:hAnsi="Arial" w:cs="Arial"/>
          <w:sz w:val="20"/>
          <w:szCs w:val="20"/>
        </w:rPr>
        <w:t xml:space="preserve"> (</w:t>
      </w:r>
      <w:r w:rsidR="007D6654">
        <w:rPr>
          <w:rFonts w:ascii="Arial" w:hAnsi="Arial" w:cs="Arial"/>
          <w:sz w:val="20"/>
          <w:szCs w:val="20"/>
        </w:rPr>
        <w:t>viz tabulka T</w:t>
      </w:r>
      <w:r w:rsidR="006D7764">
        <w:rPr>
          <w:rFonts w:ascii="Arial" w:hAnsi="Arial" w:cs="Arial"/>
          <w:sz w:val="20"/>
          <w:szCs w:val="20"/>
        </w:rPr>
        <w:t xml:space="preserve"> 9</w:t>
      </w:r>
      <w:r w:rsidR="008B7684">
        <w:rPr>
          <w:rFonts w:ascii="Arial" w:hAnsi="Arial" w:cs="Arial"/>
          <w:sz w:val="20"/>
          <w:szCs w:val="20"/>
        </w:rPr>
        <w:t xml:space="preserve">). </w:t>
      </w: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24130</wp:posOffset>
            </wp:positionV>
            <wp:extent cx="5495925" cy="2676525"/>
            <wp:effectExtent l="19050" t="0" r="9525" b="0"/>
            <wp:wrapNone/>
            <wp:docPr id="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b/>
          <w:sz w:val="20"/>
          <w:szCs w:val="20"/>
        </w:rPr>
        <w:t xml:space="preserve">G </w:t>
      </w:r>
      <w:r w:rsidR="00DB4F5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 Poslanci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zvolení ve volbách 2004 až 2014 celkem podle politické příslušnosti v % </w:t>
      </w: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0A30" w:rsidRPr="007D6654" w:rsidRDefault="000A0A3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D6654">
        <w:rPr>
          <w:rFonts w:ascii="Arial" w:hAnsi="Arial" w:cs="Arial"/>
          <w:b/>
          <w:sz w:val="20"/>
          <w:szCs w:val="20"/>
        </w:rPr>
        <w:t xml:space="preserve">T </w:t>
      </w:r>
      <w:r w:rsidR="001610D0">
        <w:rPr>
          <w:rFonts w:ascii="Arial" w:hAnsi="Arial" w:cs="Arial"/>
          <w:b/>
          <w:sz w:val="20"/>
          <w:szCs w:val="20"/>
        </w:rPr>
        <w:t>9</w:t>
      </w:r>
      <w:r w:rsidRPr="007D6654">
        <w:rPr>
          <w:rFonts w:ascii="Arial" w:hAnsi="Arial" w:cs="Arial"/>
          <w:b/>
          <w:sz w:val="20"/>
          <w:szCs w:val="20"/>
        </w:rPr>
        <w:t xml:space="preserve">  Poslanci</w:t>
      </w:r>
      <w:proofErr w:type="gramEnd"/>
      <w:r w:rsidRPr="007D6654">
        <w:rPr>
          <w:rFonts w:ascii="Arial" w:hAnsi="Arial" w:cs="Arial"/>
          <w:b/>
          <w:sz w:val="20"/>
          <w:szCs w:val="20"/>
        </w:rPr>
        <w:t xml:space="preserve"> podle navrhující strany (NS) a politické příslušnosti (PP)</w:t>
      </w:r>
    </w:p>
    <w:p w:rsidR="000A0A30" w:rsidRDefault="00A11D46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A11D46">
        <w:rPr>
          <w:szCs w:val="20"/>
        </w:rPr>
        <w:drawing>
          <wp:inline distT="0" distB="0" distL="0" distR="0">
            <wp:extent cx="5734050" cy="3267075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8C" w:rsidRDefault="00414B8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11B26" w:rsidRDefault="00D11B26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Udělené p</w:t>
      </w:r>
      <w:r w:rsidR="004F4011">
        <w:rPr>
          <w:rFonts w:ascii="Arial" w:hAnsi="Arial" w:cs="Arial"/>
          <w:sz w:val="20"/>
          <w:szCs w:val="20"/>
        </w:rPr>
        <w:t>řednost</w:t>
      </w:r>
      <w:r>
        <w:rPr>
          <w:rFonts w:ascii="Arial" w:hAnsi="Arial" w:cs="Arial"/>
          <w:sz w:val="20"/>
          <w:szCs w:val="20"/>
        </w:rPr>
        <w:t xml:space="preserve">ní hlasy ovlivnily zvolení poslanců </w:t>
      </w:r>
      <w:r w:rsidR="00401CEF">
        <w:rPr>
          <w:rFonts w:ascii="Arial" w:hAnsi="Arial" w:cs="Arial"/>
          <w:sz w:val="20"/>
          <w:szCs w:val="20"/>
        </w:rPr>
        <w:t xml:space="preserve">za celé období </w:t>
      </w:r>
      <w:r w:rsidR="00763733">
        <w:rPr>
          <w:rFonts w:ascii="Arial" w:hAnsi="Arial" w:cs="Arial"/>
          <w:sz w:val="20"/>
          <w:szCs w:val="20"/>
        </w:rPr>
        <w:t xml:space="preserve">jen ve třech případech. </w:t>
      </w:r>
      <w:r w:rsidR="001979EE">
        <w:rPr>
          <w:rFonts w:ascii="Arial" w:hAnsi="Arial" w:cs="Arial"/>
          <w:sz w:val="20"/>
          <w:szCs w:val="20"/>
        </w:rPr>
        <w:t>(</w:t>
      </w:r>
      <w:r w:rsidR="00763733">
        <w:rPr>
          <w:rFonts w:ascii="Arial" w:hAnsi="Arial" w:cs="Arial"/>
          <w:sz w:val="20"/>
          <w:szCs w:val="20"/>
        </w:rPr>
        <w:t>P</w:t>
      </w:r>
      <w:r w:rsidR="001979EE">
        <w:rPr>
          <w:rFonts w:ascii="Arial" w:hAnsi="Arial" w:cs="Arial"/>
          <w:sz w:val="20"/>
          <w:szCs w:val="20"/>
        </w:rPr>
        <w:t>oslanec byl na takovém místě kandidátní listiny, že bez přednostních hlasů by mandát neobdržel</w:t>
      </w:r>
      <w:r w:rsidR="00763733">
        <w:rPr>
          <w:rFonts w:ascii="Arial" w:hAnsi="Arial" w:cs="Arial"/>
          <w:sz w:val="20"/>
          <w:szCs w:val="20"/>
        </w:rPr>
        <w:t>.</w:t>
      </w:r>
      <w:r w:rsidR="001979EE">
        <w:rPr>
          <w:rFonts w:ascii="Arial" w:hAnsi="Arial" w:cs="Arial"/>
          <w:sz w:val="20"/>
          <w:szCs w:val="20"/>
        </w:rPr>
        <w:t>) Nejvýraznější „skok“ zaznamenal v roce 2004 kandidát za ODS Jaroslav Zvěřina, který se z</w:t>
      </w:r>
      <w:r w:rsidR="000B09AC">
        <w:rPr>
          <w:rFonts w:ascii="Arial" w:hAnsi="Arial" w:cs="Arial"/>
          <w:sz w:val="20"/>
          <w:szCs w:val="20"/>
        </w:rPr>
        <w:t xml:space="preserve"> nevolitelného </w:t>
      </w:r>
      <w:r w:rsidR="001979EE">
        <w:rPr>
          <w:rFonts w:ascii="Arial" w:hAnsi="Arial" w:cs="Arial"/>
          <w:sz w:val="20"/>
          <w:szCs w:val="20"/>
        </w:rPr>
        <w:t xml:space="preserve">10. </w:t>
      </w:r>
      <w:r w:rsidR="000B09AC">
        <w:rPr>
          <w:rFonts w:ascii="Arial" w:hAnsi="Arial" w:cs="Arial"/>
          <w:sz w:val="20"/>
          <w:szCs w:val="20"/>
        </w:rPr>
        <w:t>m</w:t>
      </w:r>
      <w:r w:rsidR="001979EE">
        <w:rPr>
          <w:rFonts w:ascii="Arial" w:hAnsi="Arial" w:cs="Arial"/>
          <w:sz w:val="20"/>
          <w:szCs w:val="20"/>
        </w:rPr>
        <w:t xml:space="preserve">ísta na </w:t>
      </w:r>
      <w:r w:rsidR="000B09AC">
        <w:rPr>
          <w:rFonts w:ascii="Arial" w:hAnsi="Arial" w:cs="Arial"/>
          <w:sz w:val="20"/>
          <w:szCs w:val="20"/>
        </w:rPr>
        <w:t xml:space="preserve">kandidátní listině (ODS obdržela 9 mandátů) dostal díky téměř 55 tisícům přednostních hlasů na 2. místo </w:t>
      </w:r>
      <w:r w:rsidR="00CD3FF4">
        <w:rPr>
          <w:rFonts w:ascii="Arial" w:hAnsi="Arial" w:cs="Arial"/>
          <w:sz w:val="20"/>
          <w:szCs w:val="20"/>
        </w:rPr>
        <w:t>pořadí přidělování mandátů.</w:t>
      </w:r>
      <w:r w:rsidR="00763733">
        <w:rPr>
          <w:rFonts w:ascii="Arial" w:hAnsi="Arial" w:cs="Arial"/>
          <w:sz w:val="20"/>
          <w:szCs w:val="20"/>
        </w:rPr>
        <w:t xml:space="preserve"> </w:t>
      </w:r>
    </w:p>
    <w:p w:rsidR="00763733" w:rsidRDefault="00763733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dva případy nastaly ve volbách v roce 2014</w:t>
      </w:r>
      <w:r w:rsidR="000E5D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sice u koalice </w:t>
      </w:r>
      <w:r w:rsidR="00EC2946">
        <w:rPr>
          <w:rFonts w:ascii="Arial" w:hAnsi="Arial" w:cs="Arial"/>
          <w:sz w:val="20"/>
          <w:szCs w:val="20"/>
        </w:rPr>
        <w:t>TOP 09 a STAN, kdy se kandidát navržený TOP 09 Jaromír Štětina posunul z pátého místa kandidátní listiny na třetí</w:t>
      </w:r>
      <w:r w:rsidR="005C6F02">
        <w:rPr>
          <w:rFonts w:ascii="Arial" w:hAnsi="Arial" w:cs="Arial"/>
          <w:sz w:val="20"/>
          <w:szCs w:val="20"/>
        </w:rPr>
        <w:t xml:space="preserve"> (koalice obdržela </w:t>
      </w:r>
      <w:r w:rsidR="005C6F02">
        <w:rPr>
          <w:rFonts w:ascii="Arial" w:hAnsi="Arial" w:cs="Arial"/>
          <w:sz w:val="20"/>
          <w:szCs w:val="20"/>
        </w:rPr>
        <w:lastRenderedPageBreak/>
        <w:t>4</w:t>
      </w:r>
      <w:r w:rsidR="00E16263">
        <w:rPr>
          <w:rFonts w:ascii="Arial" w:hAnsi="Arial" w:cs="Arial"/>
          <w:sz w:val="20"/>
          <w:szCs w:val="20"/>
        </w:rPr>
        <w:t> </w:t>
      </w:r>
      <w:r w:rsidR="005C6F02">
        <w:rPr>
          <w:rFonts w:ascii="Arial" w:hAnsi="Arial" w:cs="Arial"/>
          <w:sz w:val="20"/>
          <w:szCs w:val="20"/>
        </w:rPr>
        <w:t>mandáty)</w:t>
      </w:r>
      <w:r w:rsidR="00EC2946">
        <w:rPr>
          <w:rFonts w:ascii="Arial" w:hAnsi="Arial" w:cs="Arial"/>
          <w:sz w:val="20"/>
          <w:szCs w:val="20"/>
        </w:rPr>
        <w:t xml:space="preserve"> a kandidát za KSČM Miloslav </w:t>
      </w:r>
      <w:proofErr w:type="spellStart"/>
      <w:r w:rsidR="00EC2946">
        <w:rPr>
          <w:rFonts w:ascii="Arial" w:hAnsi="Arial" w:cs="Arial"/>
          <w:sz w:val="20"/>
          <w:szCs w:val="20"/>
        </w:rPr>
        <w:t>Ransdorf</w:t>
      </w:r>
      <w:proofErr w:type="spellEnd"/>
      <w:r w:rsidR="00EC2946">
        <w:rPr>
          <w:rFonts w:ascii="Arial" w:hAnsi="Arial" w:cs="Arial"/>
          <w:sz w:val="20"/>
          <w:szCs w:val="20"/>
        </w:rPr>
        <w:t xml:space="preserve"> ze čtvrtého </w:t>
      </w:r>
      <w:r w:rsidR="005C6F02">
        <w:rPr>
          <w:rFonts w:ascii="Arial" w:hAnsi="Arial" w:cs="Arial"/>
          <w:sz w:val="20"/>
          <w:szCs w:val="20"/>
        </w:rPr>
        <w:t>na druhé místo, přičemž KSČM</w:t>
      </w:r>
      <w:r w:rsidR="00EC2946">
        <w:rPr>
          <w:rFonts w:ascii="Arial" w:hAnsi="Arial" w:cs="Arial"/>
          <w:sz w:val="20"/>
          <w:szCs w:val="20"/>
        </w:rPr>
        <w:t xml:space="preserve"> </w:t>
      </w:r>
      <w:r w:rsidR="005C6F02">
        <w:rPr>
          <w:rFonts w:ascii="Arial" w:hAnsi="Arial" w:cs="Arial"/>
          <w:sz w:val="20"/>
          <w:szCs w:val="20"/>
        </w:rPr>
        <w:t>získala mandáty tři.</w:t>
      </w:r>
    </w:p>
    <w:p w:rsidR="00F64D00" w:rsidRDefault="005C6F02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Kromě těchto případů se změnilo pořadí přidělení mandátů ve straně u </w:t>
      </w:r>
      <w:r w:rsidR="001B7B05">
        <w:rPr>
          <w:rFonts w:ascii="Arial" w:hAnsi="Arial" w:cs="Arial"/>
          <w:sz w:val="20"/>
          <w:szCs w:val="20"/>
        </w:rPr>
        <w:t>pěti</w:t>
      </w:r>
      <w:r>
        <w:rPr>
          <w:rFonts w:ascii="Arial" w:hAnsi="Arial" w:cs="Arial"/>
          <w:sz w:val="20"/>
          <w:szCs w:val="20"/>
        </w:rPr>
        <w:t xml:space="preserve"> dalších kandidátů (</w:t>
      </w:r>
      <w:r w:rsidR="00D9275A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dv</w:t>
      </w:r>
      <w:r w:rsidR="00D9275A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</w:t>
      </w:r>
      <w:r w:rsidR="00D9275A">
        <w:rPr>
          <w:rFonts w:ascii="Arial" w:hAnsi="Arial" w:cs="Arial"/>
          <w:sz w:val="20"/>
          <w:szCs w:val="20"/>
        </w:rPr>
        <w:t xml:space="preserve">ve volbách </w:t>
      </w:r>
      <w:r>
        <w:rPr>
          <w:rFonts w:ascii="Arial" w:hAnsi="Arial" w:cs="Arial"/>
          <w:sz w:val="20"/>
          <w:szCs w:val="20"/>
        </w:rPr>
        <w:t>v </w:t>
      </w:r>
      <w:r w:rsidR="00D9275A">
        <w:rPr>
          <w:rFonts w:ascii="Arial" w:hAnsi="Arial" w:cs="Arial"/>
          <w:sz w:val="20"/>
          <w:szCs w:val="20"/>
        </w:rPr>
        <w:t>letech</w:t>
      </w:r>
      <w:r>
        <w:rPr>
          <w:rFonts w:ascii="Arial" w:hAnsi="Arial" w:cs="Arial"/>
          <w:sz w:val="20"/>
          <w:szCs w:val="20"/>
        </w:rPr>
        <w:t xml:space="preserve"> 2004</w:t>
      </w:r>
      <w:r w:rsidR="00D9275A">
        <w:rPr>
          <w:rFonts w:ascii="Arial" w:hAnsi="Arial" w:cs="Arial"/>
          <w:sz w:val="20"/>
          <w:szCs w:val="20"/>
        </w:rPr>
        <w:t xml:space="preserve"> a 2014</w:t>
      </w:r>
      <w:r>
        <w:rPr>
          <w:rFonts w:ascii="Arial" w:hAnsi="Arial" w:cs="Arial"/>
          <w:sz w:val="20"/>
          <w:szCs w:val="20"/>
        </w:rPr>
        <w:t xml:space="preserve"> a jed</w:t>
      </w:r>
      <w:r w:rsidR="00D9275A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v</w:t>
      </w:r>
      <w:r w:rsidR="00D9275A">
        <w:rPr>
          <w:rFonts w:ascii="Arial" w:hAnsi="Arial" w:cs="Arial"/>
          <w:sz w:val="20"/>
          <w:szCs w:val="20"/>
        </w:rPr>
        <w:t> roce 2009</w:t>
      </w:r>
      <w:r>
        <w:rPr>
          <w:rFonts w:ascii="Arial" w:hAnsi="Arial" w:cs="Arial"/>
          <w:sz w:val="20"/>
          <w:szCs w:val="20"/>
        </w:rPr>
        <w:t xml:space="preserve">), avšak </w:t>
      </w:r>
      <w:r w:rsidR="001B7B05">
        <w:rPr>
          <w:rFonts w:ascii="Arial" w:hAnsi="Arial" w:cs="Arial"/>
          <w:sz w:val="20"/>
          <w:szCs w:val="20"/>
        </w:rPr>
        <w:t xml:space="preserve">tato změna pořadí </w:t>
      </w:r>
      <w:r w:rsidR="000E5D32">
        <w:rPr>
          <w:rFonts w:ascii="Arial" w:hAnsi="Arial" w:cs="Arial"/>
          <w:sz w:val="20"/>
          <w:szCs w:val="20"/>
        </w:rPr>
        <w:t xml:space="preserve">na </w:t>
      </w:r>
      <w:r w:rsidR="001B7B05">
        <w:rPr>
          <w:rFonts w:ascii="Arial" w:hAnsi="Arial" w:cs="Arial"/>
          <w:sz w:val="20"/>
          <w:szCs w:val="20"/>
        </w:rPr>
        <w:t>zvolení poslance vliv</w:t>
      </w:r>
      <w:r w:rsidR="000E5D32">
        <w:rPr>
          <w:rFonts w:ascii="Arial" w:hAnsi="Arial" w:cs="Arial"/>
          <w:sz w:val="20"/>
          <w:szCs w:val="20"/>
        </w:rPr>
        <w:t xml:space="preserve"> neměla</w:t>
      </w:r>
      <w:r w:rsidR="001B7B05">
        <w:rPr>
          <w:rFonts w:ascii="Arial" w:hAnsi="Arial" w:cs="Arial"/>
          <w:sz w:val="20"/>
          <w:szCs w:val="20"/>
        </w:rPr>
        <w:t xml:space="preserve">. </w:t>
      </w:r>
    </w:p>
    <w:p w:rsidR="00F64D00" w:rsidRDefault="00F64D00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Absolutně nejvyšší počet přednostních hlasů (142 444) obdržel v roce 2004 </w:t>
      </w:r>
      <w:r w:rsidR="001768E5">
        <w:rPr>
          <w:rFonts w:ascii="Arial" w:hAnsi="Arial" w:cs="Arial"/>
          <w:sz w:val="20"/>
          <w:szCs w:val="20"/>
        </w:rPr>
        <w:t xml:space="preserve">lídr kandidátní listiny KSČM </w:t>
      </w:r>
      <w:r>
        <w:rPr>
          <w:rFonts w:ascii="Arial" w:hAnsi="Arial" w:cs="Arial"/>
          <w:sz w:val="20"/>
          <w:szCs w:val="20"/>
        </w:rPr>
        <w:t xml:space="preserve">Miloslav </w:t>
      </w:r>
      <w:proofErr w:type="spellStart"/>
      <w:r>
        <w:rPr>
          <w:rFonts w:ascii="Arial" w:hAnsi="Arial" w:cs="Arial"/>
          <w:sz w:val="20"/>
          <w:szCs w:val="20"/>
        </w:rPr>
        <w:t>Ransdorf</w:t>
      </w:r>
      <w:proofErr w:type="spellEnd"/>
      <w:r>
        <w:rPr>
          <w:rFonts w:ascii="Arial" w:hAnsi="Arial" w:cs="Arial"/>
          <w:sz w:val="20"/>
          <w:szCs w:val="20"/>
        </w:rPr>
        <w:t xml:space="preserve">. Po něm </w:t>
      </w:r>
      <w:r w:rsidR="001768E5">
        <w:rPr>
          <w:rFonts w:ascii="Arial" w:hAnsi="Arial" w:cs="Arial"/>
          <w:sz w:val="20"/>
          <w:szCs w:val="20"/>
        </w:rPr>
        <w:t>násled</w:t>
      </w:r>
      <w:r w:rsidR="00F84ADF">
        <w:rPr>
          <w:rFonts w:ascii="Arial" w:hAnsi="Arial" w:cs="Arial"/>
          <w:sz w:val="20"/>
          <w:szCs w:val="20"/>
        </w:rPr>
        <w:t>oval</w:t>
      </w:r>
      <w:r w:rsidR="001768E5">
        <w:rPr>
          <w:rFonts w:ascii="Arial" w:hAnsi="Arial" w:cs="Arial"/>
          <w:sz w:val="20"/>
          <w:szCs w:val="20"/>
        </w:rPr>
        <w:t xml:space="preserve"> Jan Zahradil, </w:t>
      </w:r>
      <w:r>
        <w:rPr>
          <w:rFonts w:ascii="Arial" w:hAnsi="Arial" w:cs="Arial"/>
          <w:sz w:val="20"/>
          <w:szCs w:val="20"/>
        </w:rPr>
        <w:t xml:space="preserve">kandidát </w:t>
      </w:r>
      <w:r w:rsidR="00285DFF">
        <w:rPr>
          <w:rFonts w:ascii="Arial" w:hAnsi="Arial" w:cs="Arial"/>
          <w:sz w:val="20"/>
          <w:szCs w:val="20"/>
        </w:rPr>
        <w:t>uvedený na</w:t>
      </w:r>
      <w:r>
        <w:rPr>
          <w:rFonts w:ascii="Arial" w:hAnsi="Arial" w:cs="Arial"/>
          <w:sz w:val="20"/>
          <w:szCs w:val="20"/>
        </w:rPr>
        <w:t> 1. míst</w:t>
      </w:r>
      <w:r w:rsidR="00285DFF">
        <w:rPr>
          <w:rFonts w:ascii="Arial" w:hAnsi="Arial" w:cs="Arial"/>
          <w:sz w:val="20"/>
          <w:szCs w:val="20"/>
        </w:rPr>
        <w:t>ě</w:t>
      </w:r>
      <w:r>
        <w:rPr>
          <w:rFonts w:ascii="Arial" w:hAnsi="Arial" w:cs="Arial"/>
          <w:sz w:val="20"/>
          <w:szCs w:val="20"/>
        </w:rPr>
        <w:t xml:space="preserve"> </w:t>
      </w:r>
      <w:r w:rsidR="00570EDA">
        <w:rPr>
          <w:rFonts w:ascii="Arial" w:hAnsi="Arial" w:cs="Arial"/>
          <w:sz w:val="20"/>
          <w:szCs w:val="20"/>
        </w:rPr>
        <w:t>kandidátní listiny ODS</w:t>
      </w:r>
      <w:r w:rsidR="00F84ADF">
        <w:rPr>
          <w:rFonts w:ascii="Arial" w:hAnsi="Arial" w:cs="Arial"/>
          <w:sz w:val="20"/>
          <w:szCs w:val="20"/>
        </w:rPr>
        <w:t xml:space="preserve"> </w:t>
      </w:r>
      <w:r w:rsidR="00707143">
        <w:rPr>
          <w:rFonts w:ascii="Arial" w:hAnsi="Arial" w:cs="Arial"/>
          <w:sz w:val="20"/>
          <w:szCs w:val="20"/>
        </w:rPr>
        <w:t xml:space="preserve">rovněž </w:t>
      </w:r>
      <w:r w:rsidR="00570EDA">
        <w:rPr>
          <w:rFonts w:ascii="Arial" w:hAnsi="Arial" w:cs="Arial"/>
          <w:sz w:val="20"/>
          <w:szCs w:val="20"/>
        </w:rPr>
        <w:t>v</w:t>
      </w:r>
      <w:r w:rsidR="00707143">
        <w:rPr>
          <w:rFonts w:ascii="Arial" w:hAnsi="Arial" w:cs="Arial"/>
          <w:sz w:val="20"/>
          <w:szCs w:val="20"/>
        </w:rPr>
        <w:t> </w:t>
      </w:r>
      <w:r w:rsidR="00570EDA">
        <w:rPr>
          <w:rFonts w:ascii="Arial" w:hAnsi="Arial" w:cs="Arial"/>
          <w:sz w:val="20"/>
          <w:szCs w:val="20"/>
        </w:rPr>
        <w:t>roce</w:t>
      </w:r>
      <w:r w:rsidR="00707143">
        <w:rPr>
          <w:rFonts w:ascii="Arial" w:hAnsi="Arial" w:cs="Arial"/>
          <w:sz w:val="20"/>
          <w:szCs w:val="20"/>
        </w:rPr>
        <w:t xml:space="preserve"> 2004 </w:t>
      </w:r>
      <w:r w:rsidR="00570EDA">
        <w:rPr>
          <w:rFonts w:ascii="Arial" w:hAnsi="Arial" w:cs="Arial"/>
          <w:sz w:val="20"/>
          <w:szCs w:val="20"/>
        </w:rPr>
        <w:t xml:space="preserve">– téměř 130 tisíc přednostních hlasů. Stotisícovou hranici počtu přednostních hlasů překročil ještě Evžen </w:t>
      </w:r>
      <w:proofErr w:type="spellStart"/>
      <w:r w:rsidR="00570EDA">
        <w:rPr>
          <w:rFonts w:ascii="Arial" w:hAnsi="Arial" w:cs="Arial"/>
          <w:sz w:val="20"/>
          <w:szCs w:val="20"/>
        </w:rPr>
        <w:t>Tošenovský</w:t>
      </w:r>
      <w:proofErr w:type="spellEnd"/>
      <w:r w:rsidR="00401CEF" w:rsidRPr="00401CEF">
        <w:rPr>
          <w:rFonts w:ascii="Arial" w:hAnsi="Arial" w:cs="Arial"/>
          <w:sz w:val="20"/>
          <w:szCs w:val="20"/>
        </w:rPr>
        <w:t xml:space="preserve"> </w:t>
      </w:r>
      <w:r w:rsidR="00401CEF">
        <w:rPr>
          <w:rFonts w:ascii="Arial" w:hAnsi="Arial" w:cs="Arial"/>
          <w:sz w:val="20"/>
          <w:szCs w:val="20"/>
        </w:rPr>
        <w:t>v roce 2009</w:t>
      </w:r>
      <w:r w:rsidR="00570EDA">
        <w:rPr>
          <w:rFonts w:ascii="Arial" w:hAnsi="Arial" w:cs="Arial"/>
          <w:sz w:val="20"/>
          <w:szCs w:val="20"/>
        </w:rPr>
        <w:t xml:space="preserve">, </w:t>
      </w:r>
      <w:r w:rsidR="001F1457">
        <w:rPr>
          <w:rFonts w:ascii="Arial" w:hAnsi="Arial" w:cs="Arial"/>
          <w:sz w:val="20"/>
          <w:szCs w:val="20"/>
        </w:rPr>
        <w:t xml:space="preserve">který byl uveden </w:t>
      </w:r>
      <w:r w:rsidR="00570EDA">
        <w:rPr>
          <w:rFonts w:ascii="Arial" w:hAnsi="Arial" w:cs="Arial"/>
          <w:sz w:val="20"/>
          <w:szCs w:val="20"/>
        </w:rPr>
        <w:t xml:space="preserve">na 2. místě kandidátky ODS. </w:t>
      </w:r>
    </w:p>
    <w:p w:rsidR="00B4695A" w:rsidRDefault="00B4695A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Nejvyšší relativní zisk </w:t>
      </w:r>
      <w:r w:rsidR="00A11D46">
        <w:rPr>
          <w:rFonts w:ascii="Arial" w:hAnsi="Arial" w:cs="Arial"/>
          <w:sz w:val="20"/>
          <w:szCs w:val="20"/>
        </w:rPr>
        <w:t>přednostních</w:t>
      </w:r>
      <w:r>
        <w:rPr>
          <w:rFonts w:ascii="Arial" w:hAnsi="Arial" w:cs="Arial"/>
          <w:sz w:val="20"/>
          <w:szCs w:val="20"/>
        </w:rPr>
        <w:t xml:space="preserve"> hlasů (procento přednostních hlasů pro kandidáta z celkového počtu hlasů </w:t>
      </w:r>
      <w:r w:rsidR="000E5D32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stran</w:t>
      </w:r>
      <w:r w:rsidR="000E5D3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, za kterou kandidoval) získala v roce 2004 Jana </w:t>
      </w:r>
      <w:proofErr w:type="spellStart"/>
      <w:r>
        <w:rPr>
          <w:rFonts w:ascii="Arial" w:hAnsi="Arial" w:cs="Arial"/>
          <w:sz w:val="20"/>
          <w:szCs w:val="20"/>
        </w:rPr>
        <w:t>Bobošíková</w:t>
      </w:r>
      <w:proofErr w:type="spellEnd"/>
      <w:r w:rsidR="00081D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E5D32">
        <w:rPr>
          <w:rFonts w:ascii="Arial" w:hAnsi="Arial" w:cs="Arial"/>
          <w:sz w:val="20"/>
          <w:szCs w:val="20"/>
        </w:rPr>
        <w:t xml:space="preserve">kandidující </w:t>
      </w:r>
      <w:r>
        <w:rPr>
          <w:rFonts w:ascii="Arial" w:hAnsi="Arial" w:cs="Arial"/>
          <w:sz w:val="20"/>
          <w:szCs w:val="20"/>
        </w:rPr>
        <w:t>za stranu NEZÁVISLÍ</w:t>
      </w:r>
      <w:r w:rsidR="00F613B3">
        <w:rPr>
          <w:rFonts w:ascii="Arial" w:hAnsi="Arial" w:cs="Arial"/>
          <w:sz w:val="20"/>
          <w:szCs w:val="20"/>
        </w:rPr>
        <w:t xml:space="preserve">, které dal přednostní hlas více než každý druhý volič této strany. Téměř každý třetí volič zakroužkoval kandidáta Vladimíra Železného </w:t>
      </w:r>
      <w:r w:rsidR="00285DFF">
        <w:rPr>
          <w:rFonts w:ascii="Arial" w:hAnsi="Arial" w:cs="Arial"/>
          <w:sz w:val="20"/>
          <w:szCs w:val="20"/>
        </w:rPr>
        <w:t>z téže</w:t>
      </w:r>
      <w:r w:rsidR="00F613B3">
        <w:rPr>
          <w:rFonts w:ascii="Arial" w:hAnsi="Arial" w:cs="Arial"/>
          <w:sz w:val="20"/>
          <w:szCs w:val="20"/>
        </w:rPr>
        <w:t xml:space="preserve"> strany</w:t>
      </w:r>
      <w:r w:rsidR="007F7376">
        <w:rPr>
          <w:rFonts w:ascii="Arial" w:hAnsi="Arial" w:cs="Arial"/>
          <w:sz w:val="20"/>
          <w:szCs w:val="20"/>
        </w:rPr>
        <w:t xml:space="preserve"> ve stejném roce</w:t>
      </w:r>
      <w:r w:rsidR="00F613B3">
        <w:rPr>
          <w:rFonts w:ascii="Arial" w:hAnsi="Arial" w:cs="Arial"/>
          <w:sz w:val="20"/>
          <w:szCs w:val="20"/>
        </w:rPr>
        <w:t xml:space="preserve">, Josefa </w:t>
      </w:r>
      <w:proofErr w:type="spellStart"/>
      <w:r w:rsidR="00F613B3">
        <w:rPr>
          <w:rFonts w:ascii="Arial" w:hAnsi="Arial" w:cs="Arial"/>
          <w:sz w:val="20"/>
          <w:szCs w:val="20"/>
        </w:rPr>
        <w:t>Zieleniece</w:t>
      </w:r>
      <w:proofErr w:type="spellEnd"/>
      <w:r w:rsidR="00F613B3">
        <w:rPr>
          <w:rFonts w:ascii="Arial" w:hAnsi="Arial" w:cs="Arial"/>
          <w:sz w:val="20"/>
          <w:szCs w:val="20"/>
        </w:rPr>
        <w:t xml:space="preserve"> </w:t>
      </w:r>
      <w:r w:rsidR="007F7376">
        <w:rPr>
          <w:rFonts w:ascii="Arial" w:hAnsi="Arial" w:cs="Arial"/>
          <w:sz w:val="20"/>
          <w:szCs w:val="20"/>
        </w:rPr>
        <w:t>ze strany SNK-ED</w:t>
      </w:r>
      <w:r w:rsidR="00F613B3">
        <w:rPr>
          <w:rFonts w:ascii="Arial" w:hAnsi="Arial" w:cs="Arial"/>
          <w:sz w:val="20"/>
          <w:szCs w:val="20"/>
        </w:rPr>
        <w:t xml:space="preserve"> </w:t>
      </w:r>
      <w:r w:rsidR="007F7376">
        <w:rPr>
          <w:rFonts w:ascii="Arial" w:hAnsi="Arial" w:cs="Arial"/>
          <w:sz w:val="20"/>
          <w:szCs w:val="20"/>
        </w:rPr>
        <w:t xml:space="preserve">v tomtéž roce a Jiřího Pospíšila navrženého stranou TOP 09 v roce 2014. Seznam zvolených poslanců včetně počtu jejich </w:t>
      </w:r>
      <w:r w:rsidR="00A11D46">
        <w:rPr>
          <w:rFonts w:ascii="Arial" w:hAnsi="Arial" w:cs="Arial"/>
          <w:sz w:val="20"/>
          <w:szCs w:val="20"/>
        </w:rPr>
        <w:t>přednostních</w:t>
      </w:r>
      <w:r w:rsidR="007F7376">
        <w:rPr>
          <w:rFonts w:ascii="Arial" w:hAnsi="Arial" w:cs="Arial"/>
          <w:sz w:val="20"/>
          <w:szCs w:val="20"/>
        </w:rPr>
        <w:t xml:space="preserve"> hlasů je uveden v</w:t>
      </w:r>
      <w:r w:rsidR="00F5583C">
        <w:rPr>
          <w:rFonts w:ascii="Arial" w:hAnsi="Arial" w:cs="Arial"/>
          <w:sz w:val="20"/>
          <w:szCs w:val="20"/>
        </w:rPr>
        <w:t> </w:t>
      </w:r>
      <w:r w:rsidR="007F7376">
        <w:rPr>
          <w:rFonts w:ascii="Arial" w:hAnsi="Arial" w:cs="Arial"/>
          <w:sz w:val="20"/>
          <w:szCs w:val="20"/>
        </w:rPr>
        <w:t>příloze</w:t>
      </w:r>
      <w:r w:rsidR="00F5583C">
        <w:rPr>
          <w:rFonts w:ascii="Arial" w:hAnsi="Arial" w:cs="Arial"/>
          <w:sz w:val="20"/>
          <w:szCs w:val="20"/>
        </w:rPr>
        <w:t xml:space="preserve"> 2</w:t>
      </w:r>
      <w:r w:rsidR="007F7376">
        <w:rPr>
          <w:rFonts w:ascii="Arial" w:hAnsi="Arial" w:cs="Arial"/>
          <w:sz w:val="20"/>
          <w:szCs w:val="20"/>
        </w:rPr>
        <w:t>.</w:t>
      </w:r>
    </w:p>
    <w:p w:rsidR="00796FED" w:rsidRDefault="00796FED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Někteří poslanci byli zvoleni do EP opakovaně. Ve všech volbách kandidovali a byli úspěšní 3 poslanci (Maštálka a </w:t>
      </w:r>
      <w:proofErr w:type="spellStart"/>
      <w:r>
        <w:rPr>
          <w:rFonts w:ascii="Arial" w:hAnsi="Arial" w:cs="Arial"/>
          <w:sz w:val="20"/>
          <w:szCs w:val="20"/>
        </w:rPr>
        <w:t>Ransdorf</w:t>
      </w:r>
      <w:proofErr w:type="spellEnd"/>
      <w:r>
        <w:rPr>
          <w:rFonts w:ascii="Arial" w:hAnsi="Arial" w:cs="Arial"/>
          <w:sz w:val="20"/>
          <w:szCs w:val="20"/>
        </w:rPr>
        <w:t xml:space="preserve"> za KSČM a Zahradil za ODS</w:t>
      </w:r>
      <w:r w:rsidR="000A0A3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Čtrnáct poslanců pak zastávalo </w:t>
      </w:r>
      <w:r w:rsidR="000A0A30">
        <w:rPr>
          <w:rFonts w:ascii="Arial" w:hAnsi="Arial" w:cs="Arial"/>
          <w:sz w:val="20"/>
          <w:szCs w:val="20"/>
        </w:rPr>
        <w:t>funkci dvě</w:t>
      </w:r>
      <w:r w:rsidR="001F1457">
        <w:rPr>
          <w:rFonts w:ascii="Arial" w:hAnsi="Arial" w:cs="Arial"/>
          <w:sz w:val="20"/>
          <w:szCs w:val="20"/>
        </w:rPr>
        <w:t xml:space="preserve">, vždy po sobě následující, </w:t>
      </w:r>
      <w:r w:rsidR="000A0A30">
        <w:rPr>
          <w:rFonts w:ascii="Arial" w:hAnsi="Arial" w:cs="Arial"/>
          <w:sz w:val="20"/>
          <w:szCs w:val="20"/>
        </w:rPr>
        <w:t>volební období.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4B8C" w:rsidRDefault="00414B8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D02FAE" w:rsidRPr="00C91483" w:rsidRDefault="00E331FA" w:rsidP="00D07127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C91483">
        <w:rPr>
          <w:rFonts w:ascii="Arial" w:hAnsi="Arial" w:cs="Arial"/>
          <w:b/>
          <w:i/>
          <w:sz w:val="20"/>
          <w:szCs w:val="20"/>
        </w:rPr>
        <w:t xml:space="preserve">.2. </w:t>
      </w:r>
      <w:r w:rsidR="000D7F3F" w:rsidRPr="00C91483">
        <w:rPr>
          <w:rFonts w:ascii="Arial" w:hAnsi="Arial" w:cs="Arial"/>
          <w:b/>
          <w:i/>
          <w:sz w:val="20"/>
          <w:szCs w:val="20"/>
        </w:rPr>
        <w:t>Poslanci podle pohlaví a věku</w:t>
      </w:r>
    </w:p>
    <w:p w:rsidR="00414B8C" w:rsidRPr="00E1455D" w:rsidRDefault="00414B8C" w:rsidP="00D071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rozdělení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poslanců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věkových skupin </w:t>
      </w:r>
      <w:r w:rsidR="007E64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obdobně jako tomu bylo u kandidátů</w:t>
      </w:r>
      <w:r w:rsidR="0070714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byla nejčetnější skupina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poslanců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od 50 do 59 let, která činila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37 % z celkového počtu poslanců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Nejméně bylo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poslanců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skupině 60 let a více,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pouhých 10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procent. </w:t>
      </w:r>
    </w:p>
    <w:p w:rsidR="00414B8C" w:rsidRPr="0008550F" w:rsidRDefault="00414B8C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T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10  Poslanci</w:t>
      </w:r>
      <w:proofErr w:type="gramEnd"/>
      <w:r w:rsidRPr="00E1455D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podle věku a pohlaví</w:t>
      </w:r>
    </w:p>
    <w:tbl>
      <w:tblPr>
        <w:tblW w:w="91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20"/>
        <w:gridCol w:w="873"/>
        <w:gridCol w:w="873"/>
        <w:gridCol w:w="873"/>
        <w:gridCol w:w="1221"/>
        <w:gridCol w:w="873"/>
        <w:gridCol w:w="873"/>
        <w:gridCol w:w="873"/>
        <w:gridCol w:w="1221"/>
      </w:tblGrid>
      <w:tr w:rsidR="00414B8C" w:rsidRPr="0008550F" w:rsidTr="00CD778C">
        <w:trPr>
          <w:trHeight w:val="510"/>
        </w:trPr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Věková</w:t>
            </w: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 skupina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Poslanci celkem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 toho ženy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B8C" w:rsidRPr="0008550F" w:rsidRDefault="00414B8C" w:rsidP="00D07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21 - 29 let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30 - 39 let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40 - 49 let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50 - 59 let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60 a více let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414B8C" w:rsidRPr="0008550F" w:rsidTr="00CD778C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B8C" w:rsidRPr="0008550F" w:rsidRDefault="00414B8C" w:rsidP="00D07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85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14</w:t>
            </w:r>
          </w:p>
        </w:tc>
      </w:tr>
    </w:tbl>
    <w:p w:rsidR="00414B8C" w:rsidRDefault="00414B8C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14B8C" w:rsidRPr="004779FB" w:rsidRDefault="00414B8C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 celkového počtu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67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poslanců</w:t>
      </w:r>
      <w:r w:rsidR="007E64B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bylo 21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 žen. Nejvyšší podíl žen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které získaly mandát,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 v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roce 2014</w:t>
      </w:r>
      <w:r w:rsidR="008065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téměř 24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%, nejnižší </w:t>
      </w:r>
      <w:r w:rsidR="00C5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(18 %)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roce 2009</w:t>
      </w:r>
      <w:r w:rsidR="00C5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Nejvyšší podíl žen byl mezi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poslanci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věkové skupině od 30 do 39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let, kde činil 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úhrnu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všechny volby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9 </w:t>
      </w:r>
      <w:r w:rsidRPr="00E145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%. </w:t>
      </w:r>
      <w:r w:rsidR="00C5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Naproti tomu n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ejnižší podíl žen byl ve věkové kategorii od 40 do 49 let, kde dosahoval v úhrnu za všechny volby 4 %. Ženy v okrajových skupinách, ve věku do 29 let a nad 60 let, poslanecký mandát nezískaly v žádných </w:t>
      </w:r>
      <w:r w:rsidR="00C565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volbách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do EP.</w:t>
      </w:r>
    </w:p>
    <w:p w:rsidR="00C56575" w:rsidRPr="00F04D31" w:rsidRDefault="00C56575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04D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Nejvyšší podíl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žen </w:t>
      </w:r>
      <w:r w:rsidR="009A392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(43 %)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 ve věkové kategorii od 30 do 39 let. V ostatních věkových kategoriích byli muži mnohem úspěšnější a ve věkové skupině 60 let a více se </w:t>
      </w:r>
      <w:r w:rsidR="0080652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žádná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žena nevyskytovala.</w:t>
      </w:r>
    </w:p>
    <w:p w:rsidR="00414B8C" w:rsidRDefault="0044214C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G 9</w:t>
      </w:r>
      <w:r w:rsidR="00414B8C" w:rsidRPr="00E145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 Podíl</w:t>
      </w:r>
      <w:proofErr w:type="gramEnd"/>
      <w:r w:rsidR="00414B8C" w:rsidRPr="00E145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pohlaví ve věkové skupině za </w:t>
      </w:r>
      <w:r w:rsidR="00414B8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poslance</w:t>
      </w:r>
      <w:r w:rsidR="00414B8C" w:rsidRPr="00E1455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ve volbách 2004, 2009 a 2014 úhrnem</w:t>
      </w:r>
    </w:p>
    <w:p w:rsidR="00414B8C" w:rsidRDefault="00E331FA" w:rsidP="00D071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331FA">
        <w:rPr>
          <w:noProof/>
          <w:lang w:eastAsia="cs-CZ"/>
        </w:rPr>
        <w:drawing>
          <wp:inline distT="0" distB="0" distL="0" distR="0">
            <wp:extent cx="5760720" cy="2833141"/>
            <wp:effectExtent l="19050" t="0" r="0" b="0"/>
            <wp:docPr id="2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B8C" w:rsidRDefault="0044214C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G </w:t>
      </w:r>
      <w:proofErr w:type="gramStart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10 </w:t>
      </w:r>
      <w:r w:rsidR="00414B8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r w:rsidR="00414B8C" w:rsidRPr="00BD48F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Podíl</w:t>
      </w:r>
      <w:proofErr w:type="gramEnd"/>
      <w:r w:rsidR="00414B8C" w:rsidRPr="00BD48F1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věkových skupin poslanců podle pohlaví </w:t>
      </w:r>
    </w:p>
    <w:p w:rsidR="00414B8C" w:rsidRDefault="00E331FA" w:rsidP="00D071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E331FA">
        <w:rPr>
          <w:noProof/>
          <w:szCs w:val="20"/>
          <w:lang w:eastAsia="cs-CZ"/>
        </w:rPr>
        <w:drawing>
          <wp:inline distT="0" distB="0" distL="0" distR="0">
            <wp:extent cx="5760720" cy="2886348"/>
            <wp:effectExtent l="19050" t="0" r="0" b="0"/>
            <wp:docPr id="2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8C" w:rsidRDefault="00414B8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Nejvyšší podíl žen z poslanců v příslušném roce byl ve věkové skupině 30 až 39 let v roce 2014</w:t>
      </w:r>
      <w:r w:rsidR="008065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to zhruba 14 %. Naproti tomu žádná žena ve věkové kategorii </w:t>
      </w:r>
      <w:r w:rsidR="00ED07D7">
        <w:rPr>
          <w:rFonts w:ascii="Arial" w:hAnsi="Arial" w:cs="Arial"/>
          <w:sz w:val="20"/>
          <w:szCs w:val="20"/>
        </w:rPr>
        <w:t>40</w:t>
      </w:r>
      <w:r w:rsidR="004B19F1" w:rsidRPr="004B19F1">
        <w:rPr>
          <w:rFonts w:ascii="Arial" w:hAnsi="Arial" w:cs="Arial"/>
          <w:sz w:val="20"/>
          <w:szCs w:val="20"/>
        </w:rPr>
        <w:t xml:space="preserve"> až</w:t>
      </w:r>
      <w:r w:rsidR="00ED07D7">
        <w:rPr>
          <w:rFonts w:ascii="Arial" w:hAnsi="Arial" w:cs="Arial"/>
          <w:sz w:val="20"/>
          <w:szCs w:val="20"/>
        </w:rPr>
        <w:t xml:space="preserve"> 49</w:t>
      </w:r>
      <w:r>
        <w:rPr>
          <w:rFonts w:ascii="Arial" w:hAnsi="Arial" w:cs="Arial"/>
          <w:sz w:val="20"/>
          <w:szCs w:val="20"/>
        </w:rPr>
        <w:t xml:space="preserve"> let nezískala poslanecký mandát ve volbách do EP v roce 2004. Muži byli nejvíce úspěšní ve věkové kategorii 50 – 59 let v roce 2009 </w:t>
      </w:r>
      <w:r w:rsidR="002451A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téměř 41 %</w:t>
      </w:r>
      <w:r w:rsidR="002451A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Nejméně úspěšná byla věková kategorie mužů v rozmezí </w:t>
      </w:r>
      <w:r w:rsidR="00ED07D7">
        <w:rPr>
          <w:rFonts w:ascii="Arial" w:hAnsi="Arial" w:cs="Arial"/>
          <w:sz w:val="20"/>
          <w:szCs w:val="20"/>
        </w:rPr>
        <w:t>30</w:t>
      </w:r>
      <w:r w:rsidR="004B19F1" w:rsidRPr="004B19F1">
        <w:rPr>
          <w:rFonts w:ascii="Arial" w:hAnsi="Arial" w:cs="Arial"/>
          <w:sz w:val="20"/>
          <w:szCs w:val="20"/>
        </w:rPr>
        <w:t xml:space="preserve"> až </w:t>
      </w:r>
      <w:r w:rsidR="00ED07D7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sz w:val="20"/>
          <w:szCs w:val="20"/>
        </w:rPr>
        <w:t xml:space="preserve"> let v roce </w:t>
      </w:r>
      <w:r w:rsidR="00C13F8E" w:rsidRPr="00E659FF">
        <w:rPr>
          <w:rFonts w:ascii="Arial" w:hAnsi="Arial" w:cs="Arial"/>
          <w:sz w:val="20"/>
          <w:szCs w:val="20"/>
        </w:rPr>
        <w:t>2009, kde získalo poslanecký mandát 4,5 % mužů</w:t>
      </w:r>
      <w:r>
        <w:rPr>
          <w:rFonts w:ascii="Arial" w:hAnsi="Arial" w:cs="Arial"/>
          <w:sz w:val="20"/>
          <w:szCs w:val="20"/>
        </w:rPr>
        <w:t xml:space="preserve"> z celkového počtu možných mandátů </w:t>
      </w:r>
      <w:r w:rsidRPr="00E659FF">
        <w:rPr>
          <w:rFonts w:ascii="Arial" w:hAnsi="Arial" w:cs="Arial"/>
          <w:sz w:val="20"/>
          <w:szCs w:val="20"/>
        </w:rPr>
        <w:t>v příslušném roce</w:t>
      </w:r>
      <w:r>
        <w:rPr>
          <w:rFonts w:ascii="Arial" w:hAnsi="Arial" w:cs="Arial"/>
          <w:sz w:val="20"/>
          <w:szCs w:val="20"/>
        </w:rPr>
        <w:t xml:space="preserve">. Věková skupina 21-29 je charakteristická tím, že v daných volbách nezískala žádný mandát bez ohledu na to, zda šlo o muže či ženy. Ženy totéž zopakovaly ve věkové kategorii 60 a více let, muži však v této věkové skupině byli úspěšnější a </w:t>
      </w:r>
      <w:r w:rsidR="002451A2">
        <w:rPr>
          <w:rFonts w:ascii="Arial" w:hAnsi="Arial" w:cs="Arial"/>
          <w:sz w:val="20"/>
          <w:szCs w:val="20"/>
        </w:rPr>
        <w:t xml:space="preserve">např. </w:t>
      </w:r>
      <w:r>
        <w:rPr>
          <w:rFonts w:ascii="Arial" w:hAnsi="Arial" w:cs="Arial"/>
          <w:sz w:val="20"/>
          <w:szCs w:val="20"/>
        </w:rPr>
        <w:t>v roce 2004 získali 12,5 % mandátů z celkového počtu.</w:t>
      </w:r>
    </w:p>
    <w:p w:rsidR="00414B8C" w:rsidRDefault="00414B8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Nejstarším poslancem byl Ing. Jaromír Štětina, senátor, spisovatel a novinář z Prahy, kterému bylo v roce 2014, kdy byl zvolen za TOP 09 a Starostové, 71 let. Nejmladším poslancem byla žena, Ing. Kateřina Konečná, poslankyně parlamentu ČR z Nového Jičína, kandidující za Komunistickou stranu Čech a Moravy v roce 2014, kdy jí bylo 33 let.</w:t>
      </w:r>
    </w:p>
    <w:p w:rsidR="00414B8C" w:rsidRDefault="0044214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G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11  </w:t>
      </w:r>
      <w:r w:rsidR="00414B8C" w:rsidRPr="00424E61">
        <w:rPr>
          <w:rFonts w:ascii="Arial" w:hAnsi="Arial" w:cs="Arial"/>
          <w:b/>
          <w:sz w:val="20"/>
          <w:szCs w:val="20"/>
        </w:rPr>
        <w:t>Průměrný</w:t>
      </w:r>
      <w:proofErr w:type="gramEnd"/>
      <w:r w:rsidR="00414B8C" w:rsidRPr="00424E61">
        <w:rPr>
          <w:rFonts w:ascii="Arial" w:hAnsi="Arial" w:cs="Arial"/>
          <w:b/>
          <w:sz w:val="20"/>
          <w:szCs w:val="20"/>
        </w:rPr>
        <w:t xml:space="preserve"> věk </w:t>
      </w:r>
      <w:r w:rsidR="00414B8C">
        <w:rPr>
          <w:rFonts w:ascii="Arial" w:hAnsi="Arial" w:cs="Arial"/>
          <w:b/>
          <w:sz w:val="20"/>
          <w:szCs w:val="20"/>
        </w:rPr>
        <w:t>poslanců</w:t>
      </w:r>
    </w:p>
    <w:p w:rsidR="00414B8C" w:rsidRPr="004F780E" w:rsidRDefault="00414B8C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F780E"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5469774" cy="2743200"/>
            <wp:effectExtent l="0" t="0" r="0" b="0"/>
            <wp:docPr id="1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A0A99" w:rsidRPr="00B179E0" w:rsidRDefault="002A0A99" w:rsidP="00D0712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Průměrný věk poslance, který získal mandát v některých volbách do EP byl 48,6 roku. </w:t>
      </w:r>
      <w:r w:rsidR="00052424">
        <w:rPr>
          <w:rFonts w:ascii="Arial" w:hAnsi="Arial" w:cs="Arial"/>
          <w:sz w:val="20"/>
          <w:szCs w:val="20"/>
        </w:rPr>
        <w:t>Přitom zvolení muži byli průměrně téměř o 6 let starší než zvolené ženy.</w:t>
      </w:r>
      <w:r>
        <w:rPr>
          <w:rFonts w:ascii="Arial" w:hAnsi="Arial" w:cs="Arial"/>
          <w:sz w:val="20"/>
          <w:szCs w:val="20"/>
        </w:rPr>
        <w:t xml:space="preserve"> Nejmladší poslanci byli v roce 2014, kdy jejich průměrný věk činil 47,1 roku; při tom nejmladší ženy, které získaly mandát v některých volbách do EP</w:t>
      </w:r>
      <w:r w:rsidR="004B19F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byly v roce 2014 s průměrným věkem 40,8 roku. </w:t>
      </w:r>
      <w:r w:rsidRPr="00B179E0">
        <w:rPr>
          <w:rFonts w:ascii="Arial" w:eastAsia="Times New Roman" w:hAnsi="Arial" w:cs="Arial"/>
          <w:sz w:val="20"/>
          <w:szCs w:val="20"/>
          <w:lang w:eastAsia="cs-CZ"/>
        </w:rPr>
        <w:t>Průměrný věk mužů vykazuje v letech 2004</w:t>
      </w:r>
      <w:r w:rsidR="004B19F1">
        <w:rPr>
          <w:rFonts w:ascii="Arial" w:eastAsia="Times New Roman" w:hAnsi="Arial" w:cs="Arial"/>
          <w:sz w:val="20"/>
          <w:szCs w:val="20"/>
          <w:lang w:eastAsia="cs-CZ"/>
        </w:rPr>
        <w:t xml:space="preserve"> až</w:t>
      </w:r>
      <w:r w:rsidRPr="00B179E0">
        <w:rPr>
          <w:rFonts w:ascii="Arial" w:eastAsia="Times New Roman" w:hAnsi="Arial" w:cs="Arial"/>
          <w:sz w:val="20"/>
          <w:szCs w:val="20"/>
          <w:lang w:eastAsia="cs-CZ"/>
        </w:rPr>
        <w:t xml:space="preserve"> 2014 stabilní hodnoty v rozmezí 49 až 51 let. U žen je patrná tendence k snižování průměrného věku. Ve volbách v roce 2004 byl jejich průměrný věk 47 let a v roce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2014 činil již necelých 41 let, viz graf G 11. </w:t>
      </w:r>
    </w:p>
    <w:p w:rsidR="004E5BE4" w:rsidRDefault="004E5BE4" w:rsidP="00D07127">
      <w:pPr>
        <w:spacing w:line="240" w:lineRule="auto"/>
        <w:rPr>
          <w:rFonts w:ascii="Arial" w:hAnsi="Arial" w:cs="Arial"/>
          <w:b/>
        </w:rPr>
      </w:pPr>
    </w:p>
    <w:p w:rsidR="00414B8C" w:rsidRPr="003F4DD1" w:rsidRDefault="00E659FF" w:rsidP="00D07127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3F4DD1">
        <w:rPr>
          <w:rFonts w:ascii="Arial" w:hAnsi="Arial" w:cs="Arial"/>
          <w:b/>
        </w:rPr>
        <w:t>Závěr</w:t>
      </w:r>
    </w:p>
    <w:p w:rsidR="0009088A" w:rsidRDefault="00E659FF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údajů </w:t>
      </w:r>
      <w:r w:rsidR="004110D6">
        <w:rPr>
          <w:rFonts w:ascii="Arial" w:hAnsi="Arial" w:cs="Arial"/>
          <w:sz w:val="20"/>
          <w:szCs w:val="20"/>
        </w:rPr>
        <w:t xml:space="preserve">o volební účasti </w:t>
      </w:r>
      <w:r>
        <w:rPr>
          <w:rFonts w:ascii="Arial" w:hAnsi="Arial" w:cs="Arial"/>
          <w:sz w:val="20"/>
          <w:szCs w:val="20"/>
        </w:rPr>
        <w:t xml:space="preserve">obsažených </w:t>
      </w:r>
      <w:r w:rsidR="004110D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v</w:t>
      </w:r>
      <w:r w:rsidR="004110D6">
        <w:rPr>
          <w:rFonts w:ascii="Arial" w:hAnsi="Arial" w:cs="Arial"/>
          <w:sz w:val="20"/>
          <w:szCs w:val="20"/>
        </w:rPr>
        <w:t xml:space="preserve"> této publikaci </w:t>
      </w:r>
      <w:r w:rsidR="0080652A">
        <w:rPr>
          <w:rFonts w:ascii="Arial" w:hAnsi="Arial" w:cs="Arial"/>
          <w:sz w:val="20"/>
          <w:szCs w:val="20"/>
        </w:rPr>
        <w:t>je patrné</w:t>
      </w:r>
      <w:r w:rsidR="004110D6">
        <w:rPr>
          <w:rFonts w:ascii="Arial" w:hAnsi="Arial" w:cs="Arial"/>
          <w:sz w:val="20"/>
          <w:szCs w:val="20"/>
        </w:rPr>
        <w:t>, že v České republice popularita voleb</w:t>
      </w:r>
      <w:r w:rsidR="00CF3BDF">
        <w:rPr>
          <w:rFonts w:ascii="Arial" w:hAnsi="Arial" w:cs="Arial"/>
          <w:sz w:val="20"/>
          <w:szCs w:val="20"/>
        </w:rPr>
        <w:t xml:space="preserve"> do EP</w:t>
      </w:r>
      <w:r w:rsidR="004110D6">
        <w:rPr>
          <w:rFonts w:ascii="Arial" w:hAnsi="Arial" w:cs="Arial"/>
          <w:sz w:val="20"/>
          <w:szCs w:val="20"/>
        </w:rPr>
        <w:t xml:space="preserve"> mezi voliči patří mezi nejnižší ze všech druhů voleb a navíc během let klesala. Také mezi ostatními členskými státy </w:t>
      </w:r>
      <w:r w:rsidR="00D23317">
        <w:rPr>
          <w:rFonts w:ascii="Arial" w:hAnsi="Arial" w:cs="Arial"/>
          <w:sz w:val="20"/>
          <w:szCs w:val="20"/>
        </w:rPr>
        <w:t>byla</w:t>
      </w:r>
      <w:r w:rsidR="004110D6">
        <w:rPr>
          <w:rFonts w:ascii="Arial" w:hAnsi="Arial" w:cs="Arial"/>
          <w:sz w:val="20"/>
          <w:szCs w:val="20"/>
        </w:rPr>
        <w:t xml:space="preserve"> po Polsku a Slovensku</w:t>
      </w:r>
      <w:r w:rsidR="00D23317" w:rsidRPr="00D23317">
        <w:rPr>
          <w:rFonts w:ascii="Arial" w:hAnsi="Arial" w:cs="Arial"/>
          <w:sz w:val="20"/>
          <w:szCs w:val="20"/>
        </w:rPr>
        <w:t xml:space="preserve"> </w:t>
      </w:r>
      <w:r w:rsidR="00D23317">
        <w:rPr>
          <w:rFonts w:ascii="Arial" w:hAnsi="Arial" w:cs="Arial"/>
          <w:sz w:val="20"/>
          <w:szCs w:val="20"/>
        </w:rPr>
        <w:t xml:space="preserve">třetí nejnižší. </w:t>
      </w:r>
    </w:p>
    <w:p w:rsidR="00E659FF" w:rsidRDefault="00D23317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Zájem kandidujících subjektů však rostl. Zatímco ve volbách v letech 2004 a 2009 se o jeden post europoslance ucházelo 25 kandidátů, v roce 2014 to bylo již 31 kandidátů. Kandidující subjekty nominovaly většinou kandidáty s politickou příslušností k vlastní straně. Počet kandidátů bez politické příslušnosti v roce 2014 </w:t>
      </w:r>
      <w:r w:rsidR="00A17355">
        <w:rPr>
          <w:rFonts w:ascii="Arial" w:hAnsi="Arial" w:cs="Arial"/>
          <w:sz w:val="20"/>
          <w:szCs w:val="20"/>
        </w:rPr>
        <w:t>oproti předchozím volbám klesl</w:t>
      </w:r>
      <w:r w:rsidR="0080652A">
        <w:rPr>
          <w:rFonts w:ascii="Arial" w:hAnsi="Arial" w:cs="Arial"/>
          <w:sz w:val="20"/>
          <w:szCs w:val="20"/>
        </w:rPr>
        <w:t>,</w:t>
      </w:r>
      <w:r w:rsidR="00A17355">
        <w:rPr>
          <w:rFonts w:ascii="Arial" w:hAnsi="Arial" w:cs="Arial"/>
          <w:sz w:val="20"/>
          <w:szCs w:val="20"/>
        </w:rPr>
        <w:t xml:space="preserve"> a to i přesto, že tradiční parlamentní strany vykazovaly opačný trend. Kandidátní listiny se ve všech volbách vyznačovaly poměrně nízkým zastoupením žen. Ženy kandidovaly více v mladších věkových kategoriích</w:t>
      </w:r>
      <w:r w:rsidR="00BB272C">
        <w:rPr>
          <w:rFonts w:ascii="Arial" w:hAnsi="Arial" w:cs="Arial"/>
          <w:sz w:val="20"/>
          <w:szCs w:val="20"/>
        </w:rPr>
        <w:t xml:space="preserve"> a měly také nižší průměrný věk než muži. </w:t>
      </w:r>
      <w:r>
        <w:rPr>
          <w:rFonts w:ascii="Arial" w:hAnsi="Arial" w:cs="Arial"/>
          <w:sz w:val="20"/>
          <w:szCs w:val="20"/>
        </w:rPr>
        <w:t xml:space="preserve"> </w:t>
      </w:r>
      <w:r w:rsidR="00DE4C5B">
        <w:rPr>
          <w:rFonts w:ascii="Arial" w:hAnsi="Arial" w:cs="Arial"/>
          <w:sz w:val="20"/>
          <w:szCs w:val="20"/>
        </w:rPr>
        <w:t>Více než 99 % kandidátů uvádělo státní příslušnost k ČR. Kandidujících občanů jiných států EU bylo pouze 15.</w:t>
      </w:r>
    </w:p>
    <w:p w:rsidR="00BB272C" w:rsidRDefault="00BB272C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výsledků voleb je patrný značný ústup úspěšnosti </w:t>
      </w:r>
      <w:r w:rsidR="00CF3BDF">
        <w:rPr>
          <w:rFonts w:ascii="Arial" w:hAnsi="Arial" w:cs="Arial"/>
          <w:sz w:val="20"/>
          <w:szCs w:val="20"/>
        </w:rPr>
        <w:t>„parlamentních“</w:t>
      </w:r>
      <w:r>
        <w:rPr>
          <w:rFonts w:ascii="Arial" w:hAnsi="Arial" w:cs="Arial"/>
          <w:sz w:val="20"/>
          <w:szCs w:val="20"/>
        </w:rPr>
        <w:t xml:space="preserve"> stran. Ve volbách v roce 2004 získaly čtyři </w:t>
      </w:r>
      <w:r w:rsidR="007B1EC0">
        <w:rPr>
          <w:rFonts w:ascii="Arial" w:hAnsi="Arial" w:cs="Arial"/>
          <w:sz w:val="20"/>
          <w:szCs w:val="20"/>
        </w:rPr>
        <w:t>tradiční</w:t>
      </w:r>
      <w:r>
        <w:rPr>
          <w:rFonts w:ascii="Arial" w:hAnsi="Arial" w:cs="Arial"/>
          <w:sz w:val="20"/>
          <w:szCs w:val="20"/>
        </w:rPr>
        <w:t xml:space="preserve"> </w:t>
      </w:r>
      <w:r w:rsidR="001B3C35">
        <w:rPr>
          <w:rFonts w:ascii="Arial" w:hAnsi="Arial" w:cs="Arial"/>
          <w:sz w:val="20"/>
          <w:szCs w:val="20"/>
        </w:rPr>
        <w:t xml:space="preserve">politické strany (ČSSD, KDU-ČSL, KSČM a ODS) 80 procent mandátů, v následujících volbách byly mandáty rozděleny pouze mezi tyto strany, ale v zatím posledních volbách do EP získaly necelých 60 procent mandátů. Největší propad zaznamenala ODS z 9 na 2 mandáty a ČSSD ze 7 na 4 mandáty. </w:t>
      </w:r>
      <w:r w:rsidR="001747CB">
        <w:rPr>
          <w:rFonts w:ascii="Arial" w:hAnsi="Arial" w:cs="Arial"/>
          <w:sz w:val="20"/>
          <w:szCs w:val="20"/>
        </w:rPr>
        <w:t>Na jejich úkor se prosadily nové politické subjekty ANO 2011 a</w:t>
      </w:r>
      <w:r w:rsidR="00B45815">
        <w:rPr>
          <w:rFonts w:ascii="Arial" w:hAnsi="Arial" w:cs="Arial"/>
          <w:sz w:val="20"/>
          <w:szCs w:val="20"/>
        </w:rPr>
        <w:t> </w:t>
      </w:r>
      <w:r w:rsidR="001747CB">
        <w:rPr>
          <w:rFonts w:ascii="Arial" w:hAnsi="Arial" w:cs="Arial"/>
          <w:sz w:val="20"/>
          <w:szCs w:val="20"/>
        </w:rPr>
        <w:t xml:space="preserve">TOP 09 spolu s hnutím STAROSTOVÉ A NEZÁVISLÍ. </w:t>
      </w:r>
    </w:p>
    <w:p w:rsidR="00B76BA8" w:rsidRDefault="00B76BA8" w:rsidP="00D0712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Vliv p</w:t>
      </w:r>
      <w:r w:rsidR="00A11D46">
        <w:rPr>
          <w:rFonts w:ascii="Arial" w:hAnsi="Arial" w:cs="Arial"/>
          <w:sz w:val="20"/>
          <w:szCs w:val="20"/>
        </w:rPr>
        <w:t>řednost</w:t>
      </w:r>
      <w:r>
        <w:rPr>
          <w:rFonts w:ascii="Arial" w:hAnsi="Arial" w:cs="Arial"/>
          <w:sz w:val="20"/>
          <w:szCs w:val="20"/>
        </w:rPr>
        <w:t xml:space="preserve">ních hlasů na výsledky voleb nebyl příliš patrný. Pouze tři poslanci během celého období se posunuli na základě vůle voličů z nevolitelného místa kandidátky </w:t>
      </w:r>
      <w:r w:rsidR="0009088A">
        <w:rPr>
          <w:rFonts w:ascii="Arial" w:hAnsi="Arial" w:cs="Arial"/>
          <w:sz w:val="20"/>
          <w:szCs w:val="20"/>
        </w:rPr>
        <w:t>na post europoslance.</w:t>
      </w:r>
    </w:p>
    <w:p w:rsidR="00D02FAE" w:rsidRPr="00A07847" w:rsidRDefault="000A3F96" w:rsidP="002647D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Všichni zvolení poslanci byli občany ČR. </w:t>
      </w:r>
      <w:r w:rsidR="00FF6BD5">
        <w:rPr>
          <w:rFonts w:ascii="Arial" w:hAnsi="Arial" w:cs="Arial"/>
          <w:sz w:val="20"/>
          <w:szCs w:val="20"/>
        </w:rPr>
        <w:t xml:space="preserve">Z celkového počtu zvolených poslanců </w:t>
      </w:r>
      <w:r>
        <w:rPr>
          <w:rFonts w:ascii="Arial" w:hAnsi="Arial" w:cs="Arial"/>
          <w:sz w:val="20"/>
          <w:szCs w:val="20"/>
        </w:rPr>
        <w:t>tvořily ženy pouze pětinu</w:t>
      </w:r>
      <w:r w:rsidR="00C90FA6">
        <w:rPr>
          <w:rFonts w:ascii="Arial" w:hAnsi="Arial" w:cs="Arial"/>
          <w:sz w:val="20"/>
          <w:szCs w:val="20"/>
        </w:rPr>
        <w:t xml:space="preserve">. </w:t>
      </w:r>
      <w:r w:rsidR="001D65E9">
        <w:rPr>
          <w:rFonts w:ascii="Arial" w:hAnsi="Arial" w:cs="Arial"/>
          <w:sz w:val="20"/>
          <w:szCs w:val="20"/>
        </w:rPr>
        <w:t>J</w:t>
      </w:r>
      <w:r w:rsidR="00D4172E">
        <w:rPr>
          <w:rFonts w:ascii="Arial" w:hAnsi="Arial" w:cs="Arial"/>
          <w:sz w:val="20"/>
          <w:szCs w:val="20"/>
        </w:rPr>
        <w:t>ejich průměrný věk během sledovaného období výrazně klesl</w:t>
      </w:r>
      <w:r w:rsidR="001D65E9">
        <w:rPr>
          <w:rFonts w:ascii="Arial" w:hAnsi="Arial" w:cs="Arial"/>
          <w:sz w:val="20"/>
          <w:szCs w:val="20"/>
        </w:rPr>
        <w:t xml:space="preserve">. V průměru byly o 6 let mladší než </w:t>
      </w:r>
      <w:r w:rsidR="00853393">
        <w:rPr>
          <w:rFonts w:ascii="Arial" w:hAnsi="Arial" w:cs="Arial"/>
          <w:sz w:val="20"/>
          <w:szCs w:val="20"/>
        </w:rPr>
        <w:t xml:space="preserve">zvolení </w:t>
      </w:r>
      <w:r w:rsidR="001D65E9">
        <w:rPr>
          <w:rFonts w:ascii="Arial" w:hAnsi="Arial" w:cs="Arial"/>
          <w:sz w:val="20"/>
          <w:szCs w:val="20"/>
        </w:rPr>
        <w:t>muži.</w:t>
      </w:r>
    </w:p>
    <w:sectPr w:rsidR="00D02FAE" w:rsidRPr="00A07847" w:rsidSect="00D01D48">
      <w:footerReference w:type="default" r:id="rId28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CC" w:rsidRDefault="00A71CCC" w:rsidP="00D01D48">
      <w:pPr>
        <w:spacing w:after="0" w:line="240" w:lineRule="auto"/>
      </w:pPr>
      <w:r>
        <w:separator/>
      </w:r>
    </w:p>
  </w:endnote>
  <w:endnote w:type="continuationSeparator" w:id="0">
    <w:p w:rsidR="00A71CCC" w:rsidRDefault="00A71CCC" w:rsidP="00D0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48" w:rsidRDefault="00D01D4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CC" w:rsidRDefault="00A71CCC" w:rsidP="00D01D48">
      <w:pPr>
        <w:spacing w:after="0" w:line="240" w:lineRule="auto"/>
      </w:pPr>
      <w:r>
        <w:separator/>
      </w:r>
    </w:p>
  </w:footnote>
  <w:footnote w:type="continuationSeparator" w:id="0">
    <w:p w:rsidR="00A71CCC" w:rsidRDefault="00A71CCC" w:rsidP="00D01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67E"/>
    <w:multiLevelType w:val="multilevel"/>
    <w:tmpl w:val="66D8D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A223F4"/>
    <w:multiLevelType w:val="hybridMultilevel"/>
    <w:tmpl w:val="93328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0520"/>
    <w:multiLevelType w:val="multilevel"/>
    <w:tmpl w:val="66D8D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62"/>
    <w:rsid w:val="00002177"/>
    <w:rsid w:val="0000397C"/>
    <w:rsid w:val="00025849"/>
    <w:rsid w:val="00025F62"/>
    <w:rsid w:val="000468AC"/>
    <w:rsid w:val="00052424"/>
    <w:rsid w:val="00071676"/>
    <w:rsid w:val="00073E8C"/>
    <w:rsid w:val="00081D7A"/>
    <w:rsid w:val="00082EDF"/>
    <w:rsid w:val="000847DB"/>
    <w:rsid w:val="000900B3"/>
    <w:rsid w:val="0009088A"/>
    <w:rsid w:val="0009410A"/>
    <w:rsid w:val="000A0A30"/>
    <w:rsid w:val="000A3F96"/>
    <w:rsid w:val="000A5ED9"/>
    <w:rsid w:val="000B09AC"/>
    <w:rsid w:val="000C360E"/>
    <w:rsid w:val="000C704D"/>
    <w:rsid w:val="000D1615"/>
    <w:rsid w:val="000D2BBC"/>
    <w:rsid w:val="000D2C24"/>
    <w:rsid w:val="000D7F3F"/>
    <w:rsid w:val="000E5391"/>
    <w:rsid w:val="000E5D32"/>
    <w:rsid w:val="000F31DF"/>
    <w:rsid w:val="000F62F0"/>
    <w:rsid w:val="00107D9A"/>
    <w:rsid w:val="00117985"/>
    <w:rsid w:val="00125689"/>
    <w:rsid w:val="00133053"/>
    <w:rsid w:val="001415C4"/>
    <w:rsid w:val="00141910"/>
    <w:rsid w:val="001610D0"/>
    <w:rsid w:val="0016152A"/>
    <w:rsid w:val="001747CB"/>
    <w:rsid w:val="001747D0"/>
    <w:rsid w:val="001768E5"/>
    <w:rsid w:val="001836E3"/>
    <w:rsid w:val="0018798F"/>
    <w:rsid w:val="0019179C"/>
    <w:rsid w:val="00191CFF"/>
    <w:rsid w:val="00192376"/>
    <w:rsid w:val="001979EE"/>
    <w:rsid w:val="001A4ED8"/>
    <w:rsid w:val="001B3C35"/>
    <w:rsid w:val="001B7B05"/>
    <w:rsid w:val="001C2BDD"/>
    <w:rsid w:val="001C4F6E"/>
    <w:rsid w:val="001C6E53"/>
    <w:rsid w:val="001D65E9"/>
    <w:rsid w:val="001E3377"/>
    <w:rsid w:val="001F1457"/>
    <w:rsid w:val="001F77DC"/>
    <w:rsid w:val="00200AA6"/>
    <w:rsid w:val="00206655"/>
    <w:rsid w:val="002169A7"/>
    <w:rsid w:val="0021795A"/>
    <w:rsid w:val="002208DE"/>
    <w:rsid w:val="0023143D"/>
    <w:rsid w:val="002369B3"/>
    <w:rsid w:val="002451A2"/>
    <w:rsid w:val="00256AB1"/>
    <w:rsid w:val="002647D1"/>
    <w:rsid w:val="002651A7"/>
    <w:rsid w:val="00284D5F"/>
    <w:rsid w:val="00285DFF"/>
    <w:rsid w:val="0029321B"/>
    <w:rsid w:val="002941B2"/>
    <w:rsid w:val="00295920"/>
    <w:rsid w:val="00295983"/>
    <w:rsid w:val="002965F0"/>
    <w:rsid w:val="002A0A99"/>
    <w:rsid w:val="002D0D0F"/>
    <w:rsid w:val="002D5C42"/>
    <w:rsid w:val="002D6A27"/>
    <w:rsid w:val="002E037D"/>
    <w:rsid w:val="002F0DA7"/>
    <w:rsid w:val="00300833"/>
    <w:rsid w:val="003029E6"/>
    <w:rsid w:val="00306657"/>
    <w:rsid w:val="003158FE"/>
    <w:rsid w:val="003361DB"/>
    <w:rsid w:val="003414AE"/>
    <w:rsid w:val="00361E8A"/>
    <w:rsid w:val="00371A07"/>
    <w:rsid w:val="003746C6"/>
    <w:rsid w:val="003763DE"/>
    <w:rsid w:val="00383F82"/>
    <w:rsid w:val="0039641A"/>
    <w:rsid w:val="003A087D"/>
    <w:rsid w:val="003D0AFD"/>
    <w:rsid w:val="003D19C3"/>
    <w:rsid w:val="003F329B"/>
    <w:rsid w:val="003F4DD1"/>
    <w:rsid w:val="00401CEF"/>
    <w:rsid w:val="0040244E"/>
    <w:rsid w:val="00403564"/>
    <w:rsid w:val="00405CCD"/>
    <w:rsid w:val="004110D6"/>
    <w:rsid w:val="00414B8C"/>
    <w:rsid w:val="0042072E"/>
    <w:rsid w:val="00421952"/>
    <w:rsid w:val="00422525"/>
    <w:rsid w:val="00424E61"/>
    <w:rsid w:val="004268F7"/>
    <w:rsid w:val="004273C6"/>
    <w:rsid w:val="00431B7A"/>
    <w:rsid w:val="004350A9"/>
    <w:rsid w:val="0044214C"/>
    <w:rsid w:val="00442B22"/>
    <w:rsid w:val="00447045"/>
    <w:rsid w:val="00452C5C"/>
    <w:rsid w:val="00455715"/>
    <w:rsid w:val="00460FF5"/>
    <w:rsid w:val="00462758"/>
    <w:rsid w:val="0047002F"/>
    <w:rsid w:val="00471001"/>
    <w:rsid w:val="004719E1"/>
    <w:rsid w:val="0048011D"/>
    <w:rsid w:val="004916BE"/>
    <w:rsid w:val="004A2EFC"/>
    <w:rsid w:val="004A3114"/>
    <w:rsid w:val="004B19F1"/>
    <w:rsid w:val="004B1B44"/>
    <w:rsid w:val="004B2480"/>
    <w:rsid w:val="004B2D18"/>
    <w:rsid w:val="004B66B7"/>
    <w:rsid w:val="004C6F90"/>
    <w:rsid w:val="004D0191"/>
    <w:rsid w:val="004D2F7A"/>
    <w:rsid w:val="004E43C1"/>
    <w:rsid w:val="004E5BE4"/>
    <w:rsid w:val="004F4011"/>
    <w:rsid w:val="004F4254"/>
    <w:rsid w:val="004F4F1A"/>
    <w:rsid w:val="00500BD2"/>
    <w:rsid w:val="00502C35"/>
    <w:rsid w:val="0052284C"/>
    <w:rsid w:val="005254C8"/>
    <w:rsid w:val="0053674D"/>
    <w:rsid w:val="00536F7F"/>
    <w:rsid w:val="00547332"/>
    <w:rsid w:val="00552403"/>
    <w:rsid w:val="00555911"/>
    <w:rsid w:val="00570EDA"/>
    <w:rsid w:val="00572649"/>
    <w:rsid w:val="005805BB"/>
    <w:rsid w:val="005857E9"/>
    <w:rsid w:val="005952B3"/>
    <w:rsid w:val="005A467D"/>
    <w:rsid w:val="005C2383"/>
    <w:rsid w:val="005C3200"/>
    <w:rsid w:val="005C6F02"/>
    <w:rsid w:val="005D64BF"/>
    <w:rsid w:val="00600D0B"/>
    <w:rsid w:val="00601307"/>
    <w:rsid w:val="0060246D"/>
    <w:rsid w:val="00613946"/>
    <w:rsid w:val="00617861"/>
    <w:rsid w:val="00621728"/>
    <w:rsid w:val="006343E2"/>
    <w:rsid w:val="00635606"/>
    <w:rsid w:val="006431B7"/>
    <w:rsid w:val="00645FFD"/>
    <w:rsid w:val="0065659E"/>
    <w:rsid w:val="00660A45"/>
    <w:rsid w:val="006661C8"/>
    <w:rsid w:val="00672278"/>
    <w:rsid w:val="00685331"/>
    <w:rsid w:val="00687A56"/>
    <w:rsid w:val="00690A04"/>
    <w:rsid w:val="00696594"/>
    <w:rsid w:val="006A0A12"/>
    <w:rsid w:val="006C01B7"/>
    <w:rsid w:val="006C7F51"/>
    <w:rsid w:val="006D1C06"/>
    <w:rsid w:val="006D29CA"/>
    <w:rsid w:val="006D42B5"/>
    <w:rsid w:val="006D7764"/>
    <w:rsid w:val="006E13CA"/>
    <w:rsid w:val="006E35CF"/>
    <w:rsid w:val="006E5AA7"/>
    <w:rsid w:val="00706969"/>
    <w:rsid w:val="00707143"/>
    <w:rsid w:val="007120E6"/>
    <w:rsid w:val="00721ED7"/>
    <w:rsid w:val="00722CCC"/>
    <w:rsid w:val="00723E3A"/>
    <w:rsid w:val="00731EF8"/>
    <w:rsid w:val="0073591A"/>
    <w:rsid w:val="00744B88"/>
    <w:rsid w:val="007513A1"/>
    <w:rsid w:val="00763733"/>
    <w:rsid w:val="00765AC4"/>
    <w:rsid w:val="00775512"/>
    <w:rsid w:val="00783764"/>
    <w:rsid w:val="00796FED"/>
    <w:rsid w:val="007A4D1B"/>
    <w:rsid w:val="007B1EC0"/>
    <w:rsid w:val="007B59E2"/>
    <w:rsid w:val="007C1C9C"/>
    <w:rsid w:val="007C4E0C"/>
    <w:rsid w:val="007C7B73"/>
    <w:rsid w:val="007D6654"/>
    <w:rsid w:val="007E0331"/>
    <w:rsid w:val="007E64B5"/>
    <w:rsid w:val="007F7376"/>
    <w:rsid w:val="008040E2"/>
    <w:rsid w:val="0080652A"/>
    <w:rsid w:val="00810FFD"/>
    <w:rsid w:val="00811D48"/>
    <w:rsid w:val="0082045E"/>
    <w:rsid w:val="008262A7"/>
    <w:rsid w:val="00833560"/>
    <w:rsid w:val="008512A7"/>
    <w:rsid w:val="00853393"/>
    <w:rsid w:val="00853D7D"/>
    <w:rsid w:val="00864346"/>
    <w:rsid w:val="00875B91"/>
    <w:rsid w:val="00884414"/>
    <w:rsid w:val="008A08CD"/>
    <w:rsid w:val="008A564F"/>
    <w:rsid w:val="008B3C78"/>
    <w:rsid w:val="008B7684"/>
    <w:rsid w:val="008C1269"/>
    <w:rsid w:val="008D524F"/>
    <w:rsid w:val="008D5C0D"/>
    <w:rsid w:val="008D61AA"/>
    <w:rsid w:val="00900EA7"/>
    <w:rsid w:val="009037B0"/>
    <w:rsid w:val="009074A5"/>
    <w:rsid w:val="00915A3A"/>
    <w:rsid w:val="00930C16"/>
    <w:rsid w:val="00931E25"/>
    <w:rsid w:val="00934B45"/>
    <w:rsid w:val="009376BD"/>
    <w:rsid w:val="009439B9"/>
    <w:rsid w:val="00952202"/>
    <w:rsid w:val="00976F52"/>
    <w:rsid w:val="009924DE"/>
    <w:rsid w:val="0099298A"/>
    <w:rsid w:val="009962DD"/>
    <w:rsid w:val="009A3928"/>
    <w:rsid w:val="009B0B0B"/>
    <w:rsid w:val="009B3C9F"/>
    <w:rsid w:val="009C24E7"/>
    <w:rsid w:val="009C6D7C"/>
    <w:rsid w:val="009D4A5B"/>
    <w:rsid w:val="009E59FA"/>
    <w:rsid w:val="00A07847"/>
    <w:rsid w:val="00A1066C"/>
    <w:rsid w:val="00A11D46"/>
    <w:rsid w:val="00A13E33"/>
    <w:rsid w:val="00A17355"/>
    <w:rsid w:val="00A178D8"/>
    <w:rsid w:val="00A2652E"/>
    <w:rsid w:val="00A31FF6"/>
    <w:rsid w:val="00A5065F"/>
    <w:rsid w:val="00A561C7"/>
    <w:rsid w:val="00A60D36"/>
    <w:rsid w:val="00A61681"/>
    <w:rsid w:val="00A640E2"/>
    <w:rsid w:val="00A64937"/>
    <w:rsid w:val="00A71CCC"/>
    <w:rsid w:val="00A71F17"/>
    <w:rsid w:val="00A82C19"/>
    <w:rsid w:val="00A84877"/>
    <w:rsid w:val="00A9053A"/>
    <w:rsid w:val="00AA492F"/>
    <w:rsid w:val="00AA4EFD"/>
    <w:rsid w:val="00AA52BF"/>
    <w:rsid w:val="00AA5723"/>
    <w:rsid w:val="00AA6E3A"/>
    <w:rsid w:val="00AB0508"/>
    <w:rsid w:val="00AB3F7C"/>
    <w:rsid w:val="00AD11D9"/>
    <w:rsid w:val="00AD57E1"/>
    <w:rsid w:val="00AE3EBD"/>
    <w:rsid w:val="00AE7960"/>
    <w:rsid w:val="00AF233C"/>
    <w:rsid w:val="00AF38E7"/>
    <w:rsid w:val="00AF483A"/>
    <w:rsid w:val="00AF5585"/>
    <w:rsid w:val="00B04C21"/>
    <w:rsid w:val="00B158FA"/>
    <w:rsid w:val="00B20E9A"/>
    <w:rsid w:val="00B26DCD"/>
    <w:rsid w:val="00B31A7F"/>
    <w:rsid w:val="00B45815"/>
    <w:rsid w:val="00B4695A"/>
    <w:rsid w:val="00B55913"/>
    <w:rsid w:val="00B56FA7"/>
    <w:rsid w:val="00B5708A"/>
    <w:rsid w:val="00B62271"/>
    <w:rsid w:val="00B63A1A"/>
    <w:rsid w:val="00B67F44"/>
    <w:rsid w:val="00B76BA8"/>
    <w:rsid w:val="00B8566D"/>
    <w:rsid w:val="00B877CA"/>
    <w:rsid w:val="00B90449"/>
    <w:rsid w:val="00B94BA6"/>
    <w:rsid w:val="00BA0201"/>
    <w:rsid w:val="00BA49A2"/>
    <w:rsid w:val="00BA5C9B"/>
    <w:rsid w:val="00BA781D"/>
    <w:rsid w:val="00BB1334"/>
    <w:rsid w:val="00BB272C"/>
    <w:rsid w:val="00BB29EB"/>
    <w:rsid w:val="00BB2AD7"/>
    <w:rsid w:val="00BC23D4"/>
    <w:rsid w:val="00BD191D"/>
    <w:rsid w:val="00BE34CB"/>
    <w:rsid w:val="00BF55D2"/>
    <w:rsid w:val="00BF5FB3"/>
    <w:rsid w:val="00C034BB"/>
    <w:rsid w:val="00C0364D"/>
    <w:rsid w:val="00C10DCC"/>
    <w:rsid w:val="00C13D7F"/>
    <w:rsid w:val="00C13F8E"/>
    <w:rsid w:val="00C16D03"/>
    <w:rsid w:val="00C17068"/>
    <w:rsid w:val="00C34DB4"/>
    <w:rsid w:val="00C37B3B"/>
    <w:rsid w:val="00C436DF"/>
    <w:rsid w:val="00C56575"/>
    <w:rsid w:val="00C64A98"/>
    <w:rsid w:val="00C74C56"/>
    <w:rsid w:val="00C76F92"/>
    <w:rsid w:val="00C82B55"/>
    <w:rsid w:val="00C90FA6"/>
    <w:rsid w:val="00C91483"/>
    <w:rsid w:val="00C9349F"/>
    <w:rsid w:val="00C94B6F"/>
    <w:rsid w:val="00CB1BC7"/>
    <w:rsid w:val="00CC5AF2"/>
    <w:rsid w:val="00CD3D09"/>
    <w:rsid w:val="00CD3FF4"/>
    <w:rsid w:val="00CD54A1"/>
    <w:rsid w:val="00CE402F"/>
    <w:rsid w:val="00CE77A2"/>
    <w:rsid w:val="00CF3BDF"/>
    <w:rsid w:val="00CF5394"/>
    <w:rsid w:val="00CF7340"/>
    <w:rsid w:val="00CF7CDB"/>
    <w:rsid w:val="00D01D48"/>
    <w:rsid w:val="00D02FAE"/>
    <w:rsid w:val="00D07127"/>
    <w:rsid w:val="00D118EE"/>
    <w:rsid w:val="00D11B26"/>
    <w:rsid w:val="00D20D63"/>
    <w:rsid w:val="00D23317"/>
    <w:rsid w:val="00D40856"/>
    <w:rsid w:val="00D4172E"/>
    <w:rsid w:val="00D44067"/>
    <w:rsid w:val="00D60359"/>
    <w:rsid w:val="00D66201"/>
    <w:rsid w:val="00D66978"/>
    <w:rsid w:val="00D74175"/>
    <w:rsid w:val="00D754E7"/>
    <w:rsid w:val="00D77701"/>
    <w:rsid w:val="00D82222"/>
    <w:rsid w:val="00D82E3E"/>
    <w:rsid w:val="00D90FEF"/>
    <w:rsid w:val="00D924DF"/>
    <w:rsid w:val="00D9275A"/>
    <w:rsid w:val="00D93315"/>
    <w:rsid w:val="00DA1F11"/>
    <w:rsid w:val="00DA21B2"/>
    <w:rsid w:val="00DA504A"/>
    <w:rsid w:val="00DA59EB"/>
    <w:rsid w:val="00DA6DC3"/>
    <w:rsid w:val="00DB0E67"/>
    <w:rsid w:val="00DB4F56"/>
    <w:rsid w:val="00DC03F2"/>
    <w:rsid w:val="00DC4DD5"/>
    <w:rsid w:val="00DD2971"/>
    <w:rsid w:val="00DE4BE5"/>
    <w:rsid w:val="00DE4C5B"/>
    <w:rsid w:val="00DF412B"/>
    <w:rsid w:val="00DF473A"/>
    <w:rsid w:val="00E04625"/>
    <w:rsid w:val="00E060EB"/>
    <w:rsid w:val="00E071AE"/>
    <w:rsid w:val="00E132C9"/>
    <w:rsid w:val="00E1455D"/>
    <w:rsid w:val="00E15A93"/>
    <w:rsid w:val="00E16263"/>
    <w:rsid w:val="00E2568D"/>
    <w:rsid w:val="00E26E80"/>
    <w:rsid w:val="00E331FA"/>
    <w:rsid w:val="00E379CF"/>
    <w:rsid w:val="00E430EE"/>
    <w:rsid w:val="00E44B03"/>
    <w:rsid w:val="00E501EF"/>
    <w:rsid w:val="00E57CCF"/>
    <w:rsid w:val="00E659FF"/>
    <w:rsid w:val="00EA211F"/>
    <w:rsid w:val="00EA6009"/>
    <w:rsid w:val="00EB1610"/>
    <w:rsid w:val="00EB378C"/>
    <w:rsid w:val="00EC2946"/>
    <w:rsid w:val="00ED07D7"/>
    <w:rsid w:val="00ED7E80"/>
    <w:rsid w:val="00EE1506"/>
    <w:rsid w:val="00F151BA"/>
    <w:rsid w:val="00F2521C"/>
    <w:rsid w:val="00F42834"/>
    <w:rsid w:val="00F5583C"/>
    <w:rsid w:val="00F57AAB"/>
    <w:rsid w:val="00F613B3"/>
    <w:rsid w:val="00F64D00"/>
    <w:rsid w:val="00F6561F"/>
    <w:rsid w:val="00F7104A"/>
    <w:rsid w:val="00F72526"/>
    <w:rsid w:val="00F83003"/>
    <w:rsid w:val="00F84ADF"/>
    <w:rsid w:val="00F95E91"/>
    <w:rsid w:val="00FA4762"/>
    <w:rsid w:val="00FB1D39"/>
    <w:rsid w:val="00FB4624"/>
    <w:rsid w:val="00FB503A"/>
    <w:rsid w:val="00FC0499"/>
    <w:rsid w:val="00FD24C7"/>
    <w:rsid w:val="00FD5919"/>
    <w:rsid w:val="00FE583C"/>
    <w:rsid w:val="00FF68CA"/>
    <w:rsid w:val="00FF6BD5"/>
    <w:rsid w:val="00FF746F"/>
    <w:rsid w:val="00FF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5F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2C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4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F4D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0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1D48"/>
  </w:style>
  <w:style w:type="paragraph" w:styleId="Zpat">
    <w:name w:val="footer"/>
    <w:basedOn w:val="Normln"/>
    <w:link w:val="ZpatChar"/>
    <w:uiPriority w:val="99"/>
    <w:unhideWhenUsed/>
    <w:rsid w:val="00D0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hart" Target="charts/chart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\MY\pr&#367;m&#283;rn&#253;%20v&#283;k%20poslanc&#3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tx>
            <c:strRef>
              <c:f>List1!$C$2</c:f>
              <c:strCache>
                <c:ptCount val="1"/>
                <c:pt idx="0">
                  <c:v>muži</c:v>
                </c:pt>
              </c:strCache>
            </c:strRef>
          </c:tx>
          <c:cat>
            <c:strRef>
              <c:f>List1!$B$3:$B$6</c:f>
              <c:strCache>
                <c:ptCount val="4"/>
                <c:pt idx="0">
                  <c:v>2004</c:v>
                </c:pt>
                <c:pt idx="1">
                  <c:v>2009</c:v>
                </c:pt>
                <c:pt idx="2">
                  <c:v>2014</c:v>
                </c:pt>
                <c:pt idx="3">
                  <c:v>úhrnem
 2004 až 2014</c:v>
                </c:pt>
              </c:strCache>
            </c:strRef>
          </c:cat>
          <c:val>
            <c:numRef>
              <c:f>List1!$C$3:$C$6</c:f>
              <c:numCache>
                <c:formatCode>0.00</c:formatCode>
                <c:ptCount val="4"/>
                <c:pt idx="0">
                  <c:v>49.42</c:v>
                </c:pt>
                <c:pt idx="1">
                  <c:v>50.78</c:v>
                </c:pt>
                <c:pt idx="2">
                  <c:v>49</c:v>
                </c:pt>
                <c:pt idx="3">
                  <c:v>49.75</c:v>
                </c:pt>
              </c:numCache>
            </c:numRef>
          </c:val>
        </c:ser>
        <c:ser>
          <c:idx val="1"/>
          <c:order val="1"/>
          <c:tx>
            <c:strRef>
              <c:f>List1!$D$2</c:f>
              <c:strCache>
                <c:ptCount val="1"/>
                <c:pt idx="0">
                  <c:v>ženy</c:v>
                </c:pt>
              </c:strCache>
            </c:strRef>
          </c:tx>
          <c:cat>
            <c:strRef>
              <c:f>List1!$B$3:$B$6</c:f>
              <c:strCache>
                <c:ptCount val="4"/>
                <c:pt idx="0">
                  <c:v>2004</c:v>
                </c:pt>
                <c:pt idx="1">
                  <c:v>2009</c:v>
                </c:pt>
                <c:pt idx="2">
                  <c:v>2014</c:v>
                </c:pt>
                <c:pt idx="3">
                  <c:v>úhrnem
 2004 až 2014</c:v>
                </c:pt>
              </c:strCache>
            </c:strRef>
          </c:cat>
          <c:val>
            <c:numRef>
              <c:f>List1!$D$3:$D$6</c:f>
              <c:numCache>
                <c:formatCode>0.00</c:formatCode>
                <c:ptCount val="4"/>
                <c:pt idx="0">
                  <c:v>47.2</c:v>
                </c:pt>
                <c:pt idx="1">
                  <c:v>44.75</c:v>
                </c:pt>
                <c:pt idx="2">
                  <c:v>40.800000000000004</c:v>
                </c:pt>
                <c:pt idx="3">
                  <c:v>44.21</c:v>
                </c:pt>
              </c:numCache>
            </c:numRef>
          </c:val>
        </c:ser>
        <c:ser>
          <c:idx val="2"/>
          <c:order val="2"/>
          <c:tx>
            <c:strRef>
              <c:f>List1!$E$2</c:f>
              <c:strCache>
                <c:ptCount val="1"/>
                <c:pt idx="0">
                  <c:v>celkem</c:v>
                </c:pt>
              </c:strCache>
            </c:strRef>
          </c:tx>
          <c:cat>
            <c:strRef>
              <c:f>List1!$B$3:$B$6</c:f>
              <c:strCache>
                <c:ptCount val="4"/>
                <c:pt idx="0">
                  <c:v>2004</c:v>
                </c:pt>
                <c:pt idx="1">
                  <c:v>2009</c:v>
                </c:pt>
                <c:pt idx="2">
                  <c:v>2014</c:v>
                </c:pt>
                <c:pt idx="3">
                  <c:v>úhrnem
 2004 až 2014</c:v>
                </c:pt>
              </c:strCache>
            </c:strRef>
          </c:cat>
          <c:val>
            <c:numRef>
              <c:f>List1!$E$3:$E$6</c:f>
              <c:numCache>
                <c:formatCode>0.00</c:formatCode>
                <c:ptCount val="4"/>
                <c:pt idx="0">
                  <c:v>48.96</c:v>
                </c:pt>
                <c:pt idx="1">
                  <c:v>49.68</c:v>
                </c:pt>
                <c:pt idx="2">
                  <c:v>47.05</c:v>
                </c:pt>
                <c:pt idx="3">
                  <c:v>48.6</c:v>
                </c:pt>
              </c:numCache>
            </c:numRef>
          </c:val>
        </c:ser>
        <c:axId val="103966592"/>
        <c:axId val="103968128"/>
      </c:barChart>
      <c:catAx>
        <c:axId val="10396659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103968128"/>
        <c:crosses val="autoZero"/>
        <c:auto val="1"/>
        <c:lblAlgn val="ctr"/>
        <c:lblOffset val="100"/>
      </c:catAx>
      <c:valAx>
        <c:axId val="103968128"/>
        <c:scaling>
          <c:orientation val="minMax"/>
          <c:max val="51"/>
          <c:min val="39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Věk</a:t>
                </a:r>
              </a:p>
            </c:rich>
          </c:tx>
          <c:layout>
            <c:manualLayout>
              <c:xMode val="edge"/>
              <c:yMode val="edge"/>
              <c:x val="1.3097576948264586E-2"/>
              <c:y val="0.3891108923884584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b="1"/>
            </a:pPr>
            <a:endParaRPr lang="cs-CZ"/>
          </a:p>
        </c:txPr>
        <c:crossAx val="103966592"/>
        <c:crosses val="autoZero"/>
        <c:crossBetween val="between"/>
        <c:majorUnit val="1"/>
      </c:valAx>
    </c:plotArea>
    <c:legend>
      <c:legendPos val="r"/>
      <c:spPr>
        <a:noFill/>
        <a:ln w="9525">
          <a:solidFill>
            <a:sysClr val="windowText" lastClr="000000"/>
          </a:solidFill>
        </a:ln>
      </c:spPr>
      <c:txPr>
        <a:bodyPr/>
        <a:lstStyle/>
        <a:p>
          <a:pPr>
            <a:defRPr b="0"/>
          </a:pPr>
          <a:endParaRPr lang="cs-CZ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41F01-6DD9-4BED-9807-A5B17926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3374</Words>
  <Characters>19371</Characters>
  <Application>Microsoft Office Word</Application>
  <DocSecurity>0</DocSecurity>
  <Lines>269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18</cp:revision>
  <cp:lastPrinted>2015-09-24T10:23:00Z</cp:lastPrinted>
  <dcterms:created xsi:type="dcterms:W3CDTF">2015-09-22T08:39:00Z</dcterms:created>
  <dcterms:modified xsi:type="dcterms:W3CDTF">2015-09-25T11:05:00Z</dcterms:modified>
</cp:coreProperties>
</file>