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B4" w:rsidRDefault="00CE73B4" w:rsidP="00CE73B4">
      <w:pPr>
        <w:pStyle w:val="NadpisS1"/>
      </w:pPr>
      <w:bookmarkStart w:id="0" w:name="_Toc431532100"/>
      <w:r w:rsidRPr="004638FA">
        <w:t>3. Domácnosti a bydlení seniorů</w:t>
      </w:r>
      <w:bookmarkEnd w:id="0"/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Údaje o domácnostech jsou zpracovány z výsledků sčítání podle zápisů na bytovém listu. Osoby žijící v jednom bytě zde zaznamenaly příbuzenské a jiné vztahy v rámci jedné hospodařící </w:t>
      </w:r>
      <w:r w:rsidRPr="007D3277">
        <w:rPr>
          <w:rFonts w:cs="Arial"/>
          <w:szCs w:val="20"/>
        </w:rPr>
        <w:t>domácnosti.</w:t>
      </w:r>
      <w:r w:rsidRPr="007D3277">
        <w:t xml:space="preserve"> </w:t>
      </w:r>
      <w:r w:rsidRPr="007D3277">
        <w:rPr>
          <w:rFonts w:cs="Arial"/>
          <w:b/>
          <w:szCs w:val="20"/>
        </w:rPr>
        <w:t>Bytovou domácnost</w:t>
      </w:r>
      <w:r w:rsidRPr="007D3277">
        <w:rPr>
          <w:rFonts w:cs="Arial"/>
          <w:szCs w:val="20"/>
        </w:rPr>
        <w:t xml:space="preserve"> tvoří osoby žijící společně v jednom bytě.</w:t>
      </w:r>
      <w:r>
        <w:rPr>
          <w:rFonts w:cs="Arial"/>
          <w:szCs w:val="20"/>
        </w:rPr>
        <w:t xml:space="preserve"> </w:t>
      </w:r>
      <w:r w:rsidRPr="007D3277">
        <w:rPr>
          <w:rFonts w:cs="Arial"/>
          <w:b/>
          <w:szCs w:val="20"/>
        </w:rPr>
        <w:t>Hospodařící domácnost</w:t>
      </w:r>
      <w:r w:rsidRPr="007D3277">
        <w:rPr>
          <w:rFonts w:cs="Arial"/>
          <w:szCs w:val="20"/>
        </w:rPr>
        <w:t xml:space="preserve"> tvoří osoby, které společně hospodaří, tj. společně hradí výdaje domácnosti, jako je strava, náklady na bydlení aj. Společné hospodaření se vztahuje i na děti, které do příslušné domácnosti patří, i když samy na výdaje domácnosti nepřispívají. Součástí rodinných domácností tvořených 1 rodinou mohou být i další jednotlivé osoby, pokud s rodinou společně hospodaří.</w: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 </w:t>
      </w:r>
      <w:r w:rsidRPr="00F26965">
        <w:rPr>
          <w:rFonts w:cs="Arial"/>
          <w:b/>
          <w:szCs w:val="20"/>
        </w:rPr>
        <w:t>domácnost</w:t>
      </w:r>
      <w:r>
        <w:rPr>
          <w:rFonts w:cs="Arial"/>
          <w:b/>
          <w:szCs w:val="20"/>
        </w:rPr>
        <w:t>i</w:t>
      </w:r>
      <w:r w:rsidRPr="00F26965">
        <w:rPr>
          <w:rFonts w:cs="Arial"/>
          <w:b/>
          <w:szCs w:val="20"/>
        </w:rPr>
        <w:t xml:space="preserve"> seniorů</w:t>
      </w:r>
      <w:r>
        <w:rPr>
          <w:rFonts w:cs="Arial"/>
          <w:szCs w:val="20"/>
        </w:rPr>
        <w:t xml:space="preserve"> jsou považovány všechny hospodařící domácnosti tvořené jednou rodinou (úplnou, neúplnou), domácnosti jednotlivců nebo domácnosti prarodičů s vnoučaty, a to vždy v případě, že osoba v čele domácnosti je ve věku 65 let a více.</w: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Podle výsledků SLDB 2011 bylo v Jihomoravském kraji </w:t>
      </w:r>
      <w:r w:rsidRPr="003C2F9C">
        <w:rPr>
          <w:rFonts w:cs="Arial"/>
          <w:b/>
          <w:szCs w:val="20"/>
        </w:rPr>
        <w:t>473,5 tisíc hospodařících domácností</w:t>
      </w:r>
      <w:r>
        <w:rPr>
          <w:rFonts w:cs="Arial"/>
          <w:szCs w:val="20"/>
        </w:rPr>
        <w:t xml:space="preserve">. Podle způsobu bydlení žilo 468,6 tisíc hospodařících domácností v bytech, 4,7 tisíc domácností mimo byty (nouzová obydlí, chaty, chalupy) a 228 hospodařících domácností žilo v zařízeních (svobodárny, domovy důchodců, ubytovny, koleje). </w: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 celkového počtu domácností hospodařících v bytech bylo </w:t>
      </w:r>
      <w:r w:rsidRPr="00675B54">
        <w:rPr>
          <w:rFonts w:cs="Arial"/>
          <w:szCs w:val="20"/>
        </w:rPr>
        <w:t>420,8 tisíc bytových domácnost</w:t>
      </w:r>
      <w:r>
        <w:rPr>
          <w:rFonts w:cs="Arial"/>
          <w:szCs w:val="20"/>
        </w:rPr>
        <w:t>í, v nichž</w:t>
      </w:r>
      <w:r w:rsidRPr="00675B54">
        <w:rPr>
          <w:rFonts w:cs="Arial"/>
          <w:szCs w:val="20"/>
        </w:rPr>
        <w:t xml:space="preserve"> byla pouze 1</w:t>
      </w:r>
      <w:r>
        <w:rPr>
          <w:rFonts w:cs="Arial"/>
          <w:szCs w:val="20"/>
        </w:rPr>
        <w:t> </w:t>
      </w:r>
      <w:r w:rsidRPr="00675B54">
        <w:rPr>
          <w:rFonts w:cs="Arial"/>
          <w:szCs w:val="20"/>
        </w:rPr>
        <w:t>hospodařící domácnost; ve 20,7 tisících bytových domácnostech byly 2 hospodařící domácnosti (celkem 41,4 tisíc hospodařících domácností) a 1,9 tisíc bytových domácností bylo tvořeno 3 a více hospodařícími domácnostmi (v součtu 6,4 tisíc hospodařících domácností).</w:t>
      </w:r>
    </w:p>
    <w:p w:rsidR="00CE73B4" w:rsidRDefault="00CE73B4" w:rsidP="00CE73B4">
      <w:pPr>
        <w:pStyle w:val="textS"/>
      </w:pPr>
      <w:r>
        <w:rPr>
          <w:rFonts w:cs="Arial"/>
          <w:szCs w:val="20"/>
        </w:rPr>
        <w:t>Podle typu bylo v kraji 233,5 tisíc hospodařících domácností tvořených jednou úplnou rodinou, 62,1 tisíc domácností tvořených jednou neúplnou rodinou, 10,5 tisíc hospodařících domácností bylo tvořeno dvěma a více rodinami, 145,1 tisíc domácností byly domácnosti jednotlivců a vícečlenných nerodinných domácností bylo 22,2 tisíc (z tohoto počtu bylo 2,6 tisíc domácností prarodičů s vnoučetem).</w:t>
      </w:r>
    </w:p>
    <w:p w:rsidR="00CE73B4" w:rsidRDefault="00CE73B4" w:rsidP="00CE73B4">
      <w:pPr>
        <w:pStyle w:val="textS"/>
      </w:pPr>
    </w:p>
    <w:p w:rsidR="00CE73B4" w:rsidRDefault="00CE73B4" w:rsidP="00CE73B4">
      <w:pPr>
        <w:pStyle w:val="NadpisS2"/>
      </w:pPr>
      <w:bookmarkStart w:id="1" w:name="_Toc431532101"/>
      <w:r w:rsidRPr="00D8245C">
        <w:t>Struktura domácností</w:t>
      </w:r>
      <w:bookmarkEnd w:id="1"/>
      <w:r w:rsidRPr="00D8245C">
        <w:t xml:space="preserve"> </w:t>
      </w:r>
    </w:p>
    <w:p w:rsidR="00CE73B4" w:rsidRPr="000A3910" w:rsidRDefault="00CE73B4" w:rsidP="00CE73B4">
      <w:pPr>
        <w:pStyle w:val="textS"/>
        <w:rPr>
          <w:b/>
        </w:rPr>
      </w:pPr>
      <w:r w:rsidRPr="000A3910">
        <w:rPr>
          <w:rFonts w:cs="Arial"/>
          <w:b/>
          <w:szCs w:val="20"/>
        </w:rPr>
        <w:t>V Jihomoravském kraji bylo v roce 2011 podle výsledků sčítání téměř 120 tisíc domácností seniorů. Největší část seniorských domácností tvořily domácnosti jednotlivců a domácnosti tvořené úplnou rodinou. Téměř 55 % domácností seniorů bydlelo v rodinných domech.</w: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Čtvrtinu z celkového počtu hospodařících domácností tvořily domácnosti seniorů, </w:t>
      </w:r>
      <w:r w:rsidRPr="009D7AE7">
        <w:rPr>
          <w:rFonts w:cs="Arial"/>
          <w:b/>
          <w:szCs w:val="20"/>
        </w:rPr>
        <w:t>119,1 tisíc domácností seniorů</w:t>
      </w:r>
      <w:r>
        <w:rPr>
          <w:rFonts w:cs="Arial"/>
          <w:szCs w:val="20"/>
        </w:rPr>
        <w:t xml:space="preserve"> představovalo 25,2 % celkového počtu domácností. Mezi domácnostmi seniorů podíl rodinných domácností mírně převyšoval podíl nerodinných domácností (53,3 % vs. 46,7 %). Ovšem v detailnějším členění domácností seniorů byly nejvýznamnější skupinou </w:t>
      </w:r>
      <w:r w:rsidRPr="009D7AE7">
        <w:rPr>
          <w:rFonts w:cs="Arial"/>
          <w:b/>
          <w:szCs w:val="20"/>
        </w:rPr>
        <w:t>domácnost</w:t>
      </w:r>
      <w:r>
        <w:rPr>
          <w:rFonts w:cs="Arial"/>
          <w:b/>
          <w:szCs w:val="20"/>
        </w:rPr>
        <w:t>í</w:t>
      </w:r>
      <w:r w:rsidRPr="009D7AE7">
        <w:rPr>
          <w:rFonts w:cs="Arial"/>
          <w:b/>
          <w:szCs w:val="20"/>
        </w:rPr>
        <w:t xml:space="preserve"> jednotlivců</w:t>
      </w:r>
      <w:r>
        <w:rPr>
          <w:rFonts w:cs="Arial"/>
          <w:szCs w:val="20"/>
        </w:rPr>
        <w:t xml:space="preserve"> – 53,5 tisíc domácností tvořilo 44,9 % počtu domácností seniorů a 36,9 % z celkového počtu domácností jednotlivců v kraji. Druhou největší skupinou mezi domácnostmi seniorů byly </w:t>
      </w:r>
      <w:r w:rsidRPr="0077289E">
        <w:rPr>
          <w:rFonts w:cs="Arial"/>
          <w:b/>
          <w:szCs w:val="20"/>
        </w:rPr>
        <w:t>domácnosti tvořené jednou úplnou rodinou</w:t>
      </w:r>
      <w:r>
        <w:rPr>
          <w:rFonts w:cs="Arial"/>
          <w:szCs w:val="20"/>
        </w:rPr>
        <w:t xml:space="preserve"> – 51,1 tisíc domácností tvořilo 42,9 % počtu domácností seniorů a 21,9 % z celkového počtu domácností tvořených jednou úplnou rodinou. </w:t>
      </w:r>
    </w:p>
    <w:p w:rsidR="00CE73B4" w:rsidRDefault="00CE73B4" w:rsidP="00CE73B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Tab. 3.1 </w:t>
      </w:r>
      <w:r w:rsidRPr="00B94824">
        <w:rPr>
          <w:rFonts w:cs="Arial"/>
          <w:b/>
          <w:szCs w:val="20"/>
        </w:rPr>
        <w:t>Hospodařící domácnosti seniorů</w:t>
      </w:r>
      <w:r w:rsidRPr="001E2F4F">
        <w:rPr>
          <w:rFonts w:cs="Arial"/>
          <w:b/>
          <w:szCs w:val="20"/>
          <w:vertAlign w:val="superscript"/>
        </w:rPr>
        <w:t>*)</w:t>
      </w:r>
      <w:r w:rsidRPr="00B94824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v Jihomoravském kraji </w:t>
      </w:r>
      <w:r w:rsidRPr="00B94824">
        <w:rPr>
          <w:rFonts w:cs="Arial"/>
          <w:b/>
          <w:szCs w:val="20"/>
        </w:rPr>
        <w:t>podle typu domácnosti</w:t>
      </w:r>
    </w:p>
    <w:p w:rsidR="00CE73B4" w:rsidRDefault="00CE73B4" w:rsidP="00CE73B4">
      <w:pPr>
        <w:jc w:val="both"/>
        <w:rPr>
          <w:rFonts w:cs="Arial"/>
          <w:szCs w:val="20"/>
        </w:rPr>
      </w:pPr>
      <w:r w:rsidRPr="009B2CB3">
        <w:rPr>
          <w:rFonts w:cs="Arial"/>
          <w:sz w:val="16"/>
          <w:szCs w:val="16"/>
        </w:rPr>
        <w:t>Zdroj: SLDB 2011</w:t>
      </w:r>
    </w:p>
    <w:p w:rsidR="00CE73B4" w:rsidRDefault="00053323" w:rsidP="00CE73B4">
      <w:pPr>
        <w:spacing w:after="120"/>
        <w:rPr>
          <w:noProof/>
          <w:szCs w:val="20"/>
        </w:rPr>
      </w:pPr>
      <w:r w:rsidRPr="00053323">
        <w:rPr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153.65pt;visibility:visible;mso-wrap-style:square">
            <v:imagedata r:id="rId8" o:title=""/>
          </v:shape>
        </w:pic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Co do počtu následovaly domácnosti seniorů tvořené </w:t>
      </w:r>
      <w:r w:rsidRPr="0077289E">
        <w:rPr>
          <w:rFonts w:cs="Arial"/>
          <w:b/>
          <w:szCs w:val="20"/>
        </w:rPr>
        <w:t xml:space="preserve">jednou neúplnou rodinou </w:t>
      </w:r>
      <w:r>
        <w:rPr>
          <w:rFonts w:cs="Arial"/>
          <w:szCs w:val="20"/>
        </w:rPr>
        <w:t xml:space="preserve">– 12,4 tisíc domácností představovalo 10,4 % počtu domácností seniorů a 20,0 % z celkového počtu domácností tvořených jednou </w:t>
      </w:r>
      <w:r>
        <w:rPr>
          <w:rFonts w:cs="Arial"/>
          <w:szCs w:val="20"/>
        </w:rPr>
        <w:lastRenderedPageBreak/>
        <w:t xml:space="preserve">neúplnou rodinou. Mezi domácnostmi seniorů bylo i 2 058 domácností, které byly tvořeny </w:t>
      </w:r>
      <w:r w:rsidRPr="0077289E">
        <w:rPr>
          <w:rFonts w:cs="Arial"/>
          <w:b/>
          <w:szCs w:val="20"/>
        </w:rPr>
        <w:t>prarodiči s vnoučaty</w:t>
      </w:r>
      <w:r>
        <w:rPr>
          <w:rFonts w:cs="Arial"/>
          <w:szCs w:val="20"/>
        </w:rPr>
        <w:t xml:space="preserve"> - 1,7 % domácností seniorů a 79,9 % celkového počtu domácností prarodičů s vnoučaty.</w: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Mezi domácnostmi seniorů tvořenými jednou úplnou rodinou bylo 33,8 tisíc domácností, ve kterých osoba v čele domácnosti měla 65 až 74 let, a 17,3 tisíc domácností, ve kterých osoba v čele domácnosti byla 75letá a starší (33,9 % počtu domácností seniorů tvořených jednou úplnou rodinou). Mezi domácnostmi seniorů tvořených jednou neúplnou rodinou bylo 5,9 tisíc domácností, ve kterých osoba v čele domácnosti měla 65 až 74 let, a 6,5 tisíc domácností, ve kterých osoba v čele domácnosti byla 75letá a starší (52,6 % počtu domácností seniorů tvořených jednou neúplnou rodinou).</w: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Bylo již uvedeno, že domácnosti seniorů tvořené jednou úplnou rodinou představovaly 21,9 % celkového počtu domácností tvořené jednou úplnou rodinou. Podle správních obvodů ORP v kraji byl nejvyšší podíl takových domácností v Brně (25,0 %) a v SO ORP Blansko (23,3 %), nejnižší v SO ORP Mikulov (18,4 %) a Židlochovice (19,0 %). K věkové struktuře úplných a neúplných rodin seniorů podle SO ORP lze uvést, že nejvyšší podíl domácností tvořených úplnou rodinou v čele s osobou 75letou a starší byl v Brně (37,0 %), nejnižší v SO ORP Mikulov (28,5 %). Nejvyšší podíl domácností tvořených neúplnou rodinou v čele s osobou 75letou a starší byl v SO ORP Slavkov u Brna (58,1 %), nejnižší v SO ORP Břeclav (49,0 %).</w:t>
      </w:r>
    </w:p>
    <w:p w:rsidR="00CE73B4" w:rsidRDefault="00053323" w:rsidP="00CE73B4">
      <w:pPr>
        <w:pStyle w:val="textS"/>
      </w:pPr>
      <w:r>
        <w:pict>
          <v:shape id="_x0000_i1026" type="#_x0000_t75" style="width:481.45pt;height:340.65pt">
            <v:imagedata r:id="rId9" o:title="3_1"/>
          </v:shape>
        </w:pic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Průměrné </w:t>
      </w:r>
      <w:r w:rsidRPr="00CA42DE">
        <w:rPr>
          <w:rFonts w:cs="Arial"/>
          <w:b/>
          <w:szCs w:val="20"/>
        </w:rPr>
        <w:t>počty členů domácnost</w:t>
      </w:r>
      <w:r>
        <w:rPr>
          <w:rFonts w:cs="Arial"/>
          <w:b/>
          <w:szCs w:val="20"/>
        </w:rPr>
        <w:t>í</w:t>
      </w:r>
      <w:r w:rsidRPr="00CA42DE">
        <w:rPr>
          <w:rFonts w:cs="Arial"/>
          <w:b/>
          <w:szCs w:val="20"/>
        </w:rPr>
        <w:t xml:space="preserve"> seniorů </w:t>
      </w:r>
      <w:r>
        <w:rPr>
          <w:rFonts w:cs="Arial"/>
          <w:szCs w:val="20"/>
        </w:rPr>
        <w:t xml:space="preserve">byly v porovnání s průměrem za domácnosti kraje celkem vždy nižší. V domácnosti seniorů v Jihomoravském kraji žilo v průměru 1,7 členů (v domácnosti celkem 2,4 členů), v domácnosti seniorů tvořené jednou úplnou rodinou bylo v průměru 2,3 členů (3,1 členů v celku) a jednou neúplnou rodinou 2,2 členů (2,6 členů v celku). Jen u počtu členů domácností prarodičů s vnoučaty byl rozdíl v počtu členů minimální – 2,3 členů v domácnostech seniorů a 2,4 členů za domácnosti celkem. </w:t>
      </w:r>
    </w:p>
    <w:p w:rsidR="00CE73B4" w:rsidRDefault="00CE73B4" w:rsidP="00CE73B4">
      <w:pPr>
        <w:spacing w:after="120"/>
        <w:jc w:val="both"/>
      </w:pPr>
      <w:r>
        <w:rPr>
          <w:rFonts w:cs="Arial"/>
          <w:szCs w:val="20"/>
        </w:rPr>
        <w:t xml:space="preserve">Z pohledu ekonomické aktivity členů domácnosti mezi domácnostmi seniorů vcelku nepřekvapí skutečnost, že téměř ve třech čtvrtinách z nich jsou </w:t>
      </w:r>
      <w:r w:rsidRPr="005F5AF1">
        <w:rPr>
          <w:rFonts w:cs="Arial"/>
          <w:b/>
          <w:szCs w:val="20"/>
        </w:rPr>
        <w:t>všichni členové domácnosti nepracující důchodci</w:t>
      </w:r>
      <w:r>
        <w:rPr>
          <w:rFonts w:cs="Arial"/>
          <w:szCs w:val="20"/>
        </w:rPr>
        <w:t xml:space="preserve"> – 86,4 tisíc domácností tvořilo 72,5 % z počtu domácností seniorů. V tomto počtu bylo 50,0 tisíc domácností jednotlivců - nepracujících důchodců a 34,1 tisíc úplných rodin, v nichž byli všichni členové domácnosti nepracující důchodci. Na druhé straně pouze 2 838 domácností seniorů bylo takových, že v nich </w:t>
      </w:r>
      <w:r w:rsidRPr="005F5AF1">
        <w:rPr>
          <w:rFonts w:cs="Arial"/>
          <w:b/>
          <w:szCs w:val="20"/>
        </w:rPr>
        <w:t>všichni členové byli v pozici pracujících důchodců</w:t>
      </w:r>
      <w:r>
        <w:rPr>
          <w:rFonts w:cs="Arial"/>
          <w:szCs w:val="20"/>
        </w:rPr>
        <w:t xml:space="preserve"> (2,4 % z počtu domácností seniorů). V tomto počtu bylo 2 204 domácností jednotlivců - pracujících důchodců, 629 úplných rodin, v nichž byli všichni členové domácnosti pracující důchodci a jen 5 neúplných rodin.</w:t>
      </w:r>
    </w:p>
    <w:p w:rsidR="00CE73B4" w:rsidRDefault="00CE73B4" w:rsidP="00CE73B4">
      <w:pPr>
        <w:pStyle w:val="textS"/>
        <w:spacing w:after="0"/>
        <w:jc w:val="left"/>
        <w:rPr>
          <w:rFonts w:cs="Arial"/>
          <w:b/>
          <w:szCs w:val="20"/>
        </w:rPr>
      </w:pPr>
      <w:r>
        <w:br w:type="page"/>
      </w:r>
      <w:r>
        <w:rPr>
          <w:rFonts w:cs="Arial"/>
          <w:b/>
          <w:szCs w:val="20"/>
        </w:rPr>
        <w:lastRenderedPageBreak/>
        <w:t xml:space="preserve">Tab. 3.2 </w:t>
      </w:r>
      <w:r w:rsidRPr="00B94824">
        <w:rPr>
          <w:rFonts w:cs="Arial"/>
          <w:b/>
          <w:szCs w:val="20"/>
        </w:rPr>
        <w:t>Hospodařící domácnosti seniorů</w:t>
      </w:r>
      <w:r w:rsidRPr="001E2F4F">
        <w:rPr>
          <w:rFonts w:cs="Arial"/>
          <w:b/>
          <w:szCs w:val="20"/>
          <w:vertAlign w:val="superscript"/>
        </w:rPr>
        <w:t>*)</w:t>
      </w:r>
      <w:r w:rsidRPr="00B94824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v Jihomoravském kraji</w:t>
      </w:r>
      <w:r w:rsidRPr="00B94824">
        <w:rPr>
          <w:rFonts w:cs="Arial"/>
          <w:b/>
          <w:szCs w:val="20"/>
        </w:rPr>
        <w:t xml:space="preserve"> podle způsobu bydlení</w:t>
      </w:r>
    </w:p>
    <w:p w:rsidR="00CE73B4" w:rsidRDefault="00CE73B4" w:rsidP="00CE73B4">
      <w:pPr>
        <w:jc w:val="both"/>
        <w:rPr>
          <w:rFonts w:cs="Arial"/>
          <w:szCs w:val="20"/>
        </w:rPr>
      </w:pPr>
      <w:r w:rsidRPr="009B2CB3">
        <w:rPr>
          <w:rFonts w:cs="Arial"/>
          <w:sz w:val="16"/>
          <w:szCs w:val="16"/>
        </w:rPr>
        <w:t>Zdroj: SLDB 2011</w:t>
      </w:r>
    </w:p>
    <w:p w:rsidR="00CE73B4" w:rsidRDefault="00634386" w:rsidP="00CE73B4">
      <w:pPr>
        <w:spacing w:after="120"/>
        <w:jc w:val="both"/>
        <w:rPr>
          <w:rFonts w:cs="Arial"/>
          <w:szCs w:val="20"/>
        </w:rPr>
      </w:pPr>
      <w:r w:rsidRPr="00053323">
        <w:rPr>
          <w:noProof/>
          <w:szCs w:val="20"/>
        </w:rPr>
        <w:pict>
          <v:shape id="_x0000_i1027" type="#_x0000_t75" style="width:479.3pt;height:169.8pt;visibility:visible;mso-wrap-style:square">
            <v:imagedata r:id="rId10" o:title=""/>
          </v:shape>
        </w:pic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Převážná </w:t>
      </w:r>
      <w:r w:rsidRPr="005F5AF1">
        <w:rPr>
          <w:rFonts w:cs="Arial"/>
          <w:b/>
          <w:szCs w:val="20"/>
        </w:rPr>
        <w:t>většina domácností seniorů bydlela v bytech</w:t>
      </w:r>
      <w:r>
        <w:rPr>
          <w:rFonts w:cs="Arial"/>
          <w:szCs w:val="20"/>
        </w:rPr>
        <w:t xml:space="preserve"> (99,5 % z celku). Ze 118,6 tisíc domácností seniorů v bytech bydlelo 65,0 tisíc domácností v rodinných domech, 51,7 tisíc domácností v bytech v bytových domech a 2,0 tisíc domácností v ostatních budovách. U všech typů domácností seniorů s výjimkou domácností prarodičů s vnoučetem převažoval ve způsobu bydlení podíl rodinných domů.</w:t>
      </w:r>
    </w:p>
    <w:p w:rsidR="00CE73B4" w:rsidRDefault="00CE73B4" w:rsidP="00CE73B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Graf 3.1 </w:t>
      </w:r>
      <w:r w:rsidRPr="00B94824">
        <w:rPr>
          <w:rFonts w:cs="Arial"/>
          <w:b/>
          <w:szCs w:val="20"/>
        </w:rPr>
        <w:t>Osoby ve věku 65 a více let v Jihomoravském kraji podle postavení v domácnosti, pohlaví</w:t>
      </w:r>
    </w:p>
    <w:p w:rsidR="00CE73B4" w:rsidRDefault="00CE73B4" w:rsidP="00CE73B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</w:t>
      </w:r>
      <w:r w:rsidRPr="00B94824">
        <w:rPr>
          <w:rFonts w:cs="Arial"/>
          <w:b/>
          <w:szCs w:val="20"/>
        </w:rPr>
        <w:t>a</w:t>
      </w:r>
      <w:r>
        <w:rPr>
          <w:rFonts w:cs="Arial"/>
          <w:b/>
          <w:szCs w:val="20"/>
        </w:rPr>
        <w:t> </w:t>
      </w:r>
      <w:r w:rsidRPr="00B94824">
        <w:rPr>
          <w:rFonts w:cs="Arial"/>
          <w:b/>
          <w:szCs w:val="20"/>
        </w:rPr>
        <w:t>věku podle SLDB 2011</w:t>
      </w:r>
    </w:p>
    <w:p w:rsidR="00CE73B4" w:rsidRDefault="00634386" w:rsidP="00CE73B4">
      <w:pPr>
        <w:spacing w:after="120"/>
        <w:jc w:val="both"/>
        <w:rPr>
          <w:rFonts w:cs="Arial"/>
          <w:szCs w:val="20"/>
        </w:rPr>
      </w:pPr>
      <w:r w:rsidRPr="00053323">
        <w:rPr>
          <w:szCs w:val="20"/>
        </w:rPr>
        <w:pict>
          <v:shape id="_x0000_i1028" type="#_x0000_t75" style="width:481.45pt;height:225.65pt">
            <v:imagedata r:id="rId11" o:title=""/>
          </v:shape>
        </w:pic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V domácnostech seniorů žilo celkem 202,6 tisíc členů, z nich 188,7 tisíc (93,1 %) bylo ve věku 65 a více let (75,3 tisíc mužů a 113,4 tisíc žen). Z pohledu postavení v domácnosti u mužů v celém věkovém spektru nejvyšší podíl tvořili muži, kteří žili v domácnosti v sezdaném či nesezdaném páru. U žen byla obdobná situace pouze do věku 75 let, u starších žen již pak převažoval podíl domácností jednotlivkyň.</w:t>
      </w:r>
    </w:p>
    <w:p w:rsidR="00CE73B4" w:rsidRDefault="00CE73B4" w:rsidP="00CE73B4">
      <w:pPr>
        <w:pStyle w:val="textS"/>
      </w:pPr>
    </w:p>
    <w:p w:rsidR="00CE73B4" w:rsidRDefault="00CE73B4" w:rsidP="00CE73B4">
      <w:pPr>
        <w:pStyle w:val="NadpisS2"/>
      </w:pPr>
      <w:bookmarkStart w:id="2" w:name="_Toc431532102"/>
      <w:r w:rsidRPr="00D8245C">
        <w:t>Domácnosti jednotlivců</w:t>
      </w:r>
      <w:bookmarkEnd w:id="2"/>
    </w:p>
    <w:p w:rsidR="00CE73B4" w:rsidRPr="000A3910" w:rsidRDefault="00CE73B4" w:rsidP="00CE73B4">
      <w:pPr>
        <w:pStyle w:val="textS"/>
        <w:rPr>
          <w:b/>
        </w:rPr>
      </w:pPr>
      <w:r w:rsidRPr="000A3910">
        <w:rPr>
          <w:rFonts w:cs="Arial"/>
          <w:b/>
          <w:szCs w:val="20"/>
        </w:rPr>
        <w:t>V počtu témě</w:t>
      </w:r>
      <w:r>
        <w:rPr>
          <w:rFonts w:cs="Arial"/>
          <w:b/>
          <w:szCs w:val="20"/>
        </w:rPr>
        <w:t>ř</w:t>
      </w:r>
      <w:r w:rsidRPr="000A3910">
        <w:rPr>
          <w:rFonts w:cs="Arial"/>
          <w:b/>
          <w:szCs w:val="20"/>
        </w:rPr>
        <w:t xml:space="preserve"> 54 tisíc domácností jednotlivců seniorů v kraji byla čtvrtina mužů a tři čtvrtiny žen. Mezi oběma pohlavími převládaly osoby ve věku 75 a více let a z pohledu rodinn</w:t>
      </w:r>
      <w:r>
        <w:rPr>
          <w:rFonts w:cs="Arial"/>
          <w:b/>
          <w:szCs w:val="20"/>
        </w:rPr>
        <w:t>é</w:t>
      </w:r>
      <w:r w:rsidRPr="000A3910">
        <w:rPr>
          <w:rFonts w:cs="Arial"/>
          <w:b/>
          <w:szCs w:val="20"/>
        </w:rPr>
        <w:t>ho stavu shodně ovdovělí. Většina domácností jednotlivců seniorů bydlela samostatně v bytě.</w: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Jihomoravském kraji bylo ke dni sčítání 145,1 tisíc domácností jednotlivců. Po domácnostech tvořených jednou úplnou rodinou to byl 2. nejvyšší počet mezi hospodařícími domácnostmi a představoval podíl 30,6 % z celkového počtu domácností. Mezi domácnostmi jednotlivců v kraji bylo </w:t>
      </w:r>
      <w:r w:rsidRPr="008239C8">
        <w:rPr>
          <w:rFonts w:cs="Arial"/>
          <w:b/>
          <w:szCs w:val="20"/>
        </w:rPr>
        <w:t>53,5 tisíc domácností jednotlivců seniorů</w:t>
      </w:r>
      <w:r>
        <w:rPr>
          <w:rFonts w:cs="Arial"/>
          <w:szCs w:val="20"/>
        </w:rPr>
        <w:t xml:space="preserve">, tvořily 36,9 % z celkového počtu domácností jednotlivců v kraji a 44,9 % z domácností seniorů. Tento podíl z jednotlivých typů seniorských hospodařících domácností byl nejvyšší. </w:t>
      </w:r>
    </w:p>
    <w:p w:rsidR="00CE73B4" w:rsidRDefault="00CE73B4" w:rsidP="00CE73B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Tab. 3.3 </w:t>
      </w:r>
      <w:r w:rsidRPr="00C16099">
        <w:rPr>
          <w:rFonts w:cs="Arial"/>
          <w:b/>
          <w:szCs w:val="20"/>
        </w:rPr>
        <w:t>Hospodařící domácnosti seniorů</w:t>
      </w:r>
      <w:r w:rsidRPr="001E2F4F">
        <w:rPr>
          <w:rFonts w:cs="Arial"/>
          <w:b/>
          <w:szCs w:val="20"/>
          <w:vertAlign w:val="superscript"/>
        </w:rPr>
        <w:t>*)</w:t>
      </w:r>
      <w:r w:rsidRPr="00C16099">
        <w:rPr>
          <w:rFonts w:cs="Arial"/>
          <w:b/>
          <w:szCs w:val="20"/>
        </w:rPr>
        <w:t xml:space="preserve"> jednotlivců </w:t>
      </w:r>
      <w:r>
        <w:rPr>
          <w:rFonts w:cs="Arial"/>
          <w:b/>
          <w:szCs w:val="20"/>
        </w:rPr>
        <w:t xml:space="preserve">v Jihomoravském kraji </w:t>
      </w:r>
      <w:r w:rsidRPr="00C16099">
        <w:rPr>
          <w:rFonts w:cs="Arial"/>
          <w:b/>
          <w:szCs w:val="20"/>
        </w:rPr>
        <w:t xml:space="preserve">podle věku, </w:t>
      </w:r>
    </w:p>
    <w:p w:rsidR="00CE73B4" w:rsidRDefault="00CE73B4" w:rsidP="00CE73B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</w:t>
      </w:r>
      <w:r w:rsidRPr="00C16099">
        <w:rPr>
          <w:rFonts w:cs="Arial"/>
          <w:b/>
          <w:szCs w:val="20"/>
        </w:rPr>
        <w:t>rodinného stavu a způsobu bydle</w:t>
      </w:r>
      <w:r w:rsidRPr="00B94824">
        <w:rPr>
          <w:rFonts w:cs="Arial"/>
          <w:b/>
          <w:szCs w:val="20"/>
        </w:rPr>
        <w:t>ní</w:t>
      </w:r>
    </w:p>
    <w:p w:rsidR="00CE73B4" w:rsidRDefault="00CE73B4" w:rsidP="00CE73B4">
      <w:pPr>
        <w:jc w:val="both"/>
        <w:rPr>
          <w:rFonts w:cs="Arial"/>
          <w:szCs w:val="20"/>
        </w:rPr>
      </w:pPr>
      <w:r w:rsidRPr="009B2CB3">
        <w:rPr>
          <w:rFonts w:cs="Arial"/>
          <w:sz w:val="16"/>
          <w:szCs w:val="16"/>
        </w:rPr>
        <w:t>Zdroj: SLDB 2011</w:t>
      </w:r>
    </w:p>
    <w:p w:rsidR="00CE73B4" w:rsidRDefault="00634386" w:rsidP="00CE73B4">
      <w:pPr>
        <w:spacing w:after="120"/>
        <w:jc w:val="both"/>
        <w:rPr>
          <w:rFonts w:cs="Arial"/>
          <w:szCs w:val="20"/>
        </w:rPr>
      </w:pPr>
      <w:r w:rsidRPr="00053323">
        <w:rPr>
          <w:noProof/>
          <w:szCs w:val="20"/>
        </w:rPr>
        <w:pict>
          <v:shape id="_x0000_i1029" type="#_x0000_t75" style="width:478.2pt;height:198.8pt;visibility:visible;mso-wrap-style:square">
            <v:imagedata r:id="rId12" o:title=""/>
          </v:shape>
        </w:pic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Počet domácností jednotlivců seniorů byl mezi kraji 4. nejvyšší, ovšem podíl na celkovém počtu domácností byl na úrovni průměru ČR. V rámci ČR byly, stejně jako v Jihomoravském kraji, domácnosti jednotlivců seniorů nejvýznamnější skupinou mezi domácnostmi seniorů, jejich podíl činil 36,0 %.</w: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 w:rsidRPr="00757E27">
        <w:rPr>
          <w:rFonts w:cs="Arial"/>
          <w:b/>
          <w:szCs w:val="20"/>
        </w:rPr>
        <w:t>Mezi domácnostmi jednotlivců seniorů v kraji byla převaha žen</w:t>
      </w:r>
      <w:r>
        <w:rPr>
          <w:rFonts w:cs="Arial"/>
          <w:szCs w:val="20"/>
        </w:rPr>
        <w:t xml:space="preserve"> – 41,0 tisíc žen vs. 12,5 tisíc mužů (celek tvořilo 76,6 % žen a 23,4 % mužů). Rozložení poměru mužů a žen bylo společné pro všechny kraje (v ČR ženy mezi jednotlivci tvořily 76,0 %), nejvyšší podíl žen mezi jednotlivci seniory byl ve Zlínském kraji (78,4 %).</w:t>
      </w:r>
    </w:p>
    <w:p w:rsidR="00CE73B4" w:rsidRDefault="00CE73B4" w:rsidP="00CE73B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Graf 3.2 </w:t>
      </w:r>
      <w:r w:rsidRPr="00251D58">
        <w:rPr>
          <w:rFonts w:cs="Arial"/>
          <w:b/>
          <w:szCs w:val="20"/>
        </w:rPr>
        <w:t>Domácnosti jednotlivců seniorů v Jihomoravském kraji podle pohlaví, věku a podle počtu</w:t>
      </w:r>
    </w:p>
    <w:p w:rsidR="00CE73B4" w:rsidRPr="007503BB" w:rsidRDefault="00CE73B4" w:rsidP="00CE73B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</w:t>
      </w:r>
      <w:r w:rsidRPr="00251D58">
        <w:rPr>
          <w:rFonts w:cs="Arial"/>
          <w:b/>
          <w:szCs w:val="20"/>
        </w:rPr>
        <w:t>hospodařících domácností v bytě podle SLDB 2011</w:t>
      </w:r>
    </w:p>
    <w:p w:rsidR="00CE73B4" w:rsidRDefault="00634386" w:rsidP="00CE73B4">
      <w:pPr>
        <w:spacing w:after="120"/>
        <w:rPr>
          <w:rFonts w:cs="Arial"/>
          <w:szCs w:val="20"/>
        </w:rPr>
      </w:pPr>
      <w:r w:rsidRPr="00053323">
        <w:rPr>
          <w:szCs w:val="20"/>
        </w:rPr>
        <w:pict>
          <v:shape id="_x0000_i1030" type="#_x0000_t75" style="width:481.45pt;height:224.6pt">
            <v:imagedata r:id="rId13" o:title=""/>
          </v:shape>
        </w:pic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Muži se obecně nedožívají tak vysokého věku jako ženy, což v plné míře platí i pro domácnosti jednotlivců seniorů v dělení podle pohlaví. Ve věkové struktuře domácností jednotlivců je tak u mužů výrazněji zastoupena věková skupina osob ve věku 65 až 69 let (33,1 % u mužů a 22,2 % u žen), zastoupení osob ve věku 70 až 74 let se téměř neliší (21,6 % u mužů a 20,5 % u žen), ovšem u osob ve věku 75 a více let výrazně převažují u žen (57,4 % u žen a 45,3 % u mužů).</w:t>
      </w:r>
    </w:p>
    <w:p w:rsidR="00CE73B4" w:rsidRDefault="00CE73B4" w:rsidP="00CE73B4">
      <w:pPr>
        <w:pStyle w:val="textS"/>
      </w:pPr>
      <w:r>
        <w:br w:type="page"/>
      </w:r>
      <w:r w:rsidR="00634386">
        <w:lastRenderedPageBreak/>
        <w:pict>
          <v:shape id="_x0000_i1031" type="#_x0000_t75" style="width:481.45pt;height:340.65pt">
            <v:imagedata r:id="rId14" o:title="3_3"/>
          </v:shape>
        </w:pict>
      </w:r>
    </w:p>
    <w:p w:rsidR="00CE73B4" w:rsidRDefault="00634386" w:rsidP="00CE73B4">
      <w:pPr>
        <w:pStyle w:val="textS"/>
      </w:pPr>
      <w:r>
        <w:pict>
          <v:shape id="_x0000_i1032" type="#_x0000_t75" style="width:481.45pt;height:340.65pt">
            <v:imagedata r:id="rId15" o:title="3_4"/>
          </v:shape>
        </w:pict>
      </w:r>
    </w:p>
    <w:p w:rsidR="00CE73B4" w:rsidRDefault="00CE73B4" w:rsidP="00CE73B4">
      <w:pPr>
        <w:pStyle w:val="textS"/>
        <w:rPr>
          <w:rFonts w:cs="Arial"/>
          <w:szCs w:val="20"/>
        </w:rPr>
      </w:pPr>
      <w:r>
        <w:br w:type="page"/>
      </w:r>
      <w:r>
        <w:rPr>
          <w:rFonts w:cs="Arial"/>
          <w:szCs w:val="20"/>
        </w:rPr>
        <w:lastRenderedPageBreak/>
        <w:t xml:space="preserve">Mezi oběma pohlavími </w:t>
      </w:r>
      <w:r w:rsidRPr="00757E27">
        <w:rPr>
          <w:rFonts w:cs="Arial"/>
          <w:b/>
          <w:szCs w:val="20"/>
        </w:rPr>
        <w:t>v domácnostech jednotlivců převažovali ovdovělí</w:t>
      </w:r>
      <w:r>
        <w:rPr>
          <w:rFonts w:cs="Arial"/>
          <w:szCs w:val="20"/>
        </w:rPr>
        <w:t xml:space="preserve"> následováni skupinou rozvedených (5,9 tisíc ovdovělých mužů a 30,9 tisíc ovdovělých žen, 3,0 tisíc rozvedených mužů a 6,2 tisíc rozvedených žen). U žen pořadí zastoupení stavu ovdovělých a rozvedených bylo zachováno ve všech třech sledovaných věkových skupinách. U mužů ve věku 65 až 69 let bylo ale nejvíce rozvedených a téměř shodný podíl ovdovělých a ženatých, ve věkové skupině 70 až 74 let bylo nejvíce vdovců následovaných rozvedenými, ovšem ve věkové skupině 75 a více let byla druhou nejčetnější skupinou skupina ženatých.</w: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Domácnosti jednotlivců seniorů v rámci kraje tvořily 36,9 % z celkového počtu domácností jednotlivců. Ve správních obvodech ORP v kraji byl nejvyšší podíl zjištěn v SO ORP Kyjov, Veselí nad Moravou a Moravský Krumlov (více než 45 %), naopak nejnižší byl v Brně (32,0 %) a v SO ORP Židlochovice (36,6 %).</w: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 w:rsidRPr="00064196">
        <w:rPr>
          <w:rFonts w:cs="Arial"/>
          <w:b/>
          <w:szCs w:val="20"/>
        </w:rPr>
        <w:t>Domácnosti jednotlivců seniorů v rámci kraje tvořily 44,9 % z celkového počtu domácností seniorů</w:t>
      </w:r>
      <w:r>
        <w:rPr>
          <w:rFonts w:cs="Arial"/>
          <w:szCs w:val="20"/>
        </w:rPr>
        <w:t>. Ve správních obvodech ORP v kraji byl nejvyšší podíl zjištěn v Brně (47,1 %) a v SO ORP Tišnov a Znojmo (více než 46 %), naopak nejnižší byl v SO ORP Židlochovice (40,0 %) a Pohořelice (40,2 %).</w: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 w:rsidRPr="00795EDC">
        <w:rPr>
          <w:rFonts w:cs="Arial"/>
          <w:szCs w:val="20"/>
        </w:rPr>
        <w:t xml:space="preserve">Převážná část domácností seniorů jednotlivců, a to 90,7 % z celku, bydlela samostatně v bytě </w:t>
      </w:r>
      <w:r>
        <w:rPr>
          <w:rFonts w:cs="Arial"/>
          <w:szCs w:val="20"/>
        </w:rPr>
        <w:t>(11,1 tisíc mužů a 37,4 tisíc žen). V bytě s další hospodařící domácností žilo 8,8 % domácností seniorů jednotlivců (1,3 tisíc mužů a 3,4 tisíc žen). Mimo byty žilo pouze 0,5 % domácností seniorů jednotlivců (130 mužů a 134 žen). Bydlení v bytě společně s další hospodařící domácností se u obou pohlaví vyskytovalo především v „mladším seniorském věku“.</w: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Celkem </w:t>
      </w:r>
      <w:r w:rsidRPr="00795EDC">
        <w:rPr>
          <w:rFonts w:cs="Arial"/>
          <w:b/>
          <w:szCs w:val="20"/>
        </w:rPr>
        <w:t>48,5 tisíc seniorů, kteří žili samostatně v bytě, tvořilo 25,7 % z počtu osob ve věku 65 a více let</w:t>
      </w:r>
      <w:r>
        <w:rPr>
          <w:rFonts w:cs="Arial"/>
          <w:szCs w:val="20"/>
        </w:rPr>
        <w:t>. Tento podíl byl mezi kraji nejnižší, naopak nejvyšší podíl samostatně v bytě bydlících seniorů na seniorské populaci celkem byl v Ústeckém kraji, a to 31,5 %. V rámci kraje byl nejvyšší podíl seniorů žijících samostatně v bytě (z celkového počtu seniorů) zjištěn v Brně (28,5 %) a v SO ORP Znojmo (27,0 %). Naopak nejnižší podíl samostatně bydlících seniorů byl zjištěn v SO ORP Židlochovice, Šlapanice a Pohořelice, zde byl pod hranicíc22 %.</w:t>
      </w:r>
    </w:p>
    <w:p w:rsidR="00CE73B4" w:rsidRDefault="00634386" w:rsidP="00CE73B4">
      <w:pPr>
        <w:spacing w:after="120"/>
        <w:jc w:val="both"/>
        <w:rPr>
          <w:rFonts w:cs="Arial"/>
          <w:szCs w:val="20"/>
        </w:rPr>
      </w:pPr>
      <w:r w:rsidRPr="00053323">
        <w:rPr>
          <w:rFonts w:cs="Arial"/>
          <w:szCs w:val="20"/>
        </w:rPr>
        <w:pict>
          <v:shape id="_x0000_i1033" type="#_x0000_t75" style="width:481.45pt;height:340.65pt">
            <v:imagedata r:id="rId16" o:title="3_2"/>
          </v:shape>
        </w:pic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Celkem 26,2 tisíc domácností jednotlivců seniorů bydlelo v rodinných domech (6,3 tisíc mužů a 19,9 tisíc žen ve věku 65 a více let) a 25,5 tisíc těchto domácností bydlelo v bytech v bytových domech (5,8 tisíc mužů a 19,7 tisíc</w:t>
      </w:r>
      <w:r w:rsidRPr="00837AF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žen ve věku 65 a více let). Z hlediska ekonomické aktivity člena domácnosti a druhu domu, v němž domácnost jednotlivců seniorů žila, je možno uvést, že v rodinných domech žilo 24,9 tisíc </w:t>
      </w:r>
      <w:r>
        <w:rPr>
          <w:rFonts w:cs="Arial"/>
          <w:szCs w:val="20"/>
        </w:rPr>
        <w:lastRenderedPageBreak/>
        <w:t>hospodařících domácností jednotlivců seniorů nepracujících důchodců, v bytech bytových domů to bylo 23,4 tisíc.</w:t>
      </w:r>
    </w:p>
    <w:p w:rsidR="00CE73B4" w:rsidRDefault="00CE73B4" w:rsidP="00CE73B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Graf 3.3 </w:t>
      </w:r>
      <w:r w:rsidRPr="00772DD6">
        <w:rPr>
          <w:rFonts w:cs="Arial"/>
          <w:b/>
          <w:szCs w:val="20"/>
        </w:rPr>
        <w:t>Domácnosti jednotlivců bydlící v bytech v Jihomoravském kraji podle druhu domu</w:t>
      </w:r>
    </w:p>
    <w:p w:rsidR="00CE73B4" w:rsidRPr="008F5B7C" w:rsidRDefault="00CE73B4" w:rsidP="00CE73B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</w:t>
      </w:r>
      <w:r w:rsidRPr="00772DD6">
        <w:rPr>
          <w:rFonts w:cs="Arial"/>
          <w:b/>
          <w:szCs w:val="20"/>
        </w:rPr>
        <w:t xml:space="preserve"> a</w:t>
      </w:r>
      <w:r>
        <w:rPr>
          <w:rFonts w:cs="Arial"/>
          <w:b/>
          <w:szCs w:val="20"/>
        </w:rPr>
        <w:t> </w:t>
      </w:r>
      <w:r w:rsidRPr="00772DD6">
        <w:rPr>
          <w:rFonts w:cs="Arial"/>
          <w:b/>
          <w:szCs w:val="20"/>
        </w:rPr>
        <w:t>právního důvodu užívání bytu podle SLDB 2011</w:t>
      </w:r>
    </w:p>
    <w:p w:rsidR="00CE73B4" w:rsidRDefault="00634386" w:rsidP="00CE73B4">
      <w:pPr>
        <w:spacing w:after="120"/>
        <w:jc w:val="both"/>
        <w:rPr>
          <w:rFonts w:cs="Arial"/>
          <w:b/>
          <w:szCs w:val="20"/>
        </w:rPr>
      </w:pPr>
      <w:r w:rsidRPr="00053323">
        <w:rPr>
          <w:noProof/>
          <w:szCs w:val="20"/>
        </w:rPr>
        <w:pict>
          <v:shape id="_x0000_i1034" type="#_x0000_t75" style="width:482.5pt;height:225.65pt;visibility:visible;mso-wrap-style:square">
            <v:imagedata r:id="rId17" o:title=""/>
          </v:shape>
        </w:pic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V domácnostech jednotlivců bez rozdílu věku v rodinných domech z hlediska právního důvodu užívání bytu převládalo bydlení ve vlastním domě (ve všech kategoriích vždy přibližně čtyři pětiny). V bytech v bytových domech bylo nejčastější formou nájemní bydlení (v průměru 44,7 %) následované bydlením ve v bytě v osobním vlastnictví (40,3 %).</w:t>
      </w:r>
    </w:p>
    <w:p w:rsidR="00CE73B4" w:rsidRDefault="00CE73B4" w:rsidP="00CE73B4">
      <w:pPr>
        <w:pStyle w:val="textS"/>
      </w:pPr>
    </w:p>
    <w:p w:rsidR="00CE73B4" w:rsidRDefault="00CE73B4" w:rsidP="00CE73B4">
      <w:pPr>
        <w:pStyle w:val="NadpisS2"/>
      </w:pPr>
      <w:bookmarkStart w:id="3" w:name="_Toc431532103"/>
      <w:r w:rsidRPr="00D8245C">
        <w:t>Bydlení seniorů</w:t>
      </w:r>
      <w:bookmarkEnd w:id="3"/>
    </w:p>
    <w:p w:rsidR="00CE73B4" w:rsidRPr="000A3910" w:rsidRDefault="00CE73B4" w:rsidP="00CE73B4">
      <w:pPr>
        <w:pStyle w:val="textS"/>
        <w:rPr>
          <w:b/>
        </w:rPr>
      </w:pPr>
      <w:r w:rsidRPr="000A3910">
        <w:rPr>
          <w:rFonts w:cs="Arial"/>
          <w:b/>
          <w:szCs w:val="20"/>
        </w:rPr>
        <w:t>Pouze 4 % domácností seniorů v kraji žila v bytech se sníženou kvalitou, většina tak obývala standardní byty. Více než tři čtvrtiny seniorských domácností disponovaly v bytě nejméně 3</w:t>
      </w:r>
      <w:r>
        <w:rPr>
          <w:rFonts w:cs="Arial"/>
          <w:b/>
          <w:szCs w:val="20"/>
        </w:rPr>
        <w:t> </w:t>
      </w:r>
      <w:r w:rsidRPr="000A3910">
        <w:rPr>
          <w:rFonts w:cs="Arial"/>
          <w:b/>
          <w:szCs w:val="20"/>
        </w:rPr>
        <w:t xml:space="preserve">obytnými místnostmi. </w:t>
      </w:r>
      <w:r>
        <w:rPr>
          <w:rFonts w:cs="Arial"/>
          <w:b/>
          <w:szCs w:val="20"/>
        </w:rPr>
        <w:t>Téměř 30 %</w:t>
      </w:r>
      <w:r w:rsidRPr="000A3910">
        <w:rPr>
          <w:rFonts w:cs="Arial"/>
          <w:b/>
          <w:szCs w:val="20"/>
        </w:rPr>
        <w:t xml:space="preserve"> domácností seniorů byl</w:t>
      </w:r>
      <w:r>
        <w:rPr>
          <w:rFonts w:cs="Arial"/>
          <w:b/>
          <w:szCs w:val="20"/>
        </w:rPr>
        <w:t>o</w:t>
      </w:r>
      <w:r w:rsidRPr="000A3910">
        <w:rPr>
          <w:rFonts w:cs="Arial"/>
          <w:b/>
          <w:szCs w:val="20"/>
        </w:rPr>
        <w:t xml:space="preserve"> vybaven</w:t>
      </w:r>
      <w:r>
        <w:rPr>
          <w:rFonts w:cs="Arial"/>
          <w:b/>
          <w:szCs w:val="20"/>
        </w:rPr>
        <w:t>o</w:t>
      </w:r>
      <w:r w:rsidRPr="000A3910">
        <w:rPr>
          <w:rFonts w:cs="Arial"/>
          <w:b/>
          <w:szCs w:val="20"/>
        </w:rPr>
        <w:t xml:space="preserve"> počítačem.</w: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Pro účely posouzení kvality bydlení se byty při sčítání dělily na standardní a byty se sníženou kvalitou. Standardní byty jsou byty s ústředním topením a úplným nebo částečným příslušenstvím, případně byty bez ústředního topení s úplným příslušenstvím. Byty se sníženou kvalitou jsou byty bez ústředního topení s částečným příslušenstvím, případně s úplným příslušenstvím, ale ne vlastním.</w: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Většina domácností seniorů v Jihomoravském kraji, a to 112,5 tisíc, žila ve standardních bytech. V bytech se sníženou kvalitou žilo 4,7 tisíc domácností (3,9 % z celkového počtu domácností seniorů, resp. 4,0 % při výpočtu ze zjištěných hodnot). Podíl domácností seniorů v bytech se sníženou kvalitou (ze zjištěných hodnot) byl nepatrně pod úrovní republikového průměru (ČR 4,1 %) a mezi kraji byl 6. nejnižší.</w: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V </w:t>
      </w:r>
      <w:r w:rsidRPr="000022D3">
        <w:rPr>
          <w:rFonts w:cs="Arial"/>
          <w:b/>
          <w:szCs w:val="20"/>
        </w:rPr>
        <w:t>bytech se sníženou kvalitou</w:t>
      </w:r>
      <w:r>
        <w:rPr>
          <w:rFonts w:cs="Arial"/>
          <w:szCs w:val="20"/>
        </w:rPr>
        <w:t xml:space="preserve"> v kraji podle složení domácnosti seniorů žilo 2 973 domácností jednotlivců (podíl 63,7 % z domácností v bytech se sníženou kvalitou), 1 042 úplných rodin seniorů (22,3 % z domácností v bytech se sníženou kvalitou), 631 neúplných rodin (13,5 %) a 23 domácností prarodiče s vnoučetem (0,5 % z domácností v bytech se sníženou kvalitou).</w: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Více než polovina domácností seniorů tvořených úplnými nebo neúplnými rodinami bydlela ve vlastním domě (52,0 %, resp. 55,1 %). U domácností prarodičů s vnoučetem ale jako právní důvod užívání bytu téměř polovinu z počtu těchto domácností tvořilo nájemní užívání bytu (48,4 %).</w: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Více než čtvrtina domácností seniorů (30,8 tisíc, tj. 26,0 % z celkového počtu) byla </w:t>
      </w:r>
      <w:r w:rsidRPr="00722590">
        <w:rPr>
          <w:rFonts w:cs="Arial"/>
          <w:b/>
          <w:szCs w:val="20"/>
        </w:rPr>
        <w:t>vybavena počítačem s internetem</w:t>
      </w:r>
      <w:r>
        <w:rPr>
          <w:rFonts w:cs="Arial"/>
          <w:szCs w:val="20"/>
        </w:rPr>
        <w:t>, dalších 3,8 tisíc domácností vlastnilo počítač bez internetu. Nejvyšší podíl domácností s počítačem s internetem byl u domácností seniorů tvořených úplnými rodinami (36,0 %) a u prarodičů s vnoučetem (35,7 % z nich). Naproti tomu u domácností jednotlivců seniorů byl podíl nejnižší, a to 14,3 % (7,6 tisíc domácností jednotlivců seniorů).</w:t>
      </w:r>
    </w:p>
    <w:p w:rsidR="00CE73B4" w:rsidRDefault="00CE73B4" w:rsidP="00CE73B4">
      <w:pPr>
        <w:rPr>
          <w:rFonts w:cs="Arial"/>
          <w:b/>
          <w:bCs/>
          <w:szCs w:val="20"/>
        </w:rPr>
      </w:pPr>
      <w:r>
        <w:rPr>
          <w:rFonts w:cs="Arial"/>
          <w:szCs w:val="20"/>
        </w:rPr>
        <w:br w:type="page"/>
      </w:r>
      <w:r>
        <w:rPr>
          <w:rFonts w:cs="Arial"/>
          <w:b/>
          <w:bCs/>
          <w:szCs w:val="20"/>
        </w:rPr>
        <w:lastRenderedPageBreak/>
        <w:t xml:space="preserve">Tab. 3.4 </w:t>
      </w:r>
      <w:r w:rsidRPr="00EE42C0">
        <w:rPr>
          <w:rFonts w:cs="Arial"/>
          <w:b/>
          <w:bCs/>
          <w:szCs w:val="20"/>
        </w:rPr>
        <w:t>Domácnosti seniorů</w:t>
      </w:r>
      <w:r w:rsidRPr="009A6637">
        <w:rPr>
          <w:rFonts w:cs="Arial"/>
          <w:b/>
          <w:bCs/>
          <w:szCs w:val="20"/>
          <w:vertAlign w:val="superscript"/>
        </w:rPr>
        <w:t>*)</w:t>
      </w:r>
      <w:r w:rsidRPr="00EE42C0">
        <w:rPr>
          <w:rFonts w:cs="Arial"/>
          <w:b/>
          <w:bCs/>
          <w:szCs w:val="20"/>
        </w:rPr>
        <w:t xml:space="preserve"> bydlící v bytech </w:t>
      </w:r>
      <w:r>
        <w:rPr>
          <w:rFonts w:cs="Arial"/>
          <w:b/>
          <w:bCs/>
          <w:szCs w:val="20"/>
        </w:rPr>
        <w:t xml:space="preserve">v Jihomoravském kraji </w:t>
      </w:r>
      <w:r w:rsidRPr="00EE42C0">
        <w:rPr>
          <w:rFonts w:cs="Arial"/>
          <w:b/>
          <w:bCs/>
          <w:szCs w:val="20"/>
        </w:rPr>
        <w:t>podle typu bytu, právního</w:t>
      </w:r>
    </w:p>
    <w:p w:rsidR="00CE73B4" w:rsidRDefault="00CE73B4" w:rsidP="00CE73B4">
      <w:pPr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 xml:space="preserve">               </w:t>
      </w:r>
      <w:r w:rsidRPr="00EE42C0">
        <w:rPr>
          <w:rFonts w:cs="Arial"/>
          <w:b/>
          <w:bCs/>
          <w:szCs w:val="20"/>
        </w:rPr>
        <w:t>důvodu užívání bytu, počtu obytných místností a vybavení počítačem</w:t>
      </w:r>
    </w:p>
    <w:p w:rsidR="00CE73B4" w:rsidRDefault="00CE73B4" w:rsidP="00CE73B4">
      <w:pPr>
        <w:jc w:val="both"/>
        <w:rPr>
          <w:rFonts w:cs="Arial"/>
          <w:szCs w:val="20"/>
        </w:rPr>
      </w:pPr>
      <w:r w:rsidRPr="009B2CB3">
        <w:rPr>
          <w:rFonts w:cs="Arial"/>
          <w:sz w:val="16"/>
          <w:szCs w:val="16"/>
        </w:rPr>
        <w:t>Zdroj: SLDB 2011</w:t>
      </w:r>
    </w:p>
    <w:p w:rsidR="00CE73B4" w:rsidRDefault="00634386" w:rsidP="00CE73B4">
      <w:pPr>
        <w:spacing w:after="120"/>
        <w:rPr>
          <w:rFonts w:cs="Arial"/>
          <w:szCs w:val="20"/>
        </w:rPr>
      </w:pPr>
      <w:r w:rsidRPr="00053323">
        <w:rPr>
          <w:szCs w:val="20"/>
        </w:rPr>
        <w:pict>
          <v:shape id="_x0000_i1035" type="#_x0000_t75" style="width:477.15pt;height:284.8pt">
            <v:imagedata r:id="rId18" o:title=""/>
          </v:shape>
        </w:pict>
      </w:r>
    </w:p>
    <w:p w:rsidR="00CE73B4" w:rsidRPr="00E5139B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Podle výsledků sčítání bylo v Jihomoravském kraji 443,4 tisíc obydlených bytů a v nich, jak již bylo uvedeno, hospodařilo 468,6 tisíc domácností.</w:t>
      </w:r>
      <w:r w:rsidRPr="00AD0760">
        <w:rPr>
          <w:rFonts w:cs="Arial"/>
          <w:szCs w:val="20"/>
        </w:rPr>
        <w:t xml:space="preserve"> Z celkového počtu obydlených bytů v kraji mělo 19,7 tisíc bytů jednu obytnou místnost</w:t>
      </w:r>
      <w:r>
        <w:rPr>
          <w:rFonts w:cs="Arial"/>
          <w:szCs w:val="20"/>
        </w:rPr>
        <w:t xml:space="preserve"> (4,4 % z celku)</w:t>
      </w:r>
      <w:r w:rsidRPr="00AD0760">
        <w:rPr>
          <w:rFonts w:cs="Arial"/>
          <w:szCs w:val="20"/>
        </w:rPr>
        <w:t>, 49,8 tisíc bytů mělo 2 místnosti</w:t>
      </w:r>
      <w:r>
        <w:rPr>
          <w:rFonts w:cs="Arial"/>
          <w:szCs w:val="20"/>
        </w:rPr>
        <w:t xml:space="preserve"> (11,2 %)</w:t>
      </w:r>
      <w:r w:rsidRPr="00AD0760">
        <w:rPr>
          <w:rFonts w:cs="Arial"/>
          <w:szCs w:val="20"/>
        </w:rPr>
        <w:t>, 106,0 tisíc bytů 3 místnosti</w:t>
      </w:r>
      <w:r>
        <w:rPr>
          <w:rFonts w:cs="Arial"/>
          <w:szCs w:val="20"/>
        </w:rPr>
        <w:t xml:space="preserve"> (23,9 %)</w:t>
      </w:r>
      <w:r w:rsidRPr="00AD0760">
        <w:rPr>
          <w:rFonts w:cs="Arial"/>
          <w:szCs w:val="20"/>
        </w:rPr>
        <w:t>, 121,8 tisíc obydlených bytů mělo 4</w:t>
      </w:r>
      <w:r>
        <w:rPr>
          <w:rFonts w:cs="Arial"/>
          <w:szCs w:val="20"/>
        </w:rPr>
        <w:t> </w:t>
      </w:r>
      <w:r w:rsidRPr="00AD0760">
        <w:rPr>
          <w:rFonts w:cs="Arial"/>
          <w:szCs w:val="20"/>
        </w:rPr>
        <w:t>místnosti</w:t>
      </w:r>
      <w:r>
        <w:rPr>
          <w:rFonts w:cs="Arial"/>
          <w:szCs w:val="20"/>
        </w:rPr>
        <w:t xml:space="preserve"> (27,5 %)</w:t>
      </w:r>
      <w:r w:rsidRPr="00AD0760">
        <w:rPr>
          <w:rFonts w:cs="Arial"/>
          <w:szCs w:val="20"/>
        </w:rPr>
        <w:t xml:space="preserve"> a 112,6 tisíc bytů 5 a více obytných místností</w:t>
      </w:r>
      <w:r>
        <w:rPr>
          <w:rFonts w:cs="Arial"/>
          <w:szCs w:val="20"/>
        </w:rPr>
        <w:t xml:space="preserve"> (25,4 %)</w:t>
      </w:r>
      <w:r w:rsidRPr="00AD0760">
        <w:rPr>
          <w:rFonts w:cs="Arial"/>
          <w:szCs w:val="20"/>
        </w:rPr>
        <w:t>.</w:t>
      </w:r>
    </w:p>
    <w:p w:rsidR="00CE73B4" w:rsidRDefault="00CE73B4" w:rsidP="00CE73B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Graf 3.4 </w:t>
      </w:r>
      <w:r w:rsidRPr="007746C7">
        <w:rPr>
          <w:rFonts w:cs="Arial"/>
          <w:b/>
          <w:szCs w:val="20"/>
        </w:rPr>
        <w:t xml:space="preserve">Domácnosti seniorů bydlící v bytech v Jihomoravském kraji podle právního důvodu užívání </w:t>
      </w:r>
    </w:p>
    <w:p w:rsidR="00CE73B4" w:rsidRPr="007746C7" w:rsidRDefault="00CE73B4" w:rsidP="00CE73B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</w:t>
      </w:r>
      <w:r w:rsidRPr="007746C7">
        <w:rPr>
          <w:rFonts w:cs="Arial"/>
          <w:b/>
          <w:szCs w:val="20"/>
        </w:rPr>
        <w:t>bytu podle SLDB 2011</w:t>
      </w:r>
      <w:r>
        <w:rPr>
          <w:rFonts w:cs="Arial"/>
          <w:b/>
          <w:szCs w:val="20"/>
        </w:rPr>
        <w:t xml:space="preserve"> (ze zjištěných hodnot)</w:t>
      </w:r>
    </w:p>
    <w:p w:rsidR="00CE73B4" w:rsidRDefault="00634386" w:rsidP="00CE73B4">
      <w:pPr>
        <w:spacing w:after="120"/>
        <w:rPr>
          <w:rFonts w:cs="Arial"/>
          <w:szCs w:val="20"/>
        </w:rPr>
      </w:pPr>
      <w:r w:rsidRPr="00053323">
        <w:rPr>
          <w:noProof/>
          <w:szCs w:val="20"/>
        </w:rPr>
        <w:pict>
          <v:shape id="_x0000_i1036" type="#_x0000_t75" style="width:482.5pt;height:225.65pt;visibility:visible;mso-wrap-style:square">
            <v:imagedata r:id="rId19" o:title=""/>
          </v:shape>
        </w:pic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Podle </w:t>
      </w:r>
      <w:r w:rsidRPr="00175522">
        <w:rPr>
          <w:rFonts w:cs="Arial"/>
          <w:b/>
          <w:szCs w:val="20"/>
        </w:rPr>
        <w:t>počtu obytných místností</w:t>
      </w:r>
      <w:r>
        <w:rPr>
          <w:rFonts w:cs="Arial"/>
          <w:szCs w:val="20"/>
        </w:rPr>
        <w:t xml:space="preserve"> v bytě lze posoudit i úroveň bydlení domácností seniorů. Více než tři čtvrtiny domácností seniorů (93,0 tisíc, tj. 78,4 % z celkového počtu) mělo v bytě k dispozici 3 a více obytných místností. Pouze 6 006 domácností seniorů (z toho 4 761 domácností jednotlivců) mělo v bytě pouze jednu obytnou místnost s plochou 8 m</w:t>
      </w:r>
      <w:r w:rsidRPr="00CC5B87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a více a 14 481 domácností seniorů (z toho 9 470 domácností jednotlivců) mělo v bytě 2 tyto místnosti. </w:t>
      </w:r>
    </w:p>
    <w:p w:rsidR="00CE73B4" w:rsidRDefault="00CE73B4" w:rsidP="00CE73B4">
      <w:pPr>
        <w:rPr>
          <w:rFonts w:cs="Arial"/>
          <w:b/>
          <w:bCs/>
          <w:szCs w:val="20"/>
        </w:rPr>
      </w:pPr>
      <w:r>
        <w:rPr>
          <w:rFonts w:cs="Arial"/>
          <w:szCs w:val="20"/>
        </w:rPr>
        <w:br w:type="page"/>
      </w:r>
      <w:r>
        <w:rPr>
          <w:rFonts w:cs="Arial"/>
          <w:b/>
          <w:bCs/>
          <w:szCs w:val="20"/>
        </w:rPr>
        <w:lastRenderedPageBreak/>
        <w:t xml:space="preserve">Tab. 3.5 </w:t>
      </w:r>
      <w:r w:rsidRPr="00EE42C0">
        <w:rPr>
          <w:rFonts w:cs="Arial"/>
          <w:b/>
          <w:bCs/>
          <w:szCs w:val="20"/>
        </w:rPr>
        <w:t>Domácnosti seniorů</w:t>
      </w:r>
      <w:r w:rsidRPr="009A6637">
        <w:rPr>
          <w:rFonts w:cs="Arial"/>
          <w:b/>
          <w:bCs/>
          <w:szCs w:val="20"/>
          <w:vertAlign w:val="superscript"/>
        </w:rPr>
        <w:t>*)</w:t>
      </w:r>
      <w:r w:rsidRPr="00EE42C0">
        <w:rPr>
          <w:rFonts w:cs="Arial"/>
          <w:b/>
          <w:bCs/>
          <w:szCs w:val="20"/>
        </w:rPr>
        <w:t xml:space="preserve"> bydlící v</w:t>
      </w:r>
      <w:r>
        <w:rPr>
          <w:rFonts w:cs="Arial"/>
          <w:b/>
          <w:bCs/>
          <w:szCs w:val="20"/>
        </w:rPr>
        <w:t> </w:t>
      </w:r>
      <w:r w:rsidRPr="00EE42C0">
        <w:rPr>
          <w:rFonts w:cs="Arial"/>
          <w:b/>
          <w:bCs/>
          <w:szCs w:val="20"/>
        </w:rPr>
        <w:t>bytech</w:t>
      </w:r>
      <w:r>
        <w:rPr>
          <w:rFonts w:cs="Arial"/>
          <w:b/>
          <w:bCs/>
          <w:szCs w:val="20"/>
        </w:rPr>
        <w:t xml:space="preserve"> v Jihomoravském kraji</w:t>
      </w:r>
      <w:r w:rsidRPr="00EE42C0">
        <w:rPr>
          <w:rFonts w:cs="Arial"/>
          <w:b/>
          <w:bCs/>
          <w:szCs w:val="20"/>
        </w:rPr>
        <w:t xml:space="preserve"> podle počtu </w:t>
      </w:r>
    </w:p>
    <w:p w:rsidR="00CE73B4" w:rsidRDefault="00CE73B4" w:rsidP="00CE73B4">
      <w:pPr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 xml:space="preserve">               </w:t>
      </w:r>
      <w:r w:rsidRPr="00EE42C0">
        <w:rPr>
          <w:rFonts w:cs="Arial"/>
          <w:b/>
          <w:bCs/>
          <w:szCs w:val="20"/>
        </w:rPr>
        <w:t>obytných místností</w:t>
      </w:r>
    </w:p>
    <w:p w:rsidR="00CE73B4" w:rsidRDefault="00CE73B4" w:rsidP="00CE73B4">
      <w:pPr>
        <w:jc w:val="both"/>
        <w:rPr>
          <w:rFonts w:cs="Arial"/>
          <w:szCs w:val="20"/>
        </w:rPr>
      </w:pPr>
      <w:r w:rsidRPr="009B2CB3">
        <w:rPr>
          <w:rFonts w:cs="Arial"/>
          <w:sz w:val="16"/>
          <w:szCs w:val="16"/>
        </w:rPr>
        <w:t>Zdroj: SLDB 2011</w:t>
      </w:r>
    </w:p>
    <w:p w:rsidR="00CE73B4" w:rsidRDefault="00634386" w:rsidP="00CE73B4">
      <w:pPr>
        <w:spacing w:after="120"/>
        <w:rPr>
          <w:rFonts w:cs="Arial"/>
          <w:szCs w:val="20"/>
        </w:rPr>
      </w:pPr>
      <w:r w:rsidRPr="00053323">
        <w:rPr>
          <w:szCs w:val="20"/>
        </w:rPr>
        <w:pict>
          <v:shape id="_x0000_i1037" type="#_x0000_t75" style="width:479.3pt;height:189.15pt">
            <v:imagedata r:id="rId20" o:title=""/>
          </v:shape>
        </w:pic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Obytnou plochu 40 m</w:t>
      </w:r>
      <w:r w:rsidRPr="00B62245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a vyšší připadající na 1 osobu mělo k dispozici 40,9 tisíc domácností seniorů (34,5 % z celkového počtu domácností seniorů). V této oblasti na tom byly samozřejmě nejlépe domácnosti jednotlivců - 30,7 tisíc domácností jednotlivců představovalo 57,6 % z domácností jednotlivců a 75,1 % z domácností, které měly k dispozici uvedených 40 m</w:t>
      </w:r>
      <w:r w:rsidRPr="007B4175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a více obytné plochy připadající na 1 osobu. Největší část úplných i neúplných rodin domácností seniorů patřila do skupiny, v níž na 1 osobu připadla obytná plocha v rozmezí 20 až 30 m</w:t>
      </w:r>
      <w:r w:rsidRPr="007B4175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(36,4 %, resp. 31,1 %).</w: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Domácnosti seniorů bydlící v bytech v porovnání s domácnostmi bez rozdílu věku měly obecně nižší průměrný počet členů domácnosti. Tento fakt je zřejmý i z porovnání průměrné obytné plochy připadající na člena domácnosti seniorů bydlících v bytech v rodinných domech a v bytových domech s domácnostmi podle jednotlivých typů domácností uvedených v grafu 3.5.</w:t>
      </w:r>
    </w:p>
    <w:p w:rsidR="00CE73B4" w:rsidRDefault="00CE73B4" w:rsidP="00CE73B4">
      <w:pPr>
        <w:rPr>
          <w:rFonts w:cs="Arial"/>
          <w:b/>
          <w:szCs w:val="20"/>
        </w:rPr>
      </w:pPr>
      <w:r>
        <w:rPr>
          <w:rFonts w:cs="Arial"/>
          <w:b/>
          <w:bCs/>
          <w:szCs w:val="20"/>
        </w:rPr>
        <w:t xml:space="preserve">Tab. 3.6 </w:t>
      </w:r>
      <w:r w:rsidRPr="00EE42C0">
        <w:rPr>
          <w:rFonts w:cs="Arial"/>
          <w:b/>
          <w:bCs/>
          <w:szCs w:val="20"/>
        </w:rPr>
        <w:t>Domácnosti seniorů</w:t>
      </w:r>
      <w:r w:rsidRPr="009A6637">
        <w:rPr>
          <w:rFonts w:cs="Arial"/>
          <w:b/>
          <w:bCs/>
          <w:szCs w:val="20"/>
          <w:vertAlign w:val="superscript"/>
        </w:rPr>
        <w:t>*)</w:t>
      </w:r>
      <w:r w:rsidRPr="00EE42C0">
        <w:rPr>
          <w:rFonts w:cs="Arial"/>
          <w:b/>
          <w:bCs/>
          <w:szCs w:val="20"/>
        </w:rPr>
        <w:t xml:space="preserve"> bydlící v</w:t>
      </w:r>
      <w:r>
        <w:rPr>
          <w:rFonts w:cs="Arial"/>
          <w:b/>
          <w:bCs/>
          <w:szCs w:val="20"/>
        </w:rPr>
        <w:t> </w:t>
      </w:r>
      <w:r w:rsidRPr="00EE42C0">
        <w:rPr>
          <w:rFonts w:cs="Arial"/>
          <w:b/>
          <w:bCs/>
          <w:szCs w:val="20"/>
        </w:rPr>
        <w:t>bytech</w:t>
      </w:r>
      <w:r>
        <w:rPr>
          <w:rFonts w:cs="Arial"/>
          <w:b/>
          <w:bCs/>
          <w:szCs w:val="20"/>
        </w:rPr>
        <w:t xml:space="preserve"> v Jihomoravském kraji</w:t>
      </w:r>
      <w:r w:rsidRPr="00EE42C0">
        <w:rPr>
          <w:rFonts w:cs="Arial"/>
          <w:b/>
          <w:bCs/>
          <w:szCs w:val="20"/>
        </w:rPr>
        <w:t xml:space="preserve"> podle obytné plochy na osobu</w:t>
      </w:r>
    </w:p>
    <w:p w:rsidR="00CE73B4" w:rsidRDefault="00CE73B4" w:rsidP="00CE73B4">
      <w:pPr>
        <w:jc w:val="both"/>
        <w:rPr>
          <w:rFonts w:cs="Arial"/>
          <w:szCs w:val="20"/>
        </w:rPr>
      </w:pPr>
      <w:r w:rsidRPr="009B2CB3">
        <w:rPr>
          <w:rFonts w:cs="Arial"/>
          <w:sz w:val="16"/>
          <w:szCs w:val="16"/>
        </w:rPr>
        <w:t>Zdroj: SLDB 2011</w:t>
      </w:r>
    </w:p>
    <w:p w:rsidR="00CE73B4" w:rsidRDefault="00634386" w:rsidP="00CE73B4">
      <w:pPr>
        <w:spacing w:after="120"/>
        <w:rPr>
          <w:rFonts w:cs="Arial"/>
          <w:szCs w:val="20"/>
        </w:rPr>
      </w:pPr>
      <w:r w:rsidRPr="00053323">
        <w:rPr>
          <w:szCs w:val="20"/>
        </w:rPr>
        <w:pict>
          <v:shape id="_x0000_i1038" type="#_x0000_t75" style="width:478.2pt;height:182.7pt">
            <v:imagedata r:id="rId21" o:title=""/>
          </v:shape>
        </w:pic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V domácnostech seniorů bydlících v rodinných domech byla nejvyšší průměrná obytná plocha připadající na osobu u domácností jednotlivců (56,3 m</w:t>
      </w:r>
      <w:r w:rsidRPr="008656BB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, u domácností jednotlivců celkem 55,6 m</w:t>
      </w:r>
      <w:r w:rsidRPr="008656BB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). U rodinných domácností seniorů se příliš nelišila – 31,1 m</w:t>
      </w:r>
      <w:r w:rsidRPr="008656BB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u úplných rodin a 31,8 m</w:t>
      </w:r>
      <w:r w:rsidRPr="008656BB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  <w:vertAlign w:val="superscript"/>
        </w:rPr>
        <w:t xml:space="preserve"> </w:t>
      </w:r>
      <w:r w:rsidRPr="008656BB">
        <w:rPr>
          <w:rFonts w:cs="Arial"/>
          <w:szCs w:val="20"/>
        </w:rPr>
        <w:t>u neúplných rodi</w:t>
      </w:r>
      <w:r>
        <w:rPr>
          <w:rFonts w:cs="Arial"/>
          <w:szCs w:val="20"/>
        </w:rPr>
        <w:t>n (u domácností celkem 27,4 m</w:t>
      </w:r>
      <w:r w:rsidRPr="008656BB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u úplných rodin a 29,6 m</w:t>
      </w:r>
      <w:r w:rsidRPr="008656BB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u neúplných rodin).</w: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Obdobná situace, i když s nižšími hodnotami průměrné plochy, byla v domácnostech seniorů bydlících v bytech v bytových domech.</w:t>
      </w:r>
      <w:r w:rsidRPr="0037548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Obytná plocha připadající na osobu u domácností jednotlivců dosáhla 43,1 m</w:t>
      </w:r>
      <w:r w:rsidRPr="00375489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(u domácností jednotlivců celkem 42,6 m</w:t>
      </w:r>
      <w:r w:rsidRPr="008656BB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). U rodinných domácností seniorů byla shodná – 25,1 m</w:t>
      </w:r>
      <w:r w:rsidRPr="008656BB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u úplných i</w:t>
      </w:r>
      <w:r>
        <w:rPr>
          <w:rFonts w:cs="Arial"/>
          <w:szCs w:val="20"/>
          <w:vertAlign w:val="superscript"/>
        </w:rPr>
        <w:t xml:space="preserve"> </w:t>
      </w:r>
      <w:r w:rsidRPr="008656BB">
        <w:rPr>
          <w:rFonts w:cs="Arial"/>
          <w:szCs w:val="20"/>
        </w:rPr>
        <w:t>u neúplných rodi</w:t>
      </w:r>
      <w:r>
        <w:rPr>
          <w:rFonts w:cs="Arial"/>
          <w:szCs w:val="20"/>
        </w:rPr>
        <w:t>n (u domácností celkem 20,9 m</w:t>
      </w:r>
      <w:r w:rsidRPr="008656BB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u úplných rodin a 22,3 m</w:t>
      </w:r>
      <w:r w:rsidRPr="008656BB"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u neúplných rodin).</w:t>
      </w:r>
    </w:p>
    <w:p w:rsidR="00CE73B4" w:rsidRDefault="00CE73B4" w:rsidP="00CE73B4">
      <w:pPr>
        <w:rPr>
          <w:rFonts w:cs="Arial"/>
          <w:b/>
          <w:szCs w:val="20"/>
        </w:rPr>
      </w:pPr>
      <w:r>
        <w:rPr>
          <w:rFonts w:cs="Arial"/>
          <w:szCs w:val="20"/>
        </w:rPr>
        <w:br w:type="page"/>
      </w:r>
      <w:r>
        <w:rPr>
          <w:rFonts w:cs="Arial"/>
          <w:b/>
          <w:szCs w:val="20"/>
        </w:rPr>
        <w:lastRenderedPageBreak/>
        <w:t xml:space="preserve">Graf 3.5 </w:t>
      </w:r>
      <w:r w:rsidRPr="007746C7">
        <w:rPr>
          <w:rFonts w:cs="Arial"/>
          <w:b/>
          <w:szCs w:val="20"/>
        </w:rPr>
        <w:t xml:space="preserve">Průměrná obytná plocha </w:t>
      </w:r>
      <w:r>
        <w:rPr>
          <w:rFonts w:cs="Arial"/>
          <w:b/>
          <w:szCs w:val="20"/>
        </w:rPr>
        <w:t xml:space="preserve">na osobu u </w:t>
      </w:r>
      <w:r w:rsidRPr="007746C7">
        <w:rPr>
          <w:rFonts w:cs="Arial"/>
          <w:b/>
          <w:szCs w:val="20"/>
        </w:rPr>
        <w:t>byt</w:t>
      </w:r>
      <w:r>
        <w:rPr>
          <w:rFonts w:cs="Arial"/>
          <w:b/>
          <w:szCs w:val="20"/>
        </w:rPr>
        <w:t>ů</w:t>
      </w:r>
      <w:r w:rsidRPr="007746C7">
        <w:rPr>
          <w:rFonts w:cs="Arial"/>
          <w:b/>
          <w:szCs w:val="20"/>
        </w:rPr>
        <w:t xml:space="preserve"> obývaných domácnostmi seniorů podle typu</w:t>
      </w:r>
    </w:p>
    <w:p w:rsidR="00CE73B4" w:rsidRPr="007746C7" w:rsidRDefault="00CE73B4" w:rsidP="00CE73B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</w:t>
      </w:r>
      <w:r w:rsidRPr="007746C7">
        <w:rPr>
          <w:rFonts w:cs="Arial"/>
          <w:b/>
          <w:szCs w:val="20"/>
        </w:rPr>
        <w:t>domácnosti, věku osoby v čele a druhu domu v</w:t>
      </w:r>
      <w:r>
        <w:rPr>
          <w:rFonts w:cs="Arial"/>
          <w:b/>
          <w:szCs w:val="20"/>
        </w:rPr>
        <w:t> </w:t>
      </w:r>
      <w:r w:rsidRPr="007746C7">
        <w:rPr>
          <w:rFonts w:cs="Arial"/>
          <w:b/>
          <w:szCs w:val="20"/>
        </w:rPr>
        <w:t>Jihomoravském kraji podle SLDB 2011</w:t>
      </w:r>
    </w:p>
    <w:p w:rsidR="00CE73B4" w:rsidRDefault="00634386" w:rsidP="00CE73B4">
      <w:pPr>
        <w:spacing w:after="120"/>
        <w:rPr>
          <w:rFonts w:cs="Arial"/>
          <w:szCs w:val="20"/>
        </w:rPr>
      </w:pPr>
      <w:r w:rsidRPr="00053323">
        <w:rPr>
          <w:noProof/>
          <w:szCs w:val="20"/>
        </w:rPr>
        <w:pict>
          <v:shape id="_x0000_i1039" type="#_x0000_t75" style="width:482.5pt;height:225.65pt;visibility:visible;mso-wrap-style:square">
            <v:imagedata r:id="rId22" o:title=""/>
          </v:shape>
        </w:pict>
      </w:r>
    </w:p>
    <w:p w:rsidR="00CE73B4" w:rsidRDefault="00CE73B4" w:rsidP="00CE73B4">
      <w:pPr>
        <w:spacing w:after="120"/>
        <w:jc w:val="both"/>
        <w:rPr>
          <w:rFonts w:cs="Arial"/>
          <w:szCs w:val="20"/>
        </w:rPr>
      </w:pPr>
    </w:p>
    <w:p w:rsidR="00CE73B4" w:rsidRDefault="00CE73B4" w:rsidP="00CE73B4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Graf 3.6. </w:t>
      </w:r>
      <w:r w:rsidRPr="008B1387">
        <w:rPr>
          <w:rFonts w:cs="Arial"/>
          <w:b/>
          <w:bCs/>
          <w:szCs w:val="20"/>
        </w:rPr>
        <w:t xml:space="preserve">Domácnosti seniorů bydlící v bytech v Jihomoravském kraji podle typu domácnosti, </w:t>
      </w:r>
    </w:p>
    <w:p w:rsidR="00CE73B4" w:rsidRPr="008B1387" w:rsidRDefault="00CE73B4" w:rsidP="00CE73B4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              </w:t>
      </w:r>
      <w:r w:rsidRPr="008B1387">
        <w:rPr>
          <w:rFonts w:cs="Arial"/>
          <w:b/>
          <w:bCs/>
          <w:szCs w:val="20"/>
        </w:rPr>
        <w:t>druhu domu a obytné plochy v m</w:t>
      </w:r>
      <w:r w:rsidRPr="008B1387">
        <w:rPr>
          <w:rFonts w:cs="Arial"/>
          <w:b/>
          <w:bCs/>
          <w:szCs w:val="20"/>
          <w:vertAlign w:val="superscript"/>
        </w:rPr>
        <w:t>2</w:t>
      </w:r>
      <w:r w:rsidRPr="008B1387">
        <w:rPr>
          <w:rFonts w:cs="Arial"/>
          <w:b/>
          <w:bCs/>
          <w:szCs w:val="20"/>
        </w:rPr>
        <w:t xml:space="preserve"> na osobu podle SLDB 2011</w:t>
      </w:r>
    </w:p>
    <w:p w:rsidR="00CE73B4" w:rsidRDefault="00634386" w:rsidP="00CE73B4">
      <w:pPr>
        <w:pStyle w:val="textS"/>
      </w:pPr>
      <w:r>
        <w:pict>
          <v:shape id="_x0000_i1040" type="#_x0000_t75" style="width:481.45pt;height:223.5pt">
            <v:imagedata r:id="rId23" o:title=""/>
          </v:shape>
        </w:pict>
      </w:r>
    </w:p>
    <w:p w:rsidR="007E4733" w:rsidRDefault="007E4733" w:rsidP="00BE797A">
      <w:pPr>
        <w:pStyle w:val="textSseznam"/>
      </w:pPr>
    </w:p>
    <w:p w:rsidR="00634386" w:rsidRDefault="00634386" w:rsidP="00BE797A">
      <w:pPr>
        <w:pStyle w:val="textSseznam"/>
        <w:sectPr w:rsidR="00634386" w:rsidSect="00CE73B4">
          <w:footerReference w:type="even" r:id="rId24"/>
          <w:footerReference w:type="default" r:id="rId25"/>
          <w:pgSz w:w="11906" w:h="16838" w:code="9"/>
          <w:pgMar w:top="1418" w:right="1134" w:bottom="1418" w:left="1134" w:header="680" w:footer="680" w:gutter="0"/>
          <w:pgNumType w:start="43"/>
          <w:cols w:space="708"/>
          <w:docGrid w:linePitch="360"/>
        </w:sectPr>
      </w:pPr>
    </w:p>
    <w:p w:rsidR="00634386" w:rsidRDefault="00634386" w:rsidP="00BE797A">
      <w:pPr>
        <w:pStyle w:val="textSseznam"/>
        <w:sectPr w:rsidR="00634386" w:rsidSect="00634386">
          <w:type w:val="continuous"/>
          <w:pgSz w:w="11906" w:h="16838" w:code="9"/>
          <w:pgMar w:top="1418" w:right="1134" w:bottom="1418" w:left="1134" w:header="680" w:footer="680" w:gutter="0"/>
          <w:pgNumType w:start="43"/>
          <w:cols w:space="708"/>
          <w:docGrid w:linePitch="360"/>
        </w:sectPr>
      </w:pPr>
    </w:p>
    <w:p w:rsidR="001005A6" w:rsidRDefault="001005A6" w:rsidP="00BE797A">
      <w:pPr>
        <w:pStyle w:val="textSseznam"/>
      </w:pPr>
    </w:p>
    <w:p w:rsidR="00E51E1F" w:rsidRDefault="00E51E1F" w:rsidP="005678C3"/>
    <w:p w:rsidR="00634386" w:rsidRDefault="00634386" w:rsidP="005678C3">
      <w:pPr>
        <w:sectPr w:rsidR="00634386" w:rsidSect="00634386">
          <w:type w:val="continuous"/>
          <w:pgSz w:w="11906" w:h="16838" w:code="9"/>
          <w:pgMar w:top="1418" w:right="1134" w:bottom="1418" w:left="1134" w:header="680" w:footer="680" w:gutter="0"/>
          <w:pgNumType w:start="43"/>
          <w:cols w:space="708"/>
          <w:docGrid w:linePitch="360"/>
        </w:sectPr>
      </w:pPr>
    </w:p>
    <w:p w:rsidR="00634386" w:rsidRDefault="00634386" w:rsidP="00E51E1F">
      <w:pPr>
        <w:spacing w:after="360"/>
        <w:jc w:val="both"/>
        <w:rPr>
          <w:rFonts w:cs="Arial"/>
          <w:szCs w:val="20"/>
        </w:rPr>
        <w:sectPr w:rsidR="00634386" w:rsidSect="00634386">
          <w:headerReference w:type="even" r:id="rId26"/>
          <w:headerReference w:type="default" r:id="rId27"/>
          <w:footerReference w:type="even" r:id="rId28"/>
          <w:headerReference w:type="first" r:id="rId29"/>
          <w:footerReference w:type="first" r:id="rId30"/>
          <w:type w:val="continuous"/>
          <w:pgSz w:w="11906" w:h="16838" w:code="9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4404F3" w:rsidRDefault="004404F3" w:rsidP="00E51E1F">
      <w:pPr>
        <w:spacing w:after="360"/>
        <w:jc w:val="both"/>
        <w:rPr>
          <w:rFonts w:cs="Arial"/>
          <w:szCs w:val="20"/>
        </w:rPr>
      </w:pPr>
    </w:p>
    <w:sectPr w:rsidR="004404F3" w:rsidSect="00634386">
      <w:type w:val="continuous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049" w:rsidRDefault="009A7049">
      <w:r>
        <w:separator/>
      </w:r>
    </w:p>
  </w:endnote>
  <w:endnote w:type="continuationSeparator" w:id="1">
    <w:p w:rsidR="009A7049" w:rsidRDefault="009A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053323" w:rsidP="00103E0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alt="Description: 3" style="position:absolute;margin-left:445.7pt;margin-top:-4.1pt;width:36.75pt;height:17.25pt;z-index:1;visibility:visible">
          <v:imagedata r:id="rId1" o:title=""/>
        </v:shape>
      </w:pict>
    </w:r>
    <w:r w:rsidRPr="005A21E0">
      <w:rPr>
        <w:rFonts w:cs="Arial"/>
        <w:sz w:val="16"/>
        <w:szCs w:val="16"/>
      </w:rPr>
      <w:fldChar w:fldCharType="begin"/>
    </w:r>
    <w:r w:rsidR="0071390D" w:rsidRPr="005A21E0">
      <w:rPr>
        <w:rFonts w:cs="Arial"/>
        <w:sz w:val="16"/>
        <w:szCs w:val="16"/>
      </w:rPr>
      <w:instrText>PAGE   \* MERGEFORMAT</w:instrText>
    </w:r>
    <w:r w:rsidRPr="005A21E0">
      <w:rPr>
        <w:rFonts w:cs="Arial"/>
        <w:sz w:val="16"/>
        <w:szCs w:val="16"/>
      </w:rPr>
      <w:fldChar w:fldCharType="separate"/>
    </w:r>
    <w:r w:rsidR="00634386">
      <w:rPr>
        <w:rFonts w:cs="Arial"/>
        <w:noProof/>
        <w:sz w:val="16"/>
        <w:szCs w:val="16"/>
      </w:rPr>
      <w:t>52</w:t>
    </w:r>
    <w:r w:rsidRPr="005A21E0">
      <w:rPr>
        <w:rFonts w:cs="Arial"/>
        <w:sz w:val="16"/>
        <w:szCs w:val="16"/>
      </w:rPr>
      <w:fldChar w:fldCharType="end"/>
    </w:r>
    <w:r w:rsidR="0071390D">
      <w:rPr>
        <w:rFonts w:cs="Arial"/>
        <w:sz w:val="16"/>
        <w:szCs w:val="16"/>
      </w:rPr>
      <w:tab/>
      <w:t>Senioři v Jihomoravském kraji 2015</w:t>
    </w:r>
    <w:r w:rsidR="0071390D">
      <w:tab/>
    </w:r>
    <w:r w:rsidR="0071390D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053323" w:rsidP="00103E0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alt="3" style="position:absolute;margin-left:.3pt;margin-top:3.35pt;width:39pt;height:21pt;z-index:2;visibility:visible">
          <v:imagedata r:id="rId1" o:title="3"/>
        </v:shape>
      </w:pict>
    </w:r>
    <w:r w:rsidR="0071390D">
      <w:tab/>
    </w:r>
    <w:r w:rsidR="0071390D">
      <w:tab/>
    </w:r>
  </w:p>
  <w:p w:rsidR="0071390D" w:rsidRDefault="0071390D" w:rsidP="00103E0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Senioři v Jihomoravském kraji 2015</w:t>
    </w:r>
    <w:r>
      <w:tab/>
    </w:r>
    <w:r>
      <w:tab/>
    </w:r>
    <w:r w:rsidR="00053323" w:rsidRPr="00B6608F">
      <w:rPr>
        <w:rFonts w:cs="Arial"/>
        <w:sz w:val="16"/>
        <w:szCs w:val="16"/>
      </w:rPr>
      <w:fldChar w:fldCharType="begin"/>
    </w:r>
    <w:r w:rsidRPr="00B6608F">
      <w:rPr>
        <w:rFonts w:cs="Arial"/>
        <w:sz w:val="16"/>
        <w:szCs w:val="16"/>
      </w:rPr>
      <w:instrText>PAGE   \* MERGEFORMAT</w:instrText>
    </w:r>
    <w:r w:rsidR="00053323" w:rsidRPr="00B6608F">
      <w:rPr>
        <w:rFonts w:cs="Arial"/>
        <w:sz w:val="16"/>
        <w:szCs w:val="16"/>
      </w:rPr>
      <w:fldChar w:fldCharType="separate"/>
    </w:r>
    <w:r w:rsidR="00634386">
      <w:rPr>
        <w:rFonts w:cs="Arial"/>
        <w:noProof/>
        <w:sz w:val="16"/>
        <w:szCs w:val="16"/>
      </w:rPr>
      <w:t>51</w:t>
    </w:r>
    <w:r w:rsidR="00053323" w:rsidRPr="00B6608F">
      <w:rPr>
        <w:rFonts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053323" w:rsidP="00103E0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alt="Description: 3" style="position:absolute;margin-left:445.7pt;margin-top:-4.1pt;width:36.75pt;height:17.25pt;z-index:3;visibility:visible">
          <v:imagedata r:id="rId1" o:title=""/>
        </v:shape>
      </w:pict>
    </w:r>
    <w:r w:rsidRPr="005A21E0">
      <w:rPr>
        <w:rFonts w:cs="Arial"/>
        <w:sz w:val="16"/>
        <w:szCs w:val="16"/>
      </w:rPr>
      <w:fldChar w:fldCharType="begin"/>
    </w:r>
    <w:r w:rsidR="0071390D" w:rsidRPr="005A21E0">
      <w:rPr>
        <w:rFonts w:cs="Arial"/>
        <w:sz w:val="16"/>
        <w:szCs w:val="16"/>
      </w:rPr>
      <w:instrText>PAGE   \* MERGEFORMAT</w:instrText>
    </w:r>
    <w:r w:rsidRPr="005A21E0">
      <w:rPr>
        <w:rFonts w:cs="Arial"/>
        <w:sz w:val="16"/>
        <w:szCs w:val="16"/>
      </w:rPr>
      <w:fldChar w:fldCharType="separate"/>
    </w:r>
    <w:r w:rsidR="00E51E1F">
      <w:rPr>
        <w:rFonts w:cs="Arial"/>
        <w:noProof/>
        <w:sz w:val="16"/>
        <w:szCs w:val="16"/>
      </w:rPr>
      <w:t>10</w:t>
    </w:r>
    <w:r w:rsidRPr="005A21E0">
      <w:rPr>
        <w:rFonts w:cs="Arial"/>
        <w:sz w:val="16"/>
        <w:szCs w:val="16"/>
      </w:rPr>
      <w:fldChar w:fldCharType="end"/>
    </w:r>
    <w:r w:rsidR="0071390D">
      <w:rPr>
        <w:rFonts w:cs="Arial"/>
        <w:sz w:val="16"/>
        <w:szCs w:val="16"/>
      </w:rPr>
      <w:tab/>
      <w:t>Senioři v Jihomoravském kraji 2015</w:t>
    </w:r>
    <w:r w:rsidR="0071390D">
      <w:tab/>
    </w:r>
    <w:r w:rsidR="0071390D"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053323" w:rsidP="001A2267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alt="3" style="position:absolute;margin-left:.3pt;margin-top:1.85pt;width:39pt;height:21pt;z-index:4;visibility:visible">
          <v:imagedata r:id="rId1" o:title="3"/>
        </v:shape>
      </w:pict>
    </w:r>
  </w:p>
  <w:p w:rsidR="0071390D" w:rsidRDefault="0071390D" w:rsidP="001A2267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Senioři v Jihomoravském kraji 2015</w:t>
    </w:r>
    <w:r>
      <w:tab/>
    </w:r>
    <w:r>
      <w:tab/>
    </w:r>
    <w:r w:rsidR="00053323" w:rsidRPr="00B6608F">
      <w:rPr>
        <w:rFonts w:cs="Arial"/>
        <w:sz w:val="16"/>
        <w:szCs w:val="16"/>
      </w:rPr>
      <w:fldChar w:fldCharType="begin"/>
    </w:r>
    <w:r w:rsidRPr="00B6608F">
      <w:rPr>
        <w:rFonts w:cs="Arial"/>
        <w:sz w:val="16"/>
        <w:szCs w:val="16"/>
      </w:rPr>
      <w:instrText>PAGE   \* MERGEFORMAT</w:instrText>
    </w:r>
    <w:r w:rsidR="00053323" w:rsidRPr="00B6608F">
      <w:rPr>
        <w:rFonts w:cs="Arial"/>
        <w:sz w:val="16"/>
        <w:szCs w:val="16"/>
      </w:rPr>
      <w:fldChar w:fldCharType="separate"/>
    </w:r>
    <w:r w:rsidR="00634386">
      <w:rPr>
        <w:rFonts w:cs="Arial"/>
        <w:noProof/>
        <w:sz w:val="16"/>
        <w:szCs w:val="16"/>
      </w:rPr>
      <w:t>44</w:t>
    </w:r>
    <w:r w:rsidR="00053323" w:rsidRPr="00B6608F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049" w:rsidRDefault="009A7049">
      <w:r>
        <w:separator/>
      </w:r>
    </w:p>
  </w:footnote>
  <w:footnote w:type="continuationSeparator" w:id="1">
    <w:p w:rsidR="009A7049" w:rsidRDefault="009A7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</w:pPr>
    <w:r>
      <w:rPr>
        <w:b/>
        <w:bCs/>
        <w:caps/>
      </w:rPr>
      <w:t>příloha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  <w:jc w:val="right"/>
    </w:pPr>
    <w:r>
      <w:rPr>
        <w:b/>
        <w:bCs/>
        <w:caps/>
      </w:rPr>
      <w:t>Příloha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0D" w:rsidRDefault="0071390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8F6"/>
    <w:multiLevelType w:val="hybridMultilevel"/>
    <w:tmpl w:val="3E42D72C"/>
    <w:lvl w:ilvl="0" w:tplc="FE7C89C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E1AF4"/>
    <w:multiLevelType w:val="hybridMultilevel"/>
    <w:tmpl w:val="6C265BB4"/>
    <w:lvl w:ilvl="0" w:tplc="A3B4C41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F0CC2"/>
    <w:multiLevelType w:val="hybridMultilevel"/>
    <w:tmpl w:val="213EC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556D2"/>
    <w:multiLevelType w:val="hybridMultilevel"/>
    <w:tmpl w:val="404C2F2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05588"/>
    <w:multiLevelType w:val="hybridMultilevel"/>
    <w:tmpl w:val="F7F4F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hideGrammaticalErrors/>
  <w:doNotTrackMoves/>
  <w:defaultTabStop w:val="1134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1B3"/>
    <w:rsid w:val="00053323"/>
    <w:rsid w:val="000611FC"/>
    <w:rsid w:val="000B0658"/>
    <w:rsid w:val="000C51D2"/>
    <w:rsid w:val="000D06D9"/>
    <w:rsid w:val="000D4CD2"/>
    <w:rsid w:val="000E2F33"/>
    <w:rsid w:val="000F02D1"/>
    <w:rsid w:val="001005A6"/>
    <w:rsid w:val="00103E09"/>
    <w:rsid w:val="00110A81"/>
    <w:rsid w:val="00111366"/>
    <w:rsid w:val="001130FE"/>
    <w:rsid w:val="00114CC5"/>
    <w:rsid w:val="00115C0A"/>
    <w:rsid w:val="00121E34"/>
    <w:rsid w:val="00137045"/>
    <w:rsid w:val="0016747F"/>
    <w:rsid w:val="00183698"/>
    <w:rsid w:val="00192E85"/>
    <w:rsid w:val="001A2267"/>
    <w:rsid w:val="001B641B"/>
    <w:rsid w:val="001E19E7"/>
    <w:rsid w:val="001F0E05"/>
    <w:rsid w:val="00214C11"/>
    <w:rsid w:val="00227BDD"/>
    <w:rsid w:val="002427EB"/>
    <w:rsid w:val="00246A34"/>
    <w:rsid w:val="0025399F"/>
    <w:rsid w:val="00260E03"/>
    <w:rsid w:val="002F37D9"/>
    <w:rsid w:val="002F41A3"/>
    <w:rsid w:val="00313C32"/>
    <w:rsid w:val="00337230"/>
    <w:rsid w:val="003422D8"/>
    <w:rsid w:val="00365A7B"/>
    <w:rsid w:val="00370A9B"/>
    <w:rsid w:val="003A4E42"/>
    <w:rsid w:val="003B474A"/>
    <w:rsid w:val="003C2D26"/>
    <w:rsid w:val="003D1C3C"/>
    <w:rsid w:val="003E1C44"/>
    <w:rsid w:val="00407F8F"/>
    <w:rsid w:val="00430BD6"/>
    <w:rsid w:val="004404F3"/>
    <w:rsid w:val="00456452"/>
    <w:rsid w:val="00460A1A"/>
    <w:rsid w:val="004638FA"/>
    <w:rsid w:val="00481407"/>
    <w:rsid w:val="004E2C54"/>
    <w:rsid w:val="004E4858"/>
    <w:rsid w:val="005058F1"/>
    <w:rsid w:val="005466FC"/>
    <w:rsid w:val="00546D80"/>
    <w:rsid w:val="0056115D"/>
    <w:rsid w:val="005678C3"/>
    <w:rsid w:val="005B6E58"/>
    <w:rsid w:val="005E570E"/>
    <w:rsid w:val="00627A91"/>
    <w:rsid w:val="00632085"/>
    <w:rsid w:val="00634386"/>
    <w:rsid w:val="00684627"/>
    <w:rsid w:val="00692709"/>
    <w:rsid w:val="00693B35"/>
    <w:rsid w:val="006A5A3D"/>
    <w:rsid w:val="006C3A91"/>
    <w:rsid w:val="006D090A"/>
    <w:rsid w:val="006F2772"/>
    <w:rsid w:val="0071390D"/>
    <w:rsid w:val="007241EA"/>
    <w:rsid w:val="007303C1"/>
    <w:rsid w:val="00734685"/>
    <w:rsid w:val="0074274F"/>
    <w:rsid w:val="00745CAC"/>
    <w:rsid w:val="007903E5"/>
    <w:rsid w:val="007A23A9"/>
    <w:rsid w:val="007A3301"/>
    <w:rsid w:val="007B4AA9"/>
    <w:rsid w:val="007B5917"/>
    <w:rsid w:val="007D1A61"/>
    <w:rsid w:val="007D76BD"/>
    <w:rsid w:val="007E4733"/>
    <w:rsid w:val="007F7F29"/>
    <w:rsid w:val="00837EE6"/>
    <w:rsid w:val="00845133"/>
    <w:rsid w:val="00853468"/>
    <w:rsid w:val="008874ED"/>
    <w:rsid w:val="008D27CB"/>
    <w:rsid w:val="008E22A7"/>
    <w:rsid w:val="009178E5"/>
    <w:rsid w:val="00947ACB"/>
    <w:rsid w:val="0095081D"/>
    <w:rsid w:val="00953C26"/>
    <w:rsid w:val="00994261"/>
    <w:rsid w:val="009A7049"/>
    <w:rsid w:val="009C3E5A"/>
    <w:rsid w:val="009C5391"/>
    <w:rsid w:val="009E7A1A"/>
    <w:rsid w:val="00A2508C"/>
    <w:rsid w:val="00A6048B"/>
    <w:rsid w:val="00AB6B9A"/>
    <w:rsid w:val="00AE3E4F"/>
    <w:rsid w:val="00AE4373"/>
    <w:rsid w:val="00B06558"/>
    <w:rsid w:val="00B208E5"/>
    <w:rsid w:val="00B219B8"/>
    <w:rsid w:val="00B43D86"/>
    <w:rsid w:val="00B46215"/>
    <w:rsid w:val="00B4634D"/>
    <w:rsid w:val="00B53AD7"/>
    <w:rsid w:val="00B7367E"/>
    <w:rsid w:val="00B77A3A"/>
    <w:rsid w:val="00BA1B7C"/>
    <w:rsid w:val="00BE797A"/>
    <w:rsid w:val="00BE7DF6"/>
    <w:rsid w:val="00BF3A77"/>
    <w:rsid w:val="00C166DD"/>
    <w:rsid w:val="00C411D7"/>
    <w:rsid w:val="00C55CBC"/>
    <w:rsid w:val="00C63713"/>
    <w:rsid w:val="00C81755"/>
    <w:rsid w:val="00CA6EBF"/>
    <w:rsid w:val="00CB138D"/>
    <w:rsid w:val="00CB51B3"/>
    <w:rsid w:val="00CD5101"/>
    <w:rsid w:val="00CE73B4"/>
    <w:rsid w:val="00D02A8F"/>
    <w:rsid w:val="00D12312"/>
    <w:rsid w:val="00D27240"/>
    <w:rsid w:val="00D45090"/>
    <w:rsid w:val="00D46252"/>
    <w:rsid w:val="00D46979"/>
    <w:rsid w:val="00D8245C"/>
    <w:rsid w:val="00DB6656"/>
    <w:rsid w:val="00DC03E6"/>
    <w:rsid w:val="00DC0555"/>
    <w:rsid w:val="00DD1099"/>
    <w:rsid w:val="00DF5B45"/>
    <w:rsid w:val="00E2457B"/>
    <w:rsid w:val="00E51E1F"/>
    <w:rsid w:val="00E60F48"/>
    <w:rsid w:val="00E63C7D"/>
    <w:rsid w:val="00E701FF"/>
    <w:rsid w:val="00E9472A"/>
    <w:rsid w:val="00EB176E"/>
    <w:rsid w:val="00EB3F88"/>
    <w:rsid w:val="00EC5426"/>
    <w:rsid w:val="00EC647F"/>
    <w:rsid w:val="00EE774B"/>
    <w:rsid w:val="00EE775F"/>
    <w:rsid w:val="00F13400"/>
    <w:rsid w:val="00F3256C"/>
    <w:rsid w:val="00F351DF"/>
    <w:rsid w:val="00F448D2"/>
    <w:rsid w:val="00F61330"/>
    <w:rsid w:val="00F87D65"/>
    <w:rsid w:val="00F9018E"/>
    <w:rsid w:val="00FA66E6"/>
    <w:rsid w:val="00FD1206"/>
    <w:rsid w:val="00FD6B46"/>
    <w:rsid w:val="00FE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74B"/>
    <w:rPr>
      <w:rFonts w:ascii="Arial" w:hAnsi="Arial"/>
      <w:szCs w:val="24"/>
    </w:rPr>
  </w:style>
  <w:style w:type="paragraph" w:styleId="Nadpis1">
    <w:name w:val="heading 1"/>
    <w:basedOn w:val="Normln"/>
    <w:next w:val="Normln"/>
    <w:uiPriority w:val="9"/>
    <w:qFormat/>
    <w:rsid w:val="00EE774B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uiPriority w:val="9"/>
    <w:qFormat/>
    <w:rsid w:val="00EE774B"/>
    <w:pPr>
      <w:keepNext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EE774B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E774B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EE774B"/>
    <w:pPr>
      <w:keepNext/>
      <w:outlineLvl w:val="4"/>
    </w:pPr>
    <w:rPr>
      <w:rFonts w:cs="Arial"/>
      <w:b/>
      <w:bCs/>
      <w:sz w:val="16"/>
      <w:szCs w:val="18"/>
    </w:rPr>
  </w:style>
  <w:style w:type="paragraph" w:styleId="Nadpis6">
    <w:name w:val="heading 6"/>
    <w:basedOn w:val="Normln"/>
    <w:next w:val="Normln"/>
    <w:qFormat/>
    <w:rsid w:val="00EE774B"/>
    <w:pPr>
      <w:keepNext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EE774B"/>
    <w:pPr>
      <w:keepNext/>
      <w:spacing w:before="24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EE774B"/>
    <w:pPr>
      <w:keepNext/>
      <w:spacing w:before="360"/>
      <w:outlineLvl w:val="7"/>
    </w:pPr>
    <w:rPr>
      <w:b/>
      <w:caps/>
      <w:sz w:val="24"/>
    </w:rPr>
  </w:style>
  <w:style w:type="paragraph" w:styleId="Nadpis9">
    <w:name w:val="heading 9"/>
    <w:basedOn w:val="Normln"/>
    <w:next w:val="Normln"/>
    <w:qFormat/>
    <w:rsid w:val="00EE774B"/>
    <w:pPr>
      <w:keepNext/>
      <w:spacing w:before="2040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semiHidden/>
    <w:rsid w:val="00EE774B"/>
    <w:pPr>
      <w:spacing w:before="120"/>
      <w:jc w:val="both"/>
    </w:pPr>
    <w:rPr>
      <w:rFonts w:ascii="Arial" w:hAnsi="Arial"/>
    </w:rPr>
  </w:style>
  <w:style w:type="paragraph" w:customStyle="1" w:styleId="NadpisvelkA">
    <w:name w:val="Nadpis velký A"/>
    <w:basedOn w:val="Zkladntext"/>
    <w:next w:val="Normln"/>
    <w:rsid w:val="00EE774B"/>
    <w:pPr>
      <w:jc w:val="center"/>
    </w:pPr>
    <w:rPr>
      <w:b/>
      <w:i/>
      <w:iCs/>
      <w:caps/>
      <w:sz w:val="28"/>
      <w:lang w:val="en-GB"/>
    </w:rPr>
  </w:style>
  <w:style w:type="paragraph" w:customStyle="1" w:styleId="Nadpismal">
    <w:name w:val="Nadpis malý"/>
    <w:basedOn w:val="Zkladntext"/>
    <w:rsid w:val="00EE774B"/>
    <w:pPr>
      <w:spacing w:before="240"/>
    </w:pPr>
    <w:rPr>
      <w:b/>
    </w:rPr>
  </w:style>
  <w:style w:type="paragraph" w:styleId="Zhlav">
    <w:name w:val="header"/>
    <w:basedOn w:val="Normln"/>
    <w:link w:val="ZhlavChar"/>
    <w:rsid w:val="00EE77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5466FC"/>
    <w:rPr>
      <w:rFonts w:ascii="Arial" w:hAnsi="Arial"/>
      <w:szCs w:val="24"/>
    </w:rPr>
  </w:style>
  <w:style w:type="paragraph" w:styleId="Zpat">
    <w:name w:val="footer"/>
    <w:basedOn w:val="Normln"/>
    <w:link w:val="ZpatChar"/>
    <w:uiPriority w:val="99"/>
    <w:rsid w:val="00EE77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466FC"/>
    <w:rPr>
      <w:rFonts w:ascii="Arial" w:hAnsi="Arial"/>
      <w:szCs w:val="24"/>
    </w:rPr>
  </w:style>
  <w:style w:type="paragraph" w:styleId="Titulek">
    <w:name w:val="caption"/>
    <w:basedOn w:val="Normln"/>
    <w:next w:val="Normln"/>
    <w:qFormat/>
    <w:rsid w:val="00EE774B"/>
    <w:pPr>
      <w:jc w:val="center"/>
    </w:pPr>
    <w:rPr>
      <w:b/>
      <w:bCs/>
    </w:rPr>
  </w:style>
  <w:style w:type="character" w:styleId="slostrnky">
    <w:name w:val="page number"/>
    <w:basedOn w:val="Standardnpsmoodstavce"/>
    <w:semiHidden/>
    <w:rsid w:val="00EE774B"/>
  </w:style>
  <w:style w:type="paragraph" w:styleId="Zkladntext2">
    <w:name w:val="Body Text 2"/>
    <w:basedOn w:val="Normln"/>
    <w:semiHidden/>
    <w:rsid w:val="00EE774B"/>
    <w:pPr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rsid w:val="00EE774B"/>
    <w:rPr>
      <w:color w:val="0000FF"/>
      <w:u w:val="single"/>
    </w:rPr>
  </w:style>
  <w:style w:type="paragraph" w:styleId="Textpoznpodarou">
    <w:name w:val="footnote text"/>
    <w:aliases w:val="Text pozn. pod čarou_martin_ang"/>
    <w:basedOn w:val="Normln"/>
    <w:link w:val="TextpoznpodarouChar"/>
    <w:rsid w:val="00EE774B"/>
    <w:rPr>
      <w:rFonts w:ascii="Times New Roman" w:hAnsi="Times New Roman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5466FC"/>
  </w:style>
  <w:style w:type="paragraph" w:styleId="Zkladntext3">
    <w:name w:val="Body Text 3"/>
    <w:basedOn w:val="Normln"/>
    <w:semiHidden/>
    <w:rsid w:val="00EE774B"/>
    <w:rPr>
      <w:sz w:val="22"/>
    </w:rPr>
  </w:style>
  <w:style w:type="paragraph" w:customStyle="1" w:styleId="Styl1">
    <w:name w:val="Styl1"/>
    <w:rsid w:val="00FD1206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Zkladnodstavec">
    <w:name w:val="[Základní odstavec]"/>
    <w:basedOn w:val="Normln"/>
    <w:link w:val="ZkladnodstavecChar"/>
    <w:uiPriority w:val="99"/>
    <w:rsid w:val="00FD120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FD1206"/>
    <w:rPr>
      <w:rFonts w:ascii="Minion Pro" w:eastAsia="Calibri" w:hAnsi="Minion Pro" w:cs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110A81"/>
    <w:pPr>
      <w:spacing w:line="288" w:lineRule="auto"/>
      <w:contextualSpacing/>
      <w:outlineLvl w:val="0"/>
    </w:pPr>
    <w:rPr>
      <w:rFonts w:ascii="Arial" w:hAnsi="Arial"/>
      <w:b/>
      <w:caps/>
      <w:color w:val="BC091B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10A81"/>
    <w:rPr>
      <w:rFonts w:ascii="Arial" w:hAnsi="Arial"/>
      <w:b/>
      <w:caps/>
      <w:color w:val="BC091B"/>
      <w:sz w:val="56"/>
      <w:szCs w:val="52"/>
      <w:lang w:val="cs-CZ" w:eastAsia="cs-CZ" w:bidi="ar-SA"/>
    </w:rPr>
  </w:style>
  <w:style w:type="paragraph" w:styleId="Podtitul">
    <w:name w:val="Subtitle"/>
    <w:next w:val="Normln"/>
    <w:link w:val="PodtitulChar"/>
    <w:uiPriority w:val="11"/>
    <w:qFormat/>
    <w:rsid w:val="00FD1206"/>
    <w:pPr>
      <w:numPr>
        <w:ilvl w:val="1"/>
      </w:numPr>
      <w:spacing w:line="288" w:lineRule="auto"/>
    </w:pPr>
    <w:rPr>
      <w:rFonts w:ascii="Arial" w:hAnsi="Arial"/>
      <w:b/>
      <w:iCs/>
      <w:color w:val="BC091B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D1206"/>
    <w:rPr>
      <w:rFonts w:ascii="Arial" w:hAnsi="Arial"/>
      <w:b/>
      <w:iCs/>
      <w:color w:val="BC091B"/>
      <w:sz w:val="28"/>
      <w:szCs w:val="24"/>
      <w:lang w:val="cs-CZ" w:eastAsia="cs-CZ" w:bidi="ar-SA"/>
    </w:rPr>
  </w:style>
  <w:style w:type="paragraph" w:customStyle="1" w:styleId="Box1">
    <w:name w:val="Box 1"/>
    <w:basedOn w:val="Zkladnodstavec"/>
    <w:next w:val="Normln"/>
    <w:qFormat/>
    <w:rsid w:val="00FD1206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">
    <w:name w:val="Box"/>
    <w:next w:val="Normln"/>
    <w:link w:val="BoxChar"/>
    <w:qFormat/>
    <w:rsid w:val="00FD1206"/>
    <w:pPr>
      <w:shd w:val="clear" w:color="auto" w:fill="F5DADD"/>
      <w:spacing w:line="288" w:lineRule="auto"/>
      <w:ind w:left="1134"/>
    </w:pPr>
    <w:rPr>
      <w:rFonts w:ascii="Arial" w:eastAsia="Calibri" w:hAnsi="Arial" w:cs="Arial"/>
    </w:rPr>
  </w:style>
  <w:style w:type="character" w:customStyle="1" w:styleId="BoxChar">
    <w:name w:val="Box Char"/>
    <w:basedOn w:val="Standardnpsmoodstavce"/>
    <w:link w:val="Box"/>
    <w:rsid w:val="00FD1206"/>
    <w:rPr>
      <w:rFonts w:ascii="Arial" w:eastAsia="Calibri" w:hAnsi="Arial" w:cs="Arial"/>
      <w:shd w:val="clear" w:color="auto" w:fill="F5DADD"/>
      <w:lang w:val="cs-CZ" w:eastAsia="cs-CZ" w:bidi="ar-SA"/>
    </w:rPr>
  </w:style>
  <w:style w:type="paragraph" w:customStyle="1" w:styleId="TL-Kontakty">
    <w:name w:val="TL - Kontakty"/>
    <w:next w:val="Normln"/>
    <w:link w:val="TL-KontaktyChar"/>
    <w:qFormat/>
    <w:rsid w:val="00FD1206"/>
    <w:pPr>
      <w:spacing w:after="80"/>
    </w:pPr>
    <w:rPr>
      <w:rFonts w:ascii="Arial" w:hAnsi="Arial"/>
      <w:b/>
      <w:caps/>
      <w:color w:val="BD1B21"/>
      <w:sz w:val="24"/>
      <w:szCs w:val="24"/>
    </w:rPr>
  </w:style>
  <w:style w:type="character" w:customStyle="1" w:styleId="TL-KontaktyChar">
    <w:name w:val="TL - Kontakty Char"/>
    <w:basedOn w:val="Standardnpsmoodstavce"/>
    <w:link w:val="TL-Kontakty"/>
    <w:rsid w:val="00FD1206"/>
    <w:rPr>
      <w:rFonts w:ascii="Arial" w:hAnsi="Arial"/>
      <w:b/>
      <w:caps/>
      <w:color w:val="BD1B21"/>
      <w:sz w:val="24"/>
      <w:szCs w:val="24"/>
      <w:lang w:val="cs-CZ" w:eastAsia="cs-CZ"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FD1206"/>
    <w:pPr>
      <w:spacing w:after="200" w:line="288" w:lineRule="auto"/>
    </w:pPr>
    <w:rPr>
      <w:sz w:val="24"/>
    </w:rPr>
  </w:style>
  <w:style w:type="character" w:customStyle="1" w:styleId="TL-identifikace-stedChar">
    <w:name w:val="TL - identifikace - střed Char"/>
    <w:basedOn w:val="Standardnpsmoodstavce"/>
    <w:link w:val="TL-identifikace-sted"/>
    <w:rsid w:val="00FD1206"/>
    <w:rPr>
      <w:rFonts w:ascii="Arial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FD1206"/>
    <w:pPr>
      <w:spacing w:after="200" w:line="288" w:lineRule="auto"/>
    </w:pPr>
    <w:rPr>
      <w:rFonts w:cs="Arial"/>
      <w:szCs w:val="20"/>
      <w:lang w:eastAsia="ar-SA"/>
    </w:rPr>
  </w:style>
  <w:style w:type="character" w:customStyle="1" w:styleId="TL-Identifikace-doleChar">
    <w:name w:val="TL - Identifikace - dole Char"/>
    <w:basedOn w:val="Standardnpsmoodstavce"/>
    <w:link w:val="TL-Identifikace-dole"/>
    <w:rsid w:val="00FD1206"/>
    <w:rPr>
      <w:rFonts w:ascii="Arial" w:hAnsi="Arial" w:cs="Arial"/>
      <w:lang w:eastAsia="ar-SA"/>
    </w:rPr>
  </w:style>
  <w:style w:type="paragraph" w:styleId="Obsah1">
    <w:name w:val="toc 1"/>
    <w:basedOn w:val="Normln"/>
    <w:next w:val="Normln"/>
    <w:autoRedefine/>
    <w:uiPriority w:val="39"/>
    <w:qFormat/>
    <w:rsid w:val="00693B35"/>
    <w:pPr>
      <w:tabs>
        <w:tab w:val="left" w:pos="660"/>
        <w:tab w:val="right" w:leader="dot" w:pos="9628"/>
      </w:tabs>
      <w:spacing w:before="120" w:after="120"/>
      <w:jc w:val="both"/>
    </w:pPr>
    <w:rPr>
      <w:rFonts w:eastAsia="Calibri"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5466FC"/>
    <w:pPr>
      <w:spacing w:line="288" w:lineRule="auto"/>
      <w:ind w:left="200"/>
    </w:pPr>
    <w:rPr>
      <w:rFonts w:eastAsia="Calibri"/>
    </w:rPr>
  </w:style>
  <w:style w:type="paragraph" w:styleId="Obsah3">
    <w:name w:val="toc 3"/>
    <w:basedOn w:val="Normln"/>
    <w:next w:val="Normln"/>
    <w:autoRedefine/>
    <w:uiPriority w:val="39"/>
    <w:rsid w:val="005466FC"/>
    <w:pPr>
      <w:spacing w:line="288" w:lineRule="auto"/>
      <w:ind w:left="400"/>
    </w:pPr>
    <w:rPr>
      <w:rFonts w:eastAsia="Calibri"/>
    </w:rPr>
  </w:style>
  <w:style w:type="character" w:styleId="Znakapoznpodarou">
    <w:name w:val="footnote reference"/>
    <w:basedOn w:val="Standardnpsmoodstavce"/>
    <w:rsid w:val="005466FC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466FC"/>
    <w:pPr>
      <w:spacing w:line="288" w:lineRule="auto"/>
      <w:ind w:left="708"/>
    </w:pPr>
    <w:rPr>
      <w:rFonts w:eastAsia="Calibri"/>
    </w:rPr>
  </w:style>
  <w:style w:type="paragraph" w:customStyle="1" w:styleId="Styl2">
    <w:name w:val="Styl2"/>
    <w:basedOn w:val="Nzev"/>
    <w:link w:val="Styl2Char"/>
    <w:qFormat/>
    <w:rsid w:val="00110A81"/>
  </w:style>
  <w:style w:type="character" w:customStyle="1" w:styleId="Styl2Char">
    <w:name w:val="Styl2 Char"/>
    <w:basedOn w:val="NzevChar"/>
    <w:link w:val="Styl2"/>
    <w:rsid w:val="00110A81"/>
  </w:style>
  <w:style w:type="paragraph" w:customStyle="1" w:styleId="textS">
    <w:name w:val="text S"/>
    <w:basedOn w:val="Normln"/>
    <w:qFormat/>
    <w:rsid w:val="00D46979"/>
    <w:pPr>
      <w:spacing w:after="120"/>
      <w:jc w:val="both"/>
    </w:pPr>
  </w:style>
  <w:style w:type="paragraph" w:customStyle="1" w:styleId="NadpisS1">
    <w:name w:val="Nadpis S1"/>
    <w:basedOn w:val="textS"/>
    <w:next w:val="textS"/>
    <w:qFormat/>
    <w:rsid w:val="00FD6B46"/>
    <w:rPr>
      <w:b/>
      <w:bCs/>
      <w:color w:val="BC091B"/>
      <w:sz w:val="32"/>
      <w:szCs w:val="28"/>
    </w:rPr>
  </w:style>
  <w:style w:type="paragraph" w:customStyle="1" w:styleId="NadpisS3">
    <w:name w:val="Nadpis S3"/>
    <w:basedOn w:val="textS"/>
    <w:next w:val="textS"/>
    <w:qFormat/>
    <w:rsid w:val="00BE797A"/>
    <w:rPr>
      <w:b/>
      <w:sz w:val="24"/>
    </w:rPr>
  </w:style>
  <w:style w:type="paragraph" w:customStyle="1" w:styleId="textSseznam">
    <w:name w:val="text S seznam"/>
    <w:basedOn w:val="textS"/>
    <w:qFormat/>
    <w:rsid w:val="00BE797A"/>
    <w:pPr>
      <w:spacing w:after="60"/>
    </w:pPr>
  </w:style>
  <w:style w:type="paragraph" w:customStyle="1" w:styleId="NadpisS2">
    <w:name w:val="Nadpis S2"/>
    <w:basedOn w:val="textS"/>
    <w:next w:val="textS"/>
    <w:qFormat/>
    <w:rsid w:val="000C51D2"/>
    <w:pPr>
      <w:keepLines/>
      <w:spacing w:line="288" w:lineRule="auto"/>
    </w:pPr>
    <w:rPr>
      <w:b/>
      <w:color w:val="BC091B"/>
      <w:sz w:val="28"/>
      <w:szCs w:val="26"/>
    </w:rPr>
  </w:style>
  <w:style w:type="paragraph" w:customStyle="1" w:styleId="textSodrka">
    <w:name w:val="text S odrážka"/>
    <w:basedOn w:val="textS"/>
    <w:qFormat/>
    <w:rsid w:val="00AE3E4F"/>
  </w:style>
  <w:style w:type="paragraph" w:customStyle="1" w:styleId="Default">
    <w:name w:val="Default"/>
    <w:rsid w:val="00F3256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bntext">
    <w:name w:val="R běžný text"/>
    <w:rsid w:val="004404F3"/>
    <w:pPr>
      <w:spacing w:after="12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header" Target="header2.xml"/><Relationship Id="rId30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019D-EB80-4D64-B88B-CD64F098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10</Pages>
  <Words>2651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varmuzova</dc:creator>
  <cp:lastModifiedBy>adam101</cp:lastModifiedBy>
  <cp:revision>38</cp:revision>
  <cp:lastPrinted>2015-10-22T06:01:00Z</cp:lastPrinted>
  <dcterms:created xsi:type="dcterms:W3CDTF">2015-10-15T08:16:00Z</dcterms:created>
  <dcterms:modified xsi:type="dcterms:W3CDTF">2015-10-22T08:03:00Z</dcterms:modified>
</cp:coreProperties>
</file>