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Publikace obsahuje definitivní výsledky o nákladech práce v České republice v letech 2009 až 2012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mzdy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personální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proofErr w:type="gramStart"/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proofErr w:type="gramEnd"/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</w:t>
      </w:r>
      <w:proofErr w:type="gramStart"/>
      <w:r w:rsidRPr="00FF16C4">
        <w:rPr>
          <w:rFonts w:ascii="Arial" w:hAnsi="Arial" w:cs="Arial"/>
          <w:b/>
          <w:bCs/>
        </w:rPr>
        <w:t>Dalibor  H o l ý</w:t>
      </w:r>
      <w:proofErr w:type="gramEnd"/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  <w:bookmarkStart w:id="0" w:name="_GoBack"/>
      <w:bookmarkEnd w:id="0"/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B676E7"/>
    <w:rsid w:val="00CE2B79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2014-11-07T12:40:00Z</dcterms:created>
  <dcterms:modified xsi:type="dcterms:W3CDTF">2014-11-11T13:54:00Z</dcterms:modified>
</cp:coreProperties>
</file>