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CAE" w:rsidRDefault="00877CAE" w:rsidP="00877CAE">
      <w:pPr>
        <w:spacing w:line="288" w:lineRule="auto"/>
        <w:rPr>
          <w:rFonts w:cs="Arial"/>
          <w:szCs w:val="20"/>
        </w:rPr>
      </w:pPr>
      <w:r>
        <w:rPr>
          <w:rFonts w:cs="Arial"/>
          <w:szCs w:val="20"/>
        </w:rPr>
        <w:t>19. 12. 2014</w:t>
      </w:r>
    </w:p>
    <w:p w:rsidR="00877CAE" w:rsidRDefault="00877CAE" w:rsidP="00877CAE">
      <w:pPr>
        <w:spacing w:before="400" w:after="280"/>
        <w:rPr>
          <w:b/>
          <w:color w:val="BD1B21"/>
          <w:sz w:val="32"/>
        </w:rPr>
      </w:pPr>
      <w:r>
        <w:rPr>
          <w:b/>
          <w:color w:val="BD1B21"/>
          <w:sz w:val="32"/>
        </w:rPr>
        <w:t>Visegrádská čtyřka v datech sčítání 2011</w:t>
      </w:r>
    </w:p>
    <w:p w:rsidR="00AD0902" w:rsidRDefault="00BE3B50" w:rsidP="00AD0902">
      <w:pPr>
        <w:rPr>
          <w:rFonts w:eastAsia="Times New Roman" w:cs="Arial"/>
          <w:b/>
          <w:szCs w:val="20"/>
          <w:lang w:eastAsia="cs-CZ"/>
        </w:rPr>
      </w:pPr>
      <w:r w:rsidRPr="00BE3B50">
        <w:rPr>
          <w:rFonts w:cs="Arial"/>
          <w:b/>
          <w:bCs/>
          <w:szCs w:val="20"/>
          <w:shd w:val="clear" w:color="auto" w:fill="FFFFFF"/>
        </w:rPr>
        <w:t>Visegrádská čtyřka</w:t>
      </w:r>
      <w:r w:rsidRPr="00BE3B50">
        <w:rPr>
          <w:rStyle w:val="apple-converted-space"/>
          <w:rFonts w:cs="Arial"/>
          <w:b/>
          <w:szCs w:val="20"/>
          <w:shd w:val="clear" w:color="auto" w:fill="FFFFFF"/>
        </w:rPr>
        <w:t> </w:t>
      </w:r>
      <w:r w:rsidRPr="00BE3B50">
        <w:rPr>
          <w:rFonts w:cs="Arial"/>
          <w:b/>
          <w:szCs w:val="20"/>
          <w:shd w:val="clear" w:color="auto" w:fill="FFFFFF"/>
        </w:rPr>
        <w:t>je aliance čtyř států</w:t>
      </w:r>
      <w:r w:rsidRPr="00BE3B50">
        <w:rPr>
          <w:rStyle w:val="apple-converted-space"/>
          <w:rFonts w:cs="Arial"/>
          <w:b/>
          <w:szCs w:val="20"/>
          <w:shd w:val="clear" w:color="auto" w:fill="FFFFFF"/>
        </w:rPr>
        <w:t> </w:t>
      </w:r>
      <w:hyperlink r:id="rId8" w:tooltip="Střední Evropa" w:history="1">
        <w:r w:rsidRPr="00BE3B50">
          <w:rPr>
            <w:rStyle w:val="Hypertextovodkaz"/>
            <w:rFonts w:cs="Arial"/>
            <w:b/>
            <w:color w:val="auto"/>
            <w:szCs w:val="20"/>
            <w:u w:val="none"/>
            <w:shd w:val="clear" w:color="auto" w:fill="FFFFFF"/>
          </w:rPr>
          <w:t>střední Evropy</w:t>
        </w:r>
      </w:hyperlink>
      <w:r w:rsidRPr="00BE3B50">
        <w:rPr>
          <w:rFonts w:cs="Arial"/>
          <w:b/>
          <w:szCs w:val="20"/>
          <w:shd w:val="clear" w:color="auto" w:fill="FFFFFF"/>
        </w:rPr>
        <w:t>:</w:t>
      </w:r>
      <w:r w:rsidR="00EE70BC">
        <w:rPr>
          <w:rFonts w:cs="Arial"/>
          <w:b/>
          <w:szCs w:val="20"/>
          <w:shd w:val="clear" w:color="auto" w:fill="FFFFFF"/>
        </w:rPr>
        <w:t xml:space="preserve"> </w:t>
      </w:r>
      <w:hyperlink r:id="rId9" w:tooltip="Česko" w:history="1">
        <w:r w:rsidRPr="00BE3B50">
          <w:rPr>
            <w:rStyle w:val="Hypertextovodkaz"/>
            <w:rFonts w:cs="Arial"/>
            <w:b/>
            <w:color w:val="auto"/>
            <w:szCs w:val="20"/>
            <w:u w:val="none"/>
            <w:shd w:val="clear" w:color="auto" w:fill="FFFFFF"/>
          </w:rPr>
          <w:t>Česk</w:t>
        </w:r>
      </w:hyperlink>
      <w:r>
        <w:rPr>
          <w:rFonts w:cs="Arial"/>
          <w:b/>
          <w:szCs w:val="20"/>
        </w:rPr>
        <w:t>é</w:t>
      </w:r>
      <w:r w:rsidR="00EE70BC">
        <w:rPr>
          <w:rFonts w:cs="Arial"/>
          <w:b/>
          <w:szCs w:val="20"/>
        </w:rPr>
        <w:t xml:space="preserve"> re</w:t>
      </w:r>
      <w:r w:rsidRPr="00BE3B50">
        <w:rPr>
          <w:rFonts w:cs="Arial"/>
          <w:b/>
          <w:szCs w:val="20"/>
        </w:rPr>
        <w:t>publiky</w:t>
      </w:r>
      <w:r w:rsidRPr="00BE3B50">
        <w:rPr>
          <w:rFonts w:cs="Arial"/>
          <w:b/>
          <w:szCs w:val="20"/>
          <w:shd w:val="clear" w:color="auto" w:fill="FFFFFF"/>
        </w:rPr>
        <w:t>,</w:t>
      </w:r>
      <w:r w:rsidRPr="00BE3B50">
        <w:rPr>
          <w:rStyle w:val="apple-converted-space"/>
          <w:rFonts w:cs="Arial"/>
          <w:b/>
          <w:szCs w:val="20"/>
          <w:shd w:val="clear" w:color="auto" w:fill="FFFFFF"/>
        </w:rPr>
        <w:t> </w:t>
      </w:r>
      <w:r w:rsidR="00EE70BC">
        <w:rPr>
          <w:rStyle w:val="apple-converted-space"/>
          <w:rFonts w:cs="Arial"/>
          <w:b/>
          <w:szCs w:val="20"/>
          <w:shd w:val="clear" w:color="auto" w:fill="FFFFFF"/>
        </w:rPr>
        <w:t xml:space="preserve"> </w:t>
      </w:r>
      <w:r w:rsidRPr="00EE70BC">
        <w:rPr>
          <w:rFonts w:cs="Arial"/>
          <w:b/>
          <w:szCs w:val="20"/>
          <w:shd w:val="clear" w:color="auto" w:fill="FFFFFF"/>
        </w:rPr>
        <w:t>Maďarska</w:t>
      </w:r>
      <w:r w:rsidRPr="00BE3B50">
        <w:rPr>
          <w:rFonts w:cs="Arial"/>
          <w:b/>
          <w:szCs w:val="20"/>
          <w:shd w:val="clear" w:color="auto" w:fill="FFFFFF"/>
        </w:rPr>
        <w:t>,</w:t>
      </w:r>
      <w:r w:rsidR="00EE70BC">
        <w:rPr>
          <w:rFonts w:cs="Arial"/>
          <w:b/>
          <w:szCs w:val="20"/>
          <w:shd w:val="clear" w:color="auto" w:fill="FFFFFF"/>
        </w:rPr>
        <w:t xml:space="preserve"> </w:t>
      </w:r>
      <w:hyperlink r:id="rId10" w:tooltip="Polsko" w:history="1">
        <w:r w:rsidRPr="00BE3B50">
          <w:rPr>
            <w:rStyle w:val="Hypertextovodkaz"/>
            <w:rFonts w:cs="Arial"/>
            <w:b/>
            <w:color w:val="auto"/>
            <w:szCs w:val="20"/>
            <w:u w:val="none"/>
            <w:shd w:val="clear" w:color="auto" w:fill="FFFFFF"/>
          </w:rPr>
          <w:t>Polska</w:t>
        </w:r>
      </w:hyperlink>
      <w:r w:rsidR="00EE70BC">
        <w:rPr>
          <w:rFonts w:cs="Arial"/>
          <w:b/>
          <w:szCs w:val="20"/>
          <w:shd w:val="clear" w:color="auto" w:fill="FFFFFF"/>
        </w:rPr>
        <w:t xml:space="preserve"> </w:t>
      </w:r>
      <w:r w:rsidRPr="00BE3B50">
        <w:rPr>
          <w:rFonts w:cs="Arial"/>
          <w:b/>
          <w:szCs w:val="20"/>
          <w:shd w:val="clear" w:color="auto" w:fill="FFFFFF"/>
        </w:rPr>
        <w:t>a</w:t>
      </w:r>
      <w:r w:rsidRPr="00BE3B50">
        <w:rPr>
          <w:rStyle w:val="apple-converted-space"/>
          <w:rFonts w:cs="Arial"/>
          <w:b/>
          <w:szCs w:val="20"/>
          <w:shd w:val="clear" w:color="auto" w:fill="FFFFFF"/>
        </w:rPr>
        <w:t> </w:t>
      </w:r>
      <w:hyperlink r:id="rId11" w:tooltip="Slovensko" w:history="1">
        <w:r w:rsidRPr="00BE3B50">
          <w:rPr>
            <w:rStyle w:val="Hypertextovodkaz"/>
            <w:rFonts w:cs="Arial"/>
            <w:b/>
            <w:color w:val="auto"/>
            <w:szCs w:val="20"/>
            <w:u w:val="none"/>
            <w:shd w:val="clear" w:color="auto" w:fill="FFFFFF"/>
          </w:rPr>
          <w:t>Slovenska</w:t>
        </w:r>
      </w:hyperlink>
      <w:r w:rsidRPr="00BE3B50">
        <w:rPr>
          <w:rFonts w:cs="Arial"/>
          <w:b/>
          <w:szCs w:val="20"/>
          <w:shd w:val="clear" w:color="auto" w:fill="FFFFFF"/>
        </w:rPr>
        <w:t>.</w:t>
      </w:r>
      <w:r w:rsidRPr="00F32F57">
        <w:rPr>
          <w:rFonts w:cs="Arial"/>
          <w:szCs w:val="20"/>
          <w:shd w:val="clear" w:color="auto" w:fill="FFFFFF"/>
        </w:rPr>
        <w:t xml:space="preserve"> </w:t>
      </w:r>
      <w:r w:rsidR="00126E75" w:rsidRPr="00FA59C1">
        <w:rPr>
          <w:rFonts w:eastAsia="Times New Roman" w:cs="Arial"/>
          <w:b/>
          <w:szCs w:val="20"/>
          <w:lang w:eastAsia="cs-CZ"/>
        </w:rPr>
        <w:t>Poslední</w:t>
      </w:r>
      <w:r w:rsidR="00FA59C1" w:rsidRPr="00FA59C1">
        <w:rPr>
          <w:rFonts w:eastAsia="Times New Roman" w:cs="Arial"/>
          <w:b/>
          <w:szCs w:val="20"/>
          <w:lang w:eastAsia="cs-CZ"/>
        </w:rPr>
        <w:t xml:space="preserve"> sčítání lidu </w:t>
      </w:r>
      <w:r w:rsidR="00B71605" w:rsidRPr="00FA59C1">
        <w:rPr>
          <w:rFonts w:eastAsia="Times New Roman" w:cs="Arial"/>
          <w:b/>
          <w:szCs w:val="20"/>
          <w:lang w:eastAsia="cs-CZ"/>
        </w:rPr>
        <w:t>se v</w:t>
      </w:r>
      <w:r w:rsidR="006C1AB5">
        <w:rPr>
          <w:rFonts w:eastAsia="Times New Roman" w:cs="Arial"/>
          <w:b/>
          <w:szCs w:val="20"/>
          <w:lang w:eastAsia="cs-CZ"/>
        </w:rPr>
        <w:t> těchto zemích</w:t>
      </w:r>
      <w:r w:rsidR="00B71605" w:rsidRPr="00FA59C1">
        <w:rPr>
          <w:rFonts w:eastAsia="Times New Roman" w:cs="Arial"/>
          <w:b/>
          <w:szCs w:val="20"/>
          <w:lang w:eastAsia="cs-CZ"/>
        </w:rPr>
        <w:t xml:space="preserve"> uskutečnilo shodně v roce 2011. Podle závazné evropské legislativy byly výsledky </w:t>
      </w:r>
      <w:r w:rsidR="003479B6">
        <w:rPr>
          <w:rFonts w:eastAsia="Times New Roman" w:cs="Arial"/>
          <w:b/>
          <w:szCs w:val="20"/>
          <w:lang w:eastAsia="cs-CZ"/>
        </w:rPr>
        <w:t>všech zemí</w:t>
      </w:r>
      <w:r w:rsidR="0064214E">
        <w:rPr>
          <w:rFonts w:eastAsia="Times New Roman" w:cs="Arial"/>
          <w:b/>
          <w:szCs w:val="20"/>
          <w:lang w:eastAsia="cs-CZ"/>
        </w:rPr>
        <w:t xml:space="preserve"> publikovány</w:t>
      </w:r>
      <w:r w:rsidR="00B71605" w:rsidRPr="00FA59C1">
        <w:rPr>
          <w:rFonts w:eastAsia="Times New Roman" w:cs="Arial"/>
          <w:b/>
          <w:szCs w:val="20"/>
          <w:lang w:eastAsia="cs-CZ"/>
        </w:rPr>
        <w:t xml:space="preserve"> ve stej</w:t>
      </w:r>
      <w:r w:rsidR="0029194C">
        <w:rPr>
          <w:rFonts w:eastAsia="Times New Roman" w:cs="Arial"/>
          <w:b/>
          <w:szCs w:val="20"/>
          <w:lang w:eastAsia="cs-CZ"/>
        </w:rPr>
        <w:t>né struktuře začátkem roku 2014</w:t>
      </w:r>
      <w:r w:rsidR="00667498">
        <w:rPr>
          <w:rFonts w:eastAsia="Times New Roman" w:cs="Arial"/>
          <w:b/>
          <w:szCs w:val="20"/>
          <w:lang w:eastAsia="cs-CZ"/>
        </w:rPr>
        <w:t xml:space="preserve">. </w:t>
      </w:r>
      <w:r w:rsidR="00AA173E">
        <w:rPr>
          <w:rFonts w:eastAsia="Times New Roman" w:cs="Arial"/>
          <w:b/>
          <w:szCs w:val="20"/>
          <w:lang w:eastAsia="cs-CZ"/>
        </w:rPr>
        <w:t xml:space="preserve"> </w:t>
      </w:r>
    </w:p>
    <w:p w:rsidR="00AD0902" w:rsidRDefault="00AD0902" w:rsidP="00AD0902">
      <w:pPr>
        <w:rPr>
          <w:rFonts w:eastAsia="Times New Roman" w:cs="Arial"/>
          <w:b/>
          <w:szCs w:val="20"/>
          <w:lang w:eastAsia="cs-CZ"/>
        </w:rPr>
      </w:pPr>
    </w:p>
    <w:p w:rsidR="00600C81" w:rsidRDefault="00600C81" w:rsidP="00D5106E">
      <w:pPr>
        <w:pStyle w:val="Normln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:rsidR="00877CAE" w:rsidRPr="00877CAE" w:rsidRDefault="00877CAE" w:rsidP="00F22641">
      <w:pPr>
        <w:pStyle w:val="Normln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877CAE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Visegrádská skupina </w:t>
      </w:r>
    </w:p>
    <w:p w:rsidR="004179DA" w:rsidRDefault="00877CAE" w:rsidP="004179DA">
      <w:pPr>
        <w:pStyle w:val="Normlnweb"/>
        <w:shd w:val="clear" w:color="auto" w:fill="FFFFFF"/>
        <w:spacing w:before="120" w:beforeAutospacing="0" w:after="6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F32F57">
        <w:rPr>
          <w:rFonts w:ascii="Arial" w:hAnsi="Arial" w:cs="Arial"/>
          <w:bCs/>
          <w:sz w:val="20"/>
          <w:szCs w:val="20"/>
          <w:shd w:val="clear" w:color="auto" w:fill="FFFFFF"/>
        </w:rPr>
        <w:t>Visegrádská skupina,</w:t>
      </w:r>
      <w:r w:rsidRPr="00F32F5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2F57">
        <w:rPr>
          <w:rFonts w:ascii="Arial" w:hAnsi="Arial" w:cs="Arial"/>
          <w:sz w:val="20"/>
          <w:szCs w:val="20"/>
          <w:shd w:val="clear" w:color="auto" w:fill="FFFFFF"/>
        </w:rPr>
        <w:t>nazývaná</w:t>
      </w:r>
      <w:r w:rsidRPr="00F32F5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="006731EB" w:rsidRPr="00F32F57">
        <w:rPr>
          <w:rFonts w:ascii="Arial" w:hAnsi="Arial" w:cs="Arial"/>
          <w:sz w:val="20"/>
          <w:szCs w:val="20"/>
          <w:shd w:val="clear" w:color="auto" w:fill="FFFFFF"/>
        </w:rPr>
        <w:t xml:space="preserve">také </w:t>
      </w:r>
      <w:r w:rsidRPr="00F32F57">
        <w:rPr>
          <w:rFonts w:ascii="Arial" w:hAnsi="Arial" w:cs="Arial"/>
          <w:bCs/>
          <w:sz w:val="20"/>
          <w:szCs w:val="20"/>
          <w:shd w:val="clear" w:color="auto" w:fill="FFFFFF"/>
        </w:rPr>
        <w:t>Visegrádská čtyřka</w:t>
      </w:r>
      <w:r w:rsidRPr="00F32F5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(dále V4</w:t>
      </w:r>
      <w:r w:rsidR="00AA173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)</w:t>
      </w:r>
      <w:r w:rsidRPr="00F32F57">
        <w:rPr>
          <w:rFonts w:ascii="Arial" w:hAnsi="Arial" w:cs="Arial"/>
          <w:sz w:val="20"/>
          <w:szCs w:val="20"/>
          <w:shd w:val="clear" w:color="auto" w:fill="FFFFFF"/>
        </w:rPr>
        <w:t xml:space="preserve"> je</w:t>
      </w:r>
      <w:r w:rsidR="00FD3F76">
        <w:rPr>
          <w:rFonts w:ascii="Arial" w:hAnsi="Arial" w:cs="Arial"/>
          <w:sz w:val="20"/>
          <w:szCs w:val="20"/>
          <w:shd w:val="clear" w:color="auto" w:fill="FFFFFF"/>
        </w:rPr>
        <w:t xml:space="preserve"> aliance </w:t>
      </w:r>
      <w:r w:rsidR="000F28C2">
        <w:rPr>
          <w:rFonts w:ascii="Arial" w:hAnsi="Arial" w:cs="Arial"/>
          <w:sz w:val="20"/>
          <w:szCs w:val="20"/>
          <w:shd w:val="clear" w:color="auto" w:fill="FFFFFF"/>
        </w:rPr>
        <w:t xml:space="preserve">středoevropských států </w:t>
      </w:r>
      <w:r w:rsidR="00FD3F76">
        <w:rPr>
          <w:rFonts w:ascii="Arial" w:hAnsi="Arial" w:cs="Arial"/>
          <w:sz w:val="20"/>
          <w:szCs w:val="20"/>
          <w:shd w:val="clear" w:color="auto" w:fill="FFFFFF"/>
        </w:rPr>
        <w:t>usilující</w:t>
      </w:r>
      <w:r w:rsidR="00FD3F76" w:rsidRPr="00FD3F76">
        <w:rPr>
          <w:rFonts w:ascii="Arial" w:hAnsi="Arial" w:cs="Arial"/>
          <w:sz w:val="20"/>
          <w:szCs w:val="20"/>
        </w:rPr>
        <w:t xml:space="preserve"> </w:t>
      </w:r>
      <w:r w:rsidR="00FD3F76" w:rsidRPr="007311A1">
        <w:rPr>
          <w:rFonts w:ascii="Arial" w:hAnsi="Arial" w:cs="Arial"/>
          <w:sz w:val="20"/>
          <w:szCs w:val="20"/>
        </w:rPr>
        <w:t>o spolupráci na poli ekonomickém, politickém i kulturním</w:t>
      </w:r>
      <w:r w:rsidR="00FD3F76">
        <w:rPr>
          <w:rFonts w:ascii="Arial" w:hAnsi="Arial" w:cs="Arial"/>
          <w:sz w:val="20"/>
          <w:szCs w:val="20"/>
        </w:rPr>
        <w:t>.</w:t>
      </w:r>
      <w:r w:rsidR="00FD3F76">
        <w:rPr>
          <w:rFonts w:ascii="Arial" w:hAnsi="Arial" w:cs="Arial"/>
          <w:sz w:val="20"/>
          <w:szCs w:val="20"/>
          <w:shd w:val="clear" w:color="auto" w:fill="FFFFFF"/>
        </w:rPr>
        <w:t xml:space="preserve"> Vznikla </w:t>
      </w:r>
      <w:r w:rsidR="00FD3F76" w:rsidRPr="007311A1">
        <w:rPr>
          <w:rFonts w:ascii="Arial" w:hAnsi="Arial" w:cs="Arial"/>
          <w:sz w:val="20"/>
          <w:szCs w:val="20"/>
        </w:rPr>
        <w:t>15. února</w:t>
      </w:r>
      <w:r w:rsidR="00FD3F76" w:rsidRPr="007311A1">
        <w:rPr>
          <w:rStyle w:val="apple-converted-space"/>
          <w:rFonts w:ascii="Arial" w:hAnsi="Arial" w:cs="Arial"/>
          <w:sz w:val="20"/>
          <w:szCs w:val="20"/>
        </w:rPr>
        <w:t> </w:t>
      </w:r>
      <w:hyperlink r:id="rId12" w:tooltip="1991" w:history="1">
        <w:r w:rsidR="00FD3F76" w:rsidRPr="007311A1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1991</w:t>
        </w:r>
      </w:hyperlink>
      <w:r w:rsidRPr="00F32F5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FD3F76">
        <w:rPr>
          <w:rFonts w:ascii="Arial" w:hAnsi="Arial" w:cs="Arial"/>
          <w:sz w:val="20"/>
          <w:szCs w:val="20"/>
          <w:shd w:val="clear" w:color="auto" w:fill="FFFFFF"/>
        </w:rPr>
        <w:t xml:space="preserve">a inspirací jí bylo </w:t>
      </w:r>
      <w:r w:rsidRPr="00F32F57">
        <w:rPr>
          <w:rFonts w:ascii="Arial" w:hAnsi="Arial" w:cs="Arial"/>
          <w:sz w:val="20"/>
          <w:szCs w:val="20"/>
          <w:shd w:val="clear" w:color="auto" w:fill="FFFFFF"/>
        </w:rPr>
        <w:t xml:space="preserve">setkáním tří </w:t>
      </w:r>
      <w:r w:rsidRPr="007311A1">
        <w:rPr>
          <w:rFonts w:ascii="Arial" w:hAnsi="Arial" w:cs="Arial"/>
          <w:sz w:val="20"/>
          <w:szCs w:val="20"/>
          <w:shd w:val="clear" w:color="auto" w:fill="FFFFFF"/>
        </w:rPr>
        <w:t>králů v maďarském městě</w:t>
      </w:r>
      <w:r w:rsidRPr="007311A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3" w:tooltip="Visegrád" w:history="1">
        <w:r w:rsidRPr="007311A1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Visegrád</w:t>
        </w:r>
      </w:hyperlink>
      <w:r w:rsidRPr="007311A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7311A1">
        <w:rPr>
          <w:rFonts w:ascii="Arial" w:hAnsi="Arial" w:cs="Arial"/>
          <w:sz w:val="20"/>
          <w:szCs w:val="20"/>
          <w:shd w:val="clear" w:color="auto" w:fill="FFFFFF"/>
        </w:rPr>
        <w:t>v roce</w:t>
      </w:r>
      <w:r w:rsidRPr="007311A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4" w:tooltip="1335" w:history="1">
        <w:r w:rsidRPr="007311A1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1335</w:t>
        </w:r>
      </w:hyperlink>
      <w:r w:rsidRPr="007311A1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0F28C2">
        <w:rPr>
          <w:rFonts w:ascii="Arial" w:hAnsi="Arial" w:cs="Arial"/>
          <w:sz w:val="20"/>
          <w:szCs w:val="20"/>
          <w:shd w:val="clear" w:color="auto" w:fill="FFFFFF"/>
        </w:rPr>
        <w:t>P</w:t>
      </w:r>
      <w:r w:rsidRPr="007311A1">
        <w:rPr>
          <w:rFonts w:ascii="Arial" w:hAnsi="Arial" w:cs="Arial"/>
          <w:sz w:val="20"/>
          <w:szCs w:val="20"/>
        </w:rPr>
        <w:t xml:space="preserve">ůvodně </w:t>
      </w:r>
      <w:r w:rsidR="008C1A14">
        <w:rPr>
          <w:rFonts w:ascii="Arial" w:hAnsi="Arial" w:cs="Arial"/>
          <w:sz w:val="20"/>
          <w:szCs w:val="20"/>
        </w:rPr>
        <w:t>byly členské státy</w:t>
      </w:r>
      <w:r w:rsidRPr="007311A1">
        <w:rPr>
          <w:rFonts w:ascii="Arial" w:hAnsi="Arial" w:cs="Arial"/>
          <w:sz w:val="20"/>
          <w:szCs w:val="20"/>
        </w:rPr>
        <w:t xml:space="preserve"> tři: Polsko, Maďarsko a Československo, po rozdělení ČSFR přešlo členství na oba nástupnické stá</w:t>
      </w:r>
      <w:r w:rsidR="000F28C2">
        <w:rPr>
          <w:rFonts w:ascii="Arial" w:hAnsi="Arial" w:cs="Arial"/>
          <w:sz w:val="20"/>
          <w:szCs w:val="20"/>
        </w:rPr>
        <w:t>ty Českou republiku i Slovensko</w:t>
      </w:r>
      <w:r w:rsidRPr="007311A1">
        <w:rPr>
          <w:rFonts w:ascii="Arial" w:hAnsi="Arial" w:cs="Arial"/>
          <w:sz w:val="20"/>
          <w:szCs w:val="20"/>
        </w:rPr>
        <w:t xml:space="preserve">. </w:t>
      </w:r>
    </w:p>
    <w:p w:rsidR="002B5513" w:rsidRDefault="00600C81" w:rsidP="004179DA">
      <w:pPr>
        <w:pStyle w:val="Normlnweb"/>
        <w:shd w:val="clear" w:color="auto" w:fill="FFFFFF"/>
        <w:spacing w:before="120" w:beforeAutospacing="0" w:after="6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 1. </w:t>
      </w:r>
      <w:r w:rsidR="004F1C4D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 xml:space="preserve">větna 2004 jsou všechny státy V4 členy Evropské Unie. </w:t>
      </w:r>
    </w:p>
    <w:p w:rsidR="00600C81" w:rsidRPr="004179DA" w:rsidRDefault="00600C81" w:rsidP="00D5106E">
      <w:pPr>
        <w:spacing w:after="120"/>
        <w:rPr>
          <w:b/>
          <w:szCs w:val="20"/>
        </w:rPr>
      </w:pPr>
    </w:p>
    <w:p w:rsidR="0085641B" w:rsidRPr="0085641B" w:rsidRDefault="0085641B" w:rsidP="00D5106E">
      <w:pPr>
        <w:spacing w:after="120"/>
        <w:rPr>
          <w:b/>
        </w:rPr>
      </w:pPr>
      <w:r w:rsidRPr="0085641B">
        <w:rPr>
          <w:b/>
        </w:rPr>
        <w:t>Sčítání v zemích Visegrádské čtyřky</w:t>
      </w:r>
    </w:p>
    <w:p w:rsidR="0085641B" w:rsidRDefault="0085641B" w:rsidP="004179DA">
      <w:r>
        <w:t>Sčítání lidu, která se v zemích V4 konala v roce 2011, byla poprvé v historii koordinována evropskou legislativou.</w:t>
      </w:r>
      <w:r w:rsidR="00A669F7">
        <w:t xml:space="preserve"> V roce 2008 bylo vydáno Nařízení č. 763/2008</w:t>
      </w:r>
      <w:r w:rsidR="00695086">
        <w:rPr>
          <w:rStyle w:val="Znakapoznpodarou"/>
        </w:rPr>
        <w:footnoteReference w:id="1"/>
      </w:r>
      <w:r w:rsidR="00695086">
        <w:t xml:space="preserve">, které mimo jiné stanovilo závazný termín </w:t>
      </w:r>
      <w:r w:rsidR="00243353">
        <w:t>předání výsledků sčítání Eurostatu (do 27 měsíců od konce referenčního roku). V</w:t>
      </w:r>
      <w:r w:rsidR="00A669F7">
        <w:t> letech 2009 a 2010 následovalo v</w:t>
      </w:r>
      <w:r w:rsidR="00695086">
        <w:t>ydání t</w:t>
      </w:r>
      <w:r w:rsidR="00A669F7">
        <w:t>ří prováděcích předpisů</w:t>
      </w:r>
      <w:r w:rsidR="00695086">
        <w:rPr>
          <w:rStyle w:val="Znakapoznpodarou"/>
        </w:rPr>
        <w:footnoteReference w:id="2"/>
      </w:r>
      <w:r w:rsidR="00A669F7">
        <w:t>. Ty</w:t>
      </w:r>
      <w:r>
        <w:t xml:space="preserve"> vymezoval</w:t>
      </w:r>
      <w:r w:rsidR="00A669F7">
        <w:t>y</w:t>
      </w:r>
      <w:r>
        <w:t xml:space="preserve"> podrobnost, územní detail i povinné kombinace zjišťovaných témat,</w:t>
      </w:r>
      <w:r w:rsidR="00DC10C5">
        <w:t xml:space="preserve"> popisovaly doprovodná</w:t>
      </w:r>
      <w:r w:rsidR="00A669F7">
        <w:t xml:space="preserve"> metadata a stanovily</w:t>
      </w:r>
      <w:r>
        <w:t xml:space="preserve"> požadavky na kvalitu. Jako členové Evropské Unie byly státy V4 povinny vydaná nařízení respektovat a naplnit předepsané požadavky. </w:t>
      </w:r>
    </w:p>
    <w:p w:rsidR="0085641B" w:rsidRDefault="0085641B" w:rsidP="0085641B">
      <w:r>
        <w:t xml:space="preserve">Hlavním cílem evropského vedení bylo poskytnout srovnatelné výsledky v přesně definované metodicky shodné struktuře. </w:t>
      </w:r>
      <w:r w:rsidR="003D5E0E">
        <w:t>Vydaná n</w:t>
      </w:r>
      <w:r w:rsidR="00FA7578">
        <w:t>ařízení ukládala</w:t>
      </w:r>
      <w:r>
        <w:t xml:space="preserve"> státům povinnost poskytnout požadované informace</w:t>
      </w:r>
      <w:r w:rsidR="00FA7578">
        <w:t>,</w:t>
      </w:r>
      <w:r>
        <w:t xml:space="preserve"> nikoli však způsob jejich získání.</w:t>
      </w:r>
      <w:r w:rsidR="003D5E0E">
        <w:t xml:space="preserve"> Způsob organizace censu, sběru i zpracování dat se tak </w:t>
      </w:r>
      <w:r w:rsidR="00FA7578">
        <w:t>(</w:t>
      </w:r>
      <w:r w:rsidR="003D5E0E">
        <w:t>i v souvislosti s historickou tradicí a různým stupněm rozvoje administrativních zdrojů dat a registrů v jednotlivých zemích V4</w:t>
      </w:r>
      <w:r w:rsidR="00FA7578">
        <w:t>)</w:t>
      </w:r>
      <w:r w:rsidR="003D5E0E">
        <w:t xml:space="preserve"> lišil. </w:t>
      </w:r>
    </w:p>
    <w:p w:rsidR="0085641B" w:rsidRDefault="0085641B" w:rsidP="0085641B"/>
    <w:p w:rsidR="0085641B" w:rsidRPr="00C11498" w:rsidRDefault="0085641B" w:rsidP="0085641B">
      <w:pPr>
        <w:rPr>
          <w:b/>
        </w:rPr>
      </w:pPr>
      <w:r w:rsidRPr="00C11498">
        <w:rPr>
          <w:b/>
        </w:rPr>
        <w:lastRenderedPageBreak/>
        <w:t xml:space="preserve">Česká republika </w:t>
      </w:r>
      <w:r w:rsidR="003419D7" w:rsidRPr="00C11498">
        <w:rPr>
          <w:b/>
        </w:rPr>
        <w:t>(CZ)</w:t>
      </w:r>
    </w:p>
    <w:p w:rsidR="0085641B" w:rsidRDefault="0064214E" w:rsidP="0085641B">
      <w:r>
        <w:t>V České republice se s</w:t>
      </w:r>
      <w:r w:rsidR="0085641B">
        <w:t xml:space="preserve">čítání lidu domů a bytů konalo k 26. 3. 2011 a kromě evropské legislativy podléhalo ještě zákonu o sčítání </w:t>
      </w:r>
      <w:r w:rsidR="00B05B31" w:rsidRPr="00B05B31">
        <w:t>č. 296/2009 Sb</w:t>
      </w:r>
      <w:r w:rsidR="00B05B31">
        <w:t xml:space="preserve">. </w:t>
      </w:r>
      <w:r w:rsidR="0085641B">
        <w:t xml:space="preserve">Bylo provedeno kombinovaným způsobem tj. kombinací tradičního </w:t>
      </w:r>
      <w:r w:rsidR="009073BA">
        <w:t xml:space="preserve">celoplošného </w:t>
      </w:r>
      <w:r w:rsidR="0085641B">
        <w:t xml:space="preserve">dotazníkového šetření s podporou registrů. Registry byly využity </w:t>
      </w:r>
      <w:r w:rsidR="00B05B31">
        <w:t xml:space="preserve">především ve fázi příprav </w:t>
      </w:r>
      <w:r w:rsidR="0085641B">
        <w:t xml:space="preserve">terénních prací </w:t>
      </w:r>
      <w:r w:rsidR="00B05B31">
        <w:t>a pro předvyplnění formulářů. Částečně pak také v průběhu z</w:t>
      </w:r>
      <w:r w:rsidR="0085641B">
        <w:t xml:space="preserve">pracování a jako zdroj některých výsledných údajů. </w:t>
      </w:r>
    </w:p>
    <w:p w:rsidR="0085641B" w:rsidRDefault="0085641B" w:rsidP="0085641B">
      <w:r>
        <w:t xml:space="preserve">Pro dotazníkové šetření byly využity 3 typy sčítacích formulářů Sčítací list osoby, Bytový list a Domovní list, formuláře bylo možno vyplnit jak v písemné, tak v elektronické podobě. Možnost vyplnění přes internet využilo </w:t>
      </w:r>
      <w:r w:rsidR="003E34AD">
        <w:t>téměř 25</w:t>
      </w:r>
      <w:r>
        <w:t xml:space="preserve"> % obyvatel. </w:t>
      </w:r>
    </w:p>
    <w:p w:rsidR="0085641B" w:rsidRDefault="0085641B" w:rsidP="0085641B"/>
    <w:p w:rsidR="0085641B" w:rsidRPr="00C11498" w:rsidRDefault="0085641B" w:rsidP="0085641B">
      <w:pPr>
        <w:rPr>
          <w:b/>
        </w:rPr>
      </w:pPr>
      <w:r w:rsidRPr="00C11498">
        <w:rPr>
          <w:b/>
        </w:rPr>
        <w:t>Maďarsko</w:t>
      </w:r>
      <w:r w:rsidR="003419D7" w:rsidRPr="00C11498">
        <w:rPr>
          <w:b/>
        </w:rPr>
        <w:t xml:space="preserve"> (HU)</w:t>
      </w:r>
    </w:p>
    <w:p w:rsidR="0085641B" w:rsidRDefault="0085641B" w:rsidP="0085641B">
      <w:r>
        <w:t xml:space="preserve">Maďarské sčítání lidu se uskutečnilo 1. 10. 2011 a jeho legislativní rámec určoval </w:t>
      </w:r>
      <w:r w:rsidR="002F79E0">
        <w:t xml:space="preserve">samostatný zákon o sčítání z roku 2009 </w:t>
      </w:r>
      <w:r w:rsidR="002F79E0" w:rsidRPr="008C6FA2">
        <w:t>(</w:t>
      </w:r>
      <w:r w:rsidR="002F79E0">
        <w:t xml:space="preserve">Zákon </w:t>
      </w:r>
      <w:r w:rsidR="002F79E0">
        <w:rPr>
          <w:rStyle w:val="Siln"/>
          <w:b w:val="0"/>
        </w:rPr>
        <w:t>CXXXIX/</w:t>
      </w:r>
      <w:r w:rsidR="002F79E0" w:rsidRPr="008C6FA2">
        <w:rPr>
          <w:rStyle w:val="Siln"/>
          <w:b w:val="0"/>
        </w:rPr>
        <w:t>2009)</w:t>
      </w:r>
      <w:r>
        <w:t xml:space="preserve">. Bylo provedeno tradičním </w:t>
      </w:r>
      <w:r w:rsidR="001E7FB6">
        <w:t>způsobem celostátním dotazníkový</w:t>
      </w:r>
      <w:r>
        <w:t>m šetření</w:t>
      </w:r>
      <w:r w:rsidR="001E7FB6">
        <w:t>m</w:t>
      </w:r>
      <w:r w:rsidR="00C17F81">
        <w:t xml:space="preserve"> s využití</w:t>
      </w:r>
      <w:r w:rsidR="003479B6">
        <w:t>m</w:t>
      </w:r>
      <w:r w:rsidR="00C17F81">
        <w:t xml:space="preserve"> administrativních zdrojů pro úpravu databáze adres. Pro samotné sečtení b</w:t>
      </w:r>
      <w:r>
        <w:t xml:space="preserve">yly použity 3 druhy formulářů, pro osobu, pro byt a pro instituci. Také Maďarsko nabídlo možnost </w:t>
      </w:r>
      <w:r w:rsidR="001E7FB6">
        <w:t>vyplnit formulář online, kterou využilo 19 % sečtených.</w:t>
      </w:r>
      <w:r>
        <w:t xml:space="preserve"> </w:t>
      </w:r>
    </w:p>
    <w:p w:rsidR="0085641B" w:rsidRDefault="0085641B" w:rsidP="0085641B"/>
    <w:p w:rsidR="0085641B" w:rsidRPr="00C11498" w:rsidRDefault="0085641B" w:rsidP="0085641B">
      <w:pPr>
        <w:rPr>
          <w:b/>
        </w:rPr>
      </w:pPr>
      <w:r w:rsidRPr="00C11498">
        <w:rPr>
          <w:b/>
        </w:rPr>
        <w:t>Polsko</w:t>
      </w:r>
      <w:r w:rsidR="003419D7" w:rsidRPr="00C11498">
        <w:rPr>
          <w:b/>
        </w:rPr>
        <w:t xml:space="preserve"> (PL)</w:t>
      </w:r>
    </w:p>
    <w:p w:rsidR="0085641B" w:rsidRDefault="0085641B" w:rsidP="0085641B">
      <w:r>
        <w:t>V Polsku se sčítání lidu uskutečnilo v období mezi 1. dubnem 2011 a 30. červnem 2011</w:t>
      </w:r>
      <w:r w:rsidR="00BE3B7A">
        <w:t xml:space="preserve"> a </w:t>
      </w:r>
      <w:r w:rsidR="000A4A52">
        <w:t>bylo upraveno zákon</w:t>
      </w:r>
      <w:r w:rsidR="005413CB">
        <w:t>em o sčítání z</w:t>
      </w:r>
      <w:r w:rsidR="000A4A52">
        <w:t>e 4. března</w:t>
      </w:r>
      <w:r w:rsidR="005413CB">
        <w:t xml:space="preserve"> 2010. Bylo při něm v </w:t>
      </w:r>
      <w:r w:rsidR="00BE3B7A">
        <w:t>široké míře využito</w:t>
      </w:r>
      <w:r>
        <w:t xml:space="preserve"> administrativní</w:t>
      </w:r>
      <w:r w:rsidR="00BE3B7A">
        <w:t>ch</w:t>
      </w:r>
      <w:r>
        <w:t xml:space="preserve"> zdroj</w:t>
      </w:r>
      <w:r w:rsidR="00BE3B7A">
        <w:t xml:space="preserve">ů dat. </w:t>
      </w:r>
      <w:r w:rsidR="000F57CD">
        <w:t>Čerpáno bylo z 27 různých registrů. Administrativní zdroje byly doplněny</w:t>
      </w:r>
      <w:r>
        <w:t xml:space="preserve"> dvěm</w:t>
      </w:r>
      <w:r w:rsidR="000F57CD">
        <w:t xml:space="preserve">a </w:t>
      </w:r>
      <w:r>
        <w:t>elektronickým</w:t>
      </w:r>
      <w:r w:rsidR="0034038F">
        <w:t>i</w:t>
      </w:r>
      <w:r>
        <w:t xml:space="preserve"> dotazník</w:t>
      </w:r>
      <w:r w:rsidR="0034038F">
        <w:t>y</w:t>
      </w:r>
      <w:r>
        <w:t xml:space="preserve"> různého rozsahu. První obsahující přes 120 otázek byl použit pro výběrové šetření, kratší varianta (16 otázek) pro celostátní šetření, jehož cílem byla aktualizace dat z registrů. </w:t>
      </w:r>
    </w:p>
    <w:p w:rsidR="00A3701D" w:rsidRDefault="00A3701D" w:rsidP="0085641B"/>
    <w:p w:rsidR="00583AF9" w:rsidRPr="00C11498" w:rsidRDefault="0085641B" w:rsidP="0085641B">
      <w:pPr>
        <w:rPr>
          <w:b/>
        </w:rPr>
      </w:pPr>
      <w:r w:rsidRPr="00C11498">
        <w:rPr>
          <w:b/>
        </w:rPr>
        <w:t>Slovensko</w:t>
      </w:r>
      <w:r w:rsidR="003419D7" w:rsidRPr="00C11498">
        <w:rPr>
          <w:b/>
        </w:rPr>
        <w:t xml:space="preserve"> (SK)</w:t>
      </w:r>
    </w:p>
    <w:p w:rsidR="0085641B" w:rsidRDefault="0085641B" w:rsidP="0085641B">
      <w:r>
        <w:t xml:space="preserve">Také slovenské sčítání lidu bylo upraveno národní legislativou. Konkrétně zákonem 263/2008 z 18. </w:t>
      </w:r>
      <w:r w:rsidR="00E93CC6">
        <w:t>června</w:t>
      </w:r>
      <w:r>
        <w:t xml:space="preserve"> 2008.</w:t>
      </w:r>
      <w:r w:rsidR="00E93CC6">
        <w:t xml:space="preserve"> </w:t>
      </w:r>
      <w:r>
        <w:t xml:space="preserve">Rozhodným okamžikem byla stanovena půlnoc na </w:t>
      </w:r>
      <w:r w:rsidR="00D42E1B">
        <w:t>21. k</w:t>
      </w:r>
      <w:r>
        <w:t>větna 2011.</w:t>
      </w:r>
    </w:p>
    <w:p w:rsidR="0085641B" w:rsidRDefault="0085641B" w:rsidP="001513F0">
      <w:pPr>
        <w:rPr>
          <w:color w:val="000000" w:themeColor="text1"/>
        </w:rPr>
      </w:pPr>
      <w:r>
        <w:t>Sčítání bylo uskutečněno tradiční formou s podporou registrů</w:t>
      </w:r>
      <w:r w:rsidRPr="00105CEC">
        <w:rPr>
          <w:color w:val="000000" w:themeColor="text1"/>
        </w:rPr>
        <w:t xml:space="preserve">. </w:t>
      </w:r>
      <w:r>
        <w:rPr>
          <w:color w:val="000000" w:themeColor="text1"/>
        </w:rPr>
        <w:t>Byly využity 3 typy formulářů, pro osobu, dům a byt. Informace o domácnostech zapisoval sčítací komisař sám do zvláštního tiskopisu. Respondentům byla nabídnuta možnost</w:t>
      </w:r>
      <w:r w:rsidRPr="00105CEC">
        <w:rPr>
          <w:color w:val="000000" w:themeColor="text1"/>
        </w:rPr>
        <w:t xml:space="preserve"> vypln</w:t>
      </w:r>
      <w:r>
        <w:rPr>
          <w:color w:val="000000" w:themeColor="text1"/>
        </w:rPr>
        <w:t>ění</w:t>
      </w:r>
      <w:r w:rsidRPr="00105CEC">
        <w:rPr>
          <w:color w:val="000000" w:themeColor="text1"/>
        </w:rPr>
        <w:t xml:space="preserve"> standardní</w:t>
      </w:r>
      <w:r>
        <w:rPr>
          <w:color w:val="000000" w:themeColor="text1"/>
        </w:rPr>
        <w:t>ho</w:t>
      </w:r>
      <w:r w:rsidRPr="00105CEC">
        <w:rPr>
          <w:color w:val="000000" w:themeColor="text1"/>
        </w:rPr>
        <w:t xml:space="preserve"> papírové</w:t>
      </w:r>
      <w:r>
        <w:rPr>
          <w:color w:val="000000" w:themeColor="text1"/>
        </w:rPr>
        <w:t>ho</w:t>
      </w:r>
      <w:r w:rsidRPr="00105CEC">
        <w:rPr>
          <w:color w:val="000000" w:themeColor="text1"/>
        </w:rPr>
        <w:t xml:space="preserve"> formuláře, nebo </w:t>
      </w:r>
      <w:r w:rsidR="00E93CC6">
        <w:rPr>
          <w:color w:val="000000" w:themeColor="text1"/>
        </w:rPr>
        <w:t xml:space="preserve">mohli </w:t>
      </w:r>
      <w:r>
        <w:rPr>
          <w:color w:val="000000" w:themeColor="text1"/>
        </w:rPr>
        <w:t xml:space="preserve">dát přednost </w:t>
      </w:r>
      <w:r w:rsidR="00E93CC6">
        <w:rPr>
          <w:color w:val="000000" w:themeColor="text1"/>
        </w:rPr>
        <w:t xml:space="preserve">jeho </w:t>
      </w:r>
      <w:r>
        <w:rPr>
          <w:color w:val="000000" w:themeColor="text1"/>
        </w:rPr>
        <w:t xml:space="preserve">elektronické </w:t>
      </w:r>
      <w:r w:rsidR="0002486D">
        <w:rPr>
          <w:color w:val="000000" w:themeColor="text1"/>
        </w:rPr>
        <w:t>podobě</w:t>
      </w:r>
      <w:r>
        <w:rPr>
          <w:color w:val="000000" w:themeColor="text1"/>
        </w:rPr>
        <w:t xml:space="preserve">. </w:t>
      </w:r>
    </w:p>
    <w:p w:rsidR="000E7DC0" w:rsidRDefault="000E7DC0" w:rsidP="0085641B"/>
    <w:p w:rsidR="0085641B" w:rsidRDefault="0085641B" w:rsidP="004179DA">
      <w:pPr>
        <w:spacing w:after="60"/>
      </w:pPr>
      <w:r>
        <w:t>Povinný rozsah sčítání byl dán evropským nařízením a všechny státy tyto požadavky splnily, nad rámec povinného ale</w:t>
      </w:r>
      <w:r w:rsidR="00E64B1F">
        <w:t xml:space="preserve"> byly zjišťovány</w:t>
      </w:r>
      <w:r>
        <w:t xml:space="preserve"> další charakteristiky</w:t>
      </w:r>
      <w:r w:rsidR="00E64B1F">
        <w:t xml:space="preserve"> osob</w:t>
      </w:r>
      <w:r w:rsidR="00E3199A">
        <w:t xml:space="preserve"> (tab.</w:t>
      </w:r>
      <w:r w:rsidR="004F1C4D">
        <w:t xml:space="preserve"> </w:t>
      </w:r>
      <w:r w:rsidR="00E3199A">
        <w:t>1</w:t>
      </w:r>
      <w:r>
        <w:t xml:space="preserve">), </w:t>
      </w:r>
      <w:r w:rsidR="00E64B1F">
        <w:t xml:space="preserve">bytů i domů, </w:t>
      </w:r>
      <w:r>
        <w:t>ať už z důvodu národních potřeb či nepřerušení dlouhé historické řady.</w:t>
      </w:r>
      <w:r w:rsidR="00E64B1F">
        <w:t xml:space="preserve"> </w:t>
      </w:r>
    </w:p>
    <w:p w:rsidR="00E80042" w:rsidRDefault="00E80042" w:rsidP="00E80042">
      <w:r>
        <w:t>Kromě otázek, na které měl respondent povinnost odpovědět, se na formuláři v České republice a v Maďarsku objevily také tzv. citlivé otázky, na nichž byla odpověď dobrovolná. Týkalo se to otázek na náboženskou víru, národnost</w:t>
      </w:r>
      <w:r w:rsidR="0064214E">
        <w:t xml:space="preserve"> a</w:t>
      </w:r>
      <w:r>
        <w:t xml:space="preserve"> v Maďarsku navíc i na </w:t>
      </w:r>
      <w:r w:rsidRPr="00E80042">
        <w:t>disabilitu</w:t>
      </w:r>
      <w:r>
        <w:t xml:space="preserve">. V Polsku a na Slovensku byly všechny dotazy na sčítacích formulářích koncipovány jako povinné. </w:t>
      </w:r>
    </w:p>
    <w:p w:rsidR="00600C81" w:rsidRDefault="00600C81" w:rsidP="0085641B"/>
    <w:p w:rsidR="00600C81" w:rsidRDefault="00600C81" w:rsidP="0085641B"/>
    <w:p w:rsidR="00600C81" w:rsidRDefault="00600C81" w:rsidP="0085641B"/>
    <w:p w:rsidR="00600C81" w:rsidRDefault="00600C81" w:rsidP="0085641B"/>
    <w:p w:rsidR="0085641B" w:rsidRDefault="000E7DC0" w:rsidP="0085641B">
      <w:r w:rsidRPr="00F22641">
        <w:rPr>
          <w:b/>
        </w:rPr>
        <w:lastRenderedPageBreak/>
        <w:t xml:space="preserve">Tab. 1: </w:t>
      </w:r>
      <w:r w:rsidR="00A53F8A" w:rsidRPr="00F22641">
        <w:rPr>
          <w:b/>
        </w:rPr>
        <w:t xml:space="preserve">Otázky na sčítacím formuláři nad rámec požadovaných údajů podle </w:t>
      </w:r>
      <w:r w:rsidR="00717A03" w:rsidRPr="00F22641">
        <w:rPr>
          <w:b/>
        </w:rPr>
        <w:t>Nařízení č. </w:t>
      </w:r>
      <w:r w:rsidR="00E3199A" w:rsidRPr="00F22641">
        <w:rPr>
          <w:b/>
        </w:rPr>
        <w:t>763/2008</w:t>
      </w:r>
      <w:r w:rsidR="00184F2D" w:rsidRPr="00184F2D">
        <w:rPr>
          <w:noProof/>
          <w:lang w:eastAsia="cs-CZ"/>
        </w:rPr>
        <w:drawing>
          <wp:inline distT="0" distB="0" distL="0" distR="0">
            <wp:extent cx="5267325" cy="3286125"/>
            <wp:effectExtent l="19050" t="0" r="9525" b="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F2D" w:rsidRPr="00184F2D">
        <w:t xml:space="preserve"> </w:t>
      </w:r>
    </w:p>
    <w:p w:rsidR="0085641B" w:rsidRDefault="007262B5" w:rsidP="007262B5">
      <w:r>
        <w:t>*</w:t>
      </w:r>
      <w:r w:rsidRPr="004179DA">
        <w:rPr>
          <w:sz w:val="18"/>
          <w:szCs w:val="18"/>
        </w:rPr>
        <w:t>nepovinná otázka</w:t>
      </w:r>
    </w:p>
    <w:p w:rsidR="0085641B" w:rsidRDefault="0085641B" w:rsidP="0085641B"/>
    <w:p w:rsidR="0085641B" w:rsidRPr="0085641B" w:rsidRDefault="0085641B" w:rsidP="00F22641">
      <w:pPr>
        <w:spacing w:after="120"/>
        <w:rPr>
          <w:b/>
        </w:rPr>
      </w:pPr>
      <w:r w:rsidRPr="0085641B">
        <w:rPr>
          <w:b/>
        </w:rPr>
        <w:t>Zdroj dat</w:t>
      </w:r>
    </w:p>
    <w:p w:rsidR="0085641B" w:rsidRDefault="0085641B" w:rsidP="0085641B">
      <w:r>
        <w:t xml:space="preserve">Zdrojem dat pro porovnání států V4 </w:t>
      </w:r>
      <w:r w:rsidR="004F1C4D">
        <w:t>jsou</w:t>
      </w:r>
      <w:r>
        <w:t xml:space="preserve"> výsledky sčítání 2011 získané pomocí webové aplikace Census Hub</w:t>
      </w:r>
      <w:r w:rsidR="006E6B96">
        <w:rPr>
          <w:rStyle w:val="Znakapoznpodarou"/>
        </w:rPr>
        <w:footnoteReference w:id="3"/>
      </w:r>
      <w:r>
        <w:t xml:space="preserve">, která prezentuje výsledky ze všech států Evropské Unie ve shodné struktuře. K dispozici jsou data ve formě agregovaných údajů vypočítaných na základě 60 </w:t>
      </w:r>
      <w:r w:rsidR="002706FF">
        <w:t xml:space="preserve">předem </w:t>
      </w:r>
      <w:r>
        <w:t xml:space="preserve">definovaných hyperkostek tj. vícerozměrných tabulek, kombinujících jednotlivá témata stanovená v nařízeních. </w:t>
      </w:r>
    </w:p>
    <w:p w:rsidR="00243353" w:rsidRDefault="00243353" w:rsidP="0085641B"/>
    <w:p w:rsidR="00243353" w:rsidRDefault="00243353" w:rsidP="0085641B"/>
    <w:p w:rsidR="00A3701D" w:rsidRDefault="00A3701D" w:rsidP="005D60B8">
      <w:pPr>
        <w:rPr>
          <w:b/>
        </w:rPr>
      </w:pPr>
    </w:p>
    <w:p w:rsidR="00A3701D" w:rsidRDefault="00A3701D" w:rsidP="005D60B8">
      <w:pPr>
        <w:rPr>
          <w:b/>
        </w:rPr>
      </w:pPr>
    </w:p>
    <w:p w:rsidR="005F21DE" w:rsidRDefault="005F21DE" w:rsidP="005D60B8">
      <w:pPr>
        <w:rPr>
          <w:b/>
        </w:rPr>
      </w:pPr>
    </w:p>
    <w:p w:rsidR="005F21DE" w:rsidRDefault="005F21DE" w:rsidP="005D60B8">
      <w:pPr>
        <w:rPr>
          <w:b/>
        </w:rPr>
      </w:pPr>
    </w:p>
    <w:p w:rsidR="005F21DE" w:rsidRDefault="005F21DE" w:rsidP="005D60B8">
      <w:pPr>
        <w:rPr>
          <w:b/>
        </w:rPr>
      </w:pPr>
    </w:p>
    <w:p w:rsidR="005F21DE" w:rsidRDefault="005F21DE" w:rsidP="005D60B8">
      <w:pPr>
        <w:rPr>
          <w:b/>
        </w:rPr>
      </w:pPr>
    </w:p>
    <w:p w:rsidR="005F21DE" w:rsidRDefault="005F21DE" w:rsidP="005D60B8">
      <w:pPr>
        <w:rPr>
          <w:b/>
        </w:rPr>
      </w:pPr>
    </w:p>
    <w:p w:rsidR="004179DA" w:rsidRDefault="004179DA" w:rsidP="005D60B8">
      <w:pPr>
        <w:rPr>
          <w:b/>
        </w:rPr>
      </w:pPr>
    </w:p>
    <w:p w:rsidR="004179DA" w:rsidRDefault="004179DA" w:rsidP="005D60B8">
      <w:pPr>
        <w:rPr>
          <w:b/>
        </w:rPr>
      </w:pPr>
    </w:p>
    <w:p w:rsidR="003946BB" w:rsidRDefault="003946BB" w:rsidP="00B8293B">
      <w:pPr>
        <w:rPr>
          <w:b/>
        </w:rPr>
      </w:pPr>
    </w:p>
    <w:p w:rsidR="003946BB" w:rsidRDefault="003946BB" w:rsidP="00B8293B">
      <w:pPr>
        <w:rPr>
          <w:b/>
        </w:rPr>
      </w:pPr>
    </w:p>
    <w:p w:rsidR="005D60B8" w:rsidRPr="00B8293B" w:rsidRDefault="00B8293B" w:rsidP="00B8293B">
      <w:pPr>
        <w:rPr>
          <w:b/>
        </w:rPr>
      </w:pPr>
      <w:r>
        <w:rPr>
          <w:b/>
        </w:rPr>
        <w:lastRenderedPageBreak/>
        <w:t xml:space="preserve">1. </w:t>
      </w:r>
      <w:r w:rsidRPr="00B8293B">
        <w:rPr>
          <w:b/>
        </w:rPr>
        <w:t>Demografické c</w:t>
      </w:r>
      <w:r w:rsidR="00D5106E" w:rsidRPr="00B8293B">
        <w:rPr>
          <w:b/>
        </w:rPr>
        <w:t>harakteristiky obyvatelstva</w:t>
      </w:r>
    </w:p>
    <w:p w:rsidR="005D60B8" w:rsidRDefault="005D60B8" w:rsidP="005D60B8">
      <w:pPr>
        <w:rPr>
          <w:b/>
        </w:rPr>
      </w:pPr>
    </w:p>
    <w:p w:rsidR="00345DC8" w:rsidRDefault="00B8293B" w:rsidP="00D5106E">
      <w:pPr>
        <w:spacing w:after="120"/>
        <w:rPr>
          <w:b/>
        </w:rPr>
      </w:pPr>
      <w:r>
        <w:rPr>
          <w:b/>
        </w:rPr>
        <w:t xml:space="preserve">1.1 </w:t>
      </w:r>
      <w:r w:rsidR="00345DC8">
        <w:rPr>
          <w:b/>
        </w:rPr>
        <w:t xml:space="preserve">Struktura </w:t>
      </w:r>
      <w:r w:rsidR="005F596B">
        <w:rPr>
          <w:b/>
        </w:rPr>
        <w:t xml:space="preserve">obyvatelstva </w:t>
      </w:r>
      <w:r w:rsidR="00345DC8">
        <w:rPr>
          <w:b/>
        </w:rPr>
        <w:t>podle věku</w:t>
      </w:r>
    </w:p>
    <w:p w:rsidR="00AA3356" w:rsidRDefault="005D60B8" w:rsidP="005D60B8">
      <w:pPr>
        <w:rPr>
          <w:szCs w:val="20"/>
        </w:rPr>
      </w:pPr>
      <w:r w:rsidRPr="009B154C">
        <w:rPr>
          <w:szCs w:val="20"/>
        </w:rPr>
        <w:t xml:space="preserve">Složení obyvatelstva podle věku úzce souvisí s vývojem demografického chování společnosti. Přes vzrůstající vliv migrace je stále </w:t>
      </w:r>
      <w:r w:rsidR="00AA3356" w:rsidRPr="009B154C">
        <w:rPr>
          <w:szCs w:val="20"/>
        </w:rPr>
        <w:t xml:space="preserve">hlavním činitelem utvářejícím současnou věkovou strukturu států střední Evropy </w:t>
      </w:r>
      <w:r w:rsidRPr="009B154C">
        <w:rPr>
          <w:szCs w:val="20"/>
        </w:rPr>
        <w:t>úroveň porodnosti a úmrtnosti. Nejvýraznější proměnou</w:t>
      </w:r>
      <w:r w:rsidR="009B154C" w:rsidRPr="009B154C">
        <w:rPr>
          <w:szCs w:val="20"/>
        </w:rPr>
        <w:t xml:space="preserve"> (tzv. druhým demografickým přechodem)</w:t>
      </w:r>
      <w:r w:rsidR="00AA3356">
        <w:rPr>
          <w:szCs w:val="20"/>
        </w:rPr>
        <w:t xml:space="preserve"> </w:t>
      </w:r>
      <w:r w:rsidR="00E23C64">
        <w:rPr>
          <w:szCs w:val="20"/>
        </w:rPr>
        <w:t xml:space="preserve">prochází tyto populace již od počátku 90. </w:t>
      </w:r>
      <w:r w:rsidR="002C64A6">
        <w:rPr>
          <w:szCs w:val="20"/>
        </w:rPr>
        <w:t>l</w:t>
      </w:r>
      <w:r w:rsidR="00E23C64">
        <w:rPr>
          <w:szCs w:val="20"/>
        </w:rPr>
        <w:t xml:space="preserve">et 20. </w:t>
      </w:r>
      <w:r w:rsidR="002C64A6">
        <w:rPr>
          <w:szCs w:val="20"/>
        </w:rPr>
        <w:t>s</w:t>
      </w:r>
      <w:r w:rsidR="00E23C64">
        <w:rPr>
          <w:szCs w:val="20"/>
        </w:rPr>
        <w:t>toletí. D</w:t>
      </w:r>
      <w:r w:rsidR="00AA3356">
        <w:rPr>
          <w:szCs w:val="20"/>
        </w:rPr>
        <w:t xml:space="preserve">ůsledkem </w:t>
      </w:r>
      <w:r w:rsidR="00E23C64">
        <w:rPr>
          <w:szCs w:val="20"/>
        </w:rPr>
        <w:t xml:space="preserve">tohoto procesu </w:t>
      </w:r>
      <w:r w:rsidR="00AA3356">
        <w:rPr>
          <w:szCs w:val="20"/>
        </w:rPr>
        <w:t xml:space="preserve">je </w:t>
      </w:r>
      <w:r w:rsidR="00E03479">
        <w:rPr>
          <w:szCs w:val="20"/>
        </w:rPr>
        <w:t xml:space="preserve">– </w:t>
      </w:r>
      <w:r w:rsidR="00AA3356">
        <w:rPr>
          <w:szCs w:val="20"/>
        </w:rPr>
        <w:t xml:space="preserve">z hlediska věkového složení </w:t>
      </w:r>
      <w:r w:rsidR="00AA3356" w:rsidRPr="009B154C">
        <w:rPr>
          <w:szCs w:val="20"/>
        </w:rPr>
        <w:t>nejvýraznější trend současné středoevropské populace</w:t>
      </w:r>
      <w:r w:rsidR="00AA3356">
        <w:rPr>
          <w:szCs w:val="20"/>
        </w:rPr>
        <w:t xml:space="preserve"> </w:t>
      </w:r>
      <w:r w:rsidR="00E23C64">
        <w:rPr>
          <w:szCs w:val="20"/>
        </w:rPr>
        <w:t xml:space="preserve">– </w:t>
      </w:r>
      <w:r w:rsidR="00AA3356">
        <w:rPr>
          <w:szCs w:val="20"/>
        </w:rPr>
        <w:t>stárnutí</w:t>
      </w:r>
      <w:r w:rsidR="00E23C64">
        <w:rPr>
          <w:szCs w:val="20"/>
        </w:rPr>
        <w:t xml:space="preserve"> populace.</w:t>
      </w:r>
    </w:p>
    <w:p w:rsidR="00E23C64" w:rsidRDefault="00E23C64" w:rsidP="005D60B8">
      <w:pPr>
        <w:rPr>
          <w:szCs w:val="20"/>
        </w:rPr>
      </w:pPr>
    </w:p>
    <w:p w:rsidR="005D60B8" w:rsidRPr="004342E0" w:rsidRDefault="004342E0" w:rsidP="005D60B8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1.1.1 </w:t>
      </w:r>
      <w:r w:rsidR="005D60B8" w:rsidRPr="004342E0">
        <w:rPr>
          <w:b/>
        </w:rPr>
        <w:t xml:space="preserve">Podíly hlavních věkových skupin </w:t>
      </w:r>
    </w:p>
    <w:p w:rsidR="005D60B8" w:rsidRDefault="005D60B8" w:rsidP="005D60B8">
      <w:r>
        <w:t xml:space="preserve">Věkové složení jednotlivých států </w:t>
      </w:r>
      <w:r w:rsidR="00C919FD">
        <w:t xml:space="preserve">V4 se liší, zejména pokud jde o </w:t>
      </w:r>
      <w:r w:rsidR="0056453B">
        <w:t>rozložení hlavních věkových skupin a jejich vzájemný</w:t>
      </w:r>
      <w:r w:rsidR="004C7B18">
        <w:t>ch</w:t>
      </w:r>
      <w:r w:rsidR="0056453B">
        <w:t xml:space="preserve"> </w:t>
      </w:r>
      <w:r w:rsidR="00BB12A8">
        <w:t>poměr</w:t>
      </w:r>
      <w:r w:rsidR="00264FFA">
        <w:t>ů</w:t>
      </w:r>
      <w:r>
        <w:t xml:space="preserve">. </w:t>
      </w:r>
      <w:r w:rsidR="009C4303">
        <w:t>Největší část</w:t>
      </w:r>
      <w:r w:rsidR="00C919FD">
        <w:t xml:space="preserve"> ve všech </w:t>
      </w:r>
      <w:r w:rsidR="00345988">
        <w:t xml:space="preserve">čtyřech </w:t>
      </w:r>
      <w:r w:rsidR="00C919FD">
        <w:t xml:space="preserve">státech </w:t>
      </w:r>
      <w:r w:rsidR="009C4303">
        <w:t>tvoří produktivní složka</w:t>
      </w:r>
      <w:r>
        <w:t>, její</w:t>
      </w:r>
      <w:r w:rsidR="009C4303">
        <w:t>ž</w:t>
      </w:r>
      <w:r>
        <w:t xml:space="preserve"> podíl se pohybuje kolem 70 % obyvatelstva</w:t>
      </w:r>
      <w:r w:rsidR="00345988">
        <w:t>, přitom rozdíl mezi</w:t>
      </w:r>
      <w:r w:rsidR="009C4303">
        <w:t xml:space="preserve"> </w:t>
      </w:r>
      <w:r w:rsidR="00345988">
        <w:t xml:space="preserve">maximem </w:t>
      </w:r>
      <w:r w:rsidR="009C4303">
        <w:t xml:space="preserve">na Slovensku </w:t>
      </w:r>
      <w:r w:rsidR="00345988">
        <w:t>a minimem</w:t>
      </w:r>
      <w:r w:rsidR="009C4303">
        <w:t xml:space="preserve"> v</w:t>
      </w:r>
      <w:r w:rsidR="00345988">
        <w:t> </w:t>
      </w:r>
      <w:r w:rsidR="009C4303">
        <w:t>Maďarsku</w:t>
      </w:r>
      <w:r w:rsidR="00345988">
        <w:t xml:space="preserve"> činí pouze 3,4 procentního bodu</w:t>
      </w:r>
      <w:r>
        <w:t>.</w:t>
      </w:r>
      <w:r w:rsidR="009C4303">
        <w:t xml:space="preserve"> </w:t>
      </w:r>
      <w:r>
        <w:t xml:space="preserve">Z hlediska pokračujícího trendu stárnutí je </w:t>
      </w:r>
      <w:r w:rsidR="009C4303">
        <w:t xml:space="preserve">ale </w:t>
      </w:r>
      <w:r>
        <w:t>největší pozornost věnována relaci mezi nejmlad</w:t>
      </w:r>
      <w:r w:rsidR="00264FFA">
        <w:t>ší a nejstarší složkou populace, kde byly rozdíly</w:t>
      </w:r>
      <w:r w:rsidR="004C7B18">
        <w:t xml:space="preserve"> výraznější</w:t>
      </w:r>
      <w:r w:rsidR="00264FFA">
        <w:t>.</w:t>
      </w:r>
      <w:r>
        <w:t xml:space="preserve"> Zatímco v České republice a v Maďarsku již podíl postproduktivní složky dětskou převýšil a index stáří tak překročil hranici 100 (</w:t>
      </w:r>
      <w:r w:rsidR="00EA28EA">
        <w:t xml:space="preserve">tab. </w:t>
      </w:r>
      <w:r w:rsidR="00346BE7">
        <w:t>3</w:t>
      </w:r>
      <w:r>
        <w:t xml:space="preserve">), ve zbylých dvou státech si ještě udržuje dvojcifernou hodnotu (90 pro Polsko, 82 pro Slovensko), která představuje dominanci </w:t>
      </w:r>
      <w:r w:rsidR="00345988">
        <w:t>nejmladší</w:t>
      </w:r>
      <w:r>
        <w:t xml:space="preserve"> věkové skupiny. </w:t>
      </w:r>
    </w:p>
    <w:p w:rsidR="005D60B8" w:rsidRDefault="005D60B8" w:rsidP="005D60B8"/>
    <w:p w:rsidR="005D60B8" w:rsidRPr="00F22641" w:rsidRDefault="006829D5" w:rsidP="005D60B8">
      <w:pPr>
        <w:rPr>
          <w:b/>
        </w:rPr>
      </w:pPr>
      <w:r w:rsidRPr="00F22641">
        <w:rPr>
          <w:b/>
        </w:rPr>
        <w:t xml:space="preserve">Tab. </w:t>
      </w:r>
      <w:r w:rsidR="00346BE7" w:rsidRPr="00F22641">
        <w:rPr>
          <w:b/>
        </w:rPr>
        <w:t>2</w:t>
      </w:r>
      <w:r w:rsidR="005D60B8" w:rsidRPr="00F22641">
        <w:rPr>
          <w:b/>
        </w:rPr>
        <w:t>: Věkové složení států V4 podle sčítání 2011</w:t>
      </w:r>
    </w:p>
    <w:p w:rsidR="005D60B8" w:rsidRDefault="00DB7D19" w:rsidP="005D60B8">
      <w:r w:rsidRPr="00DB7D19">
        <w:rPr>
          <w:noProof/>
          <w:lang w:eastAsia="cs-CZ"/>
        </w:rPr>
        <w:drawing>
          <wp:inline distT="0" distB="0" distL="0" distR="0">
            <wp:extent cx="5257800" cy="2276475"/>
            <wp:effectExtent l="19050" t="0" r="0" b="0"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B8" w:rsidRDefault="005D60B8" w:rsidP="005D60B8"/>
    <w:p w:rsidR="005D60B8" w:rsidRDefault="009D6C06" w:rsidP="005D60B8">
      <w:r>
        <w:t xml:space="preserve">Rozdíly v poměru dětské a nejstarší věkové skupiny jsou dány </w:t>
      </w:r>
      <w:r w:rsidR="00B94A98">
        <w:t xml:space="preserve">především </w:t>
      </w:r>
      <w:r>
        <w:t>početností produktivní a postproduktivní složky</w:t>
      </w:r>
      <w:r w:rsidR="00E87575">
        <w:t>, r</w:t>
      </w:r>
      <w:r w:rsidR="005D60B8">
        <w:t xml:space="preserve">ozdíly v zastoupení dětské složky se </w:t>
      </w:r>
      <w:r w:rsidR="00E87575">
        <w:t xml:space="preserve">totiž mezi jednotlivými státy </w:t>
      </w:r>
      <w:r w:rsidR="005D60B8">
        <w:t xml:space="preserve">pohybují pouze na úrovni </w:t>
      </w:r>
      <w:r w:rsidR="00EA28EA">
        <w:t>j</w:t>
      </w:r>
      <w:r w:rsidR="008C3749">
        <w:t xml:space="preserve">ednoho </w:t>
      </w:r>
      <w:r w:rsidR="00DB25EA">
        <w:t>procentního bodu</w:t>
      </w:r>
      <w:r w:rsidR="00E87575">
        <w:t>.</w:t>
      </w:r>
      <w:r w:rsidR="008C3749">
        <w:t xml:space="preserve"> N</w:t>
      </w:r>
      <w:r w:rsidR="005D60B8">
        <w:t xml:space="preserve">ejvětší rozptyl má </w:t>
      </w:r>
      <w:r w:rsidR="00F64CAA">
        <w:t>naopak</w:t>
      </w:r>
      <w:r w:rsidR="005D60B8">
        <w:t xml:space="preserve"> zastoupení nejstarší věkové skupiny, jejichž hodnoty se pohybují od 12,7 % pro slovenskou populaci až po 16,9 % v maďarské populaci. </w:t>
      </w:r>
    </w:p>
    <w:p w:rsidR="005D60B8" w:rsidRDefault="00DD2729" w:rsidP="005D60B8">
      <w:r>
        <w:t>Podobně</w:t>
      </w:r>
      <w:r w:rsidR="005D60B8">
        <w:t xml:space="preserve"> se státy V4 profilují také z hlediska hodnot průměrného věku. Hranici 40 let překročil průměrný věk v Maďarsku a České republice. V případě zohlednění pohlaví </w:t>
      </w:r>
      <w:r>
        <w:t>dosáhl</w:t>
      </w:r>
      <w:r w:rsidR="005D60B8">
        <w:t xml:space="preserve"> průměrný věk nejvyšší</w:t>
      </w:r>
      <w:r w:rsidR="00E45943">
        <w:t>ch</w:t>
      </w:r>
      <w:r w:rsidR="005D60B8">
        <w:t xml:space="preserve"> hodnot </w:t>
      </w:r>
      <w:r w:rsidR="00E45943">
        <w:t xml:space="preserve">u </w:t>
      </w:r>
      <w:r w:rsidR="005D60B8">
        <w:t>maďarsk</w:t>
      </w:r>
      <w:r w:rsidR="00E45943">
        <w:t>ých</w:t>
      </w:r>
      <w:r w:rsidR="00711B01">
        <w:t xml:space="preserve"> žen</w:t>
      </w:r>
      <w:r w:rsidR="005D60B8">
        <w:t xml:space="preserve"> </w:t>
      </w:r>
      <w:r w:rsidR="00DB25EA">
        <w:t>a</w:t>
      </w:r>
      <w:r w:rsidR="005D60B8">
        <w:t xml:space="preserve"> česk</w:t>
      </w:r>
      <w:r w:rsidR="00E45943">
        <w:t>ých</w:t>
      </w:r>
      <w:r w:rsidR="005D60B8">
        <w:t xml:space="preserve"> muž</w:t>
      </w:r>
      <w:r w:rsidR="00711B01">
        <w:t>ů</w:t>
      </w:r>
      <w:r w:rsidR="005D60B8">
        <w:t xml:space="preserve">. Největší rozdíl mezi pohlavími </w:t>
      </w:r>
      <w:r>
        <w:t xml:space="preserve">byl </w:t>
      </w:r>
      <w:r w:rsidR="005D60B8">
        <w:lastRenderedPageBreak/>
        <w:t xml:space="preserve">právě v maďarské populaci, kde průměrný věk žen je více než o 4 roky vyšší než mužů. </w:t>
      </w:r>
      <w:r w:rsidR="0056453B">
        <w:t>N</w:t>
      </w:r>
      <w:r w:rsidR="005D60B8">
        <w:t xml:space="preserve">ejnižších hodnot </w:t>
      </w:r>
      <w:r>
        <w:t>dosáhl</w:t>
      </w:r>
      <w:r w:rsidR="005D60B8">
        <w:t xml:space="preserve"> průměrný věk na Slovensku a to jak pro ženy, tak i pro muže.</w:t>
      </w:r>
      <w:r w:rsidR="007A00DB">
        <w:t xml:space="preserve"> Nejvyrovnanější hodnoty podle pohlaví byly v České republice, kde rozdíl mezi průměrným věkem mužů a žen byl nižší než 3 roky.</w:t>
      </w:r>
    </w:p>
    <w:p w:rsidR="005D60B8" w:rsidRDefault="005D60B8" w:rsidP="005D60B8"/>
    <w:p w:rsidR="005D60B8" w:rsidRPr="00F22641" w:rsidRDefault="005D60B8" w:rsidP="005D60B8">
      <w:pPr>
        <w:rPr>
          <w:b/>
        </w:rPr>
      </w:pPr>
      <w:r w:rsidRPr="00F22641">
        <w:rPr>
          <w:b/>
        </w:rPr>
        <w:t>Tab.</w:t>
      </w:r>
      <w:r w:rsidR="00346BE7" w:rsidRPr="00F22641">
        <w:rPr>
          <w:b/>
        </w:rPr>
        <w:t xml:space="preserve"> 3</w:t>
      </w:r>
      <w:r w:rsidRPr="00F22641">
        <w:rPr>
          <w:b/>
        </w:rPr>
        <w:t>: Syntetické ukazatele věkového složení</w:t>
      </w:r>
      <w:r w:rsidR="00DC24C5">
        <w:rPr>
          <w:b/>
        </w:rPr>
        <w:t xml:space="preserve"> států V4 podle</w:t>
      </w:r>
      <w:r w:rsidRPr="00F22641">
        <w:rPr>
          <w:b/>
        </w:rPr>
        <w:t xml:space="preserve"> sčítání 2011</w:t>
      </w:r>
    </w:p>
    <w:p w:rsidR="005D60B8" w:rsidRDefault="005D60B8" w:rsidP="005D60B8">
      <w:r>
        <w:rPr>
          <w:noProof/>
          <w:lang w:eastAsia="cs-CZ"/>
        </w:rPr>
        <w:drawing>
          <wp:inline distT="0" distB="0" distL="0" distR="0">
            <wp:extent cx="5419725" cy="981075"/>
            <wp:effectExtent l="19050" t="0" r="9525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B8" w:rsidRDefault="005D60B8" w:rsidP="005D60B8"/>
    <w:p w:rsidR="007A00DB" w:rsidRDefault="007A00DB" w:rsidP="005D60B8">
      <w:r>
        <w:t>Z hodnot indexu stáří v členění na muže a ženy je patrné, že celkové hodnoty převyšující hranici 100 v České republice a v Maďarsku jsou důsledkem extrémních hodnot indexu stáří žen. Přestože ve všech státech V4 ve skupině žen překračuje index stáří hranici 100, v </w:t>
      </w:r>
      <w:r w:rsidR="0085738B">
        <w:t xml:space="preserve">České republice a v Maďarsku </w:t>
      </w:r>
      <w:r w:rsidR="00F801EB">
        <w:t>je</w:t>
      </w:r>
      <w:r>
        <w:t xml:space="preserve"> významně vyšší.</w:t>
      </w:r>
    </w:p>
    <w:p w:rsidR="0085738B" w:rsidRDefault="0085738B" w:rsidP="005D60B8">
      <w:r>
        <w:t>Naopak v hodnotách indexu ekonomického zatížení</w:t>
      </w:r>
      <w:r w:rsidR="000B3167">
        <w:rPr>
          <w:rStyle w:val="Znakapoznpodarou"/>
        </w:rPr>
        <w:footnoteReference w:id="4"/>
      </w:r>
      <w:r>
        <w:t xml:space="preserve"> žádné výrazn</w:t>
      </w:r>
      <w:r w:rsidR="00F801EB">
        <w:t>ější</w:t>
      </w:r>
      <w:r>
        <w:t xml:space="preserve"> diskrepance mezi státy V4 nejsou, a to ani z hlediska pohlaví. Hlavní příčinou jsou poměrně vyrovnané podíly osob v produktivním věku, což ve svém důsledku znamená, že rozdíly mezi nejmladší a nejstarší složkou obyvatel </w:t>
      </w:r>
      <w:r w:rsidR="000009C6">
        <w:t xml:space="preserve">se </w:t>
      </w:r>
      <w:r>
        <w:t xml:space="preserve">v relaci k osobám v produktivním věku stírají. </w:t>
      </w:r>
    </w:p>
    <w:p w:rsidR="00FB6045" w:rsidRDefault="00FB6045" w:rsidP="005D60B8"/>
    <w:p w:rsidR="00744CBC" w:rsidRDefault="004342E0" w:rsidP="005D60B8">
      <w:r>
        <w:rPr>
          <w:b/>
        </w:rPr>
        <w:t xml:space="preserve">1.1.2 </w:t>
      </w:r>
      <w:r w:rsidR="001C725A" w:rsidRPr="004342E0">
        <w:rPr>
          <w:b/>
        </w:rPr>
        <w:t>Podrobná v</w:t>
      </w:r>
      <w:r w:rsidR="00DD2729" w:rsidRPr="004342E0">
        <w:rPr>
          <w:b/>
        </w:rPr>
        <w:t>ěková struktura</w:t>
      </w:r>
      <w:r w:rsidR="00DD2729">
        <w:t xml:space="preserve"> </w:t>
      </w:r>
    </w:p>
    <w:p w:rsidR="005D60B8" w:rsidRDefault="005D60B8" w:rsidP="005D60B8">
      <w:r>
        <w:t>Při detailnější</w:t>
      </w:r>
      <w:r w:rsidR="00031D0D">
        <w:t>m</w:t>
      </w:r>
      <w:r>
        <w:t xml:space="preserve"> pohledu na věkové struktury jednotlivých států V4 je zřejmé, že je historické události 20. století poznamenaly více či méně obdobným způsobem</w:t>
      </w:r>
      <w:r w:rsidR="00F1558E">
        <w:t xml:space="preserve"> (graf 1)</w:t>
      </w:r>
      <w:r>
        <w:t xml:space="preserve">. </w:t>
      </w:r>
    </w:p>
    <w:p w:rsidR="0055688A" w:rsidRDefault="005D60B8" w:rsidP="00B069AB">
      <w:r>
        <w:t xml:space="preserve">Na vrcholu věkových pyramid </w:t>
      </w:r>
      <w:r w:rsidR="00623EE0">
        <w:t>je</w:t>
      </w:r>
      <w:r>
        <w:t xml:space="preserve"> stále patrný rozdíl ve vývoji daný postavením států v průběhu druhé světové války. Nejvýraznější </w:t>
      </w:r>
      <w:r w:rsidR="00623EE0">
        <w:t>propad</w:t>
      </w:r>
      <w:r>
        <w:t xml:space="preserve"> generace n</w:t>
      </w:r>
      <w:r w:rsidR="00304D8B">
        <w:t>arozené mezi lety 1940 až 1945 byl</w:t>
      </w:r>
      <w:r>
        <w:t xml:space="preserve"> patrný na věkové struktuře Polska, které utrpělo </w:t>
      </w:r>
      <w:r w:rsidR="00623EE0">
        <w:t xml:space="preserve">během druhé světové války </w:t>
      </w:r>
      <w:r>
        <w:t>ztráty,</w:t>
      </w:r>
      <w:r w:rsidR="00623EE0">
        <w:t xml:space="preserve"> </w:t>
      </w:r>
      <w:r w:rsidR="00BA07EC">
        <w:t>které formují tvar věkové pyramidy ještě</w:t>
      </w:r>
      <w:r>
        <w:t xml:space="preserve"> dnes. Na druhou stranu pravidelný vrchol pyramidy </w:t>
      </w:r>
      <w:r w:rsidR="00304D8B">
        <w:t>mělo</w:t>
      </w:r>
      <w:r>
        <w:t xml:space="preserve"> Maďarsko a také Slovensko. Poválečné zvýšení porodnosti </w:t>
      </w:r>
      <w:r w:rsidR="00304D8B">
        <w:t>bylo</w:t>
      </w:r>
      <w:r>
        <w:t xml:space="preserve"> patrné ve všech státech shodně</w:t>
      </w:r>
      <w:r w:rsidR="00B069AB">
        <w:t xml:space="preserve"> (v Polsku až s několikaletým odstupem po válce)</w:t>
      </w:r>
      <w:r>
        <w:t>. Právě silné poválečné ročníky (osoby ve věku 54</w:t>
      </w:r>
      <w:r w:rsidR="0055688A">
        <w:t xml:space="preserve"> až </w:t>
      </w:r>
      <w:r>
        <w:t>64</w:t>
      </w:r>
    </w:p>
    <w:p w:rsidR="00F801EB" w:rsidRDefault="005D60B8" w:rsidP="00B069AB">
      <w:r>
        <w:t>let) se v současnosti přesouvají do postproduktivní složky populace, což spolu s nízkou úrovní porodnosti proces stárnutí v zemích V4 ještě urychlí</w:t>
      </w:r>
      <w:r w:rsidR="00623EE0">
        <w:t xml:space="preserve">. </w:t>
      </w:r>
    </w:p>
    <w:p w:rsidR="00B069AB" w:rsidRDefault="00623EE0" w:rsidP="00B069AB">
      <w:r>
        <w:t>Druhé shodné rozšíření věkových</w:t>
      </w:r>
      <w:r w:rsidR="005D60B8">
        <w:t xml:space="preserve"> struktur je dáno vstupem silných </w:t>
      </w:r>
      <w:r>
        <w:t xml:space="preserve">poválečných </w:t>
      </w:r>
      <w:r w:rsidR="005D60B8">
        <w:t xml:space="preserve">ročníků do plodivého věku a např. v České republice a na Slovensku </w:t>
      </w:r>
      <w:r w:rsidR="00F642D8">
        <w:t xml:space="preserve">bylo </w:t>
      </w:r>
      <w:r w:rsidR="005D60B8">
        <w:t>ještě podp</w:t>
      </w:r>
      <w:r>
        <w:t xml:space="preserve">ořeno propopulačními opatřeními. </w:t>
      </w:r>
      <w:r w:rsidR="006C765C">
        <w:t>S výjimkou Polska proběhla tato</w:t>
      </w:r>
      <w:r>
        <w:t xml:space="preserve"> vlna</w:t>
      </w:r>
      <w:r w:rsidR="005D60B8">
        <w:t xml:space="preserve"> v první polovině 70. let a tehdy narozené generace dnes představují nejsilnější složku populace. V</w:t>
      </w:r>
      <w:r w:rsidR="00B069AB">
        <w:t> </w:t>
      </w:r>
      <w:r w:rsidR="005D60B8">
        <w:t>Polsku</w:t>
      </w:r>
      <w:r w:rsidR="00B069AB">
        <w:t xml:space="preserve"> v návaznosti na „zpoždění“ první populační vlny se i druhá uskutečnila s od</w:t>
      </w:r>
      <w:r w:rsidR="00FB6045">
        <w:t>s</w:t>
      </w:r>
      <w:r w:rsidR="00B069AB">
        <w:t>tupem několika let. Dnes proto nejsilnější populační skupinu představují osoby 25</w:t>
      </w:r>
      <w:r w:rsidR="00FB6045">
        <w:t xml:space="preserve"> až 30</w:t>
      </w:r>
      <w:r w:rsidR="00B069AB">
        <w:t>let</w:t>
      </w:r>
      <w:r w:rsidR="00FB6045">
        <w:t>é</w:t>
      </w:r>
      <w:r w:rsidR="00B069AB">
        <w:t xml:space="preserve">. </w:t>
      </w:r>
    </w:p>
    <w:p w:rsidR="005D60B8" w:rsidRDefault="005D60B8" w:rsidP="005D60B8">
      <w:r>
        <w:t>Změny v demografické</w:t>
      </w:r>
      <w:r w:rsidR="00F642D8">
        <w:t>m</w:t>
      </w:r>
      <w:r>
        <w:t xml:space="preserve"> chování posledních 20 let </w:t>
      </w:r>
      <w:r w:rsidR="00304D8B">
        <w:t xml:space="preserve">(především výrazný pokles počtu narozených vrcholící v druhé polovině 90. let a na začátku 21. století) </w:t>
      </w:r>
      <w:r>
        <w:t>výrazně ovlivnily počt</w:t>
      </w:r>
      <w:r w:rsidR="00304D8B">
        <w:t>y</w:t>
      </w:r>
      <w:r>
        <w:t xml:space="preserve"> osob v nejmladších věkových skupinách</w:t>
      </w:r>
      <w:r w:rsidR="00304D8B">
        <w:t>. Následné p</w:t>
      </w:r>
      <w:r>
        <w:t>ře</w:t>
      </w:r>
      <w:r w:rsidR="00982932">
        <w:t>chodné zvýšení porodnosti patrné</w:t>
      </w:r>
      <w:r>
        <w:t xml:space="preserve"> na </w:t>
      </w:r>
      <w:r>
        <w:lastRenderedPageBreak/>
        <w:t xml:space="preserve">všech věkových strukturách s výjimkou Maďarska je sekundární důsledek natalitní vlny 70. </w:t>
      </w:r>
      <w:r w:rsidR="00F642D8">
        <w:t>l</w:t>
      </w:r>
      <w:r>
        <w:t xml:space="preserve">et, kdy začaly rodit ženy této populačně silné generace. </w:t>
      </w:r>
    </w:p>
    <w:p w:rsidR="005D60B8" w:rsidRDefault="005D60B8" w:rsidP="005D60B8">
      <w:r>
        <w:t xml:space="preserve">Vývoj věkové struktury má ve všech státech V4 regresivní charakter. </w:t>
      </w:r>
      <w:r w:rsidR="00E45943">
        <w:t>Nejvýraznější</w:t>
      </w:r>
      <w:r w:rsidR="00FB6045">
        <w:t xml:space="preserve"> je v Maďarsku a České republice.</w:t>
      </w:r>
      <w:r w:rsidR="00A0007C">
        <w:t xml:space="preserve"> Navíc d</w:t>
      </w:r>
      <w:r>
        <w:t>o produktivního věku budou přecházet slabé ročníky narozené v 90. letech.</w:t>
      </w:r>
      <w:r w:rsidR="00A0007C">
        <w:t xml:space="preserve"> </w:t>
      </w:r>
      <w:r>
        <w:t>Nezvratně tak bude stárnutí populace států V4</w:t>
      </w:r>
      <w:r w:rsidR="0028072D">
        <w:t xml:space="preserve"> stejně jako ve většině zemí Evropy</w:t>
      </w:r>
      <w:r w:rsidR="0028072D" w:rsidRPr="0028072D">
        <w:t xml:space="preserve"> </w:t>
      </w:r>
      <w:r w:rsidR="0028072D">
        <w:t>pokračovat</w:t>
      </w:r>
      <w:r>
        <w:t>.</w:t>
      </w:r>
    </w:p>
    <w:p w:rsidR="005D60B8" w:rsidRPr="00F22641" w:rsidRDefault="005D60B8" w:rsidP="005D60B8">
      <w:pPr>
        <w:rPr>
          <w:b/>
          <w:szCs w:val="20"/>
        </w:rPr>
      </w:pPr>
    </w:p>
    <w:p w:rsidR="00D50021" w:rsidRPr="00F22641" w:rsidRDefault="00D50021" w:rsidP="005D60B8">
      <w:pPr>
        <w:rPr>
          <w:b/>
        </w:rPr>
      </w:pPr>
      <w:r w:rsidRPr="00F22641">
        <w:rPr>
          <w:b/>
        </w:rPr>
        <w:t xml:space="preserve">Graf </w:t>
      </w:r>
      <w:r w:rsidR="00346BE7" w:rsidRPr="00F22641">
        <w:rPr>
          <w:b/>
        </w:rPr>
        <w:t>1</w:t>
      </w:r>
      <w:r w:rsidRPr="00F22641">
        <w:rPr>
          <w:b/>
        </w:rPr>
        <w:t xml:space="preserve">: Věková struktura států V4 </w:t>
      </w:r>
      <w:r w:rsidR="00DC24C5">
        <w:rPr>
          <w:b/>
        </w:rPr>
        <w:t>podle</w:t>
      </w:r>
      <w:r w:rsidRPr="00F22641">
        <w:rPr>
          <w:b/>
        </w:rPr>
        <w:t xml:space="preserve"> sčítání 2011</w:t>
      </w:r>
    </w:p>
    <w:p w:rsidR="00D50021" w:rsidRDefault="00D50021" w:rsidP="005D60B8"/>
    <w:p w:rsidR="005D60B8" w:rsidRDefault="00D50021" w:rsidP="00D50021">
      <w:pPr>
        <w:pStyle w:val="Odstavecseseznamem"/>
        <w:numPr>
          <w:ilvl w:val="0"/>
          <w:numId w:val="3"/>
        </w:numPr>
      </w:pPr>
      <w:r>
        <w:t>Česká republika</w:t>
      </w:r>
      <w:r>
        <w:tab/>
      </w:r>
      <w:r>
        <w:tab/>
      </w:r>
      <w:r>
        <w:tab/>
      </w:r>
      <w:r>
        <w:tab/>
        <w:t xml:space="preserve">2. </w:t>
      </w:r>
      <w:r w:rsidR="005D60B8">
        <w:t>Maďarsko</w:t>
      </w:r>
    </w:p>
    <w:p w:rsidR="005D60B8" w:rsidRDefault="005D60B8" w:rsidP="002D5B90">
      <w:pPr>
        <w:jc w:val="center"/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4533900" cy="2690364"/>
            <wp:effectExtent l="1905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64" cy="26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B8" w:rsidRDefault="005D60B8" w:rsidP="005D60B8">
      <w:pPr>
        <w:rPr>
          <w:szCs w:val="20"/>
        </w:rPr>
      </w:pPr>
    </w:p>
    <w:p w:rsidR="005D60B8" w:rsidRDefault="005D60B8" w:rsidP="00D50021">
      <w:pPr>
        <w:pStyle w:val="Odstavecseseznamem"/>
        <w:numPr>
          <w:ilvl w:val="0"/>
          <w:numId w:val="4"/>
        </w:numPr>
      </w:pPr>
      <w:r w:rsidRPr="006657A6">
        <w:t>Polsko</w:t>
      </w:r>
      <w:r w:rsidR="00D50021">
        <w:tab/>
      </w:r>
      <w:r w:rsidR="00D50021">
        <w:tab/>
      </w:r>
      <w:r w:rsidR="00D50021">
        <w:tab/>
      </w:r>
      <w:r w:rsidR="00D50021">
        <w:tab/>
      </w:r>
      <w:r w:rsidR="00D50021">
        <w:tab/>
        <w:t xml:space="preserve">4. </w:t>
      </w:r>
      <w:r>
        <w:t xml:space="preserve">Slovensko                                                                     </w:t>
      </w:r>
    </w:p>
    <w:p w:rsidR="005D60B8" w:rsidRDefault="005D60B8" w:rsidP="002D5B90">
      <w:pPr>
        <w:jc w:val="center"/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4581525" cy="2707954"/>
            <wp:effectExtent l="19050" t="0" r="952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45" w:rsidRPr="004342E0" w:rsidRDefault="00176ABF" w:rsidP="009B693C">
      <w:pPr>
        <w:autoSpaceDE w:val="0"/>
        <w:autoSpaceDN w:val="0"/>
        <w:adjustRightInd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 xml:space="preserve">1.1.3 </w:t>
      </w:r>
      <w:r w:rsidR="006A6B45" w:rsidRPr="004342E0">
        <w:rPr>
          <w:rFonts w:cs="Arial"/>
          <w:b/>
          <w:szCs w:val="20"/>
        </w:rPr>
        <w:t>Územní diferenciace věkové struktury</w:t>
      </w:r>
    </w:p>
    <w:p w:rsidR="009B693C" w:rsidRDefault="009B693C" w:rsidP="009B693C">
      <w:pPr>
        <w:autoSpaceDE w:val="0"/>
        <w:autoSpaceDN w:val="0"/>
        <w:adjustRightInd w:val="0"/>
        <w:rPr>
          <w:rFonts w:cs="Arial"/>
          <w:szCs w:val="20"/>
        </w:rPr>
      </w:pPr>
      <w:r w:rsidRPr="00A6180E">
        <w:rPr>
          <w:rFonts w:cs="Arial"/>
          <w:szCs w:val="20"/>
        </w:rPr>
        <w:t>Věková struktura jednotlivých států V4 není územně homogenní</w:t>
      </w:r>
      <w:r w:rsidR="007715A7">
        <w:rPr>
          <w:rFonts w:cs="Arial"/>
          <w:szCs w:val="20"/>
        </w:rPr>
        <w:t xml:space="preserve"> (graf </w:t>
      </w:r>
      <w:r w:rsidR="00C70DD2">
        <w:rPr>
          <w:rFonts w:cs="Arial"/>
          <w:szCs w:val="20"/>
        </w:rPr>
        <w:t>2</w:t>
      </w:r>
      <w:r w:rsidR="007715A7">
        <w:rPr>
          <w:rFonts w:cs="Arial"/>
          <w:szCs w:val="20"/>
        </w:rPr>
        <w:t>)</w:t>
      </w:r>
      <w:r w:rsidRPr="00A6180E">
        <w:rPr>
          <w:rFonts w:cs="Arial"/>
          <w:szCs w:val="20"/>
        </w:rPr>
        <w:t>.</w:t>
      </w:r>
    </w:p>
    <w:p w:rsidR="00271D84" w:rsidRDefault="00271D84" w:rsidP="009B693C">
      <w:pPr>
        <w:autoSpaceDE w:val="0"/>
        <w:autoSpaceDN w:val="0"/>
        <w:adjustRightInd w:val="0"/>
        <w:rPr>
          <w:rFonts w:cs="Arial"/>
          <w:szCs w:val="20"/>
        </w:rPr>
      </w:pPr>
    </w:p>
    <w:p w:rsidR="00271D84" w:rsidRPr="00F22641" w:rsidRDefault="00271D84" w:rsidP="009B693C">
      <w:pPr>
        <w:autoSpaceDE w:val="0"/>
        <w:autoSpaceDN w:val="0"/>
        <w:adjustRightInd w:val="0"/>
        <w:rPr>
          <w:rFonts w:cs="Arial"/>
          <w:b/>
          <w:szCs w:val="20"/>
        </w:rPr>
      </w:pPr>
      <w:r w:rsidRPr="00F22641">
        <w:rPr>
          <w:rFonts w:cs="Arial"/>
          <w:b/>
          <w:szCs w:val="20"/>
        </w:rPr>
        <w:t xml:space="preserve">Graf </w:t>
      </w:r>
      <w:r w:rsidR="00C70DD2" w:rsidRPr="00F22641">
        <w:rPr>
          <w:rFonts w:cs="Arial"/>
          <w:b/>
          <w:szCs w:val="20"/>
        </w:rPr>
        <w:t>2</w:t>
      </w:r>
      <w:r w:rsidRPr="00F22641">
        <w:rPr>
          <w:rFonts w:cs="Arial"/>
          <w:b/>
          <w:szCs w:val="20"/>
        </w:rPr>
        <w:t>: Index stáří v regionech států V4</w:t>
      </w:r>
      <w:r w:rsidR="00DC24C5">
        <w:rPr>
          <w:rFonts w:cs="Arial"/>
          <w:b/>
          <w:szCs w:val="20"/>
        </w:rPr>
        <w:t xml:space="preserve"> podle sčítání 2011</w:t>
      </w:r>
      <w:r w:rsidRPr="00F22641">
        <w:rPr>
          <w:rFonts w:cs="Arial"/>
          <w:b/>
          <w:szCs w:val="20"/>
        </w:rPr>
        <w:t xml:space="preserve"> </w:t>
      </w:r>
    </w:p>
    <w:p w:rsidR="009B693C" w:rsidRDefault="00C93F44" w:rsidP="002D4DDF">
      <w:pPr>
        <w:jc w:val="center"/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105400" cy="6105525"/>
            <wp:effectExtent l="19050" t="0" r="0" b="0"/>
            <wp:docPr id="2" name="obrázek 4" descr="C:\Users\sigutova16978\AppData\Local\Microsoft\Windows\Temporary Internet Files\Content.Word\IS_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gutova16978\AppData\Local\Microsoft\Windows\Temporary Internet Files\Content.Word\IS_rot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7C" w:rsidRDefault="00A0007C" w:rsidP="002D4DDF">
      <w:pPr>
        <w:jc w:val="center"/>
        <w:rPr>
          <w:szCs w:val="20"/>
        </w:rPr>
      </w:pPr>
    </w:p>
    <w:p w:rsidR="00C9343B" w:rsidRDefault="00A0007C" w:rsidP="00A0007C">
      <w:pPr>
        <w:rPr>
          <w:szCs w:val="20"/>
        </w:rPr>
      </w:pPr>
      <w:r w:rsidRPr="00A6180E">
        <w:rPr>
          <w:rFonts w:cs="Arial"/>
          <w:szCs w:val="20"/>
        </w:rPr>
        <w:t>Na úrovni NUTS</w:t>
      </w:r>
      <w:r>
        <w:rPr>
          <w:rFonts w:cs="Arial"/>
          <w:szCs w:val="20"/>
        </w:rPr>
        <w:t xml:space="preserve"> 3</w:t>
      </w:r>
      <w:r w:rsidRPr="00A6180E">
        <w:rPr>
          <w:rFonts w:cs="Arial"/>
          <w:szCs w:val="20"/>
        </w:rPr>
        <w:t xml:space="preserve"> činil rozptyl hodnot indexu stáří</w:t>
      </w:r>
      <w:r w:rsidR="00C924F8">
        <w:rPr>
          <w:rFonts w:cs="Arial"/>
          <w:szCs w:val="20"/>
        </w:rPr>
        <w:t xml:space="preserve"> (IS)</w:t>
      </w:r>
      <w:r w:rsidRPr="00A6180E">
        <w:rPr>
          <w:rFonts w:cs="Arial"/>
          <w:szCs w:val="20"/>
        </w:rPr>
        <w:t xml:space="preserve"> mezi jednotlivými regiony</w:t>
      </w:r>
      <w:r>
        <w:rPr>
          <w:rFonts w:cs="Arial"/>
          <w:szCs w:val="20"/>
        </w:rPr>
        <w:t xml:space="preserve"> států V4</w:t>
      </w:r>
      <w:r w:rsidRPr="00A6180E">
        <w:rPr>
          <w:rFonts w:cs="Arial"/>
          <w:szCs w:val="20"/>
        </w:rPr>
        <w:t xml:space="preserve"> 105 osob. Regionem s nejvyšší hodnotou byla </w:t>
      </w:r>
      <w:r w:rsidR="00C70DD2" w:rsidRPr="00A6180E">
        <w:rPr>
          <w:rFonts w:cs="Arial"/>
          <w:szCs w:val="20"/>
        </w:rPr>
        <w:t>Budapešť</w:t>
      </w:r>
      <w:r w:rsidRPr="00A6180E">
        <w:rPr>
          <w:rFonts w:cs="Arial"/>
          <w:szCs w:val="20"/>
        </w:rPr>
        <w:t xml:space="preserve">, kde počet osob ve věku 65 a více let na 100 osob </w:t>
      </w:r>
      <w:r>
        <w:rPr>
          <w:rFonts w:cs="Arial"/>
          <w:szCs w:val="20"/>
        </w:rPr>
        <w:t xml:space="preserve">ve věku 0 až </w:t>
      </w:r>
      <w:r w:rsidRPr="00A6180E">
        <w:rPr>
          <w:rFonts w:cs="Arial"/>
          <w:szCs w:val="20"/>
        </w:rPr>
        <w:t xml:space="preserve">14 let dosáhl 154. Na opačném konci stojí polský přímořský region </w:t>
      </w:r>
      <w:proofErr w:type="spellStart"/>
      <w:r w:rsidRPr="00A6180E">
        <w:rPr>
          <w:rFonts w:cs="Arial"/>
          <w:szCs w:val="20"/>
        </w:rPr>
        <w:lastRenderedPageBreak/>
        <w:t>Gdaňski</w:t>
      </w:r>
      <w:proofErr w:type="spellEnd"/>
      <w:r w:rsidRPr="00A6180E">
        <w:rPr>
          <w:rFonts w:cs="Arial"/>
          <w:szCs w:val="20"/>
        </w:rPr>
        <w:t xml:space="preserve"> (jehož součástí ale není samotné město Gdaňsk, to spolu s nedalekými městy </w:t>
      </w:r>
      <w:proofErr w:type="spellStart"/>
      <w:r w:rsidRPr="00A6180E">
        <w:rPr>
          <w:rFonts w:cs="Arial"/>
          <w:szCs w:val="20"/>
        </w:rPr>
        <w:t>Gdynia</w:t>
      </w:r>
      <w:proofErr w:type="spellEnd"/>
      <w:r w:rsidRPr="00A6180E">
        <w:rPr>
          <w:rFonts w:cs="Arial"/>
          <w:szCs w:val="20"/>
        </w:rPr>
        <w:t xml:space="preserve"> a Sopot tvoří samostatný region </w:t>
      </w:r>
      <w:proofErr w:type="spellStart"/>
      <w:r w:rsidRPr="00A6180E">
        <w:rPr>
          <w:rFonts w:cs="Arial"/>
          <w:szCs w:val="20"/>
        </w:rPr>
        <w:t>Trojmieski</w:t>
      </w:r>
      <w:proofErr w:type="spellEnd"/>
      <w:r w:rsidRPr="00A6180E">
        <w:rPr>
          <w:rFonts w:cs="Arial"/>
          <w:szCs w:val="20"/>
        </w:rPr>
        <w:t xml:space="preserve">) s hodnotou, která jako jediná v regionech států V4 </w:t>
      </w:r>
      <w:r>
        <w:rPr>
          <w:rFonts w:cs="Arial"/>
          <w:szCs w:val="20"/>
        </w:rPr>
        <w:t xml:space="preserve">byla nižší než </w:t>
      </w:r>
      <w:r w:rsidRPr="00A6180E">
        <w:rPr>
          <w:rFonts w:cs="Arial"/>
          <w:szCs w:val="20"/>
        </w:rPr>
        <w:t>50 osob</w:t>
      </w:r>
      <w:r>
        <w:rPr>
          <w:rFonts w:cs="Arial"/>
          <w:szCs w:val="20"/>
        </w:rPr>
        <w:t xml:space="preserve"> </w:t>
      </w:r>
      <w:r w:rsidRPr="00A6180E">
        <w:rPr>
          <w:rFonts w:cs="Arial"/>
          <w:szCs w:val="20"/>
        </w:rPr>
        <w:t>tj. početnost p</w:t>
      </w:r>
      <w:r w:rsidR="00640B91">
        <w:rPr>
          <w:rFonts w:cs="Arial"/>
          <w:szCs w:val="20"/>
        </w:rPr>
        <w:t>ostproduktivní složky nedosáhla</w:t>
      </w:r>
      <w:r w:rsidRPr="00A6180E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ani </w:t>
      </w:r>
      <w:r w:rsidRPr="00A6180E">
        <w:rPr>
          <w:rFonts w:cs="Arial"/>
          <w:szCs w:val="20"/>
        </w:rPr>
        <w:t>poloviny početnosti dětské složky</w:t>
      </w:r>
      <w:r>
        <w:rPr>
          <w:rFonts w:cs="Arial"/>
          <w:szCs w:val="20"/>
        </w:rPr>
        <w:t>.</w:t>
      </w:r>
    </w:p>
    <w:p w:rsidR="009B693C" w:rsidRDefault="000D1B52" w:rsidP="009B693C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Z grafického vyjádření je zřejmé, že s</w:t>
      </w:r>
      <w:r w:rsidR="009B693C" w:rsidRPr="00A6180E">
        <w:rPr>
          <w:rFonts w:cs="Arial"/>
          <w:szCs w:val="20"/>
        </w:rPr>
        <w:t>tátem s největšími regionálními rozdíly je Polsko. Je to dáno také tím, že velká města jsou vyčleněna jako samostatné regiony NUTS</w:t>
      </w:r>
      <w:r w:rsidR="005F7F67">
        <w:rPr>
          <w:rFonts w:cs="Arial"/>
          <w:szCs w:val="20"/>
        </w:rPr>
        <w:t xml:space="preserve"> 3</w:t>
      </w:r>
      <w:r w:rsidR="009B693C" w:rsidRPr="00A6180E">
        <w:rPr>
          <w:rFonts w:cs="Arial"/>
          <w:szCs w:val="20"/>
        </w:rPr>
        <w:t>, ty pak s většími regiony především v sever</w:t>
      </w:r>
      <w:r w:rsidR="00073751">
        <w:rPr>
          <w:rFonts w:cs="Arial"/>
          <w:szCs w:val="20"/>
        </w:rPr>
        <w:t xml:space="preserve">ním Polsku silně kontrastují. </w:t>
      </w:r>
      <w:r>
        <w:rPr>
          <w:rFonts w:cs="Arial"/>
          <w:szCs w:val="20"/>
        </w:rPr>
        <w:t>Z</w:t>
      </w:r>
      <w:r w:rsidR="00073751">
        <w:rPr>
          <w:rFonts w:cs="Arial"/>
          <w:szCs w:val="20"/>
        </w:rPr>
        <w:t> celkového počtu 66</w:t>
      </w:r>
      <w:r w:rsidR="009B693C" w:rsidRPr="00A6180E">
        <w:rPr>
          <w:rFonts w:cs="Arial"/>
          <w:szCs w:val="20"/>
        </w:rPr>
        <w:t xml:space="preserve"> polských regionů </w:t>
      </w:r>
      <w:r w:rsidR="00073751">
        <w:rPr>
          <w:rFonts w:cs="Arial"/>
          <w:szCs w:val="20"/>
        </w:rPr>
        <w:t>měl</w:t>
      </w:r>
      <w:r>
        <w:rPr>
          <w:rFonts w:cs="Arial"/>
          <w:szCs w:val="20"/>
        </w:rPr>
        <w:t>y více než dvě třetiny (absolutně 46 regionů)</w:t>
      </w:r>
      <w:r w:rsidR="00073751">
        <w:rPr>
          <w:rFonts w:cs="Arial"/>
          <w:szCs w:val="20"/>
        </w:rPr>
        <w:t xml:space="preserve"> hodnotu indexu stáří menší než 100</w:t>
      </w:r>
      <w:r w:rsidR="00B977A2">
        <w:rPr>
          <w:rFonts w:cs="Arial"/>
          <w:szCs w:val="20"/>
        </w:rPr>
        <w:t>,</w:t>
      </w:r>
      <w:r w:rsidR="00073751">
        <w:rPr>
          <w:rFonts w:cs="Arial"/>
          <w:szCs w:val="20"/>
        </w:rPr>
        <w:t xml:space="preserve"> </w:t>
      </w:r>
      <w:proofErr w:type="gramStart"/>
      <w:r w:rsidR="00073751">
        <w:rPr>
          <w:rFonts w:cs="Arial"/>
          <w:szCs w:val="20"/>
        </w:rPr>
        <w:t>tzn.</w:t>
      </w:r>
      <w:proofErr w:type="gramEnd"/>
      <w:r w:rsidR="00DC4FD9">
        <w:rPr>
          <w:rFonts w:cs="Arial"/>
          <w:szCs w:val="20"/>
        </w:rPr>
        <w:t xml:space="preserve"> </w:t>
      </w:r>
      <w:r w:rsidR="00073751">
        <w:rPr>
          <w:rFonts w:cs="Arial"/>
          <w:szCs w:val="20"/>
        </w:rPr>
        <w:t xml:space="preserve">počet dětí </w:t>
      </w:r>
      <w:proofErr w:type="gramStart"/>
      <w:r w:rsidR="00073751">
        <w:rPr>
          <w:rFonts w:cs="Arial"/>
          <w:szCs w:val="20"/>
        </w:rPr>
        <w:t>převýšil</w:t>
      </w:r>
      <w:proofErr w:type="gramEnd"/>
      <w:r w:rsidR="00073751">
        <w:rPr>
          <w:rFonts w:cs="Arial"/>
          <w:szCs w:val="20"/>
        </w:rPr>
        <w:t xml:space="preserve"> počet osob nad 65 let věku. </w:t>
      </w:r>
      <w:r w:rsidR="00DC4FD9">
        <w:rPr>
          <w:rFonts w:cs="Arial"/>
          <w:szCs w:val="20"/>
        </w:rPr>
        <w:t xml:space="preserve">Naopak nejvyšší hodnoty IS byly </w:t>
      </w:r>
      <w:r w:rsidR="00752214">
        <w:rPr>
          <w:rFonts w:cs="Arial"/>
          <w:szCs w:val="20"/>
        </w:rPr>
        <w:t>právě v regionech</w:t>
      </w:r>
      <w:r w:rsidR="009B693C" w:rsidRPr="00A6180E">
        <w:rPr>
          <w:rFonts w:cs="Arial"/>
          <w:szCs w:val="20"/>
        </w:rPr>
        <w:t xml:space="preserve"> velkých měst</w:t>
      </w:r>
      <w:r>
        <w:rPr>
          <w:rFonts w:cs="Arial"/>
          <w:szCs w:val="20"/>
        </w:rPr>
        <w:t>:</w:t>
      </w:r>
      <w:r w:rsidR="009B693C" w:rsidRPr="00A6180E">
        <w:rPr>
          <w:rFonts w:cs="Arial"/>
          <w:szCs w:val="20"/>
        </w:rPr>
        <w:t xml:space="preserve"> Lodž (151 – druhý nejstarší region V4), Varšava, </w:t>
      </w:r>
      <w:proofErr w:type="spellStart"/>
      <w:r w:rsidR="009B693C" w:rsidRPr="00A6180E">
        <w:rPr>
          <w:rFonts w:cs="Arial"/>
          <w:szCs w:val="20"/>
        </w:rPr>
        <w:t>Wroclav</w:t>
      </w:r>
      <w:proofErr w:type="spellEnd"/>
      <w:r w:rsidR="009B693C" w:rsidRPr="00A6180E">
        <w:rPr>
          <w:rFonts w:cs="Arial"/>
          <w:szCs w:val="20"/>
        </w:rPr>
        <w:t xml:space="preserve">, </w:t>
      </w:r>
      <w:proofErr w:type="spellStart"/>
      <w:r w:rsidR="009B693C" w:rsidRPr="00A6180E">
        <w:rPr>
          <w:rFonts w:cs="Arial"/>
          <w:szCs w:val="20"/>
        </w:rPr>
        <w:t>Krakow</w:t>
      </w:r>
      <w:proofErr w:type="spellEnd"/>
      <w:r w:rsidR="009B693C" w:rsidRPr="00A6180E">
        <w:rPr>
          <w:rFonts w:cs="Arial"/>
          <w:szCs w:val="20"/>
        </w:rPr>
        <w:t xml:space="preserve">, </w:t>
      </w:r>
      <w:proofErr w:type="spellStart"/>
      <w:r w:rsidR="009B693C" w:rsidRPr="00A6180E">
        <w:rPr>
          <w:rFonts w:cs="Arial"/>
          <w:szCs w:val="20"/>
        </w:rPr>
        <w:t>Trojmieski</w:t>
      </w:r>
      <w:proofErr w:type="spellEnd"/>
      <w:r w:rsidR="009B693C" w:rsidRPr="00A6180E">
        <w:rPr>
          <w:rFonts w:cs="Arial"/>
          <w:szCs w:val="20"/>
        </w:rPr>
        <w:t xml:space="preserve">, </w:t>
      </w:r>
      <w:proofErr w:type="spellStart"/>
      <w:r w:rsidR="009B693C" w:rsidRPr="00A6180E">
        <w:rPr>
          <w:rFonts w:cs="Arial"/>
          <w:szCs w:val="20"/>
        </w:rPr>
        <w:t>Katowice</w:t>
      </w:r>
      <w:proofErr w:type="spellEnd"/>
      <w:r w:rsidR="009B693C">
        <w:rPr>
          <w:rFonts w:cs="Arial"/>
          <w:szCs w:val="20"/>
        </w:rPr>
        <w:t xml:space="preserve"> či</w:t>
      </w:r>
      <w:r w:rsidR="00752214">
        <w:rPr>
          <w:rFonts w:cs="Arial"/>
          <w:szCs w:val="20"/>
        </w:rPr>
        <w:t xml:space="preserve"> </w:t>
      </w:r>
      <w:proofErr w:type="spellStart"/>
      <w:r w:rsidR="00752214">
        <w:rPr>
          <w:rFonts w:cs="Arial"/>
          <w:szCs w:val="20"/>
        </w:rPr>
        <w:t>Poznan</w:t>
      </w:r>
      <w:proofErr w:type="spellEnd"/>
      <w:r w:rsidR="00752214">
        <w:rPr>
          <w:rFonts w:cs="Arial"/>
          <w:szCs w:val="20"/>
        </w:rPr>
        <w:t xml:space="preserve">. </w:t>
      </w:r>
      <w:r w:rsidR="009B693C" w:rsidRPr="00A6180E">
        <w:rPr>
          <w:rFonts w:cs="Arial"/>
          <w:szCs w:val="20"/>
        </w:rPr>
        <w:t>Také v Maď</w:t>
      </w:r>
      <w:r w:rsidR="00752214">
        <w:rPr>
          <w:rFonts w:cs="Arial"/>
          <w:szCs w:val="20"/>
        </w:rPr>
        <w:t xml:space="preserve">arsku a České republice dominoval s nejvyšší hodnotou </w:t>
      </w:r>
      <w:r>
        <w:rPr>
          <w:rFonts w:cs="Arial"/>
          <w:szCs w:val="20"/>
        </w:rPr>
        <w:t>indexu stáří</w:t>
      </w:r>
      <w:r w:rsidRPr="00A6180E">
        <w:rPr>
          <w:rFonts w:cs="Arial"/>
          <w:szCs w:val="20"/>
        </w:rPr>
        <w:t xml:space="preserve"> </w:t>
      </w:r>
      <w:r w:rsidR="009B693C" w:rsidRPr="00A6180E">
        <w:rPr>
          <w:rFonts w:cs="Arial"/>
          <w:szCs w:val="20"/>
        </w:rPr>
        <w:t xml:space="preserve">region hlavního města. Rozdíly </w:t>
      </w:r>
      <w:r w:rsidR="009B693C">
        <w:rPr>
          <w:rFonts w:cs="Arial"/>
          <w:szCs w:val="20"/>
        </w:rPr>
        <w:t xml:space="preserve">mezi regiony </w:t>
      </w:r>
      <w:r w:rsidR="009B693C" w:rsidRPr="00A6180E">
        <w:rPr>
          <w:rFonts w:cs="Arial"/>
          <w:szCs w:val="20"/>
        </w:rPr>
        <w:t xml:space="preserve">ale </w:t>
      </w:r>
      <w:r w:rsidR="00752214">
        <w:rPr>
          <w:rFonts w:cs="Arial"/>
          <w:szCs w:val="20"/>
        </w:rPr>
        <w:t>nebyly</w:t>
      </w:r>
      <w:r w:rsidR="009B693C" w:rsidRPr="00A6180E">
        <w:rPr>
          <w:rFonts w:cs="Arial"/>
          <w:szCs w:val="20"/>
        </w:rPr>
        <w:t xml:space="preserve"> tak výrazné jako v Polsku. </w:t>
      </w:r>
      <w:r w:rsidR="009B693C">
        <w:rPr>
          <w:rFonts w:cs="Arial"/>
          <w:szCs w:val="20"/>
        </w:rPr>
        <w:t xml:space="preserve">V obou státech se </w:t>
      </w:r>
      <w:r w:rsidR="00752214">
        <w:rPr>
          <w:rFonts w:cs="Arial"/>
          <w:szCs w:val="20"/>
        </w:rPr>
        <w:t>hodnota většiny</w:t>
      </w:r>
      <w:r w:rsidR="009B693C">
        <w:rPr>
          <w:rFonts w:cs="Arial"/>
          <w:szCs w:val="20"/>
        </w:rPr>
        <w:t xml:space="preserve"> regionů </w:t>
      </w:r>
      <w:r w:rsidR="00752214">
        <w:rPr>
          <w:rFonts w:cs="Arial"/>
          <w:szCs w:val="20"/>
        </w:rPr>
        <w:t>pohybovala</w:t>
      </w:r>
      <w:r w:rsidR="009B693C">
        <w:rPr>
          <w:rFonts w:cs="Arial"/>
          <w:szCs w:val="20"/>
        </w:rPr>
        <w:t xml:space="preserve"> nad </w:t>
      </w:r>
      <w:r w:rsidR="00752214">
        <w:rPr>
          <w:rFonts w:cs="Arial"/>
          <w:szCs w:val="20"/>
        </w:rPr>
        <w:t>100 osob</w:t>
      </w:r>
      <w:r w:rsidR="00FA7C87">
        <w:rPr>
          <w:rFonts w:cs="Arial"/>
          <w:szCs w:val="20"/>
        </w:rPr>
        <w:t>. Počet dětí převyšoval</w:t>
      </w:r>
      <w:r w:rsidR="009B693C">
        <w:rPr>
          <w:rFonts w:cs="Arial"/>
          <w:szCs w:val="20"/>
        </w:rPr>
        <w:t xml:space="preserve"> počet osob starších 65 let v České republice</w:t>
      </w:r>
      <w:r w:rsidR="00752214">
        <w:rPr>
          <w:rFonts w:cs="Arial"/>
          <w:szCs w:val="20"/>
        </w:rPr>
        <w:t xml:space="preserve"> jen</w:t>
      </w:r>
      <w:r w:rsidR="009B693C">
        <w:rPr>
          <w:rFonts w:cs="Arial"/>
          <w:szCs w:val="20"/>
        </w:rPr>
        <w:t xml:space="preserve"> v kraj</w:t>
      </w:r>
      <w:r w:rsidR="004D760D">
        <w:rPr>
          <w:rFonts w:cs="Arial"/>
          <w:szCs w:val="20"/>
        </w:rPr>
        <w:t>ích</w:t>
      </w:r>
      <w:r w:rsidR="009B693C">
        <w:rPr>
          <w:rFonts w:cs="Arial"/>
          <w:szCs w:val="20"/>
        </w:rPr>
        <w:t xml:space="preserve"> Středočesk</w:t>
      </w:r>
      <w:r w:rsidR="004D760D">
        <w:rPr>
          <w:rFonts w:cs="Arial"/>
          <w:szCs w:val="20"/>
        </w:rPr>
        <w:t>ém</w:t>
      </w:r>
      <w:r w:rsidR="009B693C">
        <w:rPr>
          <w:rFonts w:cs="Arial"/>
          <w:szCs w:val="20"/>
        </w:rPr>
        <w:t xml:space="preserve"> a Ústeck</w:t>
      </w:r>
      <w:r w:rsidR="00762FBC">
        <w:rPr>
          <w:rFonts w:cs="Arial"/>
          <w:szCs w:val="20"/>
        </w:rPr>
        <w:t>ém</w:t>
      </w:r>
      <w:r w:rsidR="009B693C">
        <w:rPr>
          <w:rFonts w:cs="Arial"/>
          <w:szCs w:val="20"/>
        </w:rPr>
        <w:t xml:space="preserve"> a v Maďarsku v župě </w:t>
      </w:r>
      <w:proofErr w:type="spellStart"/>
      <w:r w:rsidR="009B693C" w:rsidRPr="00625FF5">
        <w:rPr>
          <w:rFonts w:cs="Arial"/>
          <w:szCs w:val="20"/>
        </w:rPr>
        <w:t>Szabolcs</w:t>
      </w:r>
      <w:proofErr w:type="spellEnd"/>
      <w:r w:rsidR="009B693C" w:rsidRPr="00625FF5">
        <w:rPr>
          <w:rFonts w:cs="Arial"/>
          <w:szCs w:val="20"/>
        </w:rPr>
        <w:t>-</w:t>
      </w:r>
      <w:proofErr w:type="spellStart"/>
      <w:r w:rsidR="009B693C" w:rsidRPr="00625FF5">
        <w:rPr>
          <w:rFonts w:cs="Arial"/>
          <w:szCs w:val="20"/>
        </w:rPr>
        <w:t>Szatmár</w:t>
      </w:r>
      <w:proofErr w:type="spellEnd"/>
      <w:r w:rsidR="009B693C" w:rsidRPr="00625FF5">
        <w:rPr>
          <w:rFonts w:cs="Arial"/>
          <w:szCs w:val="20"/>
        </w:rPr>
        <w:t>-</w:t>
      </w:r>
      <w:proofErr w:type="spellStart"/>
      <w:r w:rsidR="009B693C" w:rsidRPr="00625FF5">
        <w:rPr>
          <w:rFonts w:cs="Arial"/>
          <w:szCs w:val="20"/>
        </w:rPr>
        <w:t>Bereg</w:t>
      </w:r>
      <w:proofErr w:type="spellEnd"/>
      <w:r w:rsidR="009B693C">
        <w:rPr>
          <w:rFonts w:cs="Arial"/>
          <w:szCs w:val="20"/>
        </w:rPr>
        <w:t xml:space="preserve"> (nejnižší hodnota indexu stáří v Maďarsku </w:t>
      </w:r>
      <w:r w:rsidR="00B977A2">
        <w:rPr>
          <w:rFonts w:cs="Arial"/>
          <w:szCs w:val="20"/>
        </w:rPr>
        <w:t xml:space="preserve">- </w:t>
      </w:r>
      <w:r w:rsidR="009B693C">
        <w:rPr>
          <w:rFonts w:cs="Arial"/>
          <w:szCs w:val="20"/>
        </w:rPr>
        <w:t xml:space="preserve">79, </w:t>
      </w:r>
      <w:r w:rsidR="00B977A2">
        <w:rPr>
          <w:rFonts w:cs="Arial"/>
          <w:szCs w:val="20"/>
        </w:rPr>
        <w:t xml:space="preserve">je to </w:t>
      </w:r>
      <w:r w:rsidR="009B693C">
        <w:rPr>
          <w:rFonts w:cs="Arial"/>
          <w:szCs w:val="20"/>
        </w:rPr>
        <w:t xml:space="preserve">nejvýchodnější region při hranicích Ukrajiny a Rumunska), </w:t>
      </w:r>
      <w:r w:rsidR="009B693C" w:rsidRPr="00625FF5">
        <w:rPr>
          <w:rFonts w:cs="Arial"/>
          <w:szCs w:val="20"/>
        </w:rPr>
        <w:t>Pest</w:t>
      </w:r>
      <w:r w:rsidR="009B693C">
        <w:rPr>
          <w:rFonts w:cs="Arial"/>
          <w:szCs w:val="20"/>
        </w:rPr>
        <w:t xml:space="preserve"> (obdoba českého Středočeského kraje tj. zázemí hlavního města </w:t>
      </w:r>
      <w:proofErr w:type="spellStart"/>
      <w:r w:rsidR="009B693C">
        <w:rPr>
          <w:rFonts w:cs="Arial"/>
          <w:szCs w:val="20"/>
        </w:rPr>
        <w:t>Budapest</w:t>
      </w:r>
      <w:proofErr w:type="spellEnd"/>
      <w:r w:rsidR="009B693C">
        <w:rPr>
          <w:rFonts w:cs="Arial"/>
          <w:szCs w:val="20"/>
        </w:rPr>
        <w:t xml:space="preserve">) a těsně také v župě </w:t>
      </w:r>
      <w:proofErr w:type="spellStart"/>
      <w:r w:rsidR="009B693C" w:rsidRPr="00625FF5">
        <w:rPr>
          <w:rFonts w:cs="Arial"/>
          <w:szCs w:val="20"/>
        </w:rPr>
        <w:t>Hajdú</w:t>
      </w:r>
      <w:proofErr w:type="spellEnd"/>
      <w:r w:rsidR="009B693C" w:rsidRPr="00625FF5">
        <w:rPr>
          <w:rFonts w:cs="Arial"/>
          <w:szCs w:val="20"/>
        </w:rPr>
        <w:t>-</w:t>
      </w:r>
      <w:proofErr w:type="spellStart"/>
      <w:r w:rsidR="009B693C" w:rsidRPr="00625FF5">
        <w:rPr>
          <w:rFonts w:cs="Arial"/>
          <w:szCs w:val="20"/>
        </w:rPr>
        <w:t>Bihar</w:t>
      </w:r>
      <w:proofErr w:type="spellEnd"/>
      <w:r w:rsidR="009B693C">
        <w:rPr>
          <w:rFonts w:cs="Arial"/>
          <w:szCs w:val="20"/>
        </w:rPr>
        <w:t xml:space="preserve"> (IS 98,5). Jen velmi mírně překročil IS hodnotu 100 také v regionu </w:t>
      </w:r>
      <w:proofErr w:type="spellStart"/>
      <w:r w:rsidR="009B693C" w:rsidRPr="003E33F7">
        <w:rPr>
          <w:rFonts w:cs="Arial"/>
          <w:szCs w:val="20"/>
        </w:rPr>
        <w:t>Borsod</w:t>
      </w:r>
      <w:proofErr w:type="spellEnd"/>
      <w:r w:rsidR="009B693C" w:rsidRPr="003E33F7">
        <w:rPr>
          <w:rFonts w:cs="Arial"/>
          <w:szCs w:val="20"/>
        </w:rPr>
        <w:t>-</w:t>
      </w:r>
      <w:proofErr w:type="spellStart"/>
      <w:r w:rsidR="009B693C" w:rsidRPr="003E33F7">
        <w:rPr>
          <w:rFonts w:cs="Arial"/>
          <w:szCs w:val="20"/>
        </w:rPr>
        <w:t>Abaúj</w:t>
      </w:r>
      <w:proofErr w:type="spellEnd"/>
      <w:r w:rsidR="009B693C" w:rsidRPr="003E33F7">
        <w:rPr>
          <w:rFonts w:cs="Arial"/>
          <w:szCs w:val="20"/>
        </w:rPr>
        <w:t>-</w:t>
      </w:r>
      <w:proofErr w:type="spellStart"/>
      <w:r w:rsidR="009B693C" w:rsidRPr="003E33F7">
        <w:rPr>
          <w:rFonts w:cs="Arial"/>
          <w:szCs w:val="20"/>
        </w:rPr>
        <w:t>Zemplén</w:t>
      </w:r>
      <w:proofErr w:type="spellEnd"/>
      <w:r w:rsidR="009B693C">
        <w:rPr>
          <w:rFonts w:cs="Arial"/>
          <w:szCs w:val="20"/>
        </w:rPr>
        <w:t xml:space="preserve">. Poslední dva jmenované regiony jsou </w:t>
      </w:r>
      <w:r w:rsidR="00752214">
        <w:rPr>
          <w:rFonts w:cs="Arial"/>
          <w:szCs w:val="20"/>
        </w:rPr>
        <w:t xml:space="preserve">také </w:t>
      </w:r>
      <w:r w:rsidR="009B693C">
        <w:rPr>
          <w:rFonts w:cs="Arial"/>
          <w:szCs w:val="20"/>
        </w:rPr>
        <w:t xml:space="preserve">na východě země. </w:t>
      </w:r>
      <w:r w:rsidR="009B693C" w:rsidRPr="00A6180E">
        <w:rPr>
          <w:rFonts w:cs="Arial"/>
          <w:szCs w:val="20"/>
        </w:rPr>
        <w:t xml:space="preserve"> </w:t>
      </w:r>
      <w:r w:rsidR="00752214">
        <w:rPr>
          <w:rFonts w:cs="Arial"/>
          <w:szCs w:val="20"/>
        </w:rPr>
        <w:t>Nejvyšších hodnot IS v rámci V4 dosahují m</w:t>
      </w:r>
      <w:r w:rsidR="009B693C">
        <w:rPr>
          <w:rFonts w:cs="Arial"/>
          <w:szCs w:val="20"/>
        </w:rPr>
        <w:t>aďarsk</w:t>
      </w:r>
      <w:r w:rsidR="00752214">
        <w:rPr>
          <w:rFonts w:cs="Arial"/>
          <w:szCs w:val="20"/>
        </w:rPr>
        <w:t>é</w:t>
      </w:r>
      <w:r w:rsidR="009B693C">
        <w:rPr>
          <w:rFonts w:cs="Arial"/>
          <w:szCs w:val="20"/>
        </w:rPr>
        <w:t xml:space="preserve"> </w:t>
      </w:r>
      <w:r w:rsidR="00752214">
        <w:rPr>
          <w:rFonts w:cs="Arial"/>
          <w:szCs w:val="20"/>
        </w:rPr>
        <w:t>regiony</w:t>
      </w:r>
      <w:r w:rsidR="009B693C">
        <w:rPr>
          <w:rFonts w:cs="Arial"/>
          <w:szCs w:val="20"/>
        </w:rPr>
        <w:t xml:space="preserve"> na jihu </w:t>
      </w:r>
      <w:r w:rsidR="003F3E60">
        <w:rPr>
          <w:rFonts w:cs="Arial"/>
          <w:szCs w:val="20"/>
        </w:rPr>
        <w:t>resp.</w:t>
      </w:r>
      <w:r w:rsidR="009B693C">
        <w:rPr>
          <w:rFonts w:cs="Arial"/>
          <w:szCs w:val="20"/>
        </w:rPr>
        <w:t xml:space="preserve"> západě země sousedící s Chorvatsk</w:t>
      </w:r>
      <w:r w:rsidR="003F3E60">
        <w:rPr>
          <w:rFonts w:cs="Arial"/>
          <w:szCs w:val="20"/>
        </w:rPr>
        <w:t>e</w:t>
      </w:r>
      <w:r w:rsidR="009B693C">
        <w:rPr>
          <w:rFonts w:cs="Arial"/>
          <w:szCs w:val="20"/>
        </w:rPr>
        <w:t xml:space="preserve">m, Srbskem resp. Rakouskem. </w:t>
      </w:r>
    </w:p>
    <w:p w:rsidR="009B693C" w:rsidRDefault="009B693C" w:rsidP="009B693C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 xml:space="preserve">Jedinou zemí, kde se jednoznačně nevyčlenil region hlavního města je Slovensko, důvodem je také to, že Bratislavský kraj kromě samotného </w:t>
      </w:r>
      <w:r w:rsidR="00801B18">
        <w:rPr>
          <w:rFonts w:cs="Arial"/>
          <w:szCs w:val="20"/>
        </w:rPr>
        <w:t>hlavního</w:t>
      </w:r>
      <w:r>
        <w:rPr>
          <w:rFonts w:cs="Arial"/>
          <w:szCs w:val="20"/>
        </w:rPr>
        <w:t xml:space="preserve"> města zahrnuje také širší okolí. Jen ve 3 z 8 slovenských krajů překročil IS hodnotu 100, nejvýrazněji v </w:t>
      </w:r>
      <w:proofErr w:type="spellStart"/>
      <w:r>
        <w:rPr>
          <w:rFonts w:cs="Arial"/>
          <w:szCs w:val="20"/>
        </w:rPr>
        <w:t>Trenčianskom</w:t>
      </w:r>
      <w:proofErr w:type="spellEnd"/>
      <w:r>
        <w:rPr>
          <w:rFonts w:cs="Arial"/>
          <w:szCs w:val="20"/>
        </w:rPr>
        <w:t xml:space="preserve"> kraji a </w:t>
      </w:r>
      <w:r w:rsidR="003F3E60">
        <w:rPr>
          <w:rFonts w:cs="Arial"/>
          <w:szCs w:val="20"/>
        </w:rPr>
        <w:t>i to</w:t>
      </w:r>
      <w:r>
        <w:rPr>
          <w:rFonts w:cs="Arial"/>
          <w:szCs w:val="20"/>
        </w:rPr>
        <w:t xml:space="preserve"> pouze o 3 osoby. Spolu s dalšími západoslovenskými kraji tvoří protipól výcho</w:t>
      </w:r>
      <w:r w:rsidR="003563D5">
        <w:rPr>
          <w:rFonts w:cs="Arial"/>
          <w:szCs w:val="20"/>
        </w:rPr>
        <w:t>dnímu Slovensku. Na území Slove</w:t>
      </w:r>
      <w:r>
        <w:rPr>
          <w:rFonts w:cs="Arial"/>
          <w:szCs w:val="20"/>
        </w:rPr>
        <w:t>n</w:t>
      </w:r>
      <w:r w:rsidR="003563D5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ka lze sledovat jednoznačný </w:t>
      </w:r>
      <w:proofErr w:type="spellStart"/>
      <w:r>
        <w:rPr>
          <w:rFonts w:cs="Arial"/>
          <w:szCs w:val="20"/>
        </w:rPr>
        <w:t>východo</w:t>
      </w:r>
      <w:proofErr w:type="spellEnd"/>
      <w:r>
        <w:rPr>
          <w:rFonts w:cs="Arial"/>
          <w:szCs w:val="20"/>
        </w:rPr>
        <w:t>-</w:t>
      </w:r>
      <w:proofErr w:type="spellStart"/>
      <w:r>
        <w:rPr>
          <w:rFonts w:cs="Arial"/>
          <w:szCs w:val="20"/>
        </w:rPr>
        <w:t>zapádní</w:t>
      </w:r>
      <w:proofErr w:type="spellEnd"/>
      <w:r>
        <w:rPr>
          <w:rFonts w:cs="Arial"/>
          <w:szCs w:val="20"/>
        </w:rPr>
        <w:t xml:space="preserve"> gradient. Východní regiony (Prešovský kraj a Košický kraj) patří k regionům s nejnižšími hodnotami vůbec. </w:t>
      </w:r>
    </w:p>
    <w:p w:rsidR="00694B4C" w:rsidRDefault="00694B4C" w:rsidP="009B693C">
      <w:pPr>
        <w:autoSpaceDE w:val="0"/>
        <w:autoSpaceDN w:val="0"/>
        <w:adjustRightInd w:val="0"/>
        <w:rPr>
          <w:rFonts w:cs="Arial"/>
          <w:szCs w:val="20"/>
        </w:rPr>
      </w:pPr>
    </w:p>
    <w:p w:rsidR="00F32CCE" w:rsidRPr="00F32CCE" w:rsidRDefault="00B8293B" w:rsidP="00D5106E">
      <w:pPr>
        <w:autoSpaceDE w:val="0"/>
        <w:autoSpaceDN w:val="0"/>
        <w:adjustRightInd w:val="0"/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1.2 </w:t>
      </w:r>
      <w:r w:rsidR="00345DC8">
        <w:rPr>
          <w:rFonts w:cs="Arial"/>
          <w:b/>
          <w:szCs w:val="20"/>
        </w:rPr>
        <w:t xml:space="preserve">Struktura obyvatelstva </w:t>
      </w:r>
      <w:r w:rsidR="00F32CCE" w:rsidRPr="00F32CCE">
        <w:rPr>
          <w:rFonts w:cs="Arial"/>
          <w:b/>
          <w:szCs w:val="20"/>
        </w:rPr>
        <w:t>podle pohlaví</w:t>
      </w:r>
    </w:p>
    <w:p w:rsidR="00F32CCE" w:rsidRPr="00BB1F0C" w:rsidRDefault="00F32CCE" w:rsidP="00F32CCE">
      <w:pPr>
        <w:autoSpaceDE w:val="0"/>
        <w:autoSpaceDN w:val="0"/>
        <w:adjustRightInd w:val="0"/>
        <w:rPr>
          <w:rFonts w:cs="Arial"/>
          <w:szCs w:val="20"/>
        </w:rPr>
      </w:pPr>
      <w:r w:rsidRPr="00BB1F0C">
        <w:rPr>
          <w:rFonts w:cs="Arial"/>
          <w:szCs w:val="20"/>
        </w:rPr>
        <w:t xml:space="preserve">Ve všech státech V4 </w:t>
      </w:r>
      <w:r w:rsidR="00573730">
        <w:rPr>
          <w:rFonts w:cs="Arial"/>
          <w:szCs w:val="20"/>
        </w:rPr>
        <w:t>představovaly</w:t>
      </w:r>
      <w:r w:rsidRPr="00BB1F0C">
        <w:rPr>
          <w:rFonts w:cs="Arial"/>
          <w:szCs w:val="20"/>
        </w:rPr>
        <w:t xml:space="preserve"> </w:t>
      </w:r>
      <w:r w:rsidR="007D7806">
        <w:rPr>
          <w:rFonts w:cs="Arial"/>
          <w:szCs w:val="20"/>
        </w:rPr>
        <w:t>více než polovinu</w:t>
      </w:r>
      <w:r w:rsidR="007D7806" w:rsidRPr="00BB1F0C">
        <w:rPr>
          <w:rFonts w:cs="Arial"/>
          <w:szCs w:val="20"/>
        </w:rPr>
        <w:t xml:space="preserve"> </w:t>
      </w:r>
      <w:r w:rsidRPr="00BB1F0C">
        <w:rPr>
          <w:rFonts w:cs="Arial"/>
          <w:szCs w:val="20"/>
        </w:rPr>
        <w:t>populace ženy. Jak je typické pro vyspělé krajiny</w:t>
      </w:r>
      <w:r w:rsidR="004119E2">
        <w:rPr>
          <w:rFonts w:cs="Arial"/>
          <w:szCs w:val="20"/>
        </w:rPr>
        <w:t>,</w:t>
      </w:r>
      <w:r w:rsidRPr="00BB1F0C">
        <w:rPr>
          <w:rFonts w:cs="Arial"/>
          <w:szCs w:val="20"/>
        </w:rPr>
        <w:t xml:space="preserve"> poměr mezi pohlavími se </w:t>
      </w:r>
      <w:r w:rsidR="007D7806">
        <w:rPr>
          <w:rFonts w:cs="Arial"/>
          <w:szCs w:val="20"/>
        </w:rPr>
        <w:t>mění</w:t>
      </w:r>
      <w:r w:rsidR="007D7806" w:rsidRPr="00BB1F0C">
        <w:rPr>
          <w:rFonts w:cs="Arial"/>
          <w:szCs w:val="20"/>
        </w:rPr>
        <w:t xml:space="preserve"> </w:t>
      </w:r>
      <w:r w:rsidRPr="00BB1F0C">
        <w:rPr>
          <w:rFonts w:cs="Arial"/>
          <w:szCs w:val="20"/>
        </w:rPr>
        <w:t>s narůstajícím věkem. Zatímco při narození a v nižších věcích převažují muži, s</w:t>
      </w:r>
      <w:r w:rsidR="007D7806">
        <w:rPr>
          <w:rFonts w:cs="Arial"/>
          <w:szCs w:val="20"/>
        </w:rPr>
        <w:t>e zvyšujícím se</w:t>
      </w:r>
      <w:r w:rsidRPr="00BB1F0C">
        <w:rPr>
          <w:rFonts w:cs="Arial"/>
          <w:szCs w:val="20"/>
        </w:rPr>
        <w:t xml:space="preserve">  věkem se také díky tzv. mužské </w:t>
      </w:r>
      <w:proofErr w:type="spellStart"/>
      <w:r w:rsidRPr="00BB1F0C">
        <w:rPr>
          <w:rFonts w:cs="Arial"/>
          <w:szCs w:val="20"/>
        </w:rPr>
        <w:t>nadúmrtnosti</w:t>
      </w:r>
      <w:proofErr w:type="spellEnd"/>
      <w:r w:rsidRPr="00BB1F0C">
        <w:rPr>
          <w:rFonts w:cs="Arial"/>
          <w:szCs w:val="20"/>
        </w:rPr>
        <w:t xml:space="preserve"> projevuje převaha žen. Tak tomu také bylo v roce 20</w:t>
      </w:r>
      <w:r w:rsidR="007D7806">
        <w:rPr>
          <w:rFonts w:cs="Arial"/>
          <w:szCs w:val="20"/>
        </w:rPr>
        <w:t>1</w:t>
      </w:r>
      <w:r w:rsidRPr="00BB1F0C">
        <w:rPr>
          <w:rFonts w:cs="Arial"/>
          <w:szCs w:val="20"/>
        </w:rPr>
        <w:t xml:space="preserve">1 ve státech V4 (graf </w:t>
      </w:r>
      <w:r w:rsidR="00AF18CF">
        <w:rPr>
          <w:rFonts w:cs="Arial"/>
          <w:szCs w:val="20"/>
        </w:rPr>
        <w:t>3</w:t>
      </w:r>
      <w:r w:rsidRPr="00BB1F0C">
        <w:rPr>
          <w:rFonts w:cs="Arial"/>
          <w:szCs w:val="20"/>
        </w:rPr>
        <w:t>)</w:t>
      </w:r>
      <w:r w:rsidR="00FA7C87">
        <w:rPr>
          <w:rFonts w:cs="Arial"/>
          <w:szCs w:val="20"/>
        </w:rPr>
        <w:t>.</w:t>
      </w:r>
      <w:r w:rsidRPr="00BB1F0C">
        <w:rPr>
          <w:rFonts w:cs="Arial"/>
          <w:szCs w:val="20"/>
        </w:rPr>
        <w:t xml:space="preserve"> </w:t>
      </w:r>
    </w:p>
    <w:p w:rsidR="00F32CCE" w:rsidRPr="00BB1F0C" w:rsidRDefault="00F32CCE" w:rsidP="00F32CCE">
      <w:pPr>
        <w:autoSpaceDE w:val="0"/>
        <w:autoSpaceDN w:val="0"/>
        <w:adjustRightInd w:val="0"/>
        <w:rPr>
          <w:rFonts w:cs="Arial"/>
          <w:szCs w:val="20"/>
        </w:rPr>
      </w:pPr>
      <w:r w:rsidRPr="00BB1F0C">
        <w:rPr>
          <w:rFonts w:cs="Arial"/>
          <w:szCs w:val="20"/>
        </w:rPr>
        <w:t xml:space="preserve">Nejvyváženější </w:t>
      </w:r>
      <w:r w:rsidR="00573730">
        <w:rPr>
          <w:rFonts w:cs="Arial"/>
          <w:szCs w:val="20"/>
        </w:rPr>
        <w:t>byla</w:t>
      </w:r>
      <w:r w:rsidRPr="00BB1F0C">
        <w:rPr>
          <w:rFonts w:cs="Arial"/>
          <w:szCs w:val="20"/>
        </w:rPr>
        <w:t xml:space="preserve"> z hlediska pohlaví populace České r</w:t>
      </w:r>
      <w:r w:rsidR="00573730">
        <w:rPr>
          <w:rFonts w:cs="Arial"/>
          <w:szCs w:val="20"/>
        </w:rPr>
        <w:t>epubliky, kde na 100 žen připadalo</w:t>
      </w:r>
      <w:r w:rsidRPr="00BB1F0C">
        <w:rPr>
          <w:rFonts w:cs="Arial"/>
          <w:szCs w:val="20"/>
        </w:rPr>
        <w:t xml:space="preserve"> 95,9 mužů. Naopak největší rozdíl v zastoupení pohlaví mělo Maďarsko (90,5 mužů na 100 žen). V dětské složce populace se hodnota indexu maskulinity</w:t>
      </w:r>
      <w:r w:rsidR="00573730">
        <w:rPr>
          <w:rFonts w:cs="Arial"/>
          <w:szCs w:val="20"/>
        </w:rPr>
        <w:t xml:space="preserve"> (IM)</w:t>
      </w:r>
      <w:r w:rsidRPr="00BB1F0C">
        <w:rPr>
          <w:rFonts w:cs="Arial"/>
          <w:szCs w:val="20"/>
        </w:rPr>
        <w:t xml:space="preserve"> </w:t>
      </w:r>
      <w:r w:rsidR="00573730">
        <w:rPr>
          <w:rFonts w:cs="Arial"/>
          <w:szCs w:val="20"/>
        </w:rPr>
        <w:t>pohybovala</w:t>
      </w:r>
      <w:r w:rsidRPr="00BB1F0C">
        <w:rPr>
          <w:rFonts w:cs="Arial"/>
          <w:szCs w:val="20"/>
        </w:rPr>
        <w:t xml:space="preserve"> ve všech státech shodně kolem 105. V následujících věcích hodnota tohoto ukazatele </w:t>
      </w:r>
      <w:r w:rsidR="00573730">
        <w:rPr>
          <w:rFonts w:cs="Arial"/>
          <w:szCs w:val="20"/>
        </w:rPr>
        <w:t>klesala</w:t>
      </w:r>
      <w:r w:rsidRPr="00BB1F0C">
        <w:rPr>
          <w:rFonts w:cs="Arial"/>
          <w:szCs w:val="20"/>
        </w:rPr>
        <w:t xml:space="preserve"> (nejvýrazněji v Maďarsku</w:t>
      </w:r>
      <w:r w:rsidR="00573730">
        <w:rPr>
          <w:rFonts w:cs="Arial"/>
          <w:szCs w:val="20"/>
        </w:rPr>
        <w:t>, kde se poměr pohlaví vyrovnal</w:t>
      </w:r>
      <w:r w:rsidRPr="00BB1F0C">
        <w:rPr>
          <w:rFonts w:cs="Arial"/>
          <w:szCs w:val="20"/>
        </w:rPr>
        <w:t xml:space="preserve"> již mezi věky 42 a 43 let; naopak v České republice kles</w:t>
      </w:r>
      <w:r w:rsidR="00573730">
        <w:rPr>
          <w:rFonts w:cs="Arial"/>
          <w:szCs w:val="20"/>
        </w:rPr>
        <w:t>l</w:t>
      </w:r>
      <w:r w:rsidRPr="00BB1F0C">
        <w:rPr>
          <w:rFonts w:cs="Arial"/>
          <w:szCs w:val="20"/>
        </w:rPr>
        <w:t xml:space="preserve"> IM na 100 až o téměř 10 let věku později mezi věkem 51 a 52 let).  Na nejnižší hodnoty klesl IM v nejvyšší věkové kategorii 85+, kde</w:t>
      </w:r>
      <w:r w:rsidR="009378AF">
        <w:rPr>
          <w:rFonts w:cs="Arial"/>
          <w:szCs w:val="20"/>
        </w:rPr>
        <w:t xml:space="preserve"> ve všech státech tvořili</w:t>
      </w:r>
      <w:r w:rsidRPr="00BB1F0C">
        <w:rPr>
          <w:rFonts w:cs="Arial"/>
          <w:szCs w:val="20"/>
        </w:rPr>
        <w:t xml:space="preserve"> muži již jen čtvrtinu populace. </w:t>
      </w:r>
    </w:p>
    <w:p w:rsidR="00F32CCE" w:rsidRDefault="00F32CCE" w:rsidP="00F32CCE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</w:rPr>
      </w:pPr>
    </w:p>
    <w:p w:rsidR="00996596" w:rsidRDefault="00996596" w:rsidP="00F32CCE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</w:rPr>
      </w:pPr>
    </w:p>
    <w:p w:rsidR="009530BE" w:rsidRDefault="009530BE" w:rsidP="00F32CCE">
      <w:pPr>
        <w:autoSpaceDE w:val="0"/>
        <w:autoSpaceDN w:val="0"/>
        <w:adjustRightInd w:val="0"/>
        <w:jc w:val="left"/>
        <w:rPr>
          <w:rFonts w:cs="Arial"/>
          <w:szCs w:val="20"/>
        </w:rPr>
      </w:pPr>
    </w:p>
    <w:p w:rsidR="00F32CCE" w:rsidRPr="00F22641" w:rsidRDefault="00482324" w:rsidP="00F32CCE">
      <w:pPr>
        <w:autoSpaceDE w:val="0"/>
        <w:autoSpaceDN w:val="0"/>
        <w:adjustRightInd w:val="0"/>
        <w:jc w:val="left"/>
        <w:rPr>
          <w:rFonts w:cs="Arial"/>
          <w:b/>
          <w:szCs w:val="20"/>
        </w:rPr>
      </w:pPr>
      <w:r w:rsidRPr="00F22641">
        <w:rPr>
          <w:rFonts w:cs="Arial"/>
          <w:b/>
          <w:szCs w:val="20"/>
        </w:rPr>
        <w:lastRenderedPageBreak/>
        <w:t>Graf</w:t>
      </w:r>
      <w:r w:rsidR="00AF18CF" w:rsidRPr="00F22641">
        <w:rPr>
          <w:rFonts w:cs="Arial"/>
          <w:b/>
          <w:szCs w:val="20"/>
        </w:rPr>
        <w:t xml:space="preserve"> 3</w:t>
      </w:r>
      <w:r w:rsidRPr="00F22641">
        <w:rPr>
          <w:rFonts w:cs="Arial"/>
          <w:b/>
          <w:szCs w:val="20"/>
        </w:rPr>
        <w:t xml:space="preserve">: Index maskulinity podle věku ve státech V4 </w:t>
      </w:r>
      <w:r w:rsidR="00F32CCE" w:rsidRPr="00F22641">
        <w:rPr>
          <w:rFonts w:cs="Arial"/>
          <w:b/>
          <w:szCs w:val="20"/>
        </w:rPr>
        <w:t xml:space="preserve"> </w:t>
      </w:r>
      <w:r w:rsidR="00DC24C5">
        <w:rPr>
          <w:rFonts w:cs="Arial"/>
          <w:b/>
          <w:szCs w:val="20"/>
        </w:rPr>
        <w:t>podle sčítání 2011</w:t>
      </w:r>
    </w:p>
    <w:p w:rsidR="00F32CCE" w:rsidRDefault="00A81E89" w:rsidP="00F32CCE">
      <w:pPr>
        <w:rPr>
          <w:szCs w:val="20"/>
        </w:rPr>
      </w:pPr>
      <w:r w:rsidRPr="00A81E89">
        <w:rPr>
          <w:noProof/>
          <w:lang w:eastAsia="cs-CZ"/>
        </w:rPr>
        <w:drawing>
          <wp:inline distT="0" distB="0" distL="0" distR="0">
            <wp:extent cx="5400040" cy="2704573"/>
            <wp:effectExtent l="19050" t="19050" r="10160" b="19577"/>
            <wp:docPr id="5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4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63" w:rsidRDefault="00F21863" w:rsidP="00F32CCE">
      <w:pPr>
        <w:rPr>
          <w:szCs w:val="20"/>
        </w:rPr>
      </w:pPr>
    </w:p>
    <w:p w:rsidR="00F32CCE" w:rsidRPr="00F32CCE" w:rsidRDefault="00B8293B" w:rsidP="00D5106E">
      <w:pPr>
        <w:autoSpaceDE w:val="0"/>
        <w:autoSpaceDN w:val="0"/>
        <w:adjustRightInd w:val="0"/>
        <w:spacing w:after="120"/>
        <w:jc w:val="left"/>
        <w:rPr>
          <w:b/>
        </w:rPr>
      </w:pPr>
      <w:r>
        <w:rPr>
          <w:b/>
        </w:rPr>
        <w:t xml:space="preserve">1.3 </w:t>
      </w:r>
      <w:r w:rsidR="00F32CCE" w:rsidRPr="00F32CCE">
        <w:rPr>
          <w:b/>
        </w:rPr>
        <w:t>Struktura obyvatelstva podle rodinného stavu</w:t>
      </w:r>
    </w:p>
    <w:p w:rsidR="00F32CCE" w:rsidRDefault="00F32CCE" w:rsidP="00F32CCE">
      <w:pPr>
        <w:autoSpaceDE w:val="0"/>
        <w:autoSpaceDN w:val="0"/>
        <w:adjustRightInd w:val="0"/>
      </w:pPr>
      <w:r>
        <w:t>Strukturu obyvatel</w:t>
      </w:r>
      <w:r w:rsidR="00FD28D5">
        <w:t>stva</w:t>
      </w:r>
      <w:r>
        <w:t xml:space="preserve"> podle rodinného stavu utváří demografické procesy porodnost, úmrtnost, sňatečnost a rozvodovost. Protože všechny tyto procesy prošly v devadesátých letech v zemích V4 změnou, odrazilo se to také na rodinném stavu populace v roce 2011.</w:t>
      </w:r>
    </w:p>
    <w:p w:rsidR="00C9343B" w:rsidRDefault="00C9343B" w:rsidP="00F32CCE">
      <w:pPr>
        <w:autoSpaceDE w:val="0"/>
        <w:autoSpaceDN w:val="0"/>
        <w:adjustRightInd w:val="0"/>
      </w:pPr>
    </w:p>
    <w:p w:rsidR="00F32CCE" w:rsidRPr="00CB4823" w:rsidRDefault="00C9343B" w:rsidP="00F32CCE">
      <w:pPr>
        <w:autoSpaceDE w:val="0"/>
        <w:autoSpaceDN w:val="0"/>
        <w:adjustRightInd w:val="0"/>
        <w:rPr>
          <w:b/>
        </w:rPr>
      </w:pPr>
      <w:r w:rsidRPr="00CB4823">
        <w:rPr>
          <w:b/>
        </w:rPr>
        <w:t xml:space="preserve">Tab. </w:t>
      </w:r>
      <w:r w:rsidR="008E293A">
        <w:rPr>
          <w:b/>
        </w:rPr>
        <w:t>4</w:t>
      </w:r>
      <w:r w:rsidR="001C389D" w:rsidRPr="00CB4823">
        <w:rPr>
          <w:b/>
        </w:rPr>
        <w:t xml:space="preserve">: </w:t>
      </w:r>
      <w:r w:rsidRPr="00CB4823">
        <w:rPr>
          <w:b/>
        </w:rPr>
        <w:t>Obyvatelstvo podle rodinného stavu</w:t>
      </w:r>
      <w:r w:rsidR="00CB4823" w:rsidRPr="00CB4823">
        <w:rPr>
          <w:b/>
        </w:rPr>
        <w:t xml:space="preserve"> ve státech V4 podle sčítání 2011</w:t>
      </w:r>
    </w:p>
    <w:p w:rsidR="005914E5" w:rsidRDefault="0076234F" w:rsidP="00F32CCE">
      <w:pPr>
        <w:autoSpaceDE w:val="0"/>
        <w:autoSpaceDN w:val="0"/>
        <w:adjustRightInd w:val="0"/>
      </w:pPr>
      <w:r w:rsidRPr="0076234F">
        <w:rPr>
          <w:noProof/>
          <w:lang w:eastAsia="cs-CZ"/>
        </w:rPr>
        <w:drawing>
          <wp:inline distT="0" distB="0" distL="0" distR="0">
            <wp:extent cx="5386183" cy="1962150"/>
            <wp:effectExtent l="19050" t="0" r="4967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6F" w:rsidRDefault="0020196F" w:rsidP="00F32CCE">
      <w:pPr>
        <w:autoSpaceDE w:val="0"/>
        <w:autoSpaceDN w:val="0"/>
        <w:adjustRightInd w:val="0"/>
      </w:pPr>
    </w:p>
    <w:p w:rsidR="00660B11" w:rsidRDefault="003D630A" w:rsidP="00F32CCE">
      <w:pPr>
        <w:autoSpaceDE w:val="0"/>
        <w:autoSpaceDN w:val="0"/>
        <w:adjustRightInd w:val="0"/>
      </w:pPr>
      <w:r>
        <w:t>Podíl</w:t>
      </w:r>
      <w:r w:rsidR="00F32CCE">
        <w:t xml:space="preserve"> svobodných v populaci </w:t>
      </w:r>
      <w:r>
        <w:t>byl</w:t>
      </w:r>
      <w:r w:rsidR="00F32CCE">
        <w:t xml:space="preserve"> </w:t>
      </w:r>
      <w:r w:rsidR="00FD28D5">
        <w:t xml:space="preserve">v roce 2011 </w:t>
      </w:r>
      <w:r w:rsidR="00F32CCE">
        <w:t>obdobn</w:t>
      </w:r>
      <w:r>
        <w:t>ý</w:t>
      </w:r>
      <w:r w:rsidR="0020196F">
        <w:t xml:space="preserve"> ve všech zemích V4 a pohyboval se kolem 40 %. </w:t>
      </w:r>
      <w:r w:rsidR="00F32CCE">
        <w:t xml:space="preserve">Největší rozdíly se </w:t>
      </w:r>
      <w:r>
        <w:t>projevily</w:t>
      </w:r>
      <w:r w:rsidR="00F32CCE">
        <w:t xml:space="preserve"> v</w:t>
      </w:r>
      <w:r w:rsidR="00277354">
        <w:t xml:space="preserve"> podílech </w:t>
      </w:r>
      <w:r w:rsidR="00F32CCE">
        <w:t>sezdaných osob. Výrazn</w:t>
      </w:r>
      <w:r w:rsidR="0020196F">
        <w:t>ě nejvyšší podíl ženatých resp.</w:t>
      </w:r>
      <w:r w:rsidR="00F32CCE">
        <w:t xml:space="preserve"> vdan</w:t>
      </w:r>
      <w:r w:rsidR="00660B11">
        <w:t>ých mělo silně katolické Polsko, kde byla ženatá t</w:t>
      </w:r>
      <w:r w:rsidR="00F32CCE">
        <w:t>éměř polovina všech mužů</w:t>
      </w:r>
      <w:r w:rsidR="00660B11">
        <w:t xml:space="preserve"> a </w:t>
      </w:r>
      <w:r w:rsidR="00F32CCE">
        <w:t>vdaných bylo 46,5 % žen</w:t>
      </w:r>
      <w:r w:rsidR="00660B11">
        <w:t xml:space="preserve"> (graf </w:t>
      </w:r>
      <w:r w:rsidR="00AF18CF">
        <w:t>4</w:t>
      </w:r>
      <w:r w:rsidR="00660B11">
        <w:t>)</w:t>
      </w:r>
      <w:r w:rsidR="00F32CCE">
        <w:t xml:space="preserve">. Opakem je Maďarsko, kde bylo zastoupení sezdaných </w:t>
      </w:r>
      <w:r w:rsidR="00D22E48">
        <w:t>(</w:t>
      </w:r>
      <w:r w:rsidR="00F32CCE">
        <w:t>jak mužů</w:t>
      </w:r>
      <w:r w:rsidR="00D22E48">
        <w:t>,</w:t>
      </w:r>
      <w:r w:rsidR="00F32CCE">
        <w:t xml:space="preserve"> tak </w:t>
      </w:r>
      <w:r w:rsidR="00D22E48">
        <w:t xml:space="preserve">i </w:t>
      </w:r>
      <w:r w:rsidR="00F32CCE">
        <w:t>žen</w:t>
      </w:r>
      <w:r w:rsidR="00D22E48">
        <w:t>)</w:t>
      </w:r>
      <w:r w:rsidR="00F32CCE">
        <w:t xml:space="preserve"> o 10</w:t>
      </w:r>
      <w:r w:rsidR="00E025B2">
        <w:t xml:space="preserve"> </w:t>
      </w:r>
      <w:r w:rsidR="00F22641">
        <w:t>procentních bodů</w:t>
      </w:r>
      <w:r w:rsidR="00F32CCE">
        <w:t xml:space="preserve"> nižší. Výraznější rozdíly </w:t>
      </w:r>
      <w:r w:rsidR="00D22E48">
        <w:t>byly</w:t>
      </w:r>
      <w:r w:rsidR="00F32CCE">
        <w:t xml:space="preserve"> také v zastoupení rozvedených</w:t>
      </w:r>
      <w:r w:rsidR="00660B11">
        <w:t>. V návaznosti na vysoký podíl sezdaných byl velmi nízký podíl rozvedených v Polsku. Největší za</w:t>
      </w:r>
      <w:r w:rsidR="00277354">
        <w:t>s</w:t>
      </w:r>
      <w:r w:rsidR="00660B11">
        <w:t xml:space="preserve">toupení rozvedených </w:t>
      </w:r>
      <w:r w:rsidR="00277354">
        <w:t>měla</w:t>
      </w:r>
      <w:r w:rsidR="00660B11">
        <w:t xml:space="preserve"> </w:t>
      </w:r>
      <w:r w:rsidR="00277354">
        <w:t>č</w:t>
      </w:r>
      <w:r w:rsidR="00660B11">
        <w:t xml:space="preserve">eská populace, kde se jejich </w:t>
      </w:r>
      <w:r w:rsidR="00660B11">
        <w:lastRenderedPageBreak/>
        <w:t xml:space="preserve">podíl přehoupl přes 10 %. </w:t>
      </w:r>
      <w:r w:rsidR="00177E53">
        <w:t>Podíl ovdovělých dosáhl maxima v maďarské populaci, která má díky své starší věkové struktuře podíl ovdovělých téměř 10</w:t>
      </w:r>
      <w:r w:rsidR="00E11027">
        <w:t xml:space="preserve"> </w:t>
      </w:r>
      <w:r w:rsidR="00177E53">
        <w:t xml:space="preserve">%. </w:t>
      </w:r>
    </w:p>
    <w:p w:rsidR="009163E0" w:rsidRDefault="009163E0" w:rsidP="00F32CCE">
      <w:pPr>
        <w:autoSpaceDE w:val="0"/>
        <w:autoSpaceDN w:val="0"/>
        <w:adjustRightInd w:val="0"/>
      </w:pPr>
    </w:p>
    <w:p w:rsidR="00F32CCE" w:rsidRPr="00F22641" w:rsidRDefault="00F32CCE" w:rsidP="00F32CCE">
      <w:pPr>
        <w:autoSpaceDE w:val="0"/>
        <w:autoSpaceDN w:val="0"/>
        <w:adjustRightInd w:val="0"/>
        <w:jc w:val="left"/>
        <w:rPr>
          <w:b/>
        </w:rPr>
      </w:pPr>
      <w:r w:rsidRPr="00F22641">
        <w:rPr>
          <w:b/>
        </w:rPr>
        <w:t xml:space="preserve">Graf </w:t>
      </w:r>
      <w:r w:rsidR="00AF18CF" w:rsidRPr="00F22641">
        <w:rPr>
          <w:b/>
        </w:rPr>
        <w:t>4</w:t>
      </w:r>
      <w:r w:rsidRPr="00F22641">
        <w:rPr>
          <w:b/>
        </w:rPr>
        <w:t>: Struktura obyvatelstva</w:t>
      </w:r>
      <w:r w:rsidR="00873183">
        <w:rPr>
          <w:b/>
        </w:rPr>
        <w:t xml:space="preserve"> podle pohlaví a</w:t>
      </w:r>
      <w:r w:rsidRPr="00F22641">
        <w:rPr>
          <w:b/>
        </w:rPr>
        <w:t xml:space="preserve"> rodinného stavu</w:t>
      </w:r>
      <w:r w:rsidR="00873183">
        <w:rPr>
          <w:b/>
        </w:rPr>
        <w:t xml:space="preserve"> ve státech V4 podle sčítání 2011</w:t>
      </w:r>
    </w:p>
    <w:p w:rsidR="00F32CCE" w:rsidRDefault="00F32CCE" w:rsidP="00F32CCE">
      <w:pPr>
        <w:autoSpaceDE w:val="0"/>
        <w:autoSpaceDN w:val="0"/>
        <w:adjustRightInd w:val="0"/>
        <w:jc w:val="left"/>
      </w:pPr>
    </w:p>
    <w:p w:rsidR="00F32CCE" w:rsidRDefault="00F32CCE" w:rsidP="00F32CCE">
      <w:pPr>
        <w:autoSpaceDE w:val="0"/>
        <w:autoSpaceDN w:val="0"/>
        <w:adjustRightInd w:val="0"/>
        <w:ind w:firstLine="708"/>
        <w:jc w:val="left"/>
      </w:pPr>
      <w:r>
        <w:t xml:space="preserve">        1.  Česká republika</w:t>
      </w:r>
      <w:r>
        <w:tab/>
      </w:r>
      <w:r>
        <w:tab/>
      </w:r>
      <w:r>
        <w:tab/>
      </w:r>
      <w:r>
        <w:tab/>
        <w:t xml:space="preserve">     </w:t>
      </w:r>
      <w:r w:rsidR="002D19AF">
        <w:t xml:space="preserve"> </w:t>
      </w:r>
      <w:r>
        <w:t xml:space="preserve">  </w:t>
      </w:r>
      <w:r w:rsidR="002D19AF">
        <w:t xml:space="preserve">       </w:t>
      </w:r>
      <w:r>
        <w:t>2. Maďarsko</w:t>
      </w:r>
    </w:p>
    <w:p w:rsidR="00F32CCE" w:rsidRDefault="00F32CCE" w:rsidP="00F32CCE">
      <w:pPr>
        <w:autoSpaceDE w:val="0"/>
        <w:autoSpaceDN w:val="0"/>
        <w:adjustRightInd w:val="0"/>
        <w:ind w:firstLine="708"/>
        <w:jc w:val="left"/>
      </w:pPr>
      <w:r>
        <w:t>Muži</w:t>
      </w:r>
      <w:r>
        <w:tab/>
      </w:r>
      <w:r>
        <w:tab/>
      </w:r>
      <w:r>
        <w:tab/>
        <w:t>Ženy</w:t>
      </w:r>
      <w:r>
        <w:tab/>
      </w:r>
      <w:r>
        <w:tab/>
      </w:r>
      <w:r>
        <w:tab/>
        <w:t xml:space="preserve">       Muži</w:t>
      </w:r>
      <w:r>
        <w:tab/>
      </w:r>
      <w:r>
        <w:tab/>
        <w:t>Ženy</w:t>
      </w:r>
      <w:r>
        <w:tab/>
      </w:r>
    </w:p>
    <w:p w:rsidR="00F32CCE" w:rsidRDefault="0060308C" w:rsidP="00F32CCE">
      <w:pPr>
        <w:autoSpaceDE w:val="0"/>
        <w:autoSpaceDN w:val="0"/>
        <w:adjustRightInd w:val="0"/>
        <w:jc w:val="left"/>
      </w:pPr>
      <w:r w:rsidRPr="0060308C">
        <w:rPr>
          <w:noProof/>
          <w:lang w:eastAsia="cs-CZ"/>
        </w:rPr>
        <w:drawing>
          <wp:inline distT="0" distB="0" distL="0" distR="0">
            <wp:extent cx="5400040" cy="1336374"/>
            <wp:effectExtent l="19050" t="0" r="0" b="0"/>
            <wp:docPr id="3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AF" w:rsidRDefault="00F32CCE" w:rsidP="00F32CCE">
      <w:pPr>
        <w:autoSpaceDE w:val="0"/>
        <w:autoSpaceDN w:val="0"/>
        <w:adjustRightInd w:val="0"/>
        <w:ind w:firstLine="708"/>
        <w:jc w:val="left"/>
      </w:pPr>
      <w:r>
        <w:t xml:space="preserve">              </w:t>
      </w:r>
    </w:p>
    <w:p w:rsidR="00F32CCE" w:rsidRDefault="002D19AF" w:rsidP="002D19AF">
      <w:pPr>
        <w:autoSpaceDE w:val="0"/>
        <w:autoSpaceDN w:val="0"/>
        <w:adjustRightInd w:val="0"/>
        <w:ind w:left="720" w:firstLine="720"/>
        <w:jc w:val="left"/>
      </w:pPr>
      <w:r>
        <w:t xml:space="preserve">  </w:t>
      </w:r>
      <w:r w:rsidR="00F32CCE">
        <w:t>3. Polsko</w:t>
      </w:r>
      <w:r w:rsidR="00F32CCE">
        <w:tab/>
      </w:r>
      <w:r w:rsidR="00F32CCE">
        <w:tab/>
      </w:r>
      <w:r w:rsidR="00F32CCE">
        <w:tab/>
      </w:r>
      <w:r w:rsidR="00F32CCE">
        <w:tab/>
      </w:r>
      <w:r w:rsidR="00F32CCE">
        <w:tab/>
        <w:t xml:space="preserve">    4. Slovensko</w:t>
      </w:r>
    </w:p>
    <w:p w:rsidR="00F32CCE" w:rsidRDefault="00F32CCE" w:rsidP="00F32CCE">
      <w:pPr>
        <w:autoSpaceDE w:val="0"/>
        <w:autoSpaceDN w:val="0"/>
        <w:adjustRightInd w:val="0"/>
        <w:ind w:firstLine="708"/>
        <w:jc w:val="left"/>
      </w:pPr>
      <w:r>
        <w:t>Muži</w:t>
      </w:r>
      <w:r>
        <w:tab/>
      </w:r>
      <w:r>
        <w:tab/>
      </w:r>
      <w:r>
        <w:tab/>
        <w:t>Ženy</w:t>
      </w:r>
      <w:r>
        <w:tab/>
      </w:r>
      <w:r>
        <w:tab/>
      </w:r>
      <w:r>
        <w:tab/>
        <w:t xml:space="preserve">       Muži</w:t>
      </w:r>
      <w:r>
        <w:tab/>
      </w:r>
      <w:r>
        <w:tab/>
        <w:t>Ženy</w:t>
      </w:r>
      <w:r>
        <w:tab/>
      </w:r>
    </w:p>
    <w:p w:rsidR="00F32CCE" w:rsidRDefault="0060308C" w:rsidP="00F32CCE">
      <w:pPr>
        <w:autoSpaceDE w:val="0"/>
        <w:autoSpaceDN w:val="0"/>
        <w:adjustRightInd w:val="0"/>
        <w:jc w:val="left"/>
      </w:pPr>
      <w:r w:rsidRPr="0060308C">
        <w:rPr>
          <w:noProof/>
          <w:lang w:eastAsia="cs-CZ"/>
        </w:rPr>
        <w:drawing>
          <wp:inline distT="0" distB="0" distL="0" distR="0">
            <wp:extent cx="5400040" cy="1347733"/>
            <wp:effectExtent l="19050" t="0" r="0" b="0"/>
            <wp:docPr id="3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CE" w:rsidRDefault="00437185" w:rsidP="00F32CCE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</w:rPr>
      </w:pPr>
      <w:r w:rsidRPr="00437185">
        <w:rPr>
          <w:noProof/>
          <w:lang w:eastAsia="cs-CZ"/>
        </w:rPr>
        <w:drawing>
          <wp:inline distT="0" distB="0" distL="0" distR="0">
            <wp:extent cx="5372100" cy="476250"/>
            <wp:effectExtent l="19050" t="0" r="0" b="0"/>
            <wp:docPr id="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7" w:rsidRDefault="00050BB7" w:rsidP="00105CE7">
      <w:pPr>
        <w:autoSpaceDE w:val="0"/>
        <w:autoSpaceDN w:val="0"/>
        <w:adjustRightInd w:val="0"/>
      </w:pPr>
    </w:p>
    <w:p w:rsidR="00D662C1" w:rsidRDefault="00D662C1" w:rsidP="00105CE7">
      <w:pPr>
        <w:autoSpaceDE w:val="0"/>
        <w:autoSpaceDN w:val="0"/>
        <w:adjustRightInd w:val="0"/>
      </w:pPr>
      <w:r>
        <w:t>Rozdíly</w:t>
      </w:r>
      <w:r w:rsidR="004119E2">
        <w:t xml:space="preserve"> ve struktuře podle rodinné</w:t>
      </w:r>
      <w:r w:rsidR="00C04630">
        <w:t>ho</w:t>
      </w:r>
      <w:r w:rsidR="004119E2">
        <w:t xml:space="preserve"> stavu</w:t>
      </w:r>
      <w:r>
        <w:t xml:space="preserve"> mezi pohlavími mají stejný trend ve všech zemích tj. zastoupení svobodných mužů je zhruba o 10 procentních bodů vyšší než zastoupení svobodných žen a naopak </w:t>
      </w:r>
      <w:r w:rsidR="00C24656">
        <w:t>ve skupině ovdovělých dominují ženy nad muži.</w:t>
      </w:r>
      <w:r w:rsidR="00BE550B">
        <w:t xml:space="preserve"> </w:t>
      </w:r>
      <w:r w:rsidR="00105CE7">
        <w:t xml:space="preserve">Zatímco </w:t>
      </w:r>
      <w:r w:rsidR="00C04630">
        <w:t xml:space="preserve">v </w:t>
      </w:r>
      <w:r w:rsidR="00105CE7">
        <w:t>mužsk</w:t>
      </w:r>
      <w:r w:rsidR="00C04630">
        <w:t>é</w:t>
      </w:r>
      <w:r w:rsidR="00105CE7">
        <w:t xml:space="preserve"> populaci tvoří vdovci</w:t>
      </w:r>
      <w:r w:rsidR="004119E2">
        <w:t xml:space="preserve"> zhruba 3 %, v ženské dosáhl</w:t>
      </w:r>
      <w:r w:rsidR="00105CE7">
        <w:t xml:space="preserve"> podíl vdov až k 16 % (v Maďarsku). </w:t>
      </w:r>
    </w:p>
    <w:p w:rsidR="00C81663" w:rsidRDefault="00C81663" w:rsidP="004A420A">
      <w:pPr>
        <w:autoSpaceDE w:val="0"/>
        <w:autoSpaceDN w:val="0"/>
        <w:adjustRightInd w:val="0"/>
        <w:rPr>
          <w:rFonts w:cs="Arial"/>
          <w:szCs w:val="20"/>
        </w:rPr>
      </w:pPr>
    </w:p>
    <w:p w:rsidR="00F32CCE" w:rsidRDefault="00F32CCE" w:rsidP="004A420A">
      <w:pPr>
        <w:autoSpaceDE w:val="0"/>
        <w:autoSpaceDN w:val="0"/>
        <w:adjustRightInd w:val="0"/>
        <w:rPr>
          <w:rFonts w:cs="Arial"/>
          <w:szCs w:val="20"/>
        </w:rPr>
      </w:pPr>
      <w:r w:rsidRPr="00243DC8">
        <w:rPr>
          <w:rFonts w:cs="Arial"/>
          <w:szCs w:val="20"/>
        </w:rPr>
        <w:t>V České republice a Maďarsku bylo kromě tradičních kategorií rodinného stavu zjišťováno také registrov</w:t>
      </w:r>
      <w:r w:rsidR="00D22E48">
        <w:rPr>
          <w:rFonts w:cs="Arial"/>
          <w:szCs w:val="20"/>
        </w:rPr>
        <w:t xml:space="preserve">ané partnerství </w:t>
      </w:r>
      <w:r w:rsidR="00BE3C8B">
        <w:rPr>
          <w:rFonts w:cs="Arial"/>
          <w:szCs w:val="20"/>
        </w:rPr>
        <w:t>osob s</w:t>
      </w:r>
      <w:r w:rsidR="00AF18CF">
        <w:rPr>
          <w:rFonts w:cs="Arial"/>
          <w:szCs w:val="20"/>
        </w:rPr>
        <w:t xml:space="preserve">tejného pohlaví. </w:t>
      </w:r>
      <w:r w:rsidR="00D22E48">
        <w:rPr>
          <w:rFonts w:cs="Arial"/>
          <w:szCs w:val="20"/>
        </w:rPr>
        <w:t>Z</w:t>
      </w:r>
      <w:r w:rsidRPr="00243DC8">
        <w:rPr>
          <w:rFonts w:cs="Arial"/>
          <w:szCs w:val="20"/>
        </w:rPr>
        <w:t xml:space="preserve">atímco v České republice bylo </w:t>
      </w:r>
      <w:r w:rsidR="00BE3C8B">
        <w:rPr>
          <w:rFonts w:cs="Arial"/>
          <w:szCs w:val="20"/>
        </w:rPr>
        <w:t xml:space="preserve">sečteno </w:t>
      </w:r>
      <w:r w:rsidRPr="00243DC8">
        <w:rPr>
          <w:rFonts w:cs="Arial"/>
          <w:szCs w:val="20"/>
        </w:rPr>
        <w:t xml:space="preserve">2018 registrovaných partnerů (ze </w:t>
      </w:r>
      <w:r w:rsidR="00AF18CF">
        <w:rPr>
          <w:rFonts w:cs="Arial"/>
          <w:szCs w:val="20"/>
        </w:rPr>
        <w:t>3/4</w:t>
      </w:r>
      <w:r w:rsidRPr="00243DC8">
        <w:rPr>
          <w:rFonts w:cs="Arial"/>
          <w:szCs w:val="20"/>
        </w:rPr>
        <w:t xml:space="preserve"> muži), ve velikostně srovnatelném Maďarsku pouze 171 (z </w:t>
      </w:r>
      <w:r w:rsidR="00AF18CF">
        <w:rPr>
          <w:rFonts w:cs="Arial"/>
          <w:szCs w:val="20"/>
        </w:rPr>
        <w:t>2/3</w:t>
      </w:r>
      <w:r w:rsidRPr="00243DC8">
        <w:rPr>
          <w:rFonts w:cs="Arial"/>
          <w:szCs w:val="20"/>
        </w:rPr>
        <w:t xml:space="preserve"> muži). </w:t>
      </w:r>
      <w:r w:rsidR="00AE2830">
        <w:rPr>
          <w:rFonts w:cs="Arial"/>
          <w:szCs w:val="20"/>
        </w:rPr>
        <w:t>Roz</w:t>
      </w:r>
      <w:r w:rsidR="00D22E48">
        <w:rPr>
          <w:rFonts w:cs="Arial"/>
          <w:szCs w:val="20"/>
        </w:rPr>
        <w:t xml:space="preserve">díly v početnosti jsou </w:t>
      </w:r>
      <w:r w:rsidR="00BE3C8B">
        <w:rPr>
          <w:rFonts w:cs="Arial"/>
          <w:szCs w:val="20"/>
        </w:rPr>
        <w:t xml:space="preserve">mimo jiné </w:t>
      </w:r>
      <w:r w:rsidR="00D22E48">
        <w:rPr>
          <w:rFonts w:cs="Arial"/>
          <w:szCs w:val="20"/>
        </w:rPr>
        <w:t xml:space="preserve">dány </w:t>
      </w:r>
      <w:r w:rsidRPr="00243DC8">
        <w:rPr>
          <w:rFonts w:cs="Arial"/>
          <w:szCs w:val="20"/>
        </w:rPr>
        <w:t>uzákonění</w:t>
      </w:r>
      <w:r w:rsidR="00D22E48">
        <w:rPr>
          <w:rFonts w:cs="Arial"/>
          <w:szCs w:val="20"/>
        </w:rPr>
        <w:t>m</w:t>
      </w:r>
      <w:r w:rsidRPr="00243DC8">
        <w:rPr>
          <w:rFonts w:cs="Arial"/>
          <w:szCs w:val="20"/>
        </w:rPr>
        <w:t xml:space="preserve"> uzavření registrovaného partnerství v České republice již v roce 2006, kdežto v Maďarsku je tato možnost až od roku 2009. V Polsku ani na Slovensku není možnost </w:t>
      </w:r>
      <w:r w:rsidR="00BE3C8B">
        <w:rPr>
          <w:rFonts w:cs="Arial"/>
          <w:szCs w:val="20"/>
        </w:rPr>
        <w:t xml:space="preserve">oficiálního partnerského svazku osob stejného pohlaví </w:t>
      </w:r>
      <w:r w:rsidRPr="00243DC8">
        <w:rPr>
          <w:rFonts w:cs="Arial"/>
          <w:szCs w:val="20"/>
        </w:rPr>
        <w:t>uzákoněna.</w:t>
      </w:r>
    </w:p>
    <w:p w:rsidR="00050BB7" w:rsidRDefault="00050BB7" w:rsidP="00B8293B">
      <w:pPr>
        <w:spacing w:after="120"/>
        <w:rPr>
          <w:rFonts w:cs="Arial"/>
          <w:b/>
          <w:szCs w:val="20"/>
        </w:rPr>
      </w:pPr>
    </w:p>
    <w:p w:rsidR="00B8293B" w:rsidRPr="00B8293B" w:rsidRDefault="00B8293B" w:rsidP="00B8293B">
      <w:pPr>
        <w:spacing w:after="120"/>
        <w:rPr>
          <w:rFonts w:cs="Arial"/>
          <w:b/>
          <w:szCs w:val="20"/>
        </w:rPr>
      </w:pPr>
      <w:r w:rsidRPr="00B8293B">
        <w:rPr>
          <w:rFonts w:cs="Arial"/>
          <w:b/>
          <w:szCs w:val="20"/>
        </w:rPr>
        <w:lastRenderedPageBreak/>
        <w:t>2.</w:t>
      </w:r>
      <w:r w:rsidR="001E0552">
        <w:rPr>
          <w:rFonts w:cs="Arial"/>
          <w:b/>
          <w:szCs w:val="20"/>
        </w:rPr>
        <w:t xml:space="preserve"> Socioe</w:t>
      </w:r>
      <w:r w:rsidRPr="00B8293B">
        <w:rPr>
          <w:rFonts w:cs="Arial"/>
          <w:b/>
          <w:szCs w:val="20"/>
        </w:rPr>
        <w:t>konomické charakteristiky obyvatelstva</w:t>
      </w:r>
    </w:p>
    <w:p w:rsidR="00C924F8" w:rsidRDefault="00B8293B" w:rsidP="00F22641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2.1 </w:t>
      </w:r>
      <w:r w:rsidR="00C924F8">
        <w:rPr>
          <w:rFonts w:cs="Arial"/>
          <w:b/>
          <w:szCs w:val="20"/>
        </w:rPr>
        <w:t>Struktura obyvatelstva podle vzdělání</w:t>
      </w:r>
      <w:r w:rsidR="00C924F8" w:rsidRPr="00C579AB">
        <w:rPr>
          <w:rFonts w:cs="Arial"/>
          <w:b/>
          <w:szCs w:val="20"/>
        </w:rPr>
        <w:t xml:space="preserve"> 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iCs/>
          <w:szCs w:val="20"/>
        </w:rPr>
      </w:pPr>
      <w:r w:rsidRPr="00D4656A">
        <w:rPr>
          <w:rFonts w:cs="Arial"/>
          <w:szCs w:val="20"/>
        </w:rPr>
        <w:t>Pro mezinárodní</w:t>
      </w:r>
      <w:r>
        <w:rPr>
          <w:rFonts w:cs="Arial"/>
          <w:szCs w:val="20"/>
        </w:rPr>
        <w:t xml:space="preserve"> srovnávání </w:t>
      </w:r>
      <w:r w:rsidR="00594F5D">
        <w:rPr>
          <w:rFonts w:cs="Arial"/>
          <w:szCs w:val="20"/>
        </w:rPr>
        <w:t xml:space="preserve">nejvyššího ukončeného vzdělání </w:t>
      </w:r>
      <w:r>
        <w:rPr>
          <w:rFonts w:cs="Arial"/>
          <w:szCs w:val="20"/>
        </w:rPr>
        <w:t>se používá</w:t>
      </w:r>
      <w:r w:rsidRPr="00D4656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M</w:t>
      </w:r>
      <w:r w:rsidRPr="00D4656A">
        <w:rPr>
          <w:rFonts w:cs="Arial"/>
          <w:iCs/>
          <w:szCs w:val="20"/>
        </w:rPr>
        <w:t>ezinárodní norma pro</w:t>
      </w:r>
      <w:r>
        <w:rPr>
          <w:rFonts w:cs="Arial"/>
          <w:iCs/>
          <w:szCs w:val="20"/>
        </w:rPr>
        <w:t xml:space="preserve"> </w:t>
      </w:r>
      <w:r w:rsidRPr="00D4656A">
        <w:rPr>
          <w:rFonts w:cs="Arial"/>
          <w:iCs/>
          <w:szCs w:val="20"/>
        </w:rPr>
        <w:t>klasifikaci vzdělávání ISCED-97</w:t>
      </w:r>
      <w:r w:rsidR="000D0B09">
        <w:rPr>
          <w:rFonts w:cs="Arial"/>
          <w:iCs/>
          <w:szCs w:val="20"/>
        </w:rPr>
        <w:t>. Vzdělanostní struktura obyvatel byla proporčně obdobná v České republice, Polsku a na Slovensku, výraznější odlišnost struktury vykázalo Maďarsko, zejména v důsledku nejvyššího podílu osob se základním vzděláním</w:t>
      </w:r>
      <w:r w:rsidR="00AF18CF">
        <w:rPr>
          <w:rFonts w:cs="Arial"/>
          <w:iCs/>
          <w:szCs w:val="20"/>
        </w:rPr>
        <w:t xml:space="preserve"> (g</w:t>
      </w:r>
      <w:r>
        <w:rPr>
          <w:rFonts w:cs="Arial"/>
          <w:iCs/>
          <w:szCs w:val="20"/>
        </w:rPr>
        <w:t xml:space="preserve">raf </w:t>
      </w:r>
      <w:r w:rsidR="00AF18CF">
        <w:rPr>
          <w:rFonts w:cs="Arial"/>
          <w:iCs/>
          <w:szCs w:val="20"/>
        </w:rPr>
        <w:t>5)</w:t>
      </w:r>
      <w:r>
        <w:rPr>
          <w:rFonts w:cs="Arial"/>
          <w:iCs/>
          <w:szCs w:val="20"/>
        </w:rPr>
        <w:t xml:space="preserve">. </w:t>
      </w:r>
    </w:p>
    <w:p w:rsidR="00C924F8" w:rsidRDefault="00767522" w:rsidP="00C924F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iCs/>
          <w:szCs w:val="20"/>
        </w:rPr>
        <w:t xml:space="preserve">V roce 2011 bylo ve státech V4 </w:t>
      </w:r>
      <w:r w:rsidR="00C924F8">
        <w:rPr>
          <w:rFonts w:cs="Arial"/>
          <w:iCs/>
          <w:szCs w:val="20"/>
        </w:rPr>
        <w:t xml:space="preserve">bez vzdělání </w:t>
      </w:r>
      <w:r w:rsidR="00C924F8">
        <w:rPr>
          <w:rFonts w:cs="Arial"/>
          <w:szCs w:val="20"/>
        </w:rPr>
        <w:t>necelé procento obyvatel,</w:t>
      </w:r>
      <w:r>
        <w:rPr>
          <w:rFonts w:cs="Arial"/>
          <w:szCs w:val="20"/>
        </w:rPr>
        <w:t xml:space="preserve"> s výjimkou Polska, kde tato kategorie překročila těsně hranici 1 %.</w:t>
      </w:r>
      <w:r w:rsidR="00C924F8">
        <w:rPr>
          <w:rFonts w:cs="Arial"/>
          <w:szCs w:val="20"/>
        </w:rPr>
        <w:t xml:space="preserve"> Základní vzdělání včetně neukončeného (ISCED 1 a 2) bylo v České republice, v Polsku a na Slovensku </w:t>
      </w:r>
      <w:r w:rsidR="00AF18CF">
        <w:rPr>
          <w:rFonts w:cs="Arial"/>
          <w:szCs w:val="20"/>
        </w:rPr>
        <w:t>zjištěno</w:t>
      </w:r>
      <w:r w:rsidR="00C924F8">
        <w:rPr>
          <w:rFonts w:cs="Arial"/>
          <w:szCs w:val="20"/>
        </w:rPr>
        <w:t xml:space="preserve"> zhruba </w:t>
      </w:r>
      <w:r>
        <w:rPr>
          <w:rFonts w:cs="Arial"/>
          <w:szCs w:val="20"/>
        </w:rPr>
        <w:t xml:space="preserve">u </w:t>
      </w:r>
      <w:r w:rsidR="00C924F8">
        <w:rPr>
          <w:rFonts w:cs="Arial"/>
          <w:szCs w:val="20"/>
        </w:rPr>
        <w:t>pětiny obyvatel,  v Maďarsku byl podíl obyvatel s tímto stupněm vzdělání téměř třetinový.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Nejpočetnější kategorií nejvyššího ukončeného vzdělání byla ve státech V4 kategorie ISCED 3, která zahrnuje středoškolské vzdělání s maturitou i bez maturity včetně vyučení. V Čes</w:t>
      </w:r>
      <w:r w:rsidR="00C52849">
        <w:rPr>
          <w:rFonts w:cs="Arial"/>
          <w:szCs w:val="20"/>
        </w:rPr>
        <w:t>ké republice a na Slovensku byl</w:t>
      </w:r>
      <w:r w:rsidR="001D0356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v</w:t>
      </w:r>
      <w:r w:rsidR="00C52849">
        <w:rPr>
          <w:rFonts w:cs="Arial"/>
          <w:szCs w:val="20"/>
        </w:rPr>
        <w:t xml:space="preserve"> kategorii ISCED 3 zahrnut</w:t>
      </w:r>
      <w:r w:rsidR="001D0356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</w:t>
      </w:r>
      <w:r w:rsidR="001D0356">
        <w:rPr>
          <w:rFonts w:cs="Arial"/>
          <w:szCs w:val="20"/>
        </w:rPr>
        <w:t>tři pětiny</w:t>
      </w:r>
      <w:r>
        <w:rPr>
          <w:rFonts w:cs="Arial"/>
          <w:szCs w:val="20"/>
        </w:rPr>
        <w:t xml:space="preserve"> obyvatel starších 15 let. V Maďarsku a v Polsku obyvatelé s tímto stupněm vzdělání tvořili zhruba polovinu</w:t>
      </w:r>
      <w:r w:rsidR="00AF1AF0">
        <w:rPr>
          <w:rFonts w:cs="Arial"/>
          <w:szCs w:val="20"/>
        </w:rPr>
        <w:t xml:space="preserve"> </w:t>
      </w:r>
      <w:r w:rsidR="00AF18CF">
        <w:rPr>
          <w:rFonts w:cs="Arial"/>
          <w:szCs w:val="20"/>
        </w:rPr>
        <w:t xml:space="preserve"> - </w:t>
      </w:r>
      <w:r w:rsidR="00AF1AF0">
        <w:rPr>
          <w:rFonts w:cs="Arial"/>
          <w:szCs w:val="20"/>
        </w:rPr>
        <w:t>v Polsku 53,0 %, v Maďarsku pouze 46,8 %)</w:t>
      </w:r>
      <w:r>
        <w:rPr>
          <w:rFonts w:cs="Arial"/>
          <w:szCs w:val="20"/>
        </w:rPr>
        <w:t>.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Kategorie ISCED 4 -</w:t>
      </w:r>
      <w:r w:rsidRPr="006A1F70">
        <w:rPr>
          <w:rFonts w:cs="Arial"/>
          <w:color w:val="000000"/>
          <w:szCs w:val="20"/>
        </w:rPr>
        <w:t xml:space="preserve"> </w:t>
      </w:r>
      <w:r w:rsidRPr="00BA3CFF">
        <w:rPr>
          <w:rFonts w:cs="Arial"/>
          <w:color w:val="000000"/>
          <w:szCs w:val="20"/>
        </w:rPr>
        <w:t>nástavbové studium (vč. pomaturitního studia)</w:t>
      </w:r>
      <w:r>
        <w:rPr>
          <w:rFonts w:cs="Arial"/>
          <w:color w:val="000000"/>
          <w:szCs w:val="20"/>
        </w:rPr>
        <w:t xml:space="preserve"> měla ve všech zemích zanedbatelné zastoupení mezi 1,5 – 3,4 %.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iCs/>
          <w:szCs w:val="20"/>
        </w:rPr>
      </w:pPr>
    </w:p>
    <w:p w:rsidR="00C924F8" w:rsidRPr="00F22641" w:rsidRDefault="00C924F8" w:rsidP="00C924F8">
      <w:pPr>
        <w:autoSpaceDE w:val="0"/>
        <w:autoSpaceDN w:val="0"/>
        <w:adjustRightInd w:val="0"/>
        <w:rPr>
          <w:rFonts w:cs="Arial"/>
          <w:b/>
          <w:iCs/>
          <w:szCs w:val="20"/>
        </w:rPr>
      </w:pPr>
      <w:r w:rsidRPr="00F22641">
        <w:rPr>
          <w:rFonts w:cs="Arial"/>
          <w:b/>
          <w:iCs/>
          <w:szCs w:val="20"/>
        </w:rPr>
        <w:t xml:space="preserve">Graf </w:t>
      </w:r>
      <w:r w:rsidR="00AF18CF" w:rsidRPr="00F22641">
        <w:rPr>
          <w:rFonts w:cs="Arial"/>
          <w:b/>
          <w:iCs/>
          <w:szCs w:val="20"/>
        </w:rPr>
        <w:t>5:</w:t>
      </w:r>
      <w:r w:rsidRPr="00F22641">
        <w:rPr>
          <w:rFonts w:cs="Arial"/>
          <w:b/>
          <w:iCs/>
          <w:szCs w:val="20"/>
        </w:rPr>
        <w:t xml:space="preserve"> Struktura osob 15+ podle nejvyššího ukončeného vzdělání ve státech V4 podle sčítání 2011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iCs/>
          <w:szCs w:val="20"/>
        </w:rPr>
      </w:pPr>
      <w:r w:rsidRPr="007A438C">
        <w:rPr>
          <w:noProof/>
          <w:szCs w:val="20"/>
          <w:lang w:eastAsia="cs-CZ"/>
        </w:rPr>
        <w:drawing>
          <wp:inline distT="0" distB="0" distL="0" distR="0">
            <wp:extent cx="1257300" cy="1352550"/>
            <wp:effectExtent l="19050" t="0" r="0" b="0"/>
            <wp:docPr id="2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D22">
        <w:rPr>
          <w:noProof/>
          <w:szCs w:val="20"/>
          <w:lang w:eastAsia="cs-CZ"/>
        </w:rPr>
        <w:drawing>
          <wp:inline distT="0" distB="0" distL="0" distR="0">
            <wp:extent cx="1219200" cy="1343025"/>
            <wp:effectExtent l="19050" t="0" r="0" b="0"/>
            <wp:docPr id="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D22">
        <w:rPr>
          <w:noProof/>
          <w:szCs w:val="20"/>
          <w:lang w:eastAsia="cs-CZ"/>
        </w:rPr>
        <w:drawing>
          <wp:inline distT="0" distB="0" distL="0" distR="0">
            <wp:extent cx="1247775" cy="1352550"/>
            <wp:effectExtent l="19050" t="0" r="9525" b="0"/>
            <wp:docPr id="2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D22">
        <w:rPr>
          <w:noProof/>
          <w:szCs w:val="20"/>
          <w:lang w:eastAsia="cs-CZ"/>
        </w:rPr>
        <w:drawing>
          <wp:inline distT="0" distB="0" distL="0" distR="0">
            <wp:extent cx="1219200" cy="1352550"/>
            <wp:effectExtent l="19050" t="0" r="0" b="0"/>
            <wp:docPr id="2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8" w:rsidRDefault="00C924F8" w:rsidP="00DC64C3">
      <w:pPr>
        <w:autoSpaceDE w:val="0"/>
        <w:autoSpaceDN w:val="0"/>
        <w:adjustRightInd w:val="0"/>
        <w:jc w:val="center"/>
        <w:rPr>
          <w:rFonts w:cs="Arial"/>
          <w:iCs/>
          <w:szCs w:val="20"/>
        </w:rPr>
      </w:pPr>
      <w:r w:rsidRPr="00FD75DA">
        <w:rPr>
          <w:noProof/>
          <w:szCs w:val="20"/>
          <w:lang w:eastAsia="cs-CZ"/>
        </w:rPr>
        <w:drawing>
          <wp:inline distT="0" distB="0" distL="0" distR="0">
            <wp:extent cx="4581525" cy="495300"/>
            <wp:effectExtent l="19050" t="0" r="9525" b="0"/>
            <wp:docPr id="2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8" w:rsidRDefault="00C924F8" w:rsidP="00C924F8">
      <w:pPr>
        <w:rPr>
          <w:rFonts w:cs="Arial"/>
          <w:szCs w:val="20"/>
        </w:rPr>
      </w:pPr>
    </w:p>
    <w:p w:rsidR="00C924F8" w:rsidRDefault="00C924F8" w:rsidP="00C924F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 xml:space="preserve">Osoby s vysokoškolským vzděláním (bakalářským a magisterským) a s vyšším odborným vzděláním (absolutorium) jsou zahrnuti v kategorii ISCED 5. Podíly tohoto stupně vzdělání </w:t>
      </w:r>
      <w:r w:rsidR="00767522">
        <w:rPr>
          <w:rFonts w:cs="Arial"/>
          <w:szCs w:val="20"/>
        </w:rPr>
        <w:t>byly</w:t>
      </w:r>
      <w:r>
        <w:rPr>
          <w:rFonts w:cs="Arial"/>
          <w:szCs w:val="20"/>
        </w:rPr>
        <w:t xml:space="preserve"> v</w:t>
      </w:r>
      <w:r w:rsidR="00037364">
        <w:rPr>
          <w:rFonts w:cs="Arial"/>
          <w:szCs w:val="20"/>
        </w:rPr>
        <w:t>e</w:t>
      </w:r>
      <w:r>
        <w:rPr>
          <w:rFonts w:cs="Arial"/>
          <w:szCs w:val="20"/>
        </w:rPr>
        <w:t> státech V4 poměrně vyrovnané. Nejvyšší podíl vysokoškoláků byl zaznamenán v Maďarsku a Polsku, 17,3 %, resp. 17,5 %. Na Slovensku bylo v kategorii ISCED 5 zjištěno 15,5 % a nejnižší podíl v České republice, a to 13,2 %.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szCs w:val="20"/>
        </w:rPr>
        <w:t xml:space="preserve">Navazující doktorské studium je kategorií ISCED 6. </w:t>
      </w:r>
      <w:r>
        <w:rPr>
          <w:rFonts w:cs="Arial"/>
          <w:color w:val="000000"/>
          <w:szCs w:val="20"/>
        </w:rPr>
        <w:t>Doktorské vzdělání bylo zjištěno u méně než jednoho procenta osob ve všech zemích V4.</w:t>
      </w:r>
    </w:p>
    <w:p w:rsidR="00C924F8" w:rsidRDefault="00C924F8" w:rsidP="00C924F8">
      <w:pPr>
        <w:rPr>
          <w:rFonts w:cs="Arial"/>
          <w:szCs w:val="20"/>
        </w:rPr>
      </w:pPr>
      <w:r>
        <w:rPr>
          <w:rFonts w:cs="Arial"/>
          <w:szCs w:val="20"/>
        </w:rPr>
        <w:t xml:space="preserve">Stupeň nejvyššího ukončeného vzdělání se mezi muži a ženami v zemích V4 výrazně nelišil. Větší diferenciace byla patrná podle věku. S výjimkou nejmladších věkových skupin, kdy vzdělání ještě není dokončené, s věkem stupeň vzdělání klesá. Ve středním věku (30 – 64 let) měla naprostá většina osob zemí V4 vzdělání středoškolské nebo vysokoškolské (nejvyšší </w:t>
      </w:r>
      <w:r>
        <w:rPr>
          <w:rFonts w:cs="Arial"/>
          <w:szCs w:val="20"/>
        </w:rPr>
        <w:lastRenderedPageBreak/>
        <w:t xml:space="preserve">zastoupení bylo u žen v Polsku ve věku 30 – 49 let, a to 89,7 %). Ve vyšších věkových skupinách převažovaly osoby se základním nebo i neukončeným základním vzděláním. 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szCs w:val="20"/>
        </w:rPr>
        <w:t xml:space="preserve">Graf </w:t>
      </w:r>
      <w:r w:rsidR="006B0872">
        <w:rPr>
          <w:rFonts w:cs="Arial"/>
          <w:szCs w:val="20"/>
        </w:rPr>
        <w:t>6</w:t>
      </w:r>
      <w:r>
        <w:rPr>
          <w:rFonts w:cs="Arial"/>
          <w:szCs w:val="20"/>
        </w:rPr>
        <w:t xml:space="preserve"> zobrazuje zastoupení osob s vysokoškolským vzděláním </w:t>
      </w:r>
      <w:r w:rsidR="006B0872">
        <w:rPr>
          <w:rFonts w:cs="Arial"/>
          <w:szCs w:val="20"/>
        </w:rPr>
        <w:t>(</w:t>
      </w:r>
      <w:r>
        <w:rPr>
          <w:rFonts w:cs="Arial"/>
          <w:szCs w:val="20"/>
        </w:rPr>
        <w:t>ISCED 5 a 6</w:t>
      </w:r>
      <w:r w:rsidR="006B0872">
        <w:rPr>
          <w:rFonts w:cs="Arial"/>
          <w:szCs w:val="20"/>
        </w:rPr>
        <w:t>)</w:t>
      </w:r>
      <w:r>
        <w:rPr>
          <w:rFonts w:cs="Arial"/>
          <w:szCs w:val="20"/>
        </w:rPr>
        <w:t xml:space="preserve"> v dané pětileté skupině</w:t>
      </w:r>
      <w:r>
        <w:rPr>
          <w:rFonts w:cs="Arial"/>
          <w:szCs w:val="20"/>
          <w:lang w:val="en-US"/>
        </w:rPr>
        <w:t>;</w:t>
      </w:r>
      <w:r>
        <w:rPr>
          <w:rFonts w:cs="Arial"/>
          <w:szCs w:val="20"/>
        </w:rPr>
        <w:t xml:space="preserve"> zahrnuty jsou osoby s bakalářským, magisterským a doktorským stupněm a vyšším odborným vzděláním (absolutorium).</w:t>
      </w:r>
      <w:r>
        <w:rPr>
          <w:rFonts w:cs="Arial"/>
          <w:color w:val="000000"/>
          <w:szCs w:val="20"/>
        </w:rPr>
        <w:t xml:space="preserve"> Nejvyšší podíl vysokoškoláků </w:t>
      </w:r>
      <w:r w:rsidR="00E10342">
        <w:rPr>
          <w:rFonts w:cs="Arial"/>
          <w:color w:val="000000"/>
          <w:szCs w:val="20"/>
        </w:rPr>
        <w:t>měla nejmladší věková</w:t>
      </w:r>
      <w:r w:rsidR="00C96784">
        <w:rPr>
          <w:rFonts w:cs="Arial"/>
          <w:color w:val="000000"/>
          <w:szCs w:val="20"/>
        </w:rPr>
        <w:t xml:space="preserve"> kategorie</w:t>
      </w:r>
      <w:r w:rsidRPr="00120368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25 – 29 let (ve věku do 25 let u většiny osob ještě nebylo vzdělání dokončeno). V tomto věku bylo</w:t>
      </w:r>
      <w:r w:rsidR="00E10342">
        <w:rPr>
          <w:rFonts w:cs="Arial"/>
          <w:color w:val="000000"/>
          <w:szCs w:val="20"/>
        </w:rPr>
        <w:t xml:space="preserve"> nejvyšší procento vysokoškoláků zaznamenáno v Polsku, následovalo Maďarsko</w:t>
      </w:r>
      <w:r w:rsidR="00466DE3">
        <w:rPr>
          <w:rFonts w:cs="Arial"/>
          <w:color w:val="000000"/>
          <w:szCs w:val="20"/>
        </w:rPr>
        <w:t xml:space="preserve"> a Slovensko, kde</w:t>
      </w:r>
      <w:r>
        <w:rPr>
          <w:rFonts w:cs="Arial"/>
          <w:color w:val="000000"/>
          <w:szCs w:val="20"/>
        </w:rPr>
        <w:t xml:space="preserve"> byl podíl vysokoškoláků v tomto věku zhruba 30 %, v ČR o tři procentní body níže. S rostoucím věkem zastoupení vysokoškoláků </w:t>
      </w:r>
      <w:r w:rsidR="00466DE3">
        <w:rPr>
          <w:rFonts w:cs="Arial"/>
          <w:color w:val="000000"/>
          <w:szCs w:val="20"/>
        </w:rPr>
        <w:t>v populaci téměř plynule klesalo</w:t>
      </w:r>
      <w:r w:rsidR="00BE146B">
        <w:rPr>
          <w:rFonts w:cs="Arial"/>
          <w:color w:val="000000"/>
          <w:szCs w:val="20"/>
        </w:rPr>
        <w:t xml:space="preserve">. Spolu s narůstajícím věkem také </w:t>
      </w:r>
      <w:r w:rsidR="00466DE3">
        <w:rPr>
          <w:rFonts w:cs="Arial"/>
          <w:color w:val="000000"/>
          <w:szCs w:val="20"/>
        </w:rPr>
        <w:t>Polsko ztrácí svoji přední pozici. Od věkové skupiny 40</w:t>
      </w:r>
      <w:r w:rsidR="00BE146B">
        <w:rPr>
          <w:rFonts w:cs="Arial"/>
          <w:color w:val="000000"/>
          <w:szCs w:val="20"/>
        </w:rPr>
        <w:t xml:space="preserve"> </w:t>
      </w:r>
      <w:r w:rsidR="00466DE3">
        <w:rPr>
          <w:rFonts w:cs="Arial"/>
          <w:color w:val="000000"/>
          <w:szCs w:val="20"/>
        </w:rPr>
        <w:t>až 45 let má nejvyšší zastoupení vysokoškoláků Maďarsko.</w:t>
      </w:r>
      <w:r>
        <w:rPr>
          <w:rFonts w:cs="Arial"/>
          <w:color w:val="000000"/>
          <w:szCs w:val="20"/>
        </w:rPr>
        <w:t xml:space="preserve"> Ve věku 70 let byla ve všech zemích vysokoškolsky vzdělaná jen </w:t>
      </w:r>
      <w:r w:rsidR="00037364">
        <w:rPr>
          <w:rFonts w:cs="Arial"/>
          <w:color w:val="000000"/>
          <w:szCs w:val="20"/>
        </w:rPr>
        <w:t xml:space="preserve">zhruba </w:t>
      </w:r>
      <w:r>
        <w:rPr>
          <w:rFonts w:cs="Arial"/>
          <w:color w:val="000000"/>
          <w:szCs w:val="20"/>
        </w:rPr>
        <w:t xml:space="preserve">desetina obyvatel. </w:t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szCs w:val="20"/>
        </w:rPr>
      </w:pPr>
    </w:p>
    <w:p w:rsidR="00C924F8" w:rsidRPr="00F22641" w:rsidRDefault="00C924F8" w:rsidP="00C924F8">
      <w:pPr>
        <w:rPr>
          <w:rFonts w:cs="Arial"/>
          <w:b/>
          <w:szCs w:val="20"/>
        </w:rPr>
      </w:pPr>
      <w:r w:rsidRPr="00F22641">
        <w:rPr>
          <w:rFonts w:cs="Arial"/>
          <w:b/>
          <w:szCs w:val="20"/>
        </w:rPr>
        <w:t xml:space="preserve">Graf </w:t>
      </w:r>
      <w:r w:rsidR="006B0872" w:rsidRPr="00F22641">
        <w:rPr>
          <w:rFonts w:cs="Arial"/>
          <w:b/>
          <w:szCs w:val="20"/>
        </w:rPr>
        <w:t>6:</w:t>
      </w:r>
      <w:r w:rsidRPr="00F22641">
        <w:rPr>
          <w:rFonts w:cs="Arial"/>
          <w:b/>
          <w:szCs w:val="20"/>
        </w:rPr>
        <w:t xml:space="preserve"> Podíl vysokoškoláků v dané věkové skupině ve státech V4 podle sčítání 2011</w:t>
      </w:r>
    </w:p>
    <w:p w:rsidR="00C924F8" w:rsidRDefault="00C924F8" w:rsidP="00C924F8">
      <w:pPr>
        <w:rPr>
          <w:rFonts w:cs="Arial"/>
          <w:szCs w:val="20"/>
        </w:rPr>
      </w:pPr>
      <w:r w:rsidRPr="007673EC">
        <w:rPr>
          <w:noProof/>
          <w:szCs w:val="20"/>
          <w:lang w:eastAsia="cs-CZ"/>
        </w:rPr>
        <w:drawing>
          <wp:inline distT="0" distB="0" distL="0" distR="0">
            <wp:extent cx="5400040" cy="3196623"/>
            <wp:effectExtent l="19050" t="0" r="0" b="0"/>
            <wp:docPr id="3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8" w:rsidRDefault="00C924F8" w:rsidP="00C924F8">
      <w:pPr>
        <w:autoSpaceDE w:val="0"/>
        <w:autoSpaceDN w:val="0"/>
        <w:adjustRightInd w:val="0"/>
        <w:rPr>
          <w:rFonts w:cs="Arial"/>
          <w:szCs w:val="20"/>
        </w:rPr>
      </w:pPr>
    </w:p>
    <w:p w:rsidR="006B0872" w:rsidRDefault="006B0872" w:rsidP="004F32C4">
      <w:pPr>
        <w:shd w:val="clear" w:color="auto" w:fill="FFFFFF"/>
        <w:rPr>
          <w:rFonts w:eastAsia="Times New Roman" w:cs="Arial"/>
          <w:b/>
          <w:szCs w:val="20"/>
          <w:lang w:eastAsia="cs-CZ"/>
        </w:rPr>
      </w:pPr>
    </w:p>
    <w:p w:rsidR="004F32C4" w:rsidRDefault="00B1670E" w:rsidP="00F22641">
      <w:pPr>
        <w:shd w:val="clear" w:color="auto" w:fill="FFFFFF"/>
        <w:spacing w:after="120"/>
        <w:rPr>
          <w:rFonts w:eastAsia="Times New Roman" w:cs="Arial"/>
          <w:b/>
          <w:szCs w:val="20"/>
          <w:lang w:eastAsia="cs-CZ"/>
        </w:rPr>
      </w:pPr>
      <w:r>
        <w:rPr>
          <w:rFonts w:eastAsia="Times New Roman" w:cs="Arial"/>
          <w:b/>
          <w:szCs w:val="20"/>
          <w:lang w:eastAsia="cs-CZ"/>
        </w:rPr>
        <w:t xml:space="preserve">2.2 </w:t>
      </w:r>
      <w:r w:rsidR="005927E3">
        <w:rPr>
          <w:rFonts w:eastAsia="Times New Roman" w:cs="Arial"/>
          <w:b/>
          <w:szCs w:val="20"/>
          <w:lang w:eastAsia="cs-CZ"/>
        </w:rPr>
        <w:t>Struktura obyvatelstva podle ekonomické aktivity</w:t>
      </w:r>
    </w:p>
    <w:p w:rsidR="004F32C4" w:rsidRPr="009D6A79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>P</w:t>
      </w:r>
      <w:r w:rsidRPr="00DF5288">
        <w:rPr>
          <w:rFonts w:cs="Arial"/>
          <w:szCs w:val="20"/>
        </w:rPr>
        <w:t>odíl ekonomicky aktivních na celkovém počtu obyvatel</w:t>
      </w:r>
      <w:r w:rsidRPr="009D6A79">
        <w:rPr>
          <w:rFonts w:cs="Arial"/>
          <w:szCs w:val="20"/>
        </w:rPr>
        <w:t xml:space="preserve"> se v jednotlivých zemích V4 výrazně nelišil</w:t>
      </w:r>
      <w:r w:rsidRPr="009D6A79">
        <w:rPr>
          <w:rFonts w:cs="Arial"/>
          <w:szCs w:val="20"/>
          <w:lang w:val="en-US"/>
        </w:rPr>
        <w:t>;</w:t>
      </w:r>
      <w:r w:rsidRPr="009D6A79">
        <w:rPr>
          <w:rFonts w:cs="Arial"/>
          <w:szCs w:val="20"/>
        </w:rPr>
        <w:t xml:space="preserve"> mezi ekonomicky aktivní patřila téměř polovina všech obyvatel. V České republice a na Slovensku byl podíl ekonomicky aktivních na celkovém počtu obyvatel </w:t>
      </w:r>
      <w:r>
        <w:rPr>
          <w:rFonts w:cs="Arial"/>
          <w:szCs w:val="20"/>
        </w:rPr>
        <w:t>zcela shodný</w:t>
      </w:r>
      <w:r w:rsidRPr="009D6A79">
        <w:rPr>
          <w:rFonts w:cs="Arial"/>
          <w:szCs w:val="20"/>
        </w:rPr>
        <w:t xml:space="preserve">. V Polsku </w:t>
      </w:r>
      <w:r>
        <w:rPr>
          <w:rFonts w:cs="Arial"/>
          <w:szCs w:val="20"/>
        </w:rPr>
        <w:t xml:space="preserve">a Maďarsku </w:t>
      </w:r>
      <w:r w:rsidRPr="009D6A79">
        <w:rPr>
          <w:rFonts w:cs="Arial"/>
          <w:szCs w:val="20"/>
        </w:rPr>
        <w:t xml:space="preserve">byl </w:t>
      </w:r>
      <w:r>
        <w:rPr>
          <w:rFonts w:cs="Arial"/>
          <w:szCs w:val="20"/>
        </w:rPr>
        <w:t xml:space="preserve">nižší </w:t>
      </w:r>
      <w:r w:rsidRPr="009D6A79">
        <w:rPr>
          <w:rFonts w:cs="Arial"/>
          <w:szCs w:val="20"/>
        </w:rPr>
        <w:t xml:space="preserve">o 2,6 </w:t>
      </w:r>
      <w:r>
        <w:rPr>
          <w:rFonts w:cs="Arial"/>
          <w:szCs w:val="20"/>
        </w:rPr>
        <w:t xml:space="preserve">resp. 3,3 </w:t>
      </w:r>
      <w:r w:rsidRPr="009D6A79">
        <w:rPr>
          <w:rFonts w:cs="Arial"/>
          <w:szCs w:val="20"/>
        </w:rPr>
        <w:t>procentních bodů.</w:t>
      </w:r>
      <w:r>
        <w:rPr>
          <w:rFonts w:cs="Arial"/>
          <w:szCs w:val="20"/>
        </w:rPr>
        <w:t xml:space="preserve"> Ve vztahu k pracovní síle (osobám 15tiletým a starším) byly hodnoty míry ekonomické aktivity ve stejných relacích</w:t>
      </w:r>
      <w:r w:rsidR="00B23245">
        <w:rPr>
          <w:rFonts w:cs="Arial"/>
          <w:szCs w:val="20"/>
        </w:rPr>
        <w:t xml:space="preserve"> (tab. 5)</w:t>
      </w:r>
      <w:r>
        <w:rPr>
          <w:rFonts w:cs="Arial"/>
          <w:szCs w:val="20"/>
        </w:rPr>
        <w:t>.</w:t>
      </w:r>
    </w:p>
    <w:p w:rsidR="004F32C4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>Mezi ekonomicky aktivními mírně převažovali muži. Ve všech zemích V4 bylo jejich zastoupení mezi ekonomicky aktivními podobné</w:t>
      </w:r>
      <w:r>
        <w:rPr>
          <w:rFonts w:cs="Arial"/>
          <w:szCs w:val="20"/>
        </w:rPr>
        <w:t xml:space="preserve"> a pohybovalo se mezi 53,3 % (Maďarsko) až 54,5 % (Polsko).</w:t>
      </w:r>
    </w:p>
    <w:p w:rsidR="004F32C4" w:rsidRPr="00BA283E" w:rsidRDefault="00D2245D" w:rsidP="004F32C4">
      <w:pPr>
        <w:spacing w:line="288" w:lineRule="auto"/>
        <w:rPr>
          <w:b/>
        </w:rPr>
      </w:pPr>
      <w:r w:rsidRPr="00BA283E">
        <w:rPr>
          <w:b/>
        </w:rPr>
        <w:lastRenderedPageBreak/>
        <w:t>Tab.</w:t>
      </w:r>
      <w:r w:rsidR="00213BA3" w:rsidRPr="00BA283E">
        <w:rPr>
          <w:b/>
        </w:rPr>
        <w:t xml:space="preserve"> </w:t>
      </w:r>
      <w:r w:rsidR="008E293A">
        <w:rPr>
          <w:b/>
        </w:rPr>
        <w:t>5</w:t>
      </w:r>
      <w:r w:rsidRPr="00BA283E">
        <w:rPr>
          <w:b/>
        </w:rPr>
        <w:t>:</w:t>
      </w:r>
      <w:r w:rsidR="004F32C4" w:rsidRPr="00BA283E">
        <w:rPr>
          <w:b/>
        </w:rPr>
        <w:t xml:space="preserve"> Ekonomicky aktivní ve státech V4 podle sčítání 2011</w:t>
      </w:r>
    </w:p>
    <w:tbl>
      <w:tblPr>
        <w:tblW w:w="84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36"/>
        <w:gridCol w:w="1184"/>
        <w:gridCol w:w="1041"/>
        <w:gridCol w:w="1319"/>
        <w:gridCol w:w="1343"/>
        <w:gridCol w:w="909"/>
        <w:gridCol w:w="1199"/>
        <w:gridCol w:w="909"/>
      </w:tblGrid>
      <w:tr w:rsidR="004F32C4" w:rsidRPr="00037EBF" w:rsidTr="00531459">
        <w:trPr>
          <w:trHeight w:val="300"/>
        </w:trPr>
        <w:tc>
          <w:tcPr>
            <w:tcW w:w="1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:rsidR="004F32C4" w:rsidRPr="00037EBF" w:rsidRDefault="004F32C4" w:rsidP="00531459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Stát</w:t>
            </w:r>
            <w:r w:rsidR="00531459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, pohlaví</w:t>
            </w:r>
          </w:p>
        </w:tc>
        <w:tc>
          <w:tcPr>
            <w:tcW w:w="2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Ekonomicky aktivní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v tom</w:t>
            </w:r>
          </w:p>
        </w:tc>
      </w:tr>
      <w:tr w:rsidR="004F32C4" w:rsidRPr="00037EBF" w:rsidTr="00BF4C2C">
        <w:trPr>
          <w:trHeight w:val="300"/>
        </w:trPr>
        <w:tc>
          <w:tcPr>
            <w:tcW w:w="1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zaměstnaní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nezaměstnaní</w:t>
            </w:r>
          </w:p>
        </w:tc>
      </w:tr>
      <w:tr w:rsidR="004F32C4" w:rsidRPr="00037EBF" w:rsidTr="00BF4C2C">
        <w:trPr>
          <w:trHeight w:val="720"/>
        </w:trPr>
        <w:tc>
          <w:tcPr>
            <w:tcW w:w="1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abs</w:t>
            </w:r>
            <w:proofErr w:type="spellEnd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míra ekonomické aktivity (%)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abs</w:t>
            </w:r>
            <w:proofErr w:type="spellEnd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rel</w:t>
            </w:r>
            <w:proofErr w:type="spellEnd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abs</w:t>
            </w:r>
            <w:proofErr w:type="spellEnd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rel</w:t>
            </w:r>
            <w:proofErr w:type="spellEnd"/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.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CZ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5 080 573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56,8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4 580 714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90,2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499 859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9,8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2 750 039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63,3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2 491 996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90,6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258 043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9,4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2 330 534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50,6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2 088 718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89,6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241 816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10,4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HU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4 511 220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53,1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3 942 723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87,4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568 497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12,6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2 405 915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60,5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2 101 551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87,3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304 364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12,7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2 105 305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46,6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1 841 172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87,5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264 133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12,5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PL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17 576 246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54,5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15 443 421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87,9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2 132 825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12,1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9 571 697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61,9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8 451 918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88,3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1 119 779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11,7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8 004 549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47,6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6 991 503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87,3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1 013 046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12,7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SK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2 630 052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57,5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2 186 967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83,2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443 085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16,8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1 422 590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64,6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1 180 541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83,0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242 049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17,0</w:t>
            </w:r>
          </w:p>
        </w:tc>
      </w:tr>
      <w:tr w:rsidR="004F32C4" w:rsidRPr="00037EBF" w:rsidTr="00BF4C2C">
        <w:trPr>
          <w:trHeight w:val="300"/>
        </w:trPr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F81BD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1 207 462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51,0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1 006 426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83,4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201 036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32C4" w:rsidRPr="00037EBF" w:rsidRDefault="004F32C4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37EB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16,6</w:t>
            </w:r>
          </w:p>
        </w:tc>
      </w:tr>
    </w:tbl>
    <w:p w:rsidR="004F32C4" w:rsidRDefault="004F32C4" w:rsidP="004F32C4">
      <w:pPr>
        <w:rPr>
          <w:rFonts w:cs="Arial"/>
          <w:szCs w:val="20"/>
        </w:rPr>
      </w:pPr>
    </w:p>
    <w:p w:rsidR="004F32C4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>Struktura ekonomicky aktivních podle věku byla ve všech zemích V4</w:t>
      </w:r>
      <w:r>
        <w:rPr>
          <w:rFonts w:cs="Arial"/>
          <w:szCs w:val="20"/>
        </w:rPr>
        <w:t xml:space="preserve"> podobná</w:t>
      </w:r>
      <w:r w:rsidRPr="009D6A79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Srovnatelné byly i faktory ovlivňující ekonomickou aktivitu: věk ukončení povinné školní docházky a věk pro odchod do starobního důchodu.</w:t>
      </w:r>
      <w:r w:rsidRPr="009D6A79">
        <w:rPr>
          <w:rFonts w:cs="Arial"/>
          <w:szCs w:val="20"/>
        </w:rPr>
        <w:t xml:space="preserve"> </w:t>
      </w: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>Mezi ekonomicky aktivními byla n</w:t>
      </w:r>
      <w:r w:rsidRPr="009D6A79">
        <w:rPr>
          <w:rFonts w:cs="Arial"/>
          <w:szCs w:val="20"/>
        </w:rPr>
        <w:t>ejvíc</w:t>
      </w:r>
      <w:r w:rsidR="007002C2">
        <w:rPr>
          <w:rFonts w:cs="Arial"/>
          <w:szCs w:val="20"/>
        </w:rPr>
        <w:t>e zastoupena věková skupina 30 až</w:t>
      </w:r>
      <w:r w:rsidRPr="009D6A79">
        <w:rPr>
          <w:rFonts w:cs="Arial"/>
          <w:szCs w:val="20"/>
        </w:rPr>
        <w:t xml:space="preserve"> 49 let. V Polsku tvořila polovinu (49,9 %), v České republice a na Slovensku 52,1 %, resp. 52,2 % a v Maďarsku dokonce 54,9 %. Zhruba čtvrtina ekonom</w:t>
      </w:r>
      <w:r w:rsidR="007002C2">
        <w:rPr>
          <w:rFonts w:cs="Arial"/>
          <w:szCs w:val="20"/>
        </w:rPr>
        <w:t>icky aktivních byla ve věku 50 až</w:t>
      </w:r>
      <w:r w:rsidRPr="009D6A79">
        <w:rPr>
          <w:rFonts w:cs="Arial"/>
          <w:szCs w:val="20"/>
        </w:rPr>
        <w:t xml:space="preserve"> 64 let. Významněji zastoupenou skupinou byla </w:t>
      </w:r>
      <w:r>
        <w:rPr>
          <w:rFonts w:cs="Arial"/>
          <w:szCs w:val="20"/>
        </w:rPr>
        <w:t>i nejmladší věková skupina</w:t>
      </w:r>
      <w:r w:rsidR="007002C2">
        <w:rPr>
          <w:rFonts w:cs="Arial"/>
          <w:szCs w:val="20"/>
        </w:rPr>
        <w:t xml:space="preserve"> 15 až</w:t>
      </w:r>
      <w:r w:rsidRPr="009D6A79">
        <w:rPr>
          <w:rFonts w:cs="Arial"/>
          <w:szCs w:val="20"/>
        </w:rPr>
        <w:t xml:space="preserve"> 29 let. Zde byly rozdíly mezi jednotlivými zeměmi výraznější</w:t>
      </w:r>
      <w:r w:rsidRPr="009D6A79">
        <w:rPr>
          <w:rFonts w:cs="Arial"/>
          <w:szCs w:val="20"/>
          <w:lang w:val="en-US"/>
        </w:rPr>
        <w:t>;</w:t>
      </w:r>
      <w:r w:rsidRPr="009D6A79">
        <w:rPr>
          <w:rFonts w:cs="Arial"/>
          <w:szCs w:val="20"/>
        </w:rPr>
        <w:t xml:space="preserve"> v Maďarsku bylo v tomto věku pouze 18,9 % ekonomicky aktivních, v České republice 20,2 % a na Slovensku 21,2 %. Naproti tomu v P</w:t>
      </w:r>
      <w:r w:rsidR="007002C2">
        <w:rPr>
          <w:rFonts w:cs="Arial"/>
          <w:szCs w:val="20"/>
        </w:rPr>
        <w:t>olsku byla věková kategorie 15 až</w:t>
      </w:r>
      <w:r w:rsidRPr="009D6A79">
        <w:rPr>
          <w:rFonts w:cs="Arial"/>
          <w:szCs w:val="20"/>
        </w:rPr>
        <w:t xml:space="preserve"> 29 let zastoupena 25,2 %, což bylo více než </w:t>
      </w:r>
      <w:r w:rsidRPr="00F83447">
        <w:rPr>
          <w:rFonts w:cs="Arial"/>
          <w:szCs w:val="20"/>
        </w:rPr>
        <w:t>e</w:t>
      </w:r>
      <w:r w:rsidR="007002C2" w:rsidRPr="00F83447">
        <w:rPr>
          <w:rFonts w:cs="Arial"/>
          <w:szCs w:val="20"/>
        </w:rPr>
        <w:t>konomicky aktivní</w:t>
      </w:r>
      <w:r w:rsidR="00F83447" w:rsidRPr="00F83447">
        <w:rPr>
          <w:rFonts w:cs="Arial"/>
          <w:szCs w:val="20"/>
        </w:rPr>
        <w:t>ch</w:t>
      </w:r>
      <w:r w:rsidR="007002C2" w:rsidRPr="00F83447">
        <w:rPr>
          <w:rFonts w:cs="Arial"/>
          <w:szCs w:val="20"/>
        </w:rPr>
        <w:t xml:space="preserve"> ve věku</w:t>
      </w:r>
      <w:r w:rsidR="007002C2">
        <w:rPr>
          <w:rFonts w:cs="Arial"/>
          <w:szCs w:val="20"/>
        </w:rPr>
        <w:t xml:space="preserve"> 50 až</w:t>
      </w:r>
      <w:r w:rsidRPr="009D6A79">
        <w:rPr>
          <w:rFonts w:cs="Arial"/>
          <w:szCs w:val="20"/>
        </w:rPr>
        <w:t xml:space="preserve"> 64 let.</w:t>
      </w:r>
      <w:r>
        <w:rPr>
          <w:rFonts w:cs="Arial"/>
          <w:szCs w:val="20"/>
        </w:rPr>
        <w:t xml:space="preserve"> </w:t>
      </w:r>
      <w:r w:rsidRPr="009D6A79">
        <w:rPr>
          <w:rFonts w:cs="Arial"/>
          <w:szCs w:val="20"/>
        </w:rPr>
        <w:t>Nejstarší věková skupina</w:t>
      </w:r>
      <w:r>
        <w:rPr>
          <w:rFonts w:cs="Arial"/>
          <w:szCs w:val="20"/>
        </w:rPr>
        <w:t>, 60 – 64 let,</w:t>
      </w:r>
      <w:r w:rsidRPr="009D6A79">
        <w:rPr>
          <w:rFonts w:cs="Arial"/>
          <w:szCs w:val="20"/>
        </w:rPr>
        <w:t xml:space="preserve"> byla mezi ekonomicky aktivními zastoupena jen nepatrně (nejvíce v ČR 1,9 %, v ostatních zemích </w:t>
      </w:r>
      <w:r>
        <w:rPr>
          <w:rFonts w:cs="Arial"/>
          <w:szCs w:val="20"/>
        </w:rPr>
        <w:t>zhruba 1</w:t>
      </w:r>
      <w:r w:rsidRPr="009D6A79">
        <w:rPr>
          <w:rFonts w:cs="Arial"/>
          <w:szCs w:val="20"/>
        </w:rPr>
        <w:t xml:space="preserve"> %).</w:t>
      </w:r>
    </w:p>
    <w:p w:rsidR="004F32C4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>Podíl zaměstnaných na celkovém počtu ekonomicky aktivních osob se</w:t>
      </w:r>
      <w:r>
        <w:rPr>
          <w:rFonts w:cs="Arial"/>
          <w:szCs w:val="20"/>
        </w:rPr>
        <w:t xml:space="preserve"> v</w:t>
      </w:r>
      <w:r w:rsidRPr="009D6A79">
        <w:rPr>
          <w:rFonts w:cs="Arial"/>
          <w:szCs w:val="20"/>
        </w:rPr>
        <w:t xml:space="preserve"> jednotlivých zemích lišil</w:t>
      </w:r>
      <w:r>
        <w:rPr>
          <w:rFonts w:cs="Arial"/>
          <w:szCs w:val="20"/>
        </w:rPr>
        <w:t xml:space="preserve"> a byl determinován různou úrovní nezaměstnanosti</w:t>
      </w:r>
      <w:r w:rsidRPr="009D6A79">
        <w:rPr>
          <w:rFonts w:cs="Arial"/>
          <w:szCs w:val="20"/>
        </w:rPr>
        <w:t xml:space="preserve">. Nejvyšší podíl zaměstnaných byl zaznamenán v České republice, </w:t>
      </w:r>
      <w:r>
        <w:rPr>
          <w:rFonts w:cs="Arial"/>
          <w:szCs w:val="20"/>
        </w:rPr>
        <w:t>n</w:t>
      </w:r>
      <w:r w:rsidRPr="009D6A79">
        <w:rPr>
          <w:rFonts w:cs="Arial"/>
          <w:szCs w:val="20"/>
        </w:rPr>
        <w:t>ejnižší na Slovensku</w:t>
      </w:r>
      <w:r>
        <w:rPr>
          <w:rFonts w:cs="Arial"/>
          <w:szCs w:val="20"/>
        </w:rPr>
        <w:t>.</w:t>
      </w:r>
    </w:p>
    <w:p w:rsidR="004F32C4" w:rsidRDefault="005C16DB" w:rsidP="004F32C4">
      <w:pPr>
        <w:rPr>
          <w:rFonts w:cs="Arial"/>
          <w:szCs w:val="20"/>
        </w:rPr>
      </w:pPr>
      <w:r w:rsidRPr="00270B5C">
        <w:rPr>
          <w:rFonts w:cs="Arial"/>
          <w:szCs w:val="20"/>
        </w:rPr>
        <w:t>Ve všech zemích se výrazně lišila vzdělanostní struktura v rámci skupiny ekonomicky aktivních – mezi zaměstnanými a nezaměstnanými.</w:t>
      </w:r>
      <w:r w:rsidRPr="00AA60B1">
        <w:rPr>
          <w:rFonts w:cs="Arial"/>
          <w:szCs w:val="20"/>
        </w:rPr>
        <w:t xml:space="preserve"> Mezi nezaměstnanými bylo patrné větší zastoupení osob s nižším stupněm vzdělání resp. osob s pouhým základním vzděláním, tedy bez jakékoliv odbornosti a kvalifikace. V Polsku byly zastoupeny mezi nezaměstnanými 16,7 %, v České republice 21,9 %, na Slovensku a v Maďarsku 27,7 % a 29,6 % ze všech nezaměstnaných. Naproti tomu ve skupině zaměstnaných byly osoby se základním vč. neukončeného vzdělání zastoupeny na Slovensku pouze 4,4 %, v ČR 6,3 %, v Polsku a Maďarsku 7,7 % a 11,4 %. Podíly osob se středoškolským vzděláním (ISCED 3) </w:t>
      </w:r>
      <w:r>
        <w:rPr>
          <w:rFonts w:cs="Arial"/>
          <w:szCs w:val="20"/>
        </w:rPr>
        <w:t>byly</w:t>
      </w:r>
      <w:r w:rsidRPr="00AA60B1">
        <w:rPr>
          <w:rFonts w:cs="Arial"/>
          <w:szCs w:val="20"/>
        </w:rPr>
        <w:t xml:space="preserve"> mezi zaměstnanými a </w:t>
      </w:r>
      <w:r w:rsidRPr="00AA60B1">
        <w:rPr>
          <w:rFonts w:cs="Arial"/>
          <w:szCs w:val="20"/>
        </w:rPr>
        <w:lastRenderedPageBreak/>
        <w:t>nezaměstnanými podobné. Naopak zastoupení vysokoškoláků (ISCED 5 a 6) se u zaměstnaných a nezaměstnaných liší. Jejich zastoupení mezi zaměstnanými v porovnání s nezaměstnanými je zhruba dvojnásobné, v pří</w:t>
      </w:r>
      <w:r>
        <w:rPr>
          <w:rFonts w:cs="Arial"/>
          <w:szCs w:val="20"/>
        </w:rPr>
        <w:t>padě Slovenska trojnásobné (g</w:t>
      </w:r>
      <w:r w:rsidRPr="00AA60B1">
        <w:rPr>
          <w:rFonts w:cs="Arial"/>
          <w:szCs w:val="20"/>
        </w:rPr>
        <w:t xml:space="preserve">raf </w:t>
      </w:r>
      <w:r>
        <w:rPr>
          <w:rFonts w:cs="Arial"/>
          <w:szCs w:val="20"/>
        </w:rPr>
        <w:t>7</w:t>
      </w:r>
      <w:r w:rsidRPr="00AA60B1">
        <w:rPr>
          <w:rFonts w:cs="Arial"/>
          <w:szCs w:val="20"/>
        </w:rPr>
        <w:t>).</w:t>
      </w:r>
    </w:p>
    <w:p w:rsidR="00DA464F" w:rsidRDefault="00DA464F" w:rsidP="004F32C4">
      <w:pPr>
        <w:rPr>
          <w:rFonts w:cs="Arial"/>
          <w:szCs w:val="20"/>
          <w:highlight w:val="red"/>
        </w:rPr>
      </w:pPr>
    </w:p>
    <w:p w:rsidR="009942C0" w:rsidRPr="00013EC0" w:rsidRDefault="004F32C4" w:rsidP="004F32C4">
      <w:pPr>
        <w:rPr>
          <w:rFonts w:cs="Arial"/>
          <w:b/>
          <w:szCs w:val="20"/>
        </w:rPr>
      </w:pPr>
      <w:r w:rsidRPr="00013EC0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7</w:t>
      </w:r>
      <w:r w:rsidR="00DA464F" w:rsidRPr="00013EC0">
        <w:rPr>
          <w:rFonts w:cs="Arial"/>
          <w:b/>
          <w:szCs w:val="20"/>
        </w:rPr>
        <w:t>:</w:t>
      </w:r>
      <w:r w:rsidRPr="00013EC0">
        <w:rPr>
          <w:rFonts w:cs="Arial"/>
          <w:b/>
          <w:szCs w:val="20"/>
        </w:rPr>
        <w:t xml:space="preserve"> Vzdělanostní struktura ekonomicky aktivních ve státech V4 podle sčítání 2011</w:t>
      </w:r>
    </w:p>
    <w:p w:rsidR="004F32C4" w:rsidRDefault="001D33B9" w:rsidP="004F32C4">
      <w:pPr>
        <w:rPr>
          <w:rFonts w:cs="Arial"/>
          <w:szCs w:val="20"/>
        </w:rPr>
      </w:pPr>
      <w:r w:rsidRPr="001D33B9">
        <w:rPr>
          <w:noProof/>
          <w:szCs w:val="20"/>
          <w:lang w:eastAsia="cs-CZ"/>
        </w:rPr>
        <w:drawing>
          <wp:inline distT="0" distB="0" distL="0" distR="0">
            <wp:extent cx="4668520" cy="2903591"/>
            <wp:effectExtent l="19050" t="19050" r="17780" b="11059"/>
            <wp:docPr id="5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903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Default="004F32C4" w:rsidP="004F32C4">
      <w:pPr>
        <w:rPr>
          <w:rFonts w:cs="Arial"/>
          <w:szCs w:val="20"/>
        </w:rPr>
      </w:pPr>
    </w:p>
    <w:p w:rsidR="004F32C4" w:rsidRPr="00FE57EA" w:rsidRDefault="00FE57EA" w:rsidP="003A4B8D">
      <w:pPr>
        <w:rPr>
          <w:rFonts w:cs="Arial"/>
          <w:b/>
          <w:szCs w:val="20"/>
        </w:rPr>
      </w:pPr>
      <w:r w:rsidRPr="00FE57EA">
        <w:rPr>
          <w:rFonts w:cs="Arial"/>
          <w:b/>
          <w:szCs w:val="20"/>
        </w:rPr>
        <w:t xml:space="preserve">2.2.1 </w:t>
      </w:r>
      <w:r w:rsidR="004F32C4" w:rsidRPr="00FE57EA">
        <w:rPr>
          <w:rFonts w:cs="Arial"/>
          <w:b/>
          <w:szCs w:val="20"/>
        </w:rPr>
        <w:t>Zaměstnaní</w:t>
      </w:r>
    </w:p>
    <w:p w:rsidR="004F32C4" w:rsidRPr="009D6A79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>Ve věkové struktuře zaměstnaných nebyly mezi zeměmi V 4 větší rozdíly</w:t>
      </w:r>
      <w:r>
        <w:rPr>
          <w:rFonts w:cs="Arial"/>
          <w:szCs w:val="20"/>
        </w:rPr>
        <w:t xml:space="preserve"> s výjimkou nejmladší skupiny zaměst</w:t>
      </w:r>
      <w:r w:rsidR="00DF3D0D">
        <w:rPr>
          <w:rFonts w:cs="Arial"/>
          <w:szCs w:val="20"/>
        </w:rPr>
        <w:t>naných (15 -</w:t>
      </w:r>
      <w:r w:rsidR="002E7DBC">
        <w:rPr>
          <w:rFonts w:cs="Arial"/>
          <w:szCs w:val="20"/>
        </w:rPr>
        <w:t xml:space="preserve"> </w:t>
      </w:r>
      <w:r w:rsidR="00DF3D0D">
        <w:rPr>
          <w:rFonts w:cs="Arial"/>
          <w:szCs w:val="20"/>
        </w:rPr>
        <w:t>29 let</w:t>
      </w:r>
      <w:r w:rsidR="002E7DBC">
        <w:rPr>
          <w:rFonts w:cs="Arial"/>
          <w:szCs w:val="20"/>
        </w:rPr>
        <w:t>,</w:t>
      </w:r>
      <w:r w:rsidR="00DF3D0D">
        <w:rPr>
          <w:rFonts w:cs="Arial"/>
          <w:szCs w:val="20"/>
        </w:rPr>
        <w:t xml:space="preserve"> graf </w:t>
      </w:r>
      <w:r w:rsidR="00B0440D">
        <w:rPr>
          <w:rFonts w:cs="Arial"/>
          <w:szCs w:val="20"/>
        </w:rPr>
        <w:t>8</w:t>
      </w:r>
      <w:r w:rsidR="00DF3D0D">
        <w:rPr>
          <w:rFonts w:cs="Arial"/>
          <w:szCs w:val="20"/>
        </w:rPr>
        <w:t>)</w:t>
      </w:r>
      <w:r w:rsidR="00E72787">
        <w:rPr>
          <w:rFonts w:cs="Arial"/>
          <w:szCs w:val="20"/>
        </w:rPr>
        <w:t>.</w:t>
      </w:r>
    </w:p>
    <w:p w:rsidR="004F32C4" w:rsidRPr="009D6A79" w:rsidRDefault="004F32C4" w:rsidP="004F32C4">
      <w:pPr>
        <w:rPr>
          <w:rFonts w:cs="Arial"/>
          <w:szCs w:val="20"/>
        </w:rPr>
      </w:pPr>
    </w:p>
    <w:p w:rsidR="004F32C4" w:rsidRPr="00013EC0" w:rsidRDefault="00DF3D0D" w:rsidP="004F32C4">
      <w:pPr>
        <w:rPr>
          <w:rFonts w:cs="Arial"/>
          <w:b/>
          <w:szCs w:val="20"/>
        </w:rPr>
      </w:pPr>
      <w:r w:rsidRPr="00013EC0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8</w:t>
      </w:r>
      <w:r w:rsidRPr="00013EC0">
        <w:rPr>
          <w:rFonts w:cs="Arial"/>
          <w:b/>
          <w:szCs w:val="20"/>
        </w:rPr>
        <w:t>:</w:t>
      </w:r>
      <w:r w:rsidR="004F32C4" w:rsidRPr="00013EC0">
        <w:rPr>
          <w:rFonts w:cs="Arial"/>
          <w:b/>
          <w:szCs w:val="20"/>
        </w:rPr>
        <w:t xml:space="preserve"> Věková struktura zaměstnaných ve státech V4 podle sčítání 2011</w:t>
      </w:r>
    </w:p>
    <w:p w:rsidR="004F32C4" w:rsidRPr="009D6A79" w:rsidRDefault="00C12503" w:rsidP="004F32C4">
      <w:pPr>
        <w:rPr>
          <w:rFonts w:cs="Arial"/>
          <w:szCs w:val="20"/>
        </w:rPr>
      </w:pPr>
      <w:r w:rsidRPr="00C12503">
        <w:rPr>
          <w:noProof/>
          <w:szCs w:val="20"/>
          <w:lang w:eastAsia="cs-CZ"/>
        </w:rPr>
        <w:drawing>
          <wp:inline distT="0" distB="0" distL="0" distR="0">
            <wp:extent cx="4668053" cy="2581275"/>
            <wp:effectExtent l="19050" t="19050" r="18247" b="28575"/>
            <wp:docPr id="5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53" cy="258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6DB" w:rsidRDefault="005C16DB" w:rsidP="005C16DB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Struktura zaměstnaných podle věku byla v podobných relacích jako struktura ekonomicky aktivních podle věku. </w:t>
      </w:r>
      <w:r w:rsidRPr="009D6A79">
        <w:rPr>
          <w:rFonts w:cs="Arial"/>
          <w:szCs w:val="20"/>
        </w:rPr>
        <w:t xml:space="preserve">Více než polovina zaměstnaných byla ve věku 30 – 49 let (51,3 % Polsko až 55,5 % Maďarsko). </w:t>
      </w:r>
      <w:r>
        <w:rPr>
          <w:rFonts w:cs="Arial"/>
          <w:szCs w:val="20"/>
        </w:rPr>
        <w:t>N</w:t>
      </w:r>
      <w:r w:rsidRPr="009D6A79">
        <w:rPr>
          <w:rFonts w:cs="Arial"/>
          <w:szCs w:val="20"/>
        </w:rPr>
        <w:t xml:space="preserve">ejmladší věková skupina </w:t>
      </w:r>
      <w:r>
        <w:rPr>
          <w:rFonts w:cs="Arial"/>
          <w:szCs w:val="20"/>
        </w:rPr>
        <w:t>do</w:t>
      </w:r>
      <w:r w:rsidRPr="009D6A79">
        <w:rPr>
          <w:rFonts w:cs="Arial"/>
          <w:szCs w:val="20"/>
        </w:rPr>
        <w:t xml:space="preserve"> 29 let</w:t>
      </w:r>
      <w:r>
        <w:rPr>
          <w:rFonts w:cs="Arial"/>
          <w:szCs w:val="20"/>
        </w:rPr>
        <w:t xml:space="preserve"> měla nejvíce variabilní podíly na počtu zaměstnaných </w:t>
      </w:r>
      <w:r w:rsidRPr="009D6A79">
        <w:rPr>
          <w:rFonts w:cs="Arial"/>
          <w:szCs w:val="20"/>
        </w:rPr>
        <w:t>(17,6 % Maďarsko až 23,0 % Polsko).</w:t>
      </w:r>
    </w:p>
    <w:p w:rsidR="004F32C4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>Necelou polovinu zaměst</w:t>
      </w:r>
      <w:r w:rsidR="00D32E9D">
        <w:rPr>
          <w:rFonts w:cs="Arial"/>
          <w:szCs w:val="20"/>
        </w:rPr>
        <w:t>naných tvořily ženy. V zemích V</w:t>
      </w:r>
      <w:r w:rsidRPr="009D6A79">
        <w:rPr>
          <w:rFonts w:cs="Arial"/>
          <w:szCs w:val="20"/>
        </w:rPr>
        <w:t>4 nebyly významné rozdíly v zastoupení žen</w:t>
      </w:r>
      <w:r w:rsidRPr="009D6A79">
        <w:rPr>
          <w:rFonts w:cs="Arial"/>
          <w:szCs w:val="20"/>
          <w:lang w:val="en-US"/>
        </w:rPr>
        <w:t>;</w:t>
      </w:r>
      <w:r w:rsidRPr="009D6A79">
        <w:rPr>
          <w:rFonts w:cs="Arial"/>
          <w:szCs w:val="20"/>
        </w:rPr>
        <w:t xml:space="preserve"> v ČR 45,6 %, v Maďarsku 46,7 %, v Polsku 45,3 % a na Slovensku 46,0 %.  </w:t>
      </w:r>
    </w:p>
    <w:p w:rsidR="004F32C4" w:rsidRDefault="004F32C4" w:rsidP="004F32C4">
      <w:pPr>
        <w:rPr>
          <w:rFonts w:cs="Arial"/>
          <w:szCs w:val="20"/>
        </w:rPr>
      </w:pPr>
      <w:r w:rsidRPr="009D6A79">
        <w:rPr>
          <w:rFonts w:cs="Arial"/>
          <w:szCs w:val="20"/>
        </w:rPr>
        <w:t xml:space="preserve">Struktura zaměstnaných </w:t>
      </w:r>
      <w:r>
        <w:rPr>
          <w:rFonts w:cs="Arial"/>
          <w:szCs w:val="20"/>
        </w:rPr>
        <w:t>z hlediska sektorového rozložení měla ve všech státech V4 typické proporce – tedy nejvyšší zastoupení služeb a nejnižší podíl primárního sektoru, zejména zemědělství. Přesto existovaly mezi zeměmi V4 nezanedbatelné rozdíly. Např. Polsko mělo zastoupení primárního sektoru, zejména pak odvětví zemědělství</w:t>
      </w:r>
      <w:r w:rsidR="002E7DBC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na počtu zaměstnaných osob více než trojnásobné ve srovnání s ostatními zeměmi V4. </w:t>
      </w:r>
    </w:p>
    <w:p w:rsidR="004F32C4" w:rsidRDefault="004F32C4" w:rsidP="004F32C4">
      <w:pPr>
        <w:rPr>
          <w:rFonts w:cs="Arial"/>
          <w:szCs w:val="20"/>
        </w:rPr>
      </w:pPr>
    </w:p>
    <w:p w:rsidR="004F32C4" w:rsidRDefault="00FE57EA" w:rsidP="004F32C4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2.2.1.1 </w:t>
      </w:r>
      <w:r w:rsidR="00013EC0">
        <w:rPr>
          <w:rFonts w:cs="Arial"/>
          <w:b/>
          <w:szCs w:val="20"/>
        </w:rPr>
        <w:t xml:space="preserve">Struktura </w:t>
      </w:r>
      <w:r>
        <w:rPr>
          <w:rFonts w:cs="Arial"/>
          <w:b/>
          <w:szCs w:val="20"/>
        </w:rPr>
        <w:t xml:space="preserve">zaměstnaných </w:t>
      </w:r>
      <w:r w:rsidR="00013EC0">
        <w:rPr>
          <w:rFonts w:cs="Arial"/>
          <w:b/>
          <w:szCs w:val="20"/>
        </w:rPr>
        <w:t>podle o</w:t>
      </w:r>
      <w:r w:rsidR="004F32C4" w:rsidRPr="004A2AA7">
        <w:rPr>
          <w:rFonts w:cs="Arial"/>
          <w:b/>
          <w:szCs w:val="20"/>
        </w:rPr>
        <w:t xml:space="preserve">dvětví ekonomické činnosti </w:t>
      </w:r>
    </w:p>
    <w:p w:rsidR="00336520" w:rsidRDefault="00772A67" w:rsidP="004F32C4">
      <w:pPr>
        <w:rPr>
          <w:rFonts w:cs="Arial"/>
          <w:szCs w:val="20"/>
        </w:rPr>
      </w:pPr>
      <w:r>
        <w:rPr>
          <w:rFonts w:cs="Arial"/>
          <w:szCs w:val="20"/>
        </w:rPr>
        <w:t xml:space="preserve">Jednotlivá odvětví ekonomické činnosti byly pro větší názornost vhodně sloučeny do skupin. </w:t>
      </w:r>
    </w:p>
    <w:p w:rsidR="00336520" w:rsidRPr="00336520" w:rsidRDefault="00336520" w:rsidP="004F32C4">
      <w:pPr>
        <w:rPr>
          <w:rFonts w:cs="Arial"/>
          <w:szCs w:val="20"/>
        </w:rPr>
      </w:pPr>
    </w:p>
    <w:p w:rsidR="004F32C4" w:rsidRPr="00013EC0" w:rsidRDefault="004F32C4" w:rsidP="004F32C4">
      <w:pPr>
        <w:rPr>
          <w:rFonts w:cs="Arial"/>
          <w:b/>
          <w:szCs w:val="20"/>
        </w:rPr>
      </w:pPr>
      <w:r w:rsidRPr="00013EC0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9</w:t>
      </w:r>
      <w:r w:rsidR="00DF3D0D" w:rsidRPr="00013EC0">
        <w:rPr>
          <w:rFonts w:cs="Arial"/>
          <w:b/>
          <w:szCs w:val="20"/>
        </w:rPr>
        <w:t>:</w:t>
      </w:r>
      <w:r w:rsidRPr="00013EC0">
        <w:rPr>
          <w:rFonts w:cs="Arial"/>
          <w:b/>
          <w:szCs w:val="20"/>
        </w:rPr>
        <w:t xml:space="preserve"> Zaměstnaní podle odvětví ekonomické činnosti ve státech V4 podle sčítání 2011</w:t>
      </w:r>
    </w:p>
    <w:p w:rsidR="004F32C4" w:rsidRPr="009D6A79" w:rsidRDefault="00F00BDA" w:rsidP="004F32C4">
      <w:pPr>
        <w:rPr>
          <w:rFonts w:cs="Arial"/>
          <w:szCs w:val="20"/>
        </w:rPr>
      </w:pPr>
      <w:r w:rsidRPr="00F00BDA">
        <w:rPr>
          <w:noProof/>
          <w:szCs w:val="20"/>
          <w:lang w:eastAsia="cs-CZ"/>
        </w:rPr>
        <w:drawing>
          <wp:inline distT="0" distB="0" distL="0" distR="0">
            <wp:extent cx="5229225" cy="2628900"/>
            <wp:effectExtent l="19050" t="0" r="9525" b="0"/>
            <wp:docPr id="3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Default="004F32C4" w:rsidP="004F32C4">
      <w:pPr>
        <w:spacing w:line="288" w:lineRule="auto"/>
        <w:rPr>
          <w:rFonts w:cs="Arial"/>
          <w:sz w:val="14"/>
          <w:szCs w:val="16"/>
        </w:rPr>
      </w:pPr>
      <w:r w:rsidRPr="00713028">
        <w:rPr>
          <w:rFonts w:cs="Arial"/>
          <w:sz w:val="14"/>
          <w:szCs w:val="16"/>
        </w:rPr>
        <w:t>Pozn. služby (GHI) = velkoobchod a maloobchod; opravy a údržba motorových vozidel, doprava a skladování, ubytování, stravování a pohostinství, služby (OPQ) = veřejná správa a obrana, vzdělávání, zdravotní a sociální péče</w:t>
      </w:r>
    </w:p>
    <w:p w:rsidR="00186455" w:rsidRDefault="00186455" w:rsidP="004F32C4">
      <w:pPr>
        <w:rPr>
          <w:rFonts w:cs="Arial"/>
          <w:szCs w:val="20"/>
        </w:rPr>
      </w:pP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 xml:space="preserve">Dominantní </w:t>
      </w:r>
      <w:r w:rsidR="0021004F">
        <w:rPr>
          <w:rFonts w:cs="Arial"/>
          <w:szCs w:val="20"/>
        </w:rPr>
        <w:t xml:space="preserve">skupinou </w:t>
      </w:r>
      <w:r>
        <w:rPr>
          <w:rFonts w:cs="Arial"/>
          <w:szCs w:val="20"/>
        </w:rPr>
        <w:t xml:space="preserve">odvětví podle podílu zaměstnaných byly v ČR průmysl, </w:t>
      </w:r>
      <w:r w:rsidRPr="009D6A79">
        <w:rPr>
          <w:rFonts w:cs="Arial"/>
          <w:szCs w:val="20"/>
        </w:rPr>
        <w:t>velkoobchod a maloobchod; opravy a údržba motorových vozidel, doprava a skladování, ubytování, stravování a pohostinství</w:t>
      </w:r>
      <w:r>
        <w:rPr>
          <w:rFonts w:cs="Arial"/>
          <w:szCs w:val="20"/>
        </w:rPr>
        <w:t xml:space="preserve"> a </w:t>
      </w:r>
      <w:r w:rsidRPr="009D6A79">
        <w:rPr>
          <w:rFonts w:cs="Arial"/>
          <w:szCs w:val="20"/>
        </w:rPr>
        <w:t>veřejná správa a obrana, vzdělávání, zdravotní a sociální péče</w:t>
      </w:r>
      <w:r>
        <w:rPr>
          <w:rFonts w:cs="Arial"/>
          <w:szCs w:val="20"/>
        </w:rPr>
        <w:t>. Podobné zastoupení měli zaměstnaní také v Polsku a na Slovensku. V Maďarsku byla zmíněná odvětví také významně zastoupena, nejvyšší podíl zaměstnaných byl ale zaznamenán v</w:t>
      </w:r>
      <w:r w:rsidR="00A60734">
        <w:rPr>
          <w:rFonts w:cs="Arial"/>
          <w:szCs w:val="20"/>
        </w:rPr>
        <w:t xml:space="preserve"> skupině </w:t>
      </w:r>
      <w:r>
        <w:rPr>
          <w:rFonts w:cs="Arial"/>
          <w:szCs w:val="20"/>
        </w:rPr>
        <w:t xml:space="preserve">odvětví </w:t>
      </w:r>
      <w:r w:rsidRPr="009D6A79">
        <w:rPr>
          <w:rFonts w:cs="Arial"/>
          <w:szCs w:val="20"/>
        </w:rPr>
        <w:t>velkoobchod a maloobchod; opravy a údržba motorových vozidel, doprava a skladování, ubytování, stravování a pohostinství</w:t>
      </w:r>
      <w:r>
        <w:rPr>
          <w:rFonts w:cs="Arial"/>
          <w:szCs w:val="20"/>
        </w:rPr>
        <w:t xml:space="preserve">. </w:t>
      </w:r>
    </w:p>
    <w:p w:rsidR="004F32C4" w:rsidRPr="00FD517E" w:rsidRDefault="004F32C4" w:rsidP="004F32C4">
      <w:pPr>
        <w:rPr>
          <w:rFonts w:cs="Arial"/>
          <w:b/>
          <w:szCs w:val="20"/>
        </w:rPr>
      </w:pPr>
    </w:p>
    <w:p w:rsidR="005C16DB" w:rsidRDefault="005C16DB" w:rsidP="004F32C4">
      <w:pPr>
        <w:rPr>
          <w:rFonts w:cs="Arial"/>
          <w:b/>
          <w:szCs w:val="20"/>
        </w:rPr>
      </w:pPr>
    </w:p>
    <w:p w:rsidR="004F32C4" w:rsidRDefault="004F32C4" w:rsidP="004F32C4">
      <w:pPr>
        <w:rPr>
          <w:rFonts w:cs="Arial"/>
          <w:b/>
          <w:szCs w:val="20"/>
        </w:rPr>
      </w:pPr>
      <w:r w:rsidRPr="00FD517E">
        <w:rPr>
          <w:rFonts w:cs="Arial"/>
          <w:b/>
          <w:szCs w:val="20"/>
        </w:rPr>
        <w:lastRenderedPageBreak/>
        <w:t>Tab.</w:t>
      </w:r>
      <w:r w:rsidR="005420E3" w:rsidRPr="00FD517E">
        <w:rPr>
          <w:rFonts w:cs="Arial"/>
          <w:b/>
          <w:szCs w:val="20"/>
        </w:rPr>
        <w:t xml:space="preserve"> </w:t>
      </w:r>
      <w:r w:rsidR="005C267D">
        <w:rPr>
          <w:rFonts w:cs="Arial"/>
          <w:b/>
          <w:szCs w:val="20"/>
        </w:rPr>
        <w:t>6</w:t>
      </w:r>
      <w:r w:rsidRPr="00FD517E">
        <w:rPr>
          <w:rFonts w:cs="Arial"/>
          <w:b/>
          <w:szCs w:val="20"/>
        </w:rPr>
        <w:t>: Zaměstnaní ve vybraných odvětvích ekonomické činnosti ve státech V4 podle sčítání 2011</w:t>
      </w:r>
    </w:p>
    <w:p w:rsidR="00273B5F" w:rsidRPr="00FD517E" w:rsidRDefault="009372BC" w:rsidP="004F32C4">
      <w:pPr>
        <w:rPr>
          <w:rFonts w:cs="Arial"/>
          <w:b/>
          <w:szCs w:val="20"/>
        </w:rPr>
      </w:pPr>
      <w:r w:rsidRPr="009372BC">
        <w:rPr>
          <w:noProof/>
          <w:szCs w:val="20"/>
          <w:lang w:eastAsia="cs-CZ"/>
        </w:rPr>
        <w:drawing>
          <wp:inline distT="0" distB="0" distL="0" distR="0">
            <wp:extent cx="5400040" cy="2667712"/>
            <wp:effectExtent l="19050" t="0" r="0" b="0"/>
            <wp:docPr id="4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Default="004F32C4" w:rsidP="004F32C4">
      <w:pPr>
        <w:rPr>
          <w:rFonts w:cs="Arial"/>
          <w:szCs w:val="20"/>
        </w:rPr>
      </w:pPr>
    </w:p>
    <w:p w:rsidR="004F32C4" w:rsidRDefault="00FE57EA" w:rsidP="004F32C4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2.2.1.2 </w:t>
      </w:r>
      <w:r w:rsidR="00B8293B">
        <w:rPr>
          <w:rFonts w:cs="Arial"/>
          <w:b/>
          <w:szCs w:val="20"/>
        </w:rPr>
        <w:t xml:space="preserve">Struktura </w:t>
      </w:r>
      <w:r>
        <w:rPr>
          <w:rFonts w:cs="Arial"/>
          <w:b/>
          <w:szCs w:val="20"/>
        </w:rPr>
        <w:t>zaměstnaných</w:t>
      </w:r>
      <w:r w:rsidR="00B8293B">
        <w:rPr>
          <w:rFonts w:cs="Arial"/>
          <w:b/>
          <w:szCs w:val="20"/>
        </w:rPr>
        <w:t xml:space="preserve"> </w:t>
      </w:r>
      <w:r w:rsidR="00FD517E">
        <w:rPr>
          <w:rFonts w:cs="Arial"/>
          <w:b/>
          <w:szCs w:val="20"/>
        </w:rPr>
        <w:t>podle p</w:t>
      </w:r>
      <w:r w:rsidR="004F32C4" w:rsidRPr="00C948EF">
        <w:rPr>
          <w:rFonts w:cs="Arial"/>
          <w:b/>
          <w:szCs w:val="20"/>
        </w:rPr>
        <w:t>ostavení v</w:t>
      </w:r>
      <w:r w:rsidR="004F32C4">
        <w:rPr>
          <w:rFonts w:cs="Arial"/>
          <w:b/>
          <w:szCs w:val="20"/>
        </w:rPr>
        <w:t> </w:t>
      </w:r>
      <w:r w:rsidR="004F32C4" w:rsidRPr="00C948EF">
        <w:rPr>
          <w:rFonts w:cs="Arial"/>
          <w:b/>
          <w:szCs w:val="20"/>
        </w:rPr>
        <w:t>zaměstnání</w:t>
      </w: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 xml:space="preserve">Většina zaměstnaných ve státech V4 </w:t>
      </w:r>
      <w:r w:rsidR="001B53A6">
        <w:rPr>
          <w:rFonts w:cs="Arial"/>
          <w:szCs w:val="20"/>
        </w:rPr>
        <w:t xml:space="preserve">pracovala v </w:t>
      </w:r>
      <w:r>
        <w:rPr>
          <w:rFonts w:cs="Arial"/>
          <w:szCs w:val="20"/>
        </w:rPr>
        <w:t xml:space="preserve">postavení zaměstnance (74,8 % na Slovensku až 87,2 % v Maďarsku). Zaměstnavatelé představovali mezi zaměstnanými podíl </w:t>
      </w:r>
      <w:r w:rsidR="008C378D">
        <w:rPr>
          <w:rFonts w:cs="Arial"/>
          <w:szCs w:val="20"/>
        </w:rPr>
        <w:t xml:space="preserve">pohybující se od </w:t>
      </w:r>
      <w:r>
        <w:rPr>
          <w:rFonts w:cs="Arial"/>
          <w:szCs w:val="20"/>
        </w:rPr>
        <w:t>3,2 %</w:t>
      </w:r>
      <w:r w:rsidR="008C378D">
        <w:rPr>
          <w:rFonts w:cs="Arial"/>
          <w:szCs w:val="20"/>
        </w:rPr>
        <w:t xml:space="preserve"> na Slovensku </w:t>
      </w:r>
      <w:r w:rsidR="00DF4883">
        <w:rPr>
          <w:rFonts w:cs="Arial"/>
          <w:szCs w:val="20"/>
        </w:rPr>
        <w:t>do</w:t>
      </w:r>
      <w:r>
        <w:rPr>
          <w:rFonts w:cs="Arial"/>
          <w:szCs w:val="20"/>
        </w:rPr>
        <w:t xml:space="preserve"> 4,5 %</w:t>
      </w:r>
      <w:r w:rsidR="008C378D">
        <w:rPr>
          <w:rFonts w:cs="Arial"/>
          <w:szCs w:val="20"/>
        </w:rPr>
        <w:t xml:space="preserve"> v Maďarsku</w:t>
      </w:r>
      <w:r>
        <w:rPr>
          <w:rFonts w:cs="Arial"/>
          <w:szCs w:val="20"/>
        </w:rPr>
        <w:t>. Výraznější zastoupení měl</w:t>
      </w:r>
      <w:r w:rsidR="00BA1527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ve státech V4 osoby pracující na vlastní účet. Nejvyšší podíl osob pracujících na vlastní účet byl zaznamenán v Polsku (15,5 %), v České republice a na Slovensku 12,9 % a 11,0 %. V Maďarsku bylo zastoupení osob pracujících na vlastní účet mezi zaměstnanými v zemích V4 nejnižší, a to 7,8 %. </w:t>
      </w:r>
    </w:p>
    <w:p w:rsidR="00227977" w:rsidRDefault="00227977" w:rsidP="004F32C4">
      <w:pPr>
        <w:rPr>
          <w:rFonts w:cs="Arial"/>
          <w:b/>
          <w:szCs w:val="20"/>
        </w:rPr>
      </w:pPr>
    </w:p>
    <w:p w:rsidR="004F32C4" w:rsidRPr="00E17713" w:rsidRDefault="004F32C4" w:rsidP="004F32C4">
      <w:pPr>
        <w:rPr>
          <w:rFonts w:cs="Arial"/>
          <w:b/>
          <w:szCs w:val="20"/>
        </w:rPr>
      </w:pPr>
      <w:r w:rsidRPr="00E17713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10</w:t>
      </w:r>
      <w:r w:rsidR="005420E3" w:rsidRPr="00E17713">
        <w:rPr>
          <w:rFonts w:cs="Arial"/>
          <w:b/>
          <w:szCs w:val="20"/>
        </w:rPr>
        <w:t>:</w:t>
      </w:r>
      <w:r w:rsidRPr="00E17713">
        <w:rPr>
          <w:rFonts w:cs="Arial"/>
          <w:b/>
          <w:szCs w:val="20"/>
        </w:rPr>
        <w:t xml:space="preserve"> Osoby pracující na vlastní účet podle odvětví ekonomické činnosti ve státech V4 podle sčítání 2011</w:t>
      </w:r>
    </w:p>
    <w:p w:rsidR="004F32C4" w:rsidRDefault="00F00BDA" w:rsidP="004F32C4">
      <w:pPr>
        <w:rPr>
          <w:rFonts w:cs="Arial"/>
          <w:szCs w:val="20"/>
        </w:rPr>
      </w:pPr>
      <w:r w:rsidRPr="00F00BDA">
        <w:rPr>
          <w:noProof/>
          <w:szCs w:val="20"/>
          <w:lang w:eastAsia="cs-CZ"/>
        </w:rPr>
        <w:drawing>
          <wp:inline distT="0" distB="0" distL="0" distR="0">
            <wp:extent cx="5400675" cy="2133363"/>
            <wp:effectExtent l="19050" t="0" r="9525" b="0"/>
            <wp:docPr id="4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3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Pr="00713028" w:rsidRDefault="004F32C4" w:rsidP="004F32C4">
      <w:pPr>
        <w:spacing w:line="288" w:lineRule="auto"/>
        <w:rPr>
          <w:rFonts w:cs="Arial"/>
          <w:sz w:val="14"/>
          <w:szCs w:val="16"/>
        </w:rPr>
      </w:pPr>
      <w:r w:rsidRPr="00713028">
        <w:rPr>
          <w:rFonts w:cs="Arial"/>
          <w:sz w:val="14"/>
          <w:szCs w:val="16"/>
        </w:rPr>
        <w:t>Pozn. služby (GHI) = velkoobchod a maloobchod; opravy a údržba motorových vozidel, doprava a skladování, ubytování, stravování a pohostinství, služby (OPQ) = veřejná správa a obrana, vzdělávání, zdravotní a sociální péče</w:t>
      </w:r>
      <w:r>
        <w:rPr>
          <w:rFonts w:cs="Arial"/>
          <w:sz w:val="14"/>
          <w:szCs w:val="16"/>
        </w:rPr>
        <w:t xml:space="preserve">, věda a administrativa = </w:t>
      </w:r>
      <w:r w:rsidRPr="00764D55">
        <w:rPr>
          <w:rFonts w:cs="Arial"/>
          <w:sz w:val="14"/>
          <w:szCs w:val="16"/>
        </w:rPr>
        <w:t>Profesní, vědecké a technické činnosti a administrativní a podpůrné činnosti</w:t>
      </w:r>
    </w:p>
    <w:p w:rsidR="004F32C4" w:rsidRPr="005970D1" w:rsidRDefault="00FC64B4" w:rsidP="004F32C4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Odvětvová struktura osob pracujících na vlastní účet byla v jednotlivých státech rozdílná (graf 10). </w:t>
      </w:r>
      <w:r w:rsidR="004F32C4" w:rsidRPr="005970D1">
        <w:rPr>
          <w:rFonts w:cs="Arial"/>
          <w:szCs w:val="20"/>
        </w:rPr>
        <w:t>Osoby pra</w:t>
      </w:r>
      <w:r w:rsidR="004F32C4">
        <w:rPr>
          <w:rFonts w:cs="Arial"/>
          <w:szCs w:val="20"/>
        </w:rPr>
        <w:t>cující na vlastní účet se v ČR a na Slovensku uplatnil</w:t>
      </w:r>
      <w:r w:rsidR="00CA528E">
        <w:rPr>
          <w:rFonts w:cs="Arial"/>
          <w:szCs w:val="20"/>
        </w:rPr>
        <w:t>y</w:t>
      </w:r>
      <w:r w:rsidR="004F32C4">
        <w:rPr>
          <w:rFonts w:cs="Arial"/>
          <w:szCs w:val="20"/>
        </w:rPr>
        <w:t xml:space="preserve"> především v odvětví stavebnictví a odvětví </w:t>
      </w:r>
      <w:r w:rsidR="004F32C4" w:rsidRPr="009D6A79">
        <w:rPr>
          <w:rFonts w:cs="Arial"/>
          <w:szCs w:val="20"/>
        </w:rPr>
        <w:t>velkoobchod a maloobchod; opravy a údržba motorových vozidel, doprava a skladování, ubytování, stravování a pohostinství</w:t>
      </w:r>
      <w:r w:rsidR="004F32C4">
        <w:rPr>
          <w:rFonts w:cs="Arial"/>
          <w:szCs w:val="20"/>
          <w:lang w:val="en-US"/>
        </w:rPr>
        <w:t>;</w:t>
      </w:r>
      <w:r w:rsidR="004F32C4">
        <w:rPr>
          <w:rFonts w:cs="Arial"/>
          <w:szCs w:val="20"/>
        </w:rPr>
        <w:t xml:space="preserve"> </w:t>
      </w:r>
      <w:r w:rsidR="00CA528E">
        <w:rPr>
          <w:rFonts w:cs="Arial"/>
          <w:szCs w:val="20"/>
        </w:rPr>
        <w:t xml:space="preserve">v těchto </w:t>
      </w:r>
      <w:r w:rsidR="004F32C4">
        <w:rPr>
          <w:rFonts w:cs="Arial"/>
          <w:szCs w:val="20"/>
        </w:rPr>
        <w:t>odvětví</w:t>
      </w:r>
      <w:r w:rsidR="00CA528E">
        <w:rPr>
          <w:rFonts w:cs="Arial"/>
          <w:szCs w:val="20"/>
        </w:rPr>
        <w:t>ch</w:t>
      </w:r>
      <w:r w:rsidR="004F32C4">
        <w:rPr>
          <w:rFonts w:cs="Arial"/>
          <w:szCs w:val="20"/>
        </w:rPr>
        <w:t xml:space="preserve"> </w:t>
      </w:r>
      <w:r w:rsidR="00CA528E">
        <w:rPr>
          <w:rFonts w:cs="Arial"/>
          <w:szCs w:val="20"/>
        </w:rPr>
        <w:t>působila</w:t>
      </w:r>
      <w:r w:rsidR="004F32C4">
        <w:rPr>
          <w:rFonts w:cs="Arial"/>
          <w:szCs w:val="20"/>
        </w:rPr>
        <w:t xml:space="preserve"> v obou zemích zhruba pětin</w:t>
      </w:r>
      <w:r w:rsidR="00CA528E">
        <w:rPr>
          <w:rFonts w:cs="Arial"/>
          <w:szCs w:val="20"/>
        </w:rPr>
        <w:t>a</w:t>
      </w:r>
      <w:r w:rsidR="004F32C4">
        <w:rPr>
          <w:rFonts w:cs="Arial"/>
          <w:szCs w:val="20"/>
        </w:rPr>
        <w:t xml:space="preserve"> osob pracujících na vlastní účet. Na Slovensku navíc 16,7 % osob pracujících na vlastní účet bylo zaměstnaných v průmyslu. V Maďarsku téměř ve třetině případů byly tyto osoby zaměstnány v odvětví </w:t>
      </w:r>
      <w:r w:rsidR="004F32C4" w:rsidRPr="009D6A79">
        <w:rPr>
          <w:rFonts w:cs="Arial"/>
          <w:szCs w:val="20"/>
        </w:rPr>
        <w:t>velkoobchod a maloobchod; opravy a údržba motorových vozidel, doprava a skladování, ubytování, stravování a pohostinství</w:t>
      </w:r>
      <w:r w:rsidR="004F32C4">
        <w:rPr>
          <w:rFonts w:cs="Arial"/>
          <w:szCs w:val="20"/>
        </w:rPr>
        <w:t>, 16,8 % bylo zaměstnáno v odvětví zemědělství</w:t>
      </w:r>
      <w:r w:rsidR="00CA528E">
        <w:rPr>
          <w:rFonts w:cs="Arial"/>
          <w:szCs w:val="20"/>
        </w:rPr>
        <w:t>,</w:t>
      </w:r>
      <w:r w:rsidR="004F32C4">
        <w:rPr>
          <w:rFonts w:cs="Arial"/>
          <w:szCs w:val="20"/>
        </w:rPr>
        <w:t xml:space="preserve"> lesnictví a rybářství. Odvětví zemědělství, lesnictví a rybářství jednoznačně dominovalo u osob pracujících na vlastní účet v Polsku (53,1 %), výrazněji bylo zastoupeno i odvětví </w:t>
      </w:r>
      <w:r w:rsidR="004F32C4" w:rsidRPr="009D6A79">
        <w:rPr>
          <w:rFonts w:cs="Arial"/>
          <w:szCs w:val="20"/>
        </w:rPr>
        <w:t>velkoobchod a maloobchod; opravy a údržba motorových vozidel, doprava a skladování, ubytování, stravování a pohostinství</w:t>
      </w:r>
      <w:r w:rsidR="00107BEF">
        <w:rPr>
          <w:rFonts w:cs="Arial"/>
          <w:szCs w:val="20"/>
        </w:rPr>
        <w:t xml:space="preserve"> (16,6 %).</w:t>
      </w:r>
    </w:p>
    <w:p w:rsidR="004F32C4" w:rsidRDefault="004F32C4" w:rsidP="004F32C4">
      <w:pPr>
        <w:rPr>
          <w:rFonts w:cs="Arial"/>
          <w:b/>
          <w:szCs w:val="20"/>
        </w:rPr>
      </w:pPr>
    </w:p>
    <w:p w:rsidR="004F32C4" w:rsidRDefault="003D564A" w:rsidP="004F32C4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2.2.1.3 </w:t>
      </w:r>
      <w:r w:rsidR="004F32C4" w:rsidRPr="00C948EF">
        <w:rPr>
          <w:rFonts w:cs="Arial"/>
          <w:b/>
          <w:szCs w:val="20"/>
        </w:rPr>
        <w:t>Místo pracoviště</w:t>
      </w: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 xml:space="preserve">Naprostá většina zaměstnaných dojíždějících za prací měla místo pracoviště ve své zemi. V České republice bylo v roce 2011 sečteno pouze 1,4 % zaměstnaných s místem pracoviště v jiné zemi. V Maďarsku a Polsku to bylo shodně 2,1 %, nevyšší podíl zaměstnaných s místem </w:t>
      </w:r>
      <w:r w:rsidR="00426192">
        <w:rPr>
          <w:rFonts w:cs="Arial"/>
          <w:szCs w:val="20"/>
        </w:rPr>
        <w:t>pracoviště v jiném státu byl zaznamenán n</w:t>
      </w:r>
      <w:r>
        <w:rPr>
          <w:rFonts w:cs="Arial"/>
          <w:szCs w:val="20"/>
        </w:rPr>
        <w:t>a Slovensku, a to 5,8 %. J</w:t>
      </w:r>
      <w:r w:rsidRPr="00CA694F">
        <w:rPr>
          <w:rFonts w:cs="Arial"/>
          <w:szCs w:val="20"/>
        </w:rPr>
        <w:t xml:space="preserve">ednalo </w:t>
      </w:r>
      <w:r>
        <w:rPr>
          <w:rFonts w:cs="Arial"/>
          <w:szCs w:val="20"/>
        </w:rPr>
        <w:t xml:space="preserve">se </w:t>
      </w:r>
      <w:r w:rsidRPr="00CA694F">
        <w:rPr>
          <w:rFonts w:cs="Arial"/>
          <w:szCs w:val="20"/>
        </w:rPr>
        <w:t>téměř výhradně o kvalifikované pracovníky se středoškolským nebo vysokoškolským vzděláním.</w:t>
      </w:r>
      <w:r>
        <w:rPr>
          <w:rFonts w:cs="Arial"/>
          <w:szCs w:val="20"/>
        </w:rPr>
        <w:t xml:space="preserve"> Vysokoškoláci tvořili mezi vyjíždějícími za prací do zahraničí v ČR třetinu, v Maďarsku a na Slovensku pětinu. </w:t>
      </w:r>
      <w:r w:rsidRPr="000766D2">
        <w:rPr>
          <w:rFonts w:cs="Arial"/>
          <w:szCs w:val="20"/>
        </w:rPr>
        <w:t xml:space="preserve">Nejnižší podíl vysokoškoláků byl zaznamenán v Polsku, a to 13,7 %. Mezi vyjíždějícími do zahraničí převažovali středoškoláci, </w:t>
      </w:r>
      <w:r>
        <w:rPr>
          <w:rFonts w:cs="Arial"/>
          <w:szCs w:val="20"/>
        </w:rPr>
        <w:t>představovali</w:t>
      </w:r>
      <w:r w:rsidRPr="000766D2">
        <w:rPr>
          <w:rFonts w:cs="Arial"/>
          <w:szCs w:val="20"/>
        </w:rPr>
        <w:t xml:space="preserve"> </w:t>
      </w:r>
      <w:r w:rsidR="00AF7241">
        <w:rPr>
          <w:rFonts w:cs="Arial"/>
          <w:szCs w:val="20"/>
        </w:rPr>
        <w:t>v p</w:t>
      </w:r>
      <w:r w:rsidR="007579C8">
        <w:rPr>
          <w:rFonts w:cs="Arial"/>
          <w:szCs w:val="20"/>
        </w:rPr>
        <w:t>r</w:t>
      </w:r>
      <w:r w:rsidR="00AF7241">
        <w:rPr>
          <w:rFonts w:cs="Arial"/>
          <w:szCs w:val="20"/>
        </w:rPr>
        <w:t>ůměru</w:t>
      </w:r>
      <w:r w:rsidRPr="000766D2">
        <w:rPr>
          <w:rFonts w:cs="Arial"/>
          <w:szCs w:val="20"/>
        </w:rPr>
        <w:t xml:space="preserve"> tři čtvrtiny vyjíždějících za prací </w:t>
      </w:r>
      <w:r>
        <w:rPr>
          <w:rFonts w:cs="Arial"/>
          <w:szCs w:val="20"/>
        </w:rPr>
        <w:t>do jiné země, nejvíce v Polsku 78,4 %, v ČR byl podíl nižší 63,4 %.</w:t>
      </w:r>
      <w:r w:rsidRPr="000766D2">
        <w:rPr>
          <w:rFonts w:cs="Arial"/>
          <w:szCs w:val="20"/>
        </w:rPr>
        <w:t xml:space="preserve"> </w:t>
      </w:r>
    </w:p>
    <w:p w:rsidR="00892710" w:rsidRDefault="00892710" w:rsidP="004F32C4">
      <w:pPr>
        <w:rPr>
          <w:rFonts w:cs="Arial"/>
          <w:szCs w:val="20"/>
        </w:rPr>
      </w:pPr>
    </w:p>
    <w:p w:rsidR="00892710" w:rsidRPr="000766D2" w:rsidRDefault="00892710" w:rsidP="004F32C4">
      <w:pPr>
        <w:rPr>
          <w:rFonts w:cs="Arial"/>
          <w:szCs w:val="20"/>
        </w:rPr>
      </w:pPr>
    </w:p>
    <w:p w:rsidR="004F32C4" w:rsidRDefault="003D564A" w:rsidP="004F32C4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2.2.2 </w:t>
      </w:r>
      <w:r w:rsidR="004F32C4" w:rsidRPr="00C579AB">
        <w:rPr>
          <w:rFonts w:cs="Arial"/>
          <w:b/>
          <w:szCs w:val="20"/>
        </w:rPr>
        <w:t>Nezaměstnan</w:t>
      </w:r>
      <w:r w:rsidR="004F32C4">
        <w:rPr>
          <w:rFonts w:cs="Arial"/>
          <w:b/>
          <w:szCs w:val="20"/>
        </w:rPr>
        <w:t>í</w:t>
      </w:r>
    </w:p>
    <w:p w:rsidR="004F32C4" w:rsidRDefault="004F32C4" w:rsidP="004F32C4">
      <w:pPr>
        <w:rPr>
          <w:rFonts w:cs="Arial"/>
          <w:szCs w:val="20"/>
        </w:rPr>
      </w:pPr>
      <w:r w:rsidRPr="00226D95">
        <w:rPr>
          <w:rFonts w:cs="Arial"/>
          <w:szCs w:val="20"/>
        </w:rPr>
        <w:t xml:space="preserve">Úroveň míry nezaměstnanosti, tj. </w:t>
      </w:r>
      <w:r w:rsidRPr="00226D95">
        <w:rPr>
          <w:rStyle w:val="st"/>
          <w:rFonts w:cs="Arial"/>
          <w:szCs w:val="20"/>
        </w:rPr>
        <w:t>procentní podíl nezaměstnaných na pracovní síle (zaměstnaní i nezaměstnaní)</w:t>
      </w:r>
      <w:r>
        <w:rPr>
          <w:rStyle w:val="st"/>
          <w:rFonts w:cs="Arial"/>
          <w:szCs w:val="20"/>
        </w:rPr>
        <w:t>,</w:t>
      </w:r>
      <w:r w:rsidRPr="00226D95">
        <w:rPr>
          <w:rFonts w:cs="Arial"/>
          <w:szCs w:val="20"/>
        </w:rPr>
        <w:t xml:space="preserve"> byla v roce 2011 v jednotlivých státech V4 různá. Nejnižší míra nezaměstnanosti byla zjištěna v České republice, a to 9,8 %, </w:t>
      </w:r>
      <w:r>
        <w:rPr>
          <w:rFonts w:cs="Arial"/>
          <w:szCs w:val="20"/>
        </w:rPr>
        <w:t xml:space="preserve">v absolutním vyjádření </w:t>
      </w:r>
      <w:r w:rsidRPr="00226D95">
        <w:rPr>
          <w:rFonts w:cs="Arial"/>
          <w:szCs w:val="20"/>
        </w:rPr>
        <w:t xml:space="preserve">počet nezaměstnaných byl necelého půl milionu obyvatel. V Maďarsku a v Polsku dosahovala míra nezaměstnanosti 12,6 % a 12,1 %. Nejvyšší hodnota míry nezaměstnanosti byla zaznamenána na Slovensku, a to 16,8 %. </w:t>
      </w:r>
    </w:p>
    <w:p w:rsidR="004F32C4" w:rsidRPr="006B3289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 xml:space="preserve">Nejvyšší míra nezaměstnanosti byla zjištěna ve všech zemích V4 v nejmladší pětileté věkové skupině 15 – 19 let. </w:t>
      </w:r>
      <w:r w:rsidR="00810BAB">
        <w:rPr>
          <w:rFonts w:cs="Arial"/>
          <w:szCs w:val="20"/>
        </w:rPr>
        <w:t>Jednalo se</w:t>
      </w:r>
      <w:r w:rsidR="00FD76A2" w:rsidRPr="00810BAB">
        <w:rPr>
          <w:rFonts w:cs="Arial"/>
          <w:szCs w:val="20"/>
        </w:rPr>
        <w:t xml:space="preserve"> většinou </w:t>
      </w:r>
      <w:r w:rsidR="00810BAB">
        <w:rPr>
          <w:rFonts w:cs="Arial"/>
          <w:szCs w:val="20"/>
        </w:rPr>
        <w:t xml:space="preserve">o </w:t>
      </w:r>
      <w:r w:rsidR="00FD76A2" w:rsidRPr="00810BAB">
        <w:rPr>
          <w:rFonts w:cs="Arial"/>
          <w:szCs w:val="20"/>
        </w:rPr>
        <w:t>absolvent</w:t>
      </w:r>
      <w:r w:rsidR="00810BAB">
        <w:rPr>
          <w:rFonts w:cs="Arial"/>
          <w:szCs w:val="20"/>
        </w:rPr>
        <w:t>y</w:t>
      </w:r>
      <w:r w:rsidR="00FD76A2" w:rsidRPr="00810BAB">
        <w:rPr>
          <w:rFonts w:cs="Arial"/>
          <w:szCs w:val="20"/>
        </w:rPr>
        <w:t xml:space="preserve"> středních a základních škol, kteří obtížněji hledají uplatnění na trhu práce</w:t>
      </w:r>
      <w:r w:rsidR="00810BAB">
        <w:rPr>
          <w:rFonts w:cs="Arial"/>
          <w:szCs w:val="20"/>
        </w:rPr>
        <w:t>.</w:t>
      </w:r>
      <w:r w:rsidR="00FD76A2" w:rsidRPr="00810BAB">
        <w:rPr>
          <w:rFonts w:cs="Arial"/>
          <w:szCs w:val="20"/>
        </w:rPr>
        <w:t xml:space="preserve"> </w:t>
      </w:r>
      <w:r w:rsidR="003A068E">
        <w:rPr>
          <w:rFonts w:cs="Arial"/>
          <w:szCs w:val="20"/>
        </w:rPr>
        <w:t>Naproti tomu</w:t>
      </w:r>
      <w:r w:rsidR="00FD76A2" w:rsidRPr="00810BAB">
        <w:rPr>
          <w:rFonts w:cs="Arial"/>
          <w:szCs w:val="20"/>
        </w:rPr>
        <w:t xml:space="preserve"> </w:t>
      </w:r>
      <w:r w:rsidR="003A068E">
        <w:rPr>
          <w:rFonts w:cs="Arial"/>
          <w:szCs w:val="20"/>
        </w:rPr>
        <w:t xml:space="preserve">ve </w:t>
      </w:r>
      <w:r w:rsidR="00FD76A2" w:rsidRPr="00810BAB">
        <w:rPr>
          <w:rFonts w:cs="Arial"/>
          <w:szCs w:val="20"/>
        </w:rPr>
        <w:t>věkov</w:t>
      </w:r>
      <w:r w:rsidR="003A068E">
        <w:rPr>
          <w:rFonts w:cs="Arial"/>
          <w:szCs w:val="20"/>
        </w:rPr>
        <w:t>é</w:t>
      </w:r>
      <w:r w:rsidR="00FD76A2" w:rsidRPr="00810BAB">
        <w:rPr>
          <w:rFonts w:cs="Arial"/>
          <w:szCs w:val="20"/>
        </w:rPr>
        <w:t xml:space="preserve"> skupin</w:t>
      </w:r>
      <w:r w:rsidR="003A068E">
        <w:rPr>
          <w:rFonts w:cs="Arial"/>
          <w:szCs w:val="20"/>
        </w:rPr>
        <w:t>ě</w:t>
      </w:r>
      <w:r w:rsidR="00FD76A2" w:rsidRPr="00810BAB">
        <w:rPr>
          <w:rFonts w:cs="Arial"/>
          <w:szCs w:val="20"/>
        </w:rPr>
        <w:t xml:space="preserve"> 25 – 29 let</w:t>
      </w:r>
      <w:r w:rsidR="003A068E">
        <w:rPr>
          <w:rFonts w:cs="Arial"/>
          <w:szCs w:val="20"/>
        </w:rPr>
        <w:t xml:space="preserve"> byla míra nezaměstnanosti výrazně nižší</w:t>
      </w:r>
      <w:r w:rsidR="001A6597">
        <w:rPr>
          <w:rFonts w:cs="Arial"/>
          <w:szCs w:val="20"/>
        </w:rPr>
        <w:t xml:space="preserve"> (v</w:t>
      </w:r>
      <w:r w:rsidR="003A068E">
        <w:rPr>
          <w:rFonts w:cs="Arial"/>
          <w:szCs w:val="20"/>
        </w:rPr>
        <w:t xml:space="preserve"> tomto věku</w:t>
      </w:r>
      <w:r w:rsidR="00FD76A2" w:rsidRPr="00810BAB">
        <w:rPr>
          <w:rFonts w:cs="Arial"/>
          <w:szCs w:val="20"/>
        </w:rPr>
        <w:t xml:space="preserve"> už je většinou vzdělání ukončeno</w:t>
      </w:r>
      <w:r w:rsidR="001A6597">
        <w:rPr>
          <w:rFonts w:cs="Arial"/>
          <w:szCs w:val="20"/>
        </w:rPr>
        <w:t xml:space="preserve"> </w:t>
      </w:r>
      <w:r w:rsidR="00FD76A2" w:rsidRPr="00810BAB">
        <w:rPr>
          <w:rFonts w:cs="Arial"/>
          <w:szCs w:val="20"/>
        </w:rPr>
        <w:t>a míra nezaměstnanosti klesá</w:t>
      </w:r>
      <w:bookmarkStart w:id="0" w:name="_GoBack"/>
      <w:bookmarkEnd w:id="0"/>
      <w:r w:rsidR="001A6597">
        <w:rPr>
          <w:rFonts w:cs="Arial"/>
          <w:szCs w:val="20"/>
        </w:rPr>
        <w:t>)</w:t>
      </w:r>
      <w:r>
        <w:rPr>
          <w:rFonts w:cs="Arial"/>
          <w:szCs w:val="20"/>
        </w:rPr>
        <w:t>. S věkem míra nezaměstnanosti klesala až do věku 35 – 39 let a pak mírně stoupala. Pokles nastal ve všech zemích V4 zhruba ve věku 60 – 64 let, kdy většina zaměstnaných odchá</w:t>
      </w:r>
      <w:r w:rsidR="0081619B">
        <w:rPr>
          <w:rFonts w:cs="Arial"/>
          <w:szCs w:val="20"/>
        </w:rPr>
        <w:t>zí do starobního důchodu. (g</w:t>
      </w:r>
      <w:r>
        <w:rPr>
          <w:rFonts w:cs="Arial"/>
          <w:szCs w:val="20"/>
        </w:rPr>
        <w:t xml:space="preserve">raf </w:t>
      </w:r>
      <w:r w:rsidR="0081619B">
        <w:rPr>
          <w:rFonts w:cs="Arial"/>
          <w:szCs w:val="20"/>
        </w:rPr>
        <w:t>11 a 12</w:t>
      </w:r>
      <w:r>
        <w:rPr>
          <w:rFonts w:cs="Arial"/>
          <w:szCs w:val="20"/>
        </w:rPr>
        <w:t>).</w:t>
      </w:r>
      <w:r w:rsidRPr="006B3289">
        <w:rPr>
          <w:rFonts w:cs="Arial"/>
          <w:szCs w:val="20"/>
        </w:rPr>
        <w:t xml:space="preserve"> </w:t>
      </w:r>
    </w:p>
    <w:p w:rsidR="004F32C4" w:rsidRDefault="004F32C4" w:rsidP="004F32C4">
      <w:pPr>
        <w:rPr>
          <w:rFonts w:cs="Arial"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4F32C4" w:rsidRPr="003D564A" w:rsidRDefault="004F32C4" w:rsidP="004F32C4">
      <w:pPr>
        <w:rPr>
          <w:rFonts w:cs="Arial"/>
          <w:b/>
          <w:szCs w:val="20"/>
        </w:rPr>
      </w:pPr>
      <w:r w:rsidRPr="003D564A">
        <w:rPr>
          <w:rFonts w:cs="Arial"/>
          <w:b/>
          <w:szCs w:val="20"/>
        </w:rPr>
        <w:lastRenderedPageBreak/>
        <w:t xml:space="preserve">Graf </w:t>
      </w:r>
      <w:r w:rsidR="00121BA5">
        <w:rPr>
          <w:rFonts w:cs="Arial"/>
          <w:b/>
          <w:szCs w:val="20"/>
        </w:rPr>
        <w:t>1</w:t>
      </w:r>
      <w:r w:rsidR="005D628D">
        <w:rPr>
          <w:rFonts w:cs="Arial"/>
          <w:b/>
          <w:szCs w:val="20"/>
        </w:rPr>
        <w:t>1</w:t>
      </w:r>
      <w:r w:rsidR="005420E3" w:rsidRPr="003D564A">
        <w:rPr>
          <w:rFonts w:cs="Arial"/>
          <w:b/>
          <w:szCs w:val="20"/>
        </w:rPr>
        <w:t>:</w:t>
      </w:r>
      <w:r w:rsidRPr="003D564A">
        <w:rPr>
          <w:rFonts w:cs="Arial"/>
          <w:b/>
          <w:szCs w:val="20"/>
        </w:rPr>
        <w:t xml:space="preserve"> Specifická míra nezaměstnanosti mužů ve státech V4 podle sčítání 2011</w:t>
      </w:r>
    </w:p>
    <w:p w:rsidR="004F32C4" w:rsidRDefault="00CF4EE9" w:rsidP="004F32C4">
      <w:pPr>
        <w:rPr>
          <w:rFonts w:cs="Arial"/>
          <w:szCs w:val="20"/>
        </w:rPr>
      </w:pPr>
      <w:r w:rsidRPr="00CF4EE9">
        <w:rPr>
          <w:noProof/>
          <w:szCs w:val="20"/>
          <w:lang w:eastAsia="cs-CZ"/>
        </w:rPr>
        <w:drawing>
          <wp:inline distT="0" distB="0" distL="0" distR="0">
            <wp:extent cx="5067300" cy="2295525"/>
            <wp:effectExtent l="19050" t="19050" r="19050" b="28575"/>
            <wp:docPr id="5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10" w:rsidRDefault="00892710" w:rsidP="004F32C4">
      <w:pPr>
        <w:rPr>
          <w:rFonts w:cs="Arial"/>
          <w:szCs w:val="20"/>
        </w:rPr>
      </w:pPr>
    </w:p>
    <w:p w:rsidR="004F32C4" w:rsidRPr="002C43A0" w:rsidRDefault="004F32C4" w:rsidP="004F32C4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Graf </w:t>
      </w:r>
      <w:r w:rsidR="005420E3" w:rsidRPr="002C43A0">
        <w:rPr>
          <w:rFonts w:cs="Arial"/>
          <w:b/>
          <w:szCs w:val="20"/>
        </w:rPr>
        <w:t>1</w:t>
      </w:r>
      <w:r w:rsidR="005D628D">
        <w:rPr>
          <w:rFonts w:cs="Arial"/>
          <w:b/>
          <w:szCs w:val="20"/>
        </w:rPr>
        <w:t>2</w:t>
      </w:r>
      <w:r w:rsidR="005420E3" w:rsidRPr="002C43A0">
        <w:rPr>
          <w:rFonts w:cs="Arial"/>
          <w:b/>
          <w:szCs w:val="20"/>
        </w:rPr>
        <w:t>:</w:t>
      </w:r>
      <w:r w:rsidRPr="002C43A0">
        <w:rPr>
          <w:rFonts w:cs="Arial"/>
          <w:b/>
          <w:szCs w:val="20"/>
        </w:rPr>
        <w:t xml:space="preserve"> Specifická míra nezaměstnanosti žen ve státech V4 podle sčítání 2011</w:t>
      </w:r>
    </w:p>
    <w:p w:rsidR="004F32C4" w:rsidRDefault="00CF4EE9" w:rsidP="004F32C4">
      <w:pPr>
        <w:rPr>
          <w:rFonts w:cs="Arial"/>
          <w:szCs w:val="20"/>
        </w:rPr>
      </w:pPr>
      <w:r w:rsidRPr="00CF4EE9">
        <w:rPr>
          <w:noProof/>
          <w:szCs w:val="20"/>
          <w:lang w:eastAsia="cs-CZ"/>
        </w:rPr>
        <w:drawing>
          <wp:inline distT="0" distB="0" distL="0" distR="0">
            <wp:extent cx="5133975" cy="2286000"/>
            <wp:effectExtent l="19050" t="19050" r="28575" b="19050"/>
            <wp:docPr id="5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Default="004F32C4" w:rsidP="004F32C4">
      <w:pPr>
        <w:rPr>
          <w:rFonts w:cs="Arial"/>
          <w:szCs w:val="20"/>
        </w:rPr>
      </w:pP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>Věková struktura nezaměstnaných ve státech V4 byla dosti podobná</w:t>
      </w:r>
      <w:r w:rsidR="00870FE0">
        <w:rPr>
          <w:rFonts w:cs="Arial"/>
          <w:szCs w:val="20"/>
        </w:rPr>
        <w:t xml:space="preserve"> (graf 13)</w:t>
      </w:r>
      <w:r>
        <w:rPr>
          <w:rFonts w:cs="Arial"/>
          <w:szCs w:val="20"/>
        </w:rPr>
        <w:t xml:space="preserve">. Významně byly zastoupeny, nejvýrazněji v Polsku, věkové skupiny 20 – 24 let a 25 – 29 let, tj. absolventi středních, příp. i vysokých škol. S věkem pak počet nezaměstnaných klesal zhruba do věku 40 – 44 let a pak opět mírně rostl. Trendu se mírně vymykají věkové skupiny 35 – 44 let v Maďarsku, i když vzdělanostní strukturou korespondují s ostatními zeměmi V4. </w:t>
      </w:r>
    </w:p>
    <w:p w:rsidR="004F32C4" w:rsidRDefault="004F32C4" w:rsidP="004F32C4">
      <w:pPr>
        <w:rPr>
          <w:rFonts w:cs="Arial"/>
          <w:szCs w:val="20"/>
        </w:rPr>
      </w:pPr>
      <w:r>
        <w:rPr>
          <w:rFonts w:cs="Arial"/>
          <w:szCs w:val="20"/>
        </w:rPr>
        <w:t>Nemladší věková skupin</w:t>
      </w:r>
      <w:r w:rsidR="00347455">
        <w:rPr>
          <w:rFonts w:cs="Arial"/>
          <w:szCs w:val="20"/>
        </w:rPr>
        <w:t>a</w:t>
      </w:r>
      <w:r>
        <w:rPr>
          <w:rFonts w:cs="Arial"/>
          <w:szCs w:val="20"/>
        </w:rPr>
        <w:t>, tj. 15 – 19 let, byla méně četná</w:t>
      </w:r>
      <w:r>
        <w:rPr>
          <w:rFonts w:cs="Arial"/>
          <w:szCs w:val="20"/>
          <w:lang w:val="en-US"/>
        </w:rPr>
        <w:t>;</w:t>
      </w:r>
      <w:r>
        <w:rPr>
          <w:rFonts w:cs="Arial"/>
          <w:szCs w:val="20"/>
        </w:rPr>
        <w:t xml:space="preserve"> většina osob v této věkové kategorii ještě nedokončila školní docházku, takže byly zahrnuty do ekonomicky neaktivních. Totéž platí pro osoby ve věkové skupině 60 – 64 let. Po ztrátě zaměstnání často odcházejí do předčasného důchodu, jsou pak zařazeny mezi ekonomicky neaktivní.</w:t>
      </w:r>
    </w:p>
    <w:p w:rsidR="004F32C4" w:rsidRDefault="004F32C4" w:rsidP="004F32C4">
      <w:pPr>
        <w:rPr>
          <w:rFonts w:cs="Arial"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892710" w:rsidRDefault="00892710" w:rsidP="004F32C4">
      <w:pPr>
        <w:rPr>
          <w:rFonts w:cs="Arial"/>
          <w:b/>
          <w:szCs w:val="20"/>
        </w:rPr>
      </w:pPr>
    </w:p>
    <w:p w:rsidR="00CF4EE9" w:rsidRDefault="00CF4EE9" w:rsidP="004F32C4">
      <w:pPr>
        <w:rPr>
          <w:rFonts w:cs="Arial"/>
          <w:b/>
          <w:szCs w:val="20"/>
        </w:rPr>
      </w:pPr>
    </w:p>
    <w:p w:rsidR="004F32C4" w:rsidRPr="00B8293B" w:rsidRDefault="004F32C4" w:rsidP="004F32C4">
      <w:pPr>
        <w:rPr>
          <w:rFonts w:cs="Arial"/>
          <w:b/>
          <w:szCs w:val="20"/>
        </w:rPr>
      </w:pPr>
      <w:r w:rsidRPr="00B8293B">
        <w:rPr>
          <w:rFonts w:cs="Arial"/>
          <w:b/>
          <w:szCs w:val="20"/>
        </w:rPr>
        <w:lastRenderedPageBreak/>
        <w:t xml:space="preserve">Graf </w:t>
      </w:r>
      <w:r w:rsidR="005420E3" w:rsidRPr="00B8293B">
        <w:rPr>
          <w:rFonts w:cs="Arial"/>
          <w:b/>
          <w:szCs w:val="20"/>
        </w:rPr>
        <w:t>1</w:t>
      </w:r>
      <w:r w:rsidR="005D628D">
        <w:rPr>
          <w:rFonts w:cs="Arial"/>
          <w:b/>
          <w:szCs w:val="20"/>
        </w:rPr>
        <w:t>3</w:t>
      </w:r>
      <w:r w:rsidR="005420E3" w:rsidRPr="00B8293B">
        <w:rPr>
          <w:rFonts w:cs="Arial"/>
          <w:b/>
          <w:szCs w:val="20"/>
        </w:rPr>
        <w:t>:</w:t>
      </w:r>
      <w:r w:rsidRPr="00B8293B">
        <w:rPr>
          <w:rFonts w:cs="Arial"/>
          <w:b/>
          <w:szCs w:val="20"/>
        </w:rPr>
        <w:t xml:space="preserve"> Věková struktura nezaměstnaných ve státech V4 podle sčítání 2011</w:t>
      </w:r>
    </w:p>
    <w:p w:rsidR="004F32C4" w:rsidRDefault="004F32C4" w:rsidP="004F32C4">
      <w:pPr>
        <w:rPr>
          <w:rFonts w:cs="Arial"/>
          <w:szCs w:val="20"/>
        </w:rPr>
      </w:pPr>
      <w:r w:rsidRPr="00351F37">
        <w:rPr>
          <w:noProof/>
          <w:szCs w:val="20"/>
          <w:lang w:eastAsia="cs-CZ"/>
        </w:rPr>
        <w:drawing>
          <wp:inline distT="0" distB="0" distL="0" distR="0">
            <wp:extent cx="4933950" cy="2762250"/>
            <wp:effectExtent l="19050" t="0" r="0" b="0"/>
            <wp:docPr id="2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4" w:rsidRDefault="004F32C4" w:rsidP="004F32C4">
      <w:pPr>
        <w:rPr>
          <w:rFonts w:cs="Arial"/>
          <w:b/>
          <w:szCs w:val="20"/>
        </w:rPr>
      </w:pPr>
    </w:p>
    <w:p w:rsidR="007A11CE" w:rsidRDefault="007A11CE" w:rsidP="007A11CE">
      <w:pPr>
        <w:rPr>
          <w:rFonts w:cs="Arial"/>
          <w:szCs w:val="20"/>
        </w:rPr>
      </w:pPr>
      <w:r>
        <w:rPr>
          <w:rFonts w:cs="Arial"/>
          <w:szCs w:val="20"/>
        </w:rPr>
        <w:t xml:space="preserve">Nezaměstnanost ve státech V4 není územně homogenní (graf 14). Nejnižších hodnot </w:t>
      </w:r>
      <w:r w:rsidR="001F625F">
        <w:rPr>
          <w:rFonts w:cs="Arial"/>
          <w:szCs w:val="20"/>
        </w:rPr>
        <w:t xml:space="preserve">na úrovni NUTS 2, tedy tzv. regionů soudržnosti </w:t>
      </w:r>
      <w:r>
        <w:rPr>
          <w:rFonts w:cs="Arial"/>
          <w:szCs w:val="20"/>
        </w:rPr>
        <w:t xml:space="preserve">dosahovala míra nezaměstnanosti </w:t>
      </w:r>
      <w:r w:rsidR="008B3C31">
        <w:rPr>
          <w:rFonts w:cs="Arial"/>
          <w:szCs w:val="20"/>
        </w:rPr>
        <w:t>v Praze (6,8 %)</w:t>
      </w:r>
      <w:r>
        <w:rPr>
          <w:rFonts w:cs="Arial"/>
          <w:szCs w:val="20"/>
        </w:rPr>
        <w:t xml:space="preserve">. V Polsku a na Slovensku byla nejnižší míra nezaměstnanosti také zjištěna v hlavním městě nebo jeho zázemí, </w:t>
      </w:r>
      <w:r w:rsidR="00444CD7">
        <w:rPr>
          <w:rFonts w:cs="Arial"/>
          <w:szCs w:val="20"/>
        </w:rPr>
        <w:t xml:space="preserve">v </w:t>
      </w:r>
      <w:r>
        <w:rPr>
          <w:rFonts w:cs="Arial"/>
          <w:szCs w:val="20"/>
        </w:rPr>
        <w:t xml:space="preserve">NUTS 2 </w:t>
      </w:r>
      <w:proofErr w:type="spellStart"/>
      <w:r w:rsidRPr="00BC3471">
        <w:rPr>
          <w:rFonts w:cs="Arial"/>
          <w:szCs w:val="20"/>
        </w:rPr>
        <w:t>Mazowieckie</w:t>
      </w:r>
      <w:proofErr w:type="spellEnd"/>
      <w:r>
        <w:rPr>
          <w:rFonts w:cs="Arial"/>
          <w:szCs w:val="20"/>
        </w:rPr>
        <w:t xml:space="preserve"> (9,8 %) a B</w:t>
      </w:r>
      <w:r w:rsidRPr="00BC3471">
        <w:rPr>
          <w:rFonts w:cs="Arial"/>
          <w:szCs w:val="20"/>
        </w:rPr>
        <w:t xml:space="preserve">ratislavský </w:t>
      </w:r>
      <w:r>
        <w:rPr>
          <w:rFonts w:cs="Arial"/>
          <w:szCs w:val="20"/>
        </w:rPr>
        <w:t>k</w:t>
      </w:r>
      <w:r w:rsidRPr="00BC3471">
        <w:rPr>
          <w:rFonts w:cs="Arial"/>
          <w:szCs w:val="20"/>
        </w:rPr>
        <w:t>raj</w:t>
      </w:r>
      <w:r>
        <w:rPr>
          <w:rFonts w:cs="Arial"/>
          <w:szCs w:val="20"/>
        </w:rPr>
        <w:t xml:space="preserve"> (8,9 %). V Maďarsku byla nejnižší míra nezaměstnanosti zaznamenána v regionu NUTS 2 </w:t>
      </w:r>
      <w:proofErr w:type="spellStart"/>
      <w:r w:rsidRPr="00BC3471">
        <w:rPr>
          <w:rFonts w:cs="Arial"/>
          <w:szCs w:val="20"/>
        </w:rPr>
        <w:t>Nyugat</w:t>
      </w:r>
      <w:proofErr w:type="spellEnd"/>
      <w:r w:rsidRPr="00BC3471">
        <w:rPr>
          <w:rFonts w:cs="Arial"/>
          <w:szCs w:val="20"/>
        </w:rPr>
        <w:t>-</w:t>
      </w:r>
      <w:proofErr w:type="spellStart"/>
      <w:r w:rsidRPr="00BC3471">
        <w:rPr>
          <w:rFonts w:cs="Arial"/>
          <w:szCs w:val="20"/>
        </w:rPr>
        <w:t>Dunántúl</w:t>
      </w:r>
      <w:proofErr w:type="spellEnd"/>
      <w:r>
        <w:rPr>
          <w:rFonts w:cs="Arial"/>
          <w:szCs w:val="20"/>
        </w:rPr>
        <w:t xml:space="preserve"> (8,3 %) na západě země u hranic s </w:t>
      </w:r>
      <w:r w:rsidRPr="00557DC6">
        <w:rPr>
          <w:rFonts w:cs="Arial"/>
          <w:szCs w:val="20"/>
        </w:rPr>
        <w:t>Rakouskem; v regionu</w:t>
      </w:r>
      <w:r>
        <w:rPr>
          <w:rFonts w:cs="Arial"/>
          <w:szCs w:val="20"/>
          <w:lang w:val="en-US"/>
        </w:rPr>
        <w:t xml:space="preserve"> </w:t>
      </w:r>
      <w:r w:rsidRPr="005A4E32">
        <w:rPr>
          <w:rFonts w:cs="Arial"/>
          <w:szCs w:val="20"/>
        </w:rPr>
        <w:t>s hlavním městem Budapeští</w:t>
      </w:r>
      <w:r>
        <w:rPr>
          <w:rFonts w:cs="Arial"/>
          <w:szCs w:val="20"/>
        </w:rPr>
        <w:t xml:space="preserve"> </w:t>
      </w:r>
      <w:proofErr w:type="spellStart"/>
      <w:r w:rsidRPr="00557DC6">
        <w:rPr>
          <w:rFonts w:cs="Arial"/>
          <w:szCs w:val="20"/>
        </w:rPr>
        <w:t>Közép</w:t>
      </w:r>
      <w:proofErr w:type="spellEnd"/>
      <w:r w:rsidRPr="00557DC6">
        <w:rPr>
          <w:rFonts w:cs="Arial"/>
          <w:szCs w:val="20"/>
        </w:rPr>
        <w:t>-</w:t>
      </w:r>
      <w:proofErr w:type="spellStart"/>
      <w:r w:rsidRPr="00557DC6">
        <w:rPr>
          <w:rFonts w:cs="Arial"/>
          <w:szCs w:val="20"/>
        </w:rPr>
        <w:t>Magyarország</w:t>
      </w:r>
      <w:proofErr w:type="spellEnd"/>
      <w:r w:rsidRPr="005A4E3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byla druhá nejnižší míra nezaměstnanosti v zemi (10,7 %).</w:t>
      </w:r>
      <w:r w:rsidRPr="005A4E32">
        <w:rPr>
          <w:rFonts w:cs="Arial"/>
          <w:szCs w:val="20"/>
        </w:rPr>
        <w:t xml:space="preserve"> </w:t>
      </w:r>
    </w:p>
    <w:p w:rsidR="00892710" w:rsidRDefault="00892710" w:rsidP="00892710">
      <w:pPr>
        <w:rPr>
          <w:rFonts w:cs="Arial"/>
          <w:szCs w:val="20"/>
        </w:rPr>
      </w:pPr>
      <w:r>
        <w:rPr>
          <w:rFonts w:cs="Arial"/>
          <w:szCs w:val="20"/>
        </w:rPr>
        <w:t xml:space="preserve">Naopak nejvyšších hodnot dosahovaly v ČR regiony Severozápad (13,2 %) a </w:t>
      </w:r>
      <w:proofErr w:type="spellStart"/>
      <w:r>
        <w:rPr>
          <w:rFonts w:cs="Arial"/>
          <w:szCs w:val="20"/>
        </w:rPr>
        <w:t>Moravskoslezsko</w:t>
      </w:r>
      <w:proofErr w:type="spellEnd"/>
      <w:r>
        <w:rPr>
          <w:rFonts w:cs="Arial"/>
          <w:szCs w:val="20"/>
        </w:rPr>
        <w:t xml:space="preserve"> (12,4 %) postižené útlumem těžby a průmyslové výroby. V Maďarsku byla nejvyšší míra nezaměstnanosti zjištěna na severovýchodě země v regionech </w:t>
      </w:r>
      <w:proofErr w:type="spellStart"/>
      <w:r w:rsidRPr="00827180">
        <w:rPr>
          <w:rFonts w:cs="Arial"/>
          <w:szCs w:val="20"/>
        </w:rPr>
        <w:t>Észak</w:t>
      </w:r>
      <w:proofErr w:type="spellEnd"/>
      <w:r w:rsidRPr="00827180">
        <w:rPr>
          <w:rFonts w:cs="Arial"/>
          <w:szCs w:val="20"/>
        </w:rPr>
        <w:t>-</w:t>
      </w:r>
      <w:proofErr w:type="spellStart"/>
      <w:r w:rsidRPr="00827180">
        <w:rPr>
          <w:rFonts w:cs="Arial"/>
          <w:szCs w:val="20"/>
        </w:rPr>
        <w:t>Magyarország</w:t>
      </w:r>
      <w:proofErr w:type="spellEnd"/>
      <w:r>
        <w:rPr>
          <w:rFonts w:cs="Arial"/>
          <w:szCs w:val="20"/>
        </w:rPr>
        <w:t xml:space="preserve"> (17,3 %) a </w:t>
      </w:r>
      <w:proofErr w:type="spellStart"/>
      <w:r w:rsidRPr="00827180">
        <w:rPr>
          <w:rFonts w:cs="Arial"/>
          <w:szCs w:val="20"/>
        </w:rPr>
        <w:t>Észak</w:t>
      </w:r>
      <w:proofErr w:type="spellEnd"/>
      <w:r w:rsidRPr="00827180">
        <w:rPr>
          <w:rFonts w:cs="Arial"/>
          <w:szCs w:val="20"/>
        </w:rPr>
        <w:t>-</w:t>
      </w:r>
      <w:proofErr w:type="spellStart"/>
      <w:r w:rsidRPr="00827180">
        <w:rPr>
          <w:rFonts w:cs="Arial"/>
          <w:szCs w:val="20"/>
        </w:rPr>
        <w:t>Alföld</w:t>
      </w:r>
      <w:proofErr w:type="spellEnd"/>
      <w:r>
        <w:rPr>
          <w:rFonts w:cs="Arial"/>
          <w:szCs w:val="20"/>
        </w:rPr>
        <w:t xml:space="preserve"> (16,3 %) na Slovensku na východě země </w:t>
      </w:r>
      <w:proofErr w:type="spellStart"/>
      <w:r w:rsidRPr="001C56B1">
        <w:rPr>
          <w:rFonts w:cs="Arial"/>
          <w:szCs w:val="20"/>
        </w:rPr>
        <w:t>Východné</w:t>
      </w:r>
      <w:proofErr w:type="spellEnd"/>
      <w:r w:rsidRPr="001C56B1">
        <w:rPr>
          <w:rFonts w:cs="Arial"/>
          <w:szCs w:val="20"/>
        </w:rPr>
        <w:t xml:space="preserve"> Slovensko</w:t>
      </w:r>
      <w:r>
        <w:rPr>
          <w:rFonts w:cs="Arial"/>
          <w:szCs w:val="20"/>
        </w:rPr>
        <w:t xml:space="preserve"> (23,0 %), u obou zemí u hranic s Ukrajinou. V Polsku byla nejvyšší míra nezaměstnanosti na severu v regionu </w:t>
      </w:r>
      <w:proofErr w:type="spellStart"/>
      <w:r w:rsidRPr="00041FA2">
        <w:rPr>
          <w:rFonts w:cs="Arial"/>
          <w:szCs w:val="20"/>
        </w:rPr>
        <w:t>Warminsko</w:t>
      </w:r>
      <w:proofErr w:type="spellEnd"/>
      <w:r w:rsidRPr="00041FA2">
        <w:rPr>
          <w:rFonts w:cs="Arial"/>
          <w:szCs w:val="20"/>
        </w:rPr>
        <w:t>-</w:t>
      </w:r>
      <w:proofErr w:type="spellStart"/>
      <w:r w:rsidRPr="00041FA2">
        <w:rPr>
          <w:rFonts w:cs="Arial"/>
          <w:szCs w:val="20"/>
        </w:rPr>
        <w:t>Mazurskie</w:t>
      </w:r>
      <w:proofErr w:type="spellEnd"/>
      <w:r>
        <w:rPr>
          <w:rFonts w:cs="Arial"/>
          <w:szCs w:val="20"/>
        </w:rPr>
        <w:t xml:space="preserve"> (16,3 %), který nemá přístup k moři.</w:t>
      </w: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892710" w:rsidRDefault="00892710" w:rsidP="007A11CE">
      <w:pPr>
        <w:rPr>
          <w:rFonts w:cs="Arial"/>
          <w:szCs w:val="20"/>
        </w:rPr>
      </w:pPr>
    </w:p>
    <w:p w:rsidR="00186455" w:rsidRDefault="00186455" w:rsidP="004F32C4">
      <w:pPr>
        <w:rPr>
          <w:rFonts w:cs="Arial"/>
          <w:b/>
          <w:szCs w:val="20"/>
        </w:rPr>
      </w:pPr>
    </w:p>
    <w:p w:rsidR="005A56F7" w:rsidRDefault="006A3C63" w:rsidP="004F32C4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Graf 14: Míra nezaměstnanosti v regionech NUTS 2 států V4 podle sčítání 2011</w:t>
      </w:r>
    </w:p>
    <w:p w:rsidR="00517415" w:rsidRDefault="00066FBC" w:rsidP="00DC5FA5">
      <w:pPr>
        <w:rPr>
          <w:rFonts w:cs="Arial"/>
          <w:b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400040" cy="6279475"/>
            <wp:effectExtent l="19050" t="0" r="0" b="0"/>
            <wp:docPr id="9" name="obrázek 7" descr="C:\Users\sigutova16978\AppData\Local\Microsoft\Windows\Temporary Internet Files\Content.Word\MN_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gutova16978\AppData\Local\Microsoft\Windows\Temporary Internet Files\Content.Word\MN_rotatio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15" w:rsidRDefault="00517415" w:rsidP="00DC5FA5">
      <w:pPr>
        <w:rPr>
          <w:rFonts w:cs="Arial"/>
          <w:b/>
          <w:szCs w:val="20"/>
        </w:rPr>
      </w:pPr>
    </w:p>
    <w:p w:rsidR="00517415" w:rsidRDefault="00517415" w:rsidP="00DC5FA5">
      <w:pPr>
        <w:rPr>
          <w:rFonts w:cs="Arial"/>
          <w:b/>
          <w:szCs w:val="20"/>
        </w:rPr>
      </w:pPr>
    </w:p>
    <w:p w:rsidR="00892710" w:rsidRDefault="00892710" w:rsidP="00DC5FA5">
      <w:pPr>
        <w:rPr>
          <w:rFonts w:cs="Arial"/>
          <w:b/>
          <w:szCs w:val="20"/>
        </w:rPr>
      </w:pPr>
    </w:p>
    <w:p w:rsidR="00892710" w:rsidRDefault="00892710" w:rsidP="00DC5FA5">
      <w:pPr>
        <w:rPr>
          <w:rFonts w:cs="Arial"/>
          <w:b/>
          <w:szCs w:val="20"/>
        </w:rPr>
      </w:pPr>
    </w:p>
    <w:p w:rsidR="00892710" w:rsidRDefault="00892710" w:rsidP="00DC5FA5">
      <w:pPr>
        <w:rPr>
          <w:rFonts w:cs="Arial"/>
          <w:b/>
          <w:szCs w:val="20"/>
        </w:rPr>
      </w:pPr>
    </w:p>
    <w:p w:rsidR="00892710" w:rsidRDefault="00892710" w:rsidP="00DC5FA5">
      <w:pPr>
        <w:rPr>
          <w:rFonts w:cs="Arial"/>
          <w:b/>
          <w:szCs w:val="20"/>
        </w:rPr>
      </w:pPr>
    </w:p>
    <w:p w:rsidR="00DC5FA5" w:rsidRDefault="002C43A0" w:rsidP="003A4B8D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 xml:space="preserve">2.3 </w:t>
      </w:r>
      <w:r w:rsidR="00DC5FA5">
        <w:rPr>
          <w:rFonts w:cs="Arial"/>
          <w:b/>
          <w:szCs w:val="20"/>
        </w:rPr>
        <w:t>Struktura obyvatel podle státního občanství</w:t>
      </w:r>
    </w:p>
    <w:p w:rsidR="00DC5FA5" w:rsidRPr="00CB692F" w:rsidRDefault="00DC5FA5" w:rsidP="00DC5FA5">
      <w:pPr>
        <w:rPr>
          <w:rFonts w:cs="Arial"/>
          <w:szCs w:val="20"/>
        </w:rPr>
      </w:pPr>
      <w:r w:rsidRPr="00CB692F">
        <w:rPr>
          <w:rFonts w:cs="Arial"/>
          <w:szCs w:val="20"/>
        </w:rPr>
        <w:t xml:space="preserve">Cizincem byla osoba, která neměla státní občanství dané země, ale měla občanství jiného státu. Občané s dvojím občanstvím, z nichž jedno bylo občanství sledované země, nebyli považováni za cizince. </w:t>
      </w:r>
    </w:p>
    <w:p w:rsidR="00DC5FA5" w:rsidRDefault="00DC5FA5" w:rsidP="00DC5FA5">
      <w:pPr>
        <w:rPr>
          <w:rFonts w:cs="Arial"/>
          <w:szCs w:val="20"/>
        </w:rPr>
      </w:pPr>
      <w:r w:rsidRPr="00CB692F">
        <w:rPr>
          <w:rFonts w:cs="Arial"/>
          <w:szCs w:val="20"/>
        </w:rPr>
        <w:t>Ve státech</w:t>
      </w:r>
      <w:r>
        <w:rPr>
          <w:rFonts w:cs="Arial"/>
          <w:szCs w:val="20"/>
        </w:rPr>
        <w:t xml:space="preserve"> V</w:t>
      </w:r>
      <w:r w:rsidRPr="00CB692F">
        <w:rPr>
          <w:rFonts w:cs="Arial"/>
          <w:szCs w:val="20"/>
        </w:rPr>
        <w:t>4 žila naprostá většina obyvatel se státním občanstvím sledované země. Nejvíce homogenní zemí podle státního občanství bylo Polsko s 99,8 % a Maďarsko s 98,6 % obyvatel s daným státním občanstvím. Naproti tomu podíl obyvatel se státním občanstvím ČR žijících v České republice byl 95,4 % a podíl obyvatel s občanstvím Slovenska byl dokonce jen 92,2 %. Tyto hodnoty nejsou zcela reprezentativní především v případě Slovenska, kde byl vysoký poč</w:t>
      </w:r>
      <w:r>
        <w:rPr>
          <w:rFonts w:cs="Arial"/>
          <w:szCs w:val="20"/>
        </w:rPr>
        <w:t>e</w:t>
      </w:r>
      <w:r w:rsidRPr="00CB692F">
        <w:rPr>
          <w:rFonts w:cs="Arial"/>
          <w:szCs w:val="20"/>
        </w:rPr>
        <w:t xml:space="preserve">t nezjištěných odpovědí u státního občanství </w:t>
      </w:r>
      <w:r>
        <w:rPr>
          <w:rFonts w:cs="Arial"/>
          <w:szCs w:val="20"/>
        </w:rPr>
        <w:t>(</w:t>
      </w:r>
      <w:r w:rsidRPr="00CB692F">
        <w:rPr>
          <w:rFonts w:cs="Arial"/>
          <w:szCs w:val="20"/>
        </w:rPr>
        <w:t>téměř 40 tisíc</w:t>
      </w:r>
      <w:r>
        <w:rPr>
          <w:rFonts w:cs="Arial"/>
          <w:szCs w:val="20"/>
        </w:rPr>
        <w:t>, tj. 7,3 %). U ostatních zemí V</w:t>
      </w:r>
      <w:r w:rsidRPr="00CB692F">
        <w:rPr>
          <w:rFonts w:cs="Arial"/>
          <w:szCs w:val="20"/>
        </w:rPr>
        <w:t xml:space="preserve">4 byl podíl nezjištěných odpovědí u státního občanství </w:t>
      </w:r>
      <w:r w:rsidR="00444CD7">
        <w:rPr>
          <w:rFonts w:cs="Arial"/>
          <w:szCs w:val="20"/>
        </w:rPr>
        <w:t xml:space="preserve">podstatně nižší, </w:t>
      </w:r>
      <w:r w:rsidRPr="00CB692F">
        <w:rPr>
          <w:rFonts w:cs="Arial"/>
          <w:szCs w:val="20"/>
        </w:rPr>
        <w:t>0,6 % v ČR, v Polsku a v</w:t>
      </w:r>
      <w:r>
        <w:rPr>
          <w:rFonts w:cs="Arial"/>
          <w:szCs w:val="20"/>
        </w:rPr>
        <w:t xml:space="preserve"> Maďarsku </w:t>
      </w:r>
      <w:r w:rsidR="00C01AA9">
        <w:rPr>
          <w:rFonts w:cs="Arial"/>
          <w:szCs w:val="20"/>
        </w:rPr>
        <w:t>byl ještě</w:t>
      </w:r>
      <w:r>
        <w:rPr>
          <w:rFonts w:cs="Arial"/>
          <w:szCs w:val="20"/>
        </w:rPr>
        <w:t xml:space="preserve"> nižší. 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Zastoupení</w:t>
      </w:r>
      <w:r w:rsidRPr="00CB692F">
        <w:rPr>
          <w:rFonts w:cs="Arial"/>
          <w:szCs w:val="20"/>
        </w:rPr>
        <w:t xml:space="preserve"> cizinců </w:t>
      </w:r>
      <w:r>
        <w:rPr>
          <w:rFonts w:cs="Arial"/>
          <w:szCs w:val="20"/>
        </w:rPr>
        <w:t xml:space="preserve">v </w:t>
      </w:r>
      <w:r w:rsidRPr="00CB692F">
        <w:rPr>
          <w:rFonts w:cs="Arial"/>
          <w:szCs w:val="20"/>
        </w:rPr>
        <w:t>zemích</w:t>
      </w:r>
      <w:r w:rsidRPr="00653013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V4 v porovnání s jinými státy EU je nízké</w:t>
      </w:r>
      <w:r w:rsidRPr="00CB692F">
        <w:rPr>
          <w:rFonts w:cs="Arial"/>
          <w:szCs w:val="20"/>
        </w:rPr>
        <w:t>. V </w:t>
      </w:r>
      <w:r w:rsidR="008E67D2" w:rsidRPr="00CB692F">
        <w:rPr>
          <w:rFonts w:cs="Arial"/>
          <w:szCs w:val="20"/>
        </w:rPr>
        <w:t xml:space="preserve">Polsku </w:t>
      </w:r>
      <w:r w:rsidR="008E67D2">
        <w:rPr>
          <w:rFonts w:cs="Arial"/>
          <w:szCs w:val="20"/>
        </w:rPr>
        <w:t>a na Slovensku žilo necelé procento</w:t>
      </w:r>
      <w:r w:rsidR="008823F1">
        <w:rPr>
          <w:rFonts w:cs="Arial"/>
          <w:szCs w:val="20"/>
        </w:rPr>
        <w:t xml:space="preserve"> cizinců</w:t>
      </w:r>
      <w:r w:rsidR="008E67D2">
        <w:rPr>
          <w:rFonts w:cs="Arial"/>
          <w:szCs w:val="20"/>
        </w:rPr>
        <w:t xml:space="preserve">, </w:t>
      </w:r>
      <w:r w:rsidRPr="00CB692F">
        <w:rPr>
          <w:rFonts w:cs="Arial"/>
          <w:szCs w:val="20"/>
        </w:rPr>
        <w:t xml:space="preserve">v Maďarsku byl zaznamenán podíl cizinců </w:t>
      </w:r>
      <w:r w:rsidR="008823F1">
        <w:rPr>
          <w:rFonts w:cs="Arial"/>
          <w:szCs w:val="20"/>
        </w:rPr>
        <w:t xml:space="preserve">jen </w:t>
      </w:r>
      <w:r w:rsidR="008E67D2">
        <w:rPr>
          <w:rFonts w:cs="Arial"/>
          <w:szCs w:val="20"/>
        </w:rPr>
        <w:t>nepatrně vyšší.</w:t>
      </w:r>
      <w:r w:rsidRPr="00CB692F">
        <w:rPr>
          <w:rFonts w:cs="Arial"/>
          <w:szCs w:val="20"/>
        </w:rPr>
        <w:t xml:space="preserve"> Nejvyšší podíl obyvatel s cizím státním občanstvím byl zaznamenán v České republice, </w:t>
      </w:r>
      <w:r w:rsidR="008E67D2">
        <w:rPr>
          <w:rFonts w:cs="Arial"/>
          <w:szCs w:val="20"/>
        </w:rPr>
        <w:t>zhruba</w:t>
      </w:r>
      <w:r w:rsidRPr="00CB692F">
        <w:rPr>
          <w:rFonts w:cs="Arial"/>
          <w:szCs w:val="20"/>
        </w:rPr>
        <w:t xml:space="preserve"> 4 %. </w:t>
      </w:r>
    </w:p>
    <w:p w:rsidR="00DC5FA5" w:rsidRPr="002C43A0" w:rsidRDefault="00DC5FA5" w:rsidP="00DC5FA5">
      <w:pPr>
        <w:rPr>
          <w:rFonts w:cs="Arial"/>
          <w:b/>
          <w:szCs w:val="20"/>
        </w:rPr>
      </w:pPr>
    </w:p>
    <w:p w:rsidR="00DC5FA5" w:rsidRPr="002C43A0" w:rsidRDefault="00DC5FA5" w:rsidP="00DC5FA5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Tab. </w:t>
      </w:r>
      <w:r w:rsidR="005C267D">
        <w:rPr>
          <w:rFonts w:cs="Arial"/>
          <w:b/>
          <w:szCs w:val="20"/>
        </w:rPr>
        <w:t>7</w:t>
      </w:r>
      <w:r w:rsidR="005420E3" w:rsidRPr="002C43A0">
        <w:rPr>
          <w:rFonts w:cs="Arial"/>
          <w:b/>
          <w:szCs w:val="20"/>
        </w:rPr>
        <w:t>:</w:t>
      </w:r>
      <w:r w:rsidRPr="002C43A0">
        <w:rPr>
          <w:rFonts w:cs="Arial"/>
          <w:b/>
          <w:szCs w:val="20"/>
        </w:rPr>
        <w:t xml:space="preserve"> Zastoupení vybraných skupin cizinců ve státech V4 podle sčítání 2011</w:t>
      </w:r>
    </w:p>
    <w:tbl>
      <w:tblPr>
        <w:tblW w:w="53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40"/>
        <w:gridCol w:w="960"/>
        <w:gridCol w:w="960"/>
        <w:gridCol w:w="960"/>
        <w:gridCol w:w="960"/>
      </w:tblGrid>
      <w:tr w:rsidR="00DC5FA5" w:rsidRPr="00A50C3B" w:rsidTr="00892710">
        <w:trPr>
          <w:trHeight w:val="296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Stát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HU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PL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SK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Cizinci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422 276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142 666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77 316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26 563</w:t>
            </w:r>
          </w:p>
        </w:tc>
      </w:tr>
      <w:tr w:rsidR="00DC5FA5" w:rsidRPr="00A50C3B" w:rsidTr="00892710">
        <w:trPr>
          <w:trHeight w:val="178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z toho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Ukrajina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116 139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11 820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19 938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1 777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Slovensko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82 251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8 246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892710" w:rsidP="00345972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6"/>
                <w:szCs w:val="18"/>
                <w:lang w:eastAsia="cs-CZ"/>
              </w:rPr>
              <w:t>x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Vietnam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52 612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2 358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721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Rusko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31 545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2 512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5 359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779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Polsko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16 800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892710" w:rsidP="00345972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6"/>
                <w:szCs w:val="18"/>
                <w:lang w:eastAsia="cs-CZ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2 375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Německo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14 907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16 987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6 147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1 075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Moldavsko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8 729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29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Bulharsko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7 774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445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USA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7 432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529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Velká Británie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5 182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605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Mongolsko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5 118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1 090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22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Rumunsko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38 574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1 351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Čína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8 852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266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Kazachstán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Bělorusko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4 129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5 407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71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Itálie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3 279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687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Francie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1 647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334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Rakousko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3 936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533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Srbsko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2 248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7 752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357</w:t>
            </w:r>
          </w:p>
        </w:tc>
      </w:tr>
      <w:tr w:rsidR="00DC5FA5" w:rsidRPr="00A50C3B" w:rsidTr="00892710">
        <w:trPr>
          <w:trHeight w:val="296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Maďarsko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892710" w:rsidP="00345972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6"/>
                <w:szCs w:val="18"/>
                <w:lang w:eastAsia="cs-CZ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4 468</w:t>
            </w:r>
          </w:p>
        </w:tc>
      </w:tr>
      <w:tr w:rsidR="00DC5FA5" w:rsidRPr="00A50C3B" w:rsidTr="00892710">
        <w:trPr>
          <w:trHeight w:val="129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 xml:space="preserve">  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892710" w:rsidP="00345972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6"/>
                <w:szCs w:val="18"/>
                <w:lang w:eastAsia="cs-CZ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1 127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FA5" w:rsidRPr="00A50C3B" w:rsidRDefault="00DC5FA5" w:rsidP="00BF4C2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A50C3B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6 925</w:t>
            </w:r>
          </w:p>
        </w:tc>
      </w:tr>
    </w:tbl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>V</w:t>
      </w:r>
      <w:r w:rsidRPr="00CB692F">
        <w:rPr>
          <w:rFonts w:cs="Arial"/>
          <w:szCs w:val="20"/>
        </w:rPr>
        <w:t xml:space="preserve"> Česk</w:t>
      </w:r>
      <w:r>
        <w:rPr>
          <w:rFonts w:cs="Arial"/>
          <w:szCs w:val="20"/>
        </w:rPr>
        <w:t>é</w:t>
      </w:r>
      <w:r w:rsidRPr="00CB692F">
        <w:rPr>
          <w:rFonts w:cs="Arial"/>
          <w:szCs w:val="20"/>
        </w:rPr>
        <w:t xml:space="preserve"> republi</w:t>
      </w:r>
      <w:r>
        <w:rPr>
          <w:rFonts w:cs="Arial"/>
          <w:szCs w:val="20"/>
        </w:rPr>
        <w:t>ce v roce 2011 žilo 422 tisíc cizinců z téměř 100 zemí. Nejvíce, 27,5 % všech cizinců, by</w:t>
      </w:r>
      <w:r w:rsidR="00364C08">
        <w:rPr>
          <w:rFonts w:cs="Arial"/>
          <w:szCs w:val="20"/>
        </w:rPr>
        <w:t>li zastoupeni občané Ukrajiny (t</w:t>
      </w:r>
      <w:r>
        <w:rPr>
          <w:rFonts w:cs="Arial"/>
          <w:szCs w:val="20"/>
        </w:rPr>
        <w:t xml:space="preserve">ab. </w:t>
      </w:r>
      <w:r w:rsidR="005C267D">
        <w:rPr>
          <w:rFonts w:cs="Arial"/>
          <w:szCs w:val="20"/>
        </w:rPr>
        <w:t>7</w:t>
      </w:r>
      <w:r>
        <w:rPr>
          <w:rFonts w:cs="Arial"/>
          <w:szCs w:val="20"/>
        </w:rPr>
        <w:t>). Pětinu tvořili Slováci a 12,5 % cizinců byli občané Vietnamu. Četně</w:t>
      </w:r>
      <w:r w:rsidR="008D7889">
        <w:rPr>
          <w:rFonts w:cs="Arial"/>
          <w:szCs w:val="20"/>
        </w:rPr>
        <w:t>ji</w:t>
      </w:r>
      <w:r>
        <w:rPr>
          <w:rFonts w:cs="Arial"/>
          <w:szCs w:val="20"/>
        </w:rPr>
        <w:t xml:space="preserve"> zastoupeni byli dále občané Ruské federace, Polska a Německa.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V Maďarsku bylo sečteno 144 tisíc cizinců. Nejvyšší zastoupení měli občané Rumunska (27,0 %), 11,9 % cizinců tvořili občané Německa a 8,3 % občané Ukrajiny.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V Polsku žilo 77 tisíc cizinců, nejvíce jich bylo z Ukrajiny, tvořili čtvrtinu všech cizinců. Výrazněji byli zastoupeni občané Německa, Běloruska a Ruské federace.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Nejméně cizinců ze států V4 v absolutním vyjádření žilo na Slovensku, pouze 26 tisíc osob. Zhruba čtvrtinu všech cizinců tvořili občané ČR a 16,8 % cizinců byli občané Maďarska.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Ve většině států V4 mezi cizinci převažovali muži</w:t>
      </w:r>
      <w:r>
        <w:rPr>
          <w:rFonts w:cs="Arial"/>
          <w:szCs w:val="20"/>
          <w:lang w:val="en-US"/>
        </w:rPr>
        <w:t>;</w:t>
      </w:r>
      <w:r>
        <w:rPr>
          <w:rFonts w:cs="Arial"/>
          <w:szCs w:val="20"/>
        </w:rPr>
        <w:t xml:space="preserve"> od 57,4 % v ČR až po necelých 54 % v Polsku a na Slovensku. Pouze v Maďarsku mezi cizinci mírně převažovaly ženy, mužů bylo 49,5 %. </w:t>
      </w:r>
    </w:p>
    <w:p w:rsidR="00DC5FA5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Naprostá většina cizinců v zemích V4 byla v produktivním</w:t>
      </w:r>
      <w:r w:rsidR="003463DB">
        <w:rPr>
          <w:rFonts w:cs="Arial"/>
          <w:szCs w:val="20"/>
        </w:rPr>
        <w:t xml:space="preserve"> věku (g</w:t>
      </w:r>
      <w:r>
        <w:rPr>
          <w:rFonts w:cs="Arial"/>
          <w:szCs w:val="20"/>
        </w:rPr>
        <w:t xml:space="preserve">raf </w:t>
      </w:r>
      <w:r w:rsidR="003463DB">
        <w:rPr>
          <w:rFonts w:cs="Arial"/>
          <w:szCs w:val="20"/>
        </w:rPr>
        <w:t>1</w:t>
      </w:r>
      <w:r w:rsidR="004B4CE7">
        <w:rPr>
          <w:rFonts w:cs="Arial"/>
          <w:szCs w:val="20"/>
        </w:rPr>
        <w:t>5</w:t>
      </w:r>
      <w:r>
        <w:rPr>
          <w:rFonts w:cs="Arial"/>
          <w:szCs w:val="20"/>
        </w:rPr>
        <w:t>). Nejvíce byla zastoupena věková skupina 30 – 49 let. V ČR tvořila 45,7 % cizinců, v Polsku 44,7 %, na Slovensku 37,7 % a v Maďarsku 36,7 % všech cizinců. Naproti tomu dětská složka (do 15 let) tvořila jen zhruba desetinu, nejméně 8,1 % v ČR a nejvíce 10,8 % v Maďarsku.</w:t>
      </w:r>
    </w:p>
    <w:p w:rsidR="00DC5FA5" w:rsidRDefault="00DC5FA5" w:rsidP="00DC5FA5">
      <w:pPr>
        <w:rPr>
          <w:rFonts w:cs="Arial"/>
          <w:szCs w:val="20"/>
        </w:rPr>
      </w:pPr>
    </w:p>
    <w:p w:rsidR="00DC5FA5" w:rsidRPr="002C43A0" w:rsidRDefault="00DC5FA5" w:rsidP="00DC5FA5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Graf </w:t>
      </w:r>
      <w:r w:rsidR="005420E3" w:rsidRPr="002C43A0">
        <w:rPr>
          <w:rFonts w:cs="Arial"/>
          <w:b/>
          <w:szCs w:val="20"/>
        </w:rPr>
        <w:t>1</w:t>
      </w:r>
      <w:r w:rsidR="004B4CE7">
        <w:rPr>
          <w:rFonts w:cs="Arial"/>
          <w:b/>
          <w:szCs w:val="20"/>
        </w:rPr>
        <w:t>5</w:t>
      </w:r>
      <w:r w:rsidR="005420E3" w:rsidRPr="002C43A0">
        <w:rPr>
          <w:rFonts w:cs="Arial"/>
          <w:b/>
          <w:szCs w:val="20"/>
        </w:rPr>
        <w:t>:</w:t>
      </w:r>
      <w:r w:rsidRPr="002C43A0">
        <w:rPr>
          <w:rFonts w:cs="Arial"/>
          <w:b/>
          <w:szCs w:val="20"/>
        </w:rPr>
        <w:t xml:space="preserve"> Věková struktura cizinců ve státech V4 podle sčítání 2011</w:t>
      </w:r>
    </w:p>
    <w:p w:rsidR="00DC5FA5" w:rsidRDefault="00DC5FA5" w:rsidP="00DC5FA5">
      <w:pPr>
        <w:rPr>
          <w:rFonts w:cs="Arial"/>
          <w:szCs w:val="20"/>
        </w:rPr>
      </w:pPr>
      <w:r w:rsidRPr="00CF50B0">
        <w:rPr>
          <w:noProof/>
          <w:szCs w:val="20"/>
          <w:lang w:eastAsia="cs-CZ"/>
        </w:rPr>
        <w:drawing>
          <wp:inline distT="0" distB="0" distL="0" distR="0">
            <wp:extent cx="4591050" cy="2762250"/>
            <wp:effectExtent l="19050" t="0" r="0" b="0"/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A5" w:rsidRDefault="00DC5FA5" w:rsidP="00DC5FA5">
      <w:pPr>
        <w:rPr>
          <w:rFonts w:cs="Arial"/>
          <w:szCs w:val="20"/>
        </w:rPr>
      </w:pPr>
    </w:p>
    <w:p w:rsidR="00DC5FA5" w:rsidRPr="008C6676" w:rsidRDefault="00DC5FA5" w:rsidP="00DC5FA5">
      <w:pPr>
        <w:rPr>
          <w:rFonts w:cs="Arial"/>
          <w:szCs w:val="20"/>
        </w:rPr>
      </w:pPr>
      <w:r>
        <w:rPr>
          <w:rFonts w:cs="Arial"/>
          <w:szCs w:val="20"/>
        </w:rPr>
        <w:t>Více než polovina cizinců patřila do skupiny ekonomicky aktivních, což odpovídá jejich věkové struktuře. V Maďarsku, Polsku a na Slovensku tvořil podíl ekonomicky aktivních</w:t>
      </w:r>
      <w:r w:rsidR="00AB7B9C">
        <w:rPr>
          <w:rFonts w:cs="Arial"/>
          <w:szCs w:val="20"/>
        </w:rPr>
        <w:t xml:space="preserve"> cizinců</w:t>
      </w:r>
      <w:r>
        <w:rPr>
          <w:rFonts w:cs="Arial"/>
          <w:szCs w:val="20"/>
        </w:rPr>
        <w:t xml:space="preserve"> na celkovém počtu cizinců </w:t>
      </w:r>
      <w:r w:rsidR="00B03D64">
        <w:rPr>
          <w:rFonts w:cs="Arial"/>
          <w:szCs w:val="20"/>
        </w:rPr>
        <w:t xml:space="preserve">téměř 54 %. </w:t>
      </w:r>
      <w:r>
        <w:rPr>
          <w:rFonts w:cs="Arial"/>
          <w:szCs w:val="20"/>
        </w:rPr>
        <w:t xml:space="preserve">Výjimkou byla Česká republika, kde byl zaznamenán podíl ekonomicky aktivních cizinců pouze 37,4 %. </w:t>
      </w:r>
      <w:r w:rsidR="00273B5F" w:rsidRPr="008C6676">
        <w:rPr>
          <w:rFonts w:cs="Arial"/>
          <w:color w:val="000000"/>
          <w:szCs w:val="20"/>
          <w:lang w:eastAsia="cs-CZ"/>
        </w:rPr>
        <w:t xml:space="preserve">Nízký podíl ekonomicky aktivních byl ovlivněn vysokým podílem nezjištěných odpovědí (43,5 </w:t>
      </w:r>
      <w:r w:rsidR="008C6676" w:rsidRPr="008C6676">
        <w:rPr>
          <w:rFonts w:cs="Arial"/>
          <w:color w:val="000000"/>
          <w:szCs w:val="20"/>
          <w:lang w:eastAsia="cs-CZ"/>
        </w:rPr>
        <w:t>%). Podíl ekonomicky aktivních</w:t>
      </w:r>
      <w:r w:rsidR="00273B5F" w:rsidRPr="008C6676">
        <w:rPr>
          <w:rFonts w:cs="Arial"/>
          <w:color w:val="000000"/>
          <w:szCs w:val="20"/>
          <w:lang w:eastAsia="cs-CZ"/>
        </w:rPr>
        <w:t xml:space="preserve"> cizinců se zjištěnou ekonomickou aktivitou byl 66,1 %</w:t>
      </w:r>
      <w:r w:rsidR="008C6676" w:rsidRPr="008C6676">
        <w:rPr>
          <w:rFonts w:cs="Arial"/>
          <w:szCs w:val="20"/>
        </w:rPr>
        <w:t xml:space="preserve">. </w:t>
      </w:r>
    </w:p>
    <w:p w:rsidR="00DC5FA5" w:rsidRPr="003A3E4B" w:rsidRDefault="00D32436" w:rsidP="00DC5FA5">
      <w:pPr>
        <w:rPr>
          <w:rFonts w:cs="Arial"/>
          <w:szCs w:val="20"/>
        </w:rPr>
      </w:pPr>
      <w:r w:rsidRPr="003A3E4B">
        <w:rPr>
          <w:rFonts w:cs="Arial"/>
          <w:szCs w:val="20"/>
        </w:rPr>
        <w:t>Naprostá většina ekonomicky aktivních cizinců v zemích V4 byli zaměstnaní. Nejvyšší podíl zaměstnaných cizinců na ekonomicky aktivních byl zjištěn v Maďarsku, a to 93,6</w:t>
      </w:r>
      <w:r w:rsidR="00B03D64">
        <w:rPr>
          <w:rFonts w:cs="Arial"/>
          <w:szCs w:val="20"/>
        </w:rPr>
        <w:t>.</w:t>
      </w:r>
      <w:r w:rsidRPr="003A3E4B">
        <w:rPr>
          <w:rFonts w:cs="Arial"/>
          <w:szCs w:val="20"/>
        </w:rPr>
        <w:t xml:space="preserve"> </w:t>
      </w:r>
      <w:r w:rsidR="00B03D64">
        <w:rPr>
          <w:rFonts w:cs="Arial"/>
          <w:szCs w:val="20"/>
        </w:rPr>
        <w:t xml:space="preserve">V České republice a v Polsku se pohyboval kolem 90 %. </w:t>
      </w:r>
      <w:r w:rsidRPr="003A3E4B">
        <w:rPr>
          <w:rFonts w:cs="Arial"/>
          <w:szCs w:val="20"/>
        </w:rPr>
        <w:t xml:space="preserve"> Nejnižší podíl zaměstnaných cizinců na </w:t>
      </w:r>
      <w:r w:rsidRPr="003A3E4B">
        <w:rPr>
          <w:rFonts w:cs="Arial"/>
          <w:szCs w:val="20"/>
        </w:rPr>
        <w:lastRenderedPageBreak/>
        <w:t>ekonomicky aktivních byl zaznamenán na Slovensku, a to 85,7 %. Podíl zaměstnaných cizinců na ekonomicky aktivních cizincích je mírně vyšší než podíl zaměstnaných celkem na celkovém počtu ekonomicky aktivních v jednotlivých státech V4. Nejvyšší rozdíl mezi mírou zaměstnanosti cizinců a mírou zaměstnanosti celkem byl zaznamenán v Maďarsku, a to o 6,2 procentních bodů, v ostatních zemích V4 byl rozdíl pod hranicí 3 procentních bodů.</w:t>
      </w:r>
    </w:p>
    <w:p w:rsidR="00DC5FA5" w:rsidRDefault="00D32436" w:rsidP="00DC5FA5">
      <w:pPr>
        <w:rPr>
          <w:rFonts w:cs="Arial"/>
          <w:szCs w:val="20"/>
        </w:rPr>
      </w:pPr>
      <w:r w:rsidRPr="003A3E4B">
        <w:rPr>
          <w:rFonts w:cs="Arial"/>
          <w:szCs w:val="20"/>
        </w:rPr>
        <w:t>S výše uvedenými podíly souvisí míra nezaměstnanosti cizinců v daných zemích. Nejnižší míra nezaměstnanosti u cizinců byla zaznamenána v Maďarsku (6,4 %). V České republice byla 9,0</w:t>
      </w:r>
      <w:r w:rsidRPr="003A3E4B">
        <w:rPr>
          <w:rFonts w:eastAsia="Times New Roman" w:cs="Arial"/>
          <w:color w:val="000000"/>
          <w:szCs w:val="20"/>
          <w:lang w:eastAsia="cs-CZ"/>
        </w:rPr>
        <w:t> </w:t>
      </w:r>
      <w:r w:rsidRPr="003A3E4B">
        <w:rPr>
          <w:rFonts w:cs="Arial"/>
          <w:szCs w:val="20"/>
        </w:rPr>
        <w:t xml:space="preserve"> %, v Polsku 10,7 % a nejvyšší míra nezaměstnanosti byla zjištěna na Slovensku, a to 14,3 %.</w:t>
      </w:r>
    </w:p>
    <w:p w:rsidR="00DC5FA5" w:rsidRDefault="00DC5FA5" w:rsidP="00DC5FA5">
      <w:pPr>
        <w:rPr>
          <w:rFonts w:cs="Arial"/>
          <w:szCs w:val="20"/>
        </w:rPr>
      </w:pPr>
    </w:p>
    <w:p w:rsidR="00DC5FA5" w:rsidRDefault="002C43A0" w:rsidP="007C4BEF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>2.4. Struktura obyvatel podle m</w:t>
      </w:r>
      <w:r w:rsidR="00DC5FA5" w:rsidRPr="00D65A12">
        <w:rPr>
          <w:rFonts w:cs="Arial"/>
          <w:b/>
          <w:szCs w:val="20"/>
        </w:rPr>
        <w:t>íst</w:t>
      </w:r>
      <w:r>
        <w:rPr>
          <w:rFonts w:cs="Arial"/>
          <w:b/>
          <w:szCs w:val="20"/>
        </w:rPr>
        <w:t>a</w:t>
      </w:r>
      <w:r w:rsidR="00DC5FA5" w:rsidRPr="00D65A12">
        <w:rPr>
          <w:rFonts w:cs="Arial"/>
          <w:b/>
          <w:szCs w:val="20"/>
        </w:rPr>
        <w:t xml:space="preserve"> narození</w:t>
      </w:r>
    </w:p>
    <w:p w:rsidR="00DC5FA5" w:rsidRDefault="00DC5FA5" w:rsidP="00DC5FA5">
      <w:pPr>
        <w:shd w:val="clear" w:color="auto" w:fill="FFFFFF"/>
        <w:rPr>
          <w:rFonts w:eastAsia="Times New Roman" w:cs="Arial"/>
          <w:color w:val="000000"/>
          <w:szCs w:val="20"/>
          <w:lang w:eastAsia="cs-CZ"/>
        </w:rPr>
      </w:pPr>
      <w:r>
        <w:rPr>
          <w:rFonts w:eastAsia="Times New Roman" w:cs="Arial"/>
          <w:color w:val="000000"/>
          <w:szCs w:val="20"/>
          <w:lang w:eastAsia="cs-CZ"/>
        </w:rPr>
        <w:t xml:space="preserve">Kromě cizinců žili ve státech V4 obyvatelé s občanstvím dané země, kteří ale měli místo narození v jiné zemi. V České republice bylo sečteno 284 tisíc obyvatel (necelá 3 %) se státním občanstvím ČR, kteří se narodili v cizí zemi. V Maďarsku a na Slovensku byl tento podíl 2,5 % a 2,4 %. V Polsku byl podíl obyvatel se státním občanstvím Polska narozených v cizí zemi nejnižší ze všech států V4 a tvořil 1,5 %. </w:t>
      </w:r>
    </w:p>
    <w:p w:rsidR="00DC5FA5" w:rsidRDefault="00DC5FA5" w:rsidP="00DC5FA5">
      <w:pPr>
        <w:rPr>
          <w:rFonts w:eastAsia="Times New Roman" w:cs="Arial"/>
          <w:color w:val="000000"/>
          <w:szCs w:val="20"/>
          <w:lang w:eastAsia="cs-CZ"/>
        </w:rPr>
      </w:pPr>
      <w:r>
        <w:rPr>
          <w:rFonts w:eastAsia="Times New Roman" w:cs="Arial"/>
          <w:color w:val="000000"/>
          <w:szCs w:val="20"/>
          <w:lang w:eastAsia="cs-CZ"/>
        </w:rPr>
        <w:t>Většina občanů V4</w:t>
      </w:r>
      <w:r w:rsidR="0020781C">
        <w:rPr>
          <w:rFonts w:eastAsia="Times New Roman" w:cs="Arial"/>
          <w:color w:val="000000"/>
          <w:szCs w:val="20"/>
          <w:lang w:eastAsia="cs-CZ"/>
        </w:rPr>
        <w:t xml:space="preserve"> (</w:t>
      </w:r>
      <w:r>
        <w:rPr>
          <w:rFonts w:eastAsia="Times New Roman" w:cs="Arial"/>
          <w:color w:val="000000"/>
          <w:szCs w:val="20"/>
          <w:lang w:eastAsia="cs-CZ"/>
        </w:rPr>
        <w:t>s výjimkou Polska</w:t>
      </w:r>
      <w:r w:rsidR="0020781C">
        <w:rPr>
          <w:rFonts w:eastAsia="Times New Roman" w:cs="Arial"/>
          <w:color w:val="000000"/>
          <w:szCs w:val="20"/>
          <w:lang w:eastAsia="cs-CZ"/>
        </w:rPr>
        <w:t>)</w:t>
      </w:r>
      <w:r>
        <w:rPr>
          <w:rFonts w:eastAsia="Times New Roman" w:cs="Arial"/>
          <w:color w:val="000000"/>
          <w:szCs w:val="20"/>
          <w:lang w:eastAsia="cs-CZ"/>
        </w:rPr>
        <w:t xml:space="preserve"> s místem narození v cizí zemi se narodila v jiné zemi Evropské Unie. V České republice se jednalo převážně o občany narozené na Slovensku a na Slovensku zase o narozené v ČR, většinou ve starším produktivním a poproduktivním věku. Nezanedbatelná část občanů ČR a SK se narodila na Ukrajině, tvořila 6,9 % a 6,0 % všech</w:t>
      </w:r>
      <w:r w:rsidR="00FB6B02">
        <w:rPr>
          <w:rFonts w:eastAsia="Times New Roman" w:cs="Arial"/>
          <w:color w:val="000000"/>
          <w:szCs w:val="20"/>
          <w:lang w:eastAsia="cs-CZ"/>
        </w:rPr>
        <w:t xml:space="preserve"> </w:t>
      </w:r>
      <w:r w:rsidR="0020781C">
        <w:rPr>
          <w:rFonts w:eastAsia="Times New Roman" w:cs="Arial"/>
          <w:color w:val="000000"/>
          <w:szCs w:val="20"/>
          <w:lang w:eastAsia="cs-CZ"/>
        </w:rPr>
        <w:t>narozených v cizině</w:t>
      </w:r>
      <w:r>
        <w:rPr>
          <w:rFonts w:eastAsia="Times New Roman" w:cs="Arial"/>
          <w:color w:val="000000"/>
          <w:szCs w:val="20"/>
          <w:lang w:eastAsia="cs-CZ"/>
        </w:rPr>
        <w:t xml:space="preserve">. Většina občanů Maďarska narozených v cizí zemi byla narozena v Rumunsku, zhruba desetina se narodila na Ukrajině, šlo převážně o osoby v produktivním věku. Mezi občany Polska byli nejvýznamněji zastoupeni narození na Ukrajině (37,7 %) a v Bělorusku (14,1 %). Významný podíl tvořili dále narození v Německu (12,7 %), </w:t>
      </w:r>
      <w:r w:rsidR="0020781C">
        <w:rPr>
          <w:rFonts w:eastAsia="Times New Roman" w:cs="Arial"/>
          <w:color w:val="000000"/>
          <w:szCs w:val="20"/>
          <w:lang w:eastAsia="cs-CZ"/>
        </w:rPr>
        <w:t>v</w:t>
      </w:r>
      <w:r>
        <w:rPr>
          <w:rFonts w:eastAsia="Times New Roman" w:cs="Arial"/>
          <w:color w:val="000000"/>
          <w:szCs w:val="20"/>
          <w:lang w:eastAsia="cs-CZ"/>
        </w:rPr>
        <w:t> Litvě (9,6 %) a v Rusku (6,5 %). Naprostá většina těchto osob byla ve věku 65 let a více.</w:t>
      </w:r>
    </w:p>
    <w:p w:rsidR="00C924F8" w:rsidRDefault="00C924F8" w:rsidP="00DA2E58">
      <w:pPr>
        <w:rPr>
          <w:rFonts w:cs="Arial"/>
          <w:b/>
          <w:szCs w:val="20"/>
        </w:rPr>
      </w:pPr>
    </w:p>
    <w:p w:rsidR="002C43A0" w:rsidRDefault="002C43A0" w:rsidP="00DA2E58">
      <w:pPr>
        <w:rPr>
          <w:rFonts w:cs="Arial"/>
          <w:b/>
          <w:szCs w:val="20"/>
        </w:rPr>
      </w:pPr>
    </w:p>
    <w:p w:rsidR="00784E79" w:rsidRDefault="00784E79" w:rsidP="00DA2E58">
      <w:pPr>
        <w:rPr>
          <w:rFonts w:cs="Arial"/>
          <w:b/>
          <w:szCs w:val="20"/>
        </w:rPr>
      </w:pPr>
    </w:p>
    <w:p w:rsidR="00784E79" w:rsidRDefault="00784E79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227977" w:rsidRDefault="00227977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7F45EB" w:rsidRDefault="007F45EB" w:rsidP="00DA2E58">
      <w:pPr>
        <w:rPr>
          <w:rFonts w:cs="Arial"/>
          <w:b/>
          <w:szCs w:val="20"/>
        </w:rPr>
      </w:pPr>
    </w:p>
    <w:p w:rsidR="00DA2E58" w:rsidRDefault="002C43A0" w:rsidP="00DA2E58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3. Charakteristiky b</w:t>
      </w:r>
      <w:r w:rsidR="00DA2E58">
        <w:rPr>
          <w:rFonts w:cs="Arial"/>
          <w:b/>
          <w:szCs w:val="20"/>
        </w:rPr>
        <w:t>ydlení a byt</w:t>
      </w:r>
      <w:r>
        <w:rPr>
          <w:rFonts w:cs="Arial"/>
          <w:b/>
          <w:szCs w:val="20"/>
        </w:rPr>
        <w:t>ů</w:t>
      </w:r>
    </w:p>
    <w:p w:rsidR="002C43A0" w:rsidRDefault="002C43A0" w:rsidP="00DA2E58">
      <w:pPr>
        <w:rPr>
          <w:rFonts w:cs="Arial"/>
          <w:b/>
          <w:szCs w:val="20"/>
        </w:rPr>
      </w:pPr>
    </w:p>
    <w:p w:rsidR="00DA2E58" w:rsidRDefault="00DA2E58" w:rsidP="00DA2E58">
      <w:pPr>
        <w:rPr>
          <w:rFonts w:cs="Arial"/>
          <w:szCs w:val="20"/>
        </w:rPr>
      </w:pPr>
      <w:r>
        <w:rPr>
          <w:rFonts w:cs="Arial"/>
          <w:szCs w:val="20"/>
        </w:rPr>
        <w:t>Údaje o bydlení a bytech byly zatíženy nerovnoměrně rozloženými nezjištěnými hodnotami v jednotlivých tématech vztahujících se k bydlení. Tuto skutečnost je třeba při porovnávání výsledků států V4 brát v úvahu.</w:t>
      </w:r>
    </w:p>
    <w:p w:rsidR="00DA2E58" w:rsidRPr="00C5695C" w:rsidRDefault="00EF2295" w:rsidP="00DA2E58">
      <w:pPr>
        <w:rPr>
          <w:rFonts w:cs="Arial"/>
          <w:szCs w:val="20"/>
        </w:rPr>
      </w:pPr>
      <w:r w:rsidRPr="00B324A4">
        <w:rPr>
          <w:rFonts w:cs="Arial"/>
          <w:szCs w:val="20"/>
        </w:rPr>
        <w:t>Obecně platí, že t</w:t>
      </w:r>
      <w:r w:rsidR="00D32436" w:rsidRPr="00B324A4">
        <w:rPr>
          <w:rFonts w:cs="Arial"/>
          <w:szCs w:val="20"/>
        </w:rPr>
        <w:t>éměř všichni obyvatelé žijí v bytech. Bydlení mimo byty nebo bydlení v zařízeních je obecně minimální. Mezi státy V4 nejvyšší</w:t>
      </w:r>
      <w:r w:rsidR="00174ECD">
        <w:rPr>
          <w:rFonts w:cs="Arial"/>
          <w:szCs w:val="20"/>
        </w:rPr>
        <w:t xml:space="preserve"> </w:t>
      </w:r>
      <w:r w:rsidR="00DA2E58">
        <w:rPr>
          <w:rFonts w:cs="Arial"/>
          <w:szCs w:val="20"/>
        </w:rPr>
        <w:t>podíl bydlení v bytech vykázalo Polsko, které současně mělo i velmi nízký podíl neobydlených bytů. Zastoupení nouzového bydlení vč. bezdomovců bylo nejvyšší v České republice; značná část těchto osob ale bydlela ve většinou standardně vybavených chatách a rekreačních objektech, kde měly tyto osoby i trvalé bydliště. Podle metodiky českého sčítání nejsou ale budovy s evidenčními čísly považovány za domy určené k bydlení, proto i osoby v nich bydlící byly zařazeny do bydlení nouzového. Na Slovensku zůstala nezanedbatelná 2 % osob bez zjištěného způsobu bydlení.</w:t>
      </w:r>
    </w:p>
    <w:p w:rsidR="00DA2E58" w:rsidRDefault="00DA2E58" w:rsidP="00DA2E58">
      <w:pPr>
        <w:rPr>
          <w:rFonts w:cs="Arial"/>
          <w:b/>
          <w:szCs w:val="20"/>
        </w:rPr>
      </w:pPr>
    </w:p>
    <w:p w:rsidR="00DA2E58" w:rsidRPr="002C43A0" w:rsidRDefault="005420E3" w:rsidP="000C5654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Tab. </w:t>
      </w:r>
      <w:r w:rsidR="00E5791C">
        <w:rPr>
          <w:rFonts w:cs="Arial"/>
          <w:b/>
          <w:szCs w:val="20"/>
        </w:rPr>
        <w:t>8</w:t>
      </w:r>
      <w:r w:rsidRPr="002C43A0">
        <w:rPr>
          <w:rFonts w:cs="Arial"/>
          <w:b/>
          <w:szCs w:val="20"/>
        </w:rPr>
        <w:t xml:space="preserve">: </w:t>
      </w:r>
      <w:r w:rsidR="00DA2E58" w:rsidRPr="002C43A0">
        <w:rPr>
          <w:rFonts w:cs="Arial"/>
          <w:b/>
          <w:szCs w:val="20"/>
        </w:rPr>
        <w:t xml:space="preserve">Struktura osob podle způsobu bydlení </w:t>
      </w:r>
      <w:r w:rsidR="000C5654" w:rsidRPr="002C43A0">
        <w:rPr>
          <w:rFonts w:cs="Arial"/>
          <w:b/>
          <w:szCs w:val="20"/>
        </w:rPr>
        <w:t>ve státech V4</w:t>
      </w:r>
      <w:r w:rsidR="000C5654">
        <w:rPr>
          <w:rFonts w:cs="Arial"/>
          <w:b/>
          <w:szCs w:val="20"/>
        </w:rPr>
        <w:t xml:space="preserve"> podle sčítání 2011 </w:t>
      </w:r>
      <w:r w:rsidR="00DA2E58" w:rsidRPr="002C43A0">
        <w:rPr>
          <w:rFonts w:cs="Arial"/>
          <w:b/>
          <w:szCs w:val="20"/>
        </w:rPr>
        <w:t>(v %)</w:t>
      </w:r>
      <w:r w:rsidR="000C5654">
        <w:rPr>
          <w:rFonts w:cs="Arial"/>
          <w:b/>
          <w:szCs w:val="20"/>
        </w:rPr>
        <w:t xml:space="preserve"> </w:t>
      </w:r>
    </w:p>
    <w:tbl>
      <w:tblPr>
        <w:tblW w:w="66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80"/>
        <w:gridCol w:w="1360"/>
        <w:gridCol w:w="1360"/>
        <w:gridCol w:w="1660"/>
        <w:gridCol w:w="1360"/>
      </w:tblGrid>
      <w:tr w:rsidR="003618ED" w:rsidRPr="003618ED" w:rsidTr="00B324A4">
        <w:trPr>
          <w:trHeight w:val="49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3618ED" w:rsidRPr="003618ED" w:rsidRDefault="003618ED" w:rsidP="00B324A4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 </w:t>
            </w:r>
            <w:r w:rsidR="00B324A4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Stát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Byty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Zařízení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Nouzové bydlení a bezdomovci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center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Nezjištěno</w:t>
            </w:r>
          </w:p>
        </w:tc>
      </w:tr>
      <w:tr w:rsidR="003618ED" w:rsidRPr="003618ED" w:rsidTr="003618ED">
        <w:trPr>
          <w:trHeight w:val="28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CZ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97,2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3618ED" w:rsidRPr="003618ED" w:rsidTr="003618ED">
        <w:trPr>
          <w:trHeight w:val="28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HU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97,5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3618ED" w:rsidRPr="003618ED" w:rsidTr="003618ED">
        <w:trPr>
          <w:trHeight w:val="28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PL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99,4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B324A4" w:rsidRDefault="00D32436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324A4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B324A4" w:rsidRDefault="00D32436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324A4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</w:tr>
      <w:tr w:rsidR="003618ED" w:rsidRPr="003618ED" w:rsidTr="003618ED">
        <w:trPr>
          <w:trHeight w:val="28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left"/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FFFFFF"/>
                <w:sz w:val="18"/>
                <w:szCs w:val="18"/>
                <w:lang w:eastAsia="cs-CZ"/>
              </w:rPr>
              <w:t>SK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96,4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3618ED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618ED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18ED" w:rsidRPr="00B324A4" w:rsidRDefault="003618ED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324A4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0,7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18ED" w:rsidRPr="00B324A4" w:rsidRDefault="00D32436" w:rsidP="003618ED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324A4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2,0</w:t>
            </w:r>
          </w:p>
        </w:tc>
      </w:tr>
    </w:tbl>
    <w:p w:rsidR="003618ED" w:rsidRDefault="003618ED" w:rsidP="00DA2E58">
      <w:pPr>
        <w:rPr>
          <w:rFonts w:cs="Arial"/>
          <w:szCs w:val="20"/>
        </w:rPr>
      </w:pPr>
    </w:p>
    <w:p w:rsidR="00DA2E58" w:rsidRDefault="00DA2E58" w:rsidP="00DA2E58">
      <w:pPr>
        <w:rPr>
          <w:rFonts w:cs="Arial"/>
          <w:szCs w:val="20"/>
        </w:rPr>
      </w:pPr>
      <w:r w:rsidRPr="00AF732C">
        <w:rPr>
          <w:rFonts w:cs="Arial"/>
          <w:szCs w:val="20"/>
        </w:rPr>
        <w:t>V</w:t>
      </w:r>
      <w:r>
        <w:rPr>
          <w:rFonts w:cs="Arial"/>
          <w:szCs w:val="20"/>
        </w:rPr>
        <w:t> návaznosti na způsob bydlení osob i domácností byly zjišťovány při sčítání i údaje o bytech. Kromě kvantifikace bytového fondu byly zjišťovány i jeho kvalitativní parametry, ať už vztahující se k velikosti bytů nebo k jejich technickému vybavení</w:t>
      </w:r>
    </w:p>
    <w:p w:rsidR="00DA2E58" w:rsidRPr="002C43A0" w:rsidRDefault="00DA2E58" w:rsidP="00DA2E58">
      <w:pPr>
        <w:rPr>
          <w:rFonts w:cs="Arial"/>
          <w:b/>
          <w:szCs w:val="20"/>
        </w:rPr>
      </w:pPr>
    </w:p>
    <w:p w:rsidR="000C5654" w:rsidRPr="002C43A0" w:rsidRDefault="005420E3" w:rsidP="000C5654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>Tab</w:t>
      </w:r>
      <w:r w:rsidR="00743E7D">
        <w:rPr>
          <w:rFonts w:cs="Arial"/>
          <w:b/>
          <w:szCs w:val="20"/>
        </w:rPr>
        <w:t>.</w:t>
      </w:r>
      <w:r w:rsidRPr="002C43A0">
        <w:rPr>
          <w:rFonts w:cs="Arial"/>
          <w:b/>
          <w:szCs w:val="20"/>
        </w:rPr>
        <w:t xml:space="preserve"> </w:t>
      </w:r>
      <w:r w:rsidR="00E5791C">
        <w:rPr>
          <w:rFonts w:cs="Arial"/>
          <w:b/>
          <w:szCs w:val="20"/>
        </w:rPr>
        <w:t>9</w:t>
      </w:r>
      <w:r w:rsidRPr="002C43A0">
        <w:rPr>
          <w:rFonts w:cs="Arial"/>
          <w:b/>
          <w:szCs w:val="20"/>
        </w:rPr>
        <w:t xml:space="preserve">: </w:t>
      </w:r>
      <w:r w:rsidR="00DA2E58" w:rsidRPr="002C43A0">
        <w:rPr>
          <w:rFonts w:cs="Arial"/>
          <w:b/>
          <w:szCs w:val="20"/>
        </w:rPr>
        <w:t xml:space="preserve">Bytový fond států </w:t>
      </w:r>
      <w:r w:rsidR="00152F3E" w:rsidRPr="002C43A0">
        <w:rPr>
          <w:rFonts w:cs="Arial"/>
          <w:b/>
          <w:szCs w:val="20"/>
        </w:rPr>
        <w:t>V</w:t>
      </w:r>
      <w:r w:rsidR="00DA2E58" w:rsidRPr="002C43A0">
        <w:rPr>
          <w:rFonts w:cs="Arial"/>
          <w:b/>
          <w:szCs w:val="20"/>
        </w:rPr>
        <w:t>4</w:t>
      </w:r>
      <w:r w:rsidR="000C5654">
        <w:rPr>
          <w:rFonts w:cs="Arial"/>
          <w:b/>
          <w:szCs w:val="20"/>
        </w:rPr>
        <w:t xml:space="preserve"> </w:t>
      </w:r>
      <w:r w:rsidR="000C5654" w:rsidRPr="002C43A0">
        <w:rPr>
          <w:rFonts w:cs="Arial"/>
          <w:b/>
          <w:szCs w:val="20"/>
        </w:rPr>
        <w:t>ve státech V4</w:t>
      </w:r>
      <w:r w:rsidR="000C5654">
        <w:rPr>
          <w:rFonts w:cs="Arial"/>
          <w:b/>
          <w:szCs w:val="20"/>
        </w:rPr>
        <w:t xml:space="preserve"> podle sčítání 2011</w:t>
      </w:r>
    </w:p>
    <w:p w:rsidR="00424010" w:rsidRDefault="00424010" w:rsidP="00DA2E58">
      <w:pPr>
        <w:rPr>
          <w:rFonts w:cs="Arial"/>
          <w:szCs w:val="20"/>
        </w:rPr>
      </w:pPr>
      <w:r w:rsidRPr="00424010">
        <w:rPr>
          <w:noProof/>
          <w:szCs w:val="20"/>
          <w:lang w:eastAsia="cs-CZ"/>
        </w:rPr>
        <w:drawing>
          <wp:inline distT="0" distB="0" distL="0" distR="0">
            <wp:extent cx="5372100" cy="1276350"/>
            <wp:effectExtent l="19050" t="0" r="0" b="0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58" w:rsidRPr="00C14C9F" w:rsidRDefault="00424010" w:rsidP="00424010">
      <w:pPr>
        <w:rPr>
          <w:rFonts w:cs="Arial"/>
          <w:sz w:val="16"/>
          <w:szCs w:val="16"/>
        </w:rPr>
      </w:pPr>
      <w:r w:rsidRPr="00C14C9F">
        <w:rPr>
          <w:rFonts w:cs="Arial"/>
          <w:sz w:val="16"/>
          <w:szCs w:val="16"/>
        </w:rPr>
        <w:t>* z celkového počtu bytů 10</w:t>
      </w:r>
      <w:r w:rsidR="000F11FD">
        <w:rPr>
          <w:rFonts w:cs="Arial"/>
          <w:sz w:val="16"/>
          <w:szCs w:val="16"/>
        </w:rPr>
        <w:t xml:space="preserve"> </w:t>
      </w:r>
      <w:r w:rsidRPr="00C14C9F">
        <w:rPr>
          <w:rFonts w:cs="Arial"/>
          <w:sz w:val="16"/>
          <w:szCs w:val="16"/>
        </w:rPr>
        <w:t xml:space="preserve">025 </w:t>
      </w:r>
      <w:r w:rsidR="00C14C9F">
        <w:rPr>
          <w:rFonts w:cs="Arial"/>
          <w:sz w:val="16"/>
          <w:szCs w:val="16"/>
        </w:rPr>
        <w:t xml:space="preserve">bytů </w:t>
      </w:r>
      <w:r w:rsidRPr="00C14C9F">
        <w:rPr>
          <w:rFonts w:cs="Arial"/>
          <w:sz w:val="16"/>
          <w:szCs w:val="16"/>
        </w:rPr>
        <w:t>mělo nezj</w:t>
      </w:r>
      <w:r w:rsidR="00C14C9F">
        <w:rPr>
          <w:rFonts w:cs="Arial"/>
          <w:sz w:val="16"/>
          <w:szCs w:val="16"/>
        </w:rPr>
        <w:t>ištěnou</w:t>
      </w:r>
      <w:r w:rsidRPr="00C14C9F">
        <w:rPr>
          <w:rFonts w:cs="Arial"/>
          <w:sz w:val="16"/>
          <w:szCs w:val="16"/>
        </w:rPr>
        <w:t xml:space="preserve"> </w:t>
      </w:r>
      <w:r w:rsidR="00C14C9F">
        <w:rPr>
          <w:rFonts w:cs="Arial"/>
          <w:sz w:val="16"/>
          <w:szCs w:val="16"/>
        </w:rPr>
        <w:t>o</w:t>
      </w:r>
      <w:r w:rsidRPr="00C14C9F">
        <w:rPr>
          <w:rFonts w:cs="Arial"/>
          <w:sz w:val="16"/>
          <w:szCs w:val="16"/>
        </w:rPr>
        <w:t>bydlenost</w:t>
      </w:r>
    </w:p>
    <w:p w:rsidR="00424010" w:rsidRPr="00424010" w:rsidRDefault="00424010" w:rsidP="00424010">
      <w:pPr>
        <w:rPr>
          <w:rFonts w:cs="Arial"/>
          <w:szCs w:val="20"/>
        </w:rPr>
      </w:pPr>
    </w:p>
    <w:p w:rsidR="00DA2E58" w:rsidRDefault="00DA2E58" w:rsidP="00DA2E58">
      <w:pPr>
        <w:rPr>
          <w:rFonts w:cs="Arial"/>
          <w:szCs w:val="20"/>
        </w:rPr>
      </w:pPr>
      <w:r>
        <w:rPr>
          <w:rFonts w:cs="Arial"/>
          <w:szCs w:val="20"/>
        </w:rPr>
        <w:t xml:space="preserve">Ve vztahu k počtu obyvatel byly nejlepší bytové podmínky v České republice, kde byl nejvyšší počet bytů na 1000 obyvatel. Nejméně příznivá situace </w:t>
      </w:r>
      <w:r w:rsidR="00D32436" w:rsidRPr="00B324A4">
        <w:rPr>
          <w:rFonts w:cs="Arial"/>
          <w:szCs w:val="20"/>
        </w:rPr>
        <w:t>z tohoto pohledu</w:t>
      </w:r>
      <w:r w:rsidR="00EF229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byla v Polsku. Neplatí ale, že všechny neobydlené byty představují disponibilní bytový fond. V neobydlených bytech jsou zahrnuty i byty v domech využívaných k rekreaci resp. k tzv. druhému – sezónnímu – bydlení. Údaje za všechny země V4 nejsou ale v tomto detailu k dispozici. </w:t>
      </w:r>
    </w:p>
    <w:p w:rsidR="00DA2E58" w:rsidRDefault="00DA2E58" w:rsidP="00DA2E58">
      <w:pPr>
        <w:rPr>
          <w:rFonts w:cs="Arial"/>
          <w:szCs w:val="20"/>
        </w:rPr>
      </w:pPr>
      <w:r>
        <w:rPr>
          <w:rFonts w:cs="Arial"/>
          <w:szCs w:val="20"/>
        </w:rPr>
        <w:t xml:space="preserve">Relace obydlených a neobydlených bytů byly velmi podobné s výjimkou Polska, kde podíl neobydlených bytů je ve výsledcích extrémně nízký, jak v porovnání s ostatními státy V4, tak i s dalším zeměmi. Tak nízký podíl neobydlených bytů nebyl totiž zjištěn v žádném jiném státu </w:t>
      </w:r>
      <w:r>
        <w:rPr>
          <w:rFonts w:cs="Arial"/>
          <w:szCs w:val="20"/>
        </w:rPr>
        <w:lastRenderedPageBreak/>
        <w:t>EU. Pod hranicí 10 % byly podíly neobydlených bytů jen v 6 zemích EU, přitom např. některé přímořské země měly podíly neobydlených bytů naopak i kolem 30 %.</w:t>
      </w:r>
    </w:p>
    <w:p w:rsidR="00DA2E58" w:rsidRDefault="00DA2E58" w:rsidP="00DA2E58">
      <w:pPr>
        <w:rPr>
          <w:rFonts w:cs="Arial"/>
          <w:szCs w:val="20"/>
        </w:rPr>
      </w:pPr>
    </w:p>
    <w:p w:rsidR="00DA2E58" w:rsidRDefault="00DA2E58" w:rsidP="00DA2E58">
      <w:pPr>
        <w:rPr>
          <w:rFonts w:cs="Arial"/>
          <w:szCs w:val="20"/>
        </w:rPr>
      </w:pPr>
      <w:r>
        <w:rPr>
          <w:rFonts w:cs="Arial"/>
          <w:szCs w:val="20"/>
        </w:rPr>
        <w:t xml:space="preserve">Rozmístění neobydlených bytů bylo v rámci jednotlivých států V4 územně diferencované. </w:t>
      </w:r>
    </w:p>
    <w:p w:rsidR="00DA2E58" w:rsidRDefault="00DA2E58" w:rsidP="00DA2E58">
      <w:pPr>
        <w:rPr>
          <w:rFonts w:cs="Arial"/>
          <w:szCs w:val="20"/>
        </w:rPr>
      </w:pPr>
    </w:p>
    <w:p w:rsidR="000C5654" w:rsidRPr="002C43A0" w:rsidRDefault="00DA2E58" w:rsidP="000C5654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Graf </w:t>
      </w:r>
      <w:r w:rsidR="005420E3" w:rsidRPr="002C43A0">
        <w:rPr>
          <w:rFonts w:cs="Arial"/>
          <w:b/>
          <w:szCs w:val="20"/>
        </w:rPr>
        <w:t>1</w:t>
      </w:r>
      <w:r w:rsidR="004B4CE7">
        <w:rPr>
          <w:rFonts w:cs="Arial"/>
          <w:b/>
          <w:szCs w:val="20"/>
        </w:rPr>
        <w:t>6</w:t>
      </w:r>
      <w:r w:rsidR="005420E3" w:rsidRPr="002C43A0">
        <w:rPr>
          <w:rFonts w:cs="Arial"/>
          <w:b/>
          <w:szCs w:val="20"/>
        </w:rPr>
        <w:t>:</w:t>
      </w:r>
      <w:r w:rsidRPr="002C43A0">
        <w:rPr>
          <w:rFonts w:cs="Arial"/>
          <w:b/>
          <w:szCs w:val="20"/>
        </w:rPr>
        <w:t xml:space="preserve"> Podíl neobydlených bytů na celkovém počtu bytů </w:t>
      </w:r>
      <w:r w:rsidR="000C5654" w:rsidRPr="002C43A0">
        <w:rPr>
          <w:rFonts w:cs="Arial"/>
          <w:b/>
          <w:szCs w:val="20"/>
        </w:rPr>
        <w:t>ve státech V4</w:t>
      </w:r>
      <w:r w:rsidR="000C5654">
        <w:rPr>
          <w:rFonts w:cs="Arial"/>
          <w:b/>
          <w:szCs w:val="20"/>
        </w:rPr>
        <w:t xml:space="preserve"> podle sčítání 2011</w:t>
      </w:r>
    </w:p>
    <w:p w:rsidR="00C24006" w:rsidRDefault="00440C00" w:rsidP="00C24006">
      <w:pPr>
        <w:jc w:val="center"/>
        <w:rPr>
          <w:rFonts w:cs="Arial"/>
          <w:noProof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019675" cy="5876925"/>
            <wp:effectExtent l="19050" t="0" r="9525" b="0"/>
            <wp:docPr id="1" name="obrázek 1" descr="C:\Users\sigutova16978\AppData\Local\Microsoft\Windows\Temporary Internet Files\Content.Word\BYTY_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utova16978\AppData\Local\Microsoft\Windows\Temporary Internet Files\Content.Word\BYTY_rotati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00" w:rsidRDefault="00440C00" w:rsidP="00C24006">
      <w:pPr>
        <w:jc w:val="center"/>
        <w:rPr>
          <w:rFonts w:cs="Arial"/>
          <w:noProof/>
          <w:szCs w:val="20"/>
          <w:lang w:eastAsia="cs-CZ"/>
        </w:rPr>
      </w:pPr>
    </w:p>
    <w:p w:rsidR="007F45EB" w:rsidRDefault="007F45EB" w:rsidP="00DA2E58">
      <w:pPr>
        <w:rPr>
          <w:rFonts w:cs="Arial"/>
          <w:szCs w:val="20"/>
        </w:rPr>
      </w:pPr>
      <w:r>
        <w:rPr>
          <w:rFonts w:cs="Arial"/>
          <w:szCs w:val="20"/>
        </w:rPr>
        <w:t xml:space="preserve">K regionům s největším zastoupením neobydlených bytů patřily v České republice Jihočeský kraj a Kraj Vysočina (téměř pětina bytového fondu kraje), v Maďarsku regiony </w:t>
      </w:r>
      <w:proofErr w:type="spellStart"/>
      <w:r>
        <w:rPr>
          <w:rFonts w:cs="Arial"/>
          <w:szCs w:val="20"/>
        </w:rPr>
        <w:t>Somogy</w:t>
      </w:r>
      <w:proofErr w:type="spellEnd"/>
      <w:r>
        <w:rPr>
          <w:rFonts w:cs="Arial"/>
          <w:szCs w:val="20"/>
        </w:rPr>
        <w:t xml:space="preserve"> a </w:t>
      </w:r>
      <w:proofErr w:type="spellStart"/>
      <w:r>
        <w:rPr>
          <w:rFonts w:cs="Arial"/>
          <w:szCs w:val="20"/>
        </w:rPr>
        <w:t>Zala</w:t>
      </w:r>
      <w:proofErr w:type="spellEnd"/>
      <w:r>
        <w:rPr>
          <w:rFonts w:cs="Arial"/>
          <w:szCs w:val="20"/>
        </w:rPr>
        <w:t xml:space="preserve"> </w:t>
      </w:r>
      <w:r>
        <w:rPr>
          <w:rFonts w:cs="Arial"/>
          <w:szCs w:val="20"/>
        </w:rPr>
        <w:lastRenderedPageBreak/>
        <w:t xml:space="preserve">(kolem 14 %), v Polsku regiony </w:t>
      </w:r>
      <w:proofErr w:type="spellStart"/>
      <w:r>
        <w:rPr>
          <w:rFonts w:cs="Arial"/>
          <w:szCs w:val="20"/>
        </w:rPr>
        <w:t>Bialski</w:t>
      </w:r>
      <w:proofErr w:type="spellEnd"/>
      <w:r>
        <w:rPr>
          <w:rFonts w:cs="Arial"/>
          <w:szCs w:val="20"/>
        </w:rPr>
        <w:t xml:space="preserve"> a </w:t>
      </w:r>
      <w:proofErr w:type="spellStart"/>
      <w:r>
        <w:rPr>
          <w:rFonts w:cs="Arial"/>
          <w:szCs w:val="20"/>
        </w:rPr>
        <w:t>Chelmsko</w:t>
      </w:r>
      <w:proofErr w:type="spellEnd"/>
      <w:r>
        <w:rPr>
          <w:rFonts w:cs="Arial"/>
          <w:szCs w:val="20"/>
        </w:rPr>
        <w:t>-</w:t>
      </w:r>
      <w:proofErr w:type="spellStart"/>
      <w:r>
        <w:rPr>
          <w:rFonts w:cs="Arial"/>
          <w:szCs w:val="20"/>
        </w:rPr>
        <w:t>Zamojski</w:t>
      </w:r>
      <w:proofErr w:type="spellEnd"/>
      <w:r>
        <w:rPr>
          <w:rFonts w:cs="Arial"/>
          <w:szCs w:val="20"/>
        </w:rPr>
        <w:t xml:space="preserve"> (cca 4 %) a na Slovensku Banskobystrický kraj s téměř 13 %. </w:t>
      </w:r>
    </w:p>
    <w:p w:rsidR="007F45EB" w:rsidRDefault="007F45EB" w:rsidP="00DA2E58">
      <w:pPr>
        <w:rPr>
          <w:rFonts w:cs="Arial"/>
          <w:szCs w:val="20"/>
        </w:rPr>
      </w:pPr>
    </w:p>
    <w:p w:rsidR="00DA2E58" w:rsidRDefault="00DA2E58" w:rsidP="00DA2E58">
      <w:r>
        <w:t xml:space="preserve">Zásadní charakteristikou bytů je typ vlastnictví bytu, kde byly mezi zeměmi V4 nejvýraznější odlišnosti, a to i v míře nezjištěných odpovědí, které ostatní výsledky částečně deformovaly. Česká republika měla nejvyšší (téměř 8 %) podíl bytů s nezjištěným právním užíváním, tedy i s nezjištěným typem vlastnictví. Maďarsko nevykázalo žádné údaje u družstevních bytů (ani nemělo žádné byty s nezjištěným typem vlastnictví). </w:t>
      </w:r>
    </w:p>
    <w:p w:rsidR="00C24006" w:rsidRDefault="00C24006" w:rsidP="00DA2E58"/>
    <w:p w:rsidR="00832B2A" w:rsidRPr="002C43A0" w:rsidRDefault="00832B2A" w:rsidP="00832B2A">
      <w:pPr>
        <w:rPr>
          <w:b/>
        </w:rPr>
      </w:pPr>
      <w:r w:rsidRPr="002C43A0">
        <w:rPr>
          <w:b/>
        </w:rPr>
        <w:t xml:space="preserve">Graf </w:t>
      </w:r>
      <w:r w:rsidR="005420E3" w:rsidRPr="002C43A0">
        <w:rPr>
          <w:b/>
        </w:rPr>
        <w:t>1</w:t>
      </w:r>
      <w:r w:rsidR="004B4CE7">
        <w:rPr>
          <w:b/>
        </w:rPr>
        <w:t>7</w:t>
      </w:r>
      <w:r w:rsidRPr="002C43A0">
        <w:rPr>
          <w:b/>
        </w:rPr>
        <w:t xml:space="preserve">: </w:t>
      </w:r>
      <w:r w:rsidRPr="002C43A0">
        <w:rPr>
          <w:b/>
          <w:bCs/>
        </w:rPr>
        <w:t>Typy vlastnictví bytů ve státech V4</w:t>
      </w:r>
      <w:r w:rsidR="000C5654">
        <w:rPr>
          <w:b/>
          <w:bCs/>
        </w:rPr>
        <w:t xml:space="preserve"> podle sčítání 2011</w:t>
      </w:r>
    </w:p>
    <w:p w:rsidR="00DA2E58" w:rsidRDefault="00DA2E58" w:rsidP="00186455">
      <w:pPr>
        <w:jc w:val="left"/>
      </w:pPr>
      <w:r w:rsidRPr="00CB707D">
        <w:rPr>
          <w:noProof/>
          <w:lang w:eastAsia="cs-CZ"/>
        </w:rPr>
        <w:drawing>
          <wp:inline distT="0" distB="0" distL="0" distR="0">
            <wp:extent cx="5105400" cy="2314575"/>
            <wp:effectExtent l="19050" t="0" r="19050" b="0"/>
            <wp:docPr id="1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A2E58" w:rsidRDefault="00DA2E58" w:rsidP="00DA2E58"/>
    <w:p w:rsidR="00DA2E58" w:rsidRDefault="00DA2E58" w:rsidP="00DA2E58">
      <w:r>
        <w:t>Jednoznačně majoritní podíl ve všech zemích V4 mělo osobní vlastnictví. V České republice v datech Census</w:t>
      </w:r>
      <w:r w:rsidR="007E6D72">
        <w:t xml:space="preserve"> </w:t>
      </w:r>
      <w:r>
        <w:t xml:space="preserve">Hub byty v osobním vlastnictví zahrnovaly bydlení ve vlastním domě (většinou rodinné domy) a byty v osobním vlastnictví (většinou zprivatizované byty v bytových domech). Obě tyto formy tvořily dohromady 56 %, což bylo mezi státy V4 výrazně nejméně. V Polsku bylo takových bytů více než tři čtvrtiny ze všech obydlených, na Slovensku 86 % a v Maďarsku dokonce více než 91 %. Nájemní bydlení bylo významněji zastoupeno pouze v České republice a Polsku, v obou zemích se týkalo zhruba pětiny bytů; v Maďarsku byl podíl nájemních bytů jen 7 %, na Slovensku </w:t>
      </w:r>
      <w:r w:rsidRPr="00743E7D">
        <w:t>pouhá 2 %. Intervaly</w:t>
      </w:r>
      <w:r>
        <w:t xml:space="preserve"> podílů dalších typů vlastnictví bytů se pohybovaly pod 10 % a byly: u družstevních bytů mezi 0,0 – 9,4 %, u tzv. „jiných“ typů vlastnictví mezi 0,2 – 4,5 % a nezjištěno mezi 1,9 – 7,8 %.  </w:t>
      </w:r>
    </w:p>
    <w:p w:rsidR="00DA2E58" w:rsidRDefault="00DA2E58" w:rsidP="00DA2E58"/>
    <w:p w:rsidR="00DA2E58" w:rsidRDefault="00DA2E58" w:rsidP="00DA2E58">
      <w:r>
        <w:t>Kvalitativní parametry bytů zahrnují dvě hlavní oblasti. Velikostní charakteristiky (počet obytných místností a/nebo obytná plocha bytu) a technickou vybavenost bytu.</w:t>
      </w:r>
    </w:p>
    <w:p w:rsidR="00DA2E58" w:rsidRDefault="00DA2E58" w:rsidP="00DA2E58">
      <w:r>
        <w:t>Velikostní charakteristiky bytů jsou mezi státy V4 obtížně srovnatelné z důvodu neexistence úplných srovnatelných dat. V případě velikosti bytu byla totiž možná alternativní volba poskytnutí dat za obytné místnosti nebo za plochu. Česká republika zpracovávala oba druhy údajů, zatímco Slovensko má k dispozici data jen za obytné místnosti a Maďarsko a Polsko naopak jen za obytnou plochu.</w:t>
      </w:r>
    </w:p>
    <w:p w:rsidR="00DA2E58" w:rsidRDefault="00DA2E58" w:rsidP="00DA2E58">
      <w:r>
        <w:lastRenderedPageBreak/>
        <w:t>Ze srovnání (byť omezeného) dostupných dat vyplývá, že Česká republika má v porovnání s ostatními zeměmi V4 příznivější strukturu pokud jde o velikost bytu. V průměru nejmenší byty má naopak Polsko.</w:t>
      </w:r>
    </w:p>
    <w:p w:rsidR="007F45EB" w:rsidRDefault="007F45EB" w:rsidP="00DA2E58"/>
    <w:p w:rsidR="001574E0" w:rsidRDefault="005D628D" w:rsidP="008527CE">
      <w:pPr>
        <w:ind w:left="5040" w:hanging="5040"/>
        <w:jc w:val="left"/>
        <w:rPr>
          <w:b/>
          <w:bCs/>
        </w:rPr>
      </w:pPr>
      <w:r>
        <w:rPr>
          <w:b/>
          <w:bCs/>
        </w:rPr>
        <w:t>Graf 1</w:t>
      </w:r>
      <w:r w:rsidR="004B4CE7">
        <w:rPr>
          <w:b/>
          <w:bCs/>
        </w:rPr>
        <w:t>8</w:t>
      </w:r>
      <w:r w:rsidR="005420E3">
        <w:rPr>
          <w:b/>
          <w:bCs/>
        </w:rPr>
        <w:t xml:space="preserve">: </w:t>
      </w:r>
      <w:r w:rsidR="008527CE" w:rsidRPr="008527CE">
        <w:rPr>
          <w:b/>
          <w:bCs/>
        </w:rPr>
        <w:t>Struktura bytů podle</w:t>
      </w:r>
      <w:r w:rsidR="008527CE">
        <w:t xml:space="preserve"> </w:t>
      </w:r>
      <w:r w:rsidR="008527CE" w:rsidRPr="008527CE">
        <w:rPr>
          <w:b/>
          <w:bCs/>
        </w:rPr>
        <w:t xml:space="preserve">obytné </w:t>
      </w:r>
      <w:proofErr w:type="gramStart"/>
      <w:r w:rsidR="008527CE" w:rsidRPr="008527CE">
        <w:rPr>
          <w:b/>
          <w:bCs/>
        </w:rPr>
        <w:t>plochy</w:t>
      </w:r>
      <w:r w:rsidR="008527CE">
        <w:rPr>
          <w:b/>
          <w:bCs/>
        </w:rPr>
        <w:t xml:space="preserve"> </w:t>
      </w:r>
      <w:r w:rsidR="005420E3">
        <w:rPr>
          <w:b/>
          <w:bCs/>
        </w:rPr>
        <w:t xml:space="preserve">      Graf</w:t>
      </w:r>
      <w:proofErr w:type="gramEnd"/>
      <w:r w:rsidR="005420E3">
        <w:rPr>
          <w:b/>
          <w:bCs/>
        </w:rPr>
        <w:t xml:space="preserve"> 1</w:t>
      </w:r>
      <w:r w:rsidR="004B4CE7">
        <w:rPr>
          <w:b/>
          <w:bCs/>
        </w:rPr>
        <w:t>9</w:t>
      </w:r>
      <w:r w:rsidR="005420E3">
        <w:rPr>
          <w:b/>
          <w:bCs/>
        </w:rPr>
        <w:t xml:space="preserve">: </w:t>
      </w:r>
      <w:r w:rsidR="001574E0">
        <w:rPr>
          <w:b/>
          <w:bCs/>
        </w:rPr>
        <w:t>Struktura bytů podle počtu</w:t>
      </w:r>
    </w:p>
    <w:p w:rsidR="003532C9" w:rsidRDefault="003532C9" w:rsidP="003532C9">
      <w:pPr>
        <w:ind w:left="5040" w:hanging="4320"/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>ve státech V4</w:t>
      </w:r>
      <w:r>
        <w:rPr>
          <w:rFonts w:cs="Arial"/>
          <w:b/>
          <w:szCs w:val="20"/>
        </w:rPr>
        <w:t xml:space="preserve"> podle sčítání 2011</w:t>
      </w:r>
      <w:r>
        <w:rPr>
          <w:rFonts w:cs="Arial"/>
          <w:b/>
          <w:szCs w:val="20"/>
        </w:rPr>
        <w:tab/>
      </w:r>
      <w:r w:rsidR="008527CE" w:rsidRPr="008527CE">
        <w:rPr>
          <w:b/>
          <w:bCs/>
        </w:rPr>
        <w:t>obytných místností</w:t>
      </w:r>
      <w:r>
        <w:rPr>
          <w:b/>
          <w:bCs/>
        </w:rPr>
        <w:t xml:space="preserve"> </w:t>
      </w:r>
      <w:r w:rsidRPr="002C43A0">
        <w:rPr>
          <w:rFonts w:cs="Arial"/>
          <w:b/>
          <w:szCs w:val="20"/>
        </w:rPr>
        <w:t xml:space="preserve">ve státech </w:t>
      </w:r>
    </w:p>
    <w:p w:rsidR="003532C9" w:rsidRPr="002C43A0" w:rsidRDefault="003532C9" w:rsidP="003532C9">
      <w:pPr>
        <w:ind w:left="5040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20955</wp:posOffset>
            </wp:positionV>
            <wp:extent cx="2800350" cy="2876550"/>
            <wp:effectExtent l="19050" t="0" r="19050" b="0"/>
            <wp:wrapTight wrapText="bothSides">
              <wp:wrapPolygon edited="0">
                <wp:start x="1029" y="3004"/>
                <wp:lineTo x="1029" y="3719"/>
                <wp:lineTo x="7935" y="5293"/>
                <wp:lineTo x="10727" y="5293"/>
                <wp:lineTo x="882" y="6723"/>
                <wp:lineTo x="882" y="7581"/>
                <wp:lineTo x="10727" y="7581"/>
                <wp:lineTo x="10727" y="9870"/>
                <wp:lineTo x="1176" y="10585"/>
                <wp:lineTo x="1176" y="11444"/>
                <wp:lineTo x="10727" y="12159"/>
                <wp:lineTo x="2204" y="13875"/>
                <wp:lineTo x="2204" y="14448"/>
                <wp:lineTo x="3673" y="16736"/>
                <wp:lineTo x="3820" y="18453"/>
                <wp:lineTo x="5731" y="19025"/>
                <wp:lineTo x="3967" y="19454"/>
                <wp:lineTo x="3967" y="20313"/>
                <wp:lineTo x="14400" y="20456"/>
                <wp:lineTo x="14988" y="20456"/>
                <wp:lineTo x="15576" y="19740"/>
                <wp:lineTo x="16457" y="19025"/>
                <wp:lineTo x="18808" y="18310"/>
                <wp:lineTo x="18808" y="16736"/>
                <wp:lineTo x="20865" y="14591"/>
                <wp:lineTo x="21159" y="14019"/>
                <wp:lineTo x="19690" y="13589"/>
                <wp:lineTo x="10580" y="12159"/>
                <wp:lineTo x="10580" y="5293"/>
                <wp:lineTo x="2351" y="3004"/>
                <wp:lineTo x="1029" y="3004"/>
              </wp:wrapPolygon>
            </wp:wrapTight>
            <wp:docPr id="14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>
        <w:rPr>
          <w:rFonts w:cs="Arial"/>
          <w:b/>
          <w:noProof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20955</wp:posOffset>
            </wp:positionV>
            <wp:extent cx="2543175" cy="2800350"/>
            <wp:effectExtent l="0" t="0" r="0" b="0"/>
            <wp:wrapTight wrapText="bothSides">
              <wp:wrapPolygon edited="0">
                <wp:start x="324" y="3967"/>
                <wp:lineTo x="324" y="4702"/>
                <wp:lineTo x="7604" y="6318"/>
                <wp:lineTo x="10679" y="6318"/>
                <wp:lineTo x="10679" y="8669"/>
                <wp:lineTo x="324" y="9698"/>
                <wp:lineTo x="324" y="10580"/>
                <wp:lineTo x="10679" y="11020"/>
                <wp:lineTo x="10679" y="13371"/>
                <wp:lineTo x="1618" y="13959"/>
                <wp:lineTo x="1618" y="14841"/>
                <wp:lineTo x="10679" y="15722"/>
                <wp:lineTo x="2751" y="16310"/>
                <wp:lineTo x="2751" y="20571"/>
                <wp:lineTo x="3883" y="20718"/>
                <wp:lineTo x="4369" y="20718"/>
                <wp:lineTo x="5016" y="20718"/>
                <wp:lineTo x="5178" y="20718"/>
                <wp:lineTo x="5501" y="20424"/>
                <wp:lineTo x="20710" y="19396"/>
                <wp:lineTo x="21357" y="18661"/>
                <wp:lineTo x="18283" y="18073"/>
                <wp:lineTo x="18769" y="16310"/>
                <wp:lineTo x="10679" y="15722"/>
                <wp:lineTo x="21034" y="14841"/>
                <wp:lineTo x="21034" y="13959"/>
                <wp:lineTo x="10517" y="13371"/>
                <wp:lineTo x="10517" y="6318"/>
                <wp:lineTo x="1780" y="3967"/>
                <wp:lineTo x="324" y="3967"/>
              </wp:wrapPolygon>
            </wp:wrapTight>
            <wp:docPr id="16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Pr="002C43A0">
        <w:rPr>
          <w:rFonts w:cs="Arial"/>
          <w:b/>
          <w:szCs w:val="20"/>
        </w:rPr>
        <w:t>V4</w:t>
      </w:r>
      <w:r>
        <w:rPr>
          <w:rFonts w:cs="Arial"/>
          <w:b/>
          <w:szCs w:val="20"/>
        </w:rPr>
        <w:t xml:space="preserve"> podle sčítání 2011</w:t>
      </w:r>
    </w:p>
    <w:p w:rsidR="008527CE" w:rsidRPr="008527CE" w:rsidRDefault="008527CE" w:rsidP="001574E0">
      <w:pPr>
        <w:ind w:left="5040"/>
        <w:jc w:val="left"/>
        <w:rPr>
          <w:b/>
          <w:bCs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8527CE" w:rsidRDefault="008527CE" w:rsidP="00DA2E58">
      <w:pPr>
        <w:spacing w:after="240"/>
        <w:rPr>
          <w:rFonts w:cs="Arial"/>
          <w:noProof/>
          <w:szCs w:val="20"/>
          <w:lang w:eastAsia="cs-CZ"/>
        </w:rPr>
      </w:pPr>
    </w:p>
    <w:p w:rsidR="00BB6088" w:rsidRDefault="00BB6088" w:rsidP="00DA2E58">
      <w:pPr>
        <w:spacing w:after="240"/>
        <w:rPr>
          <w:rFonts w:cs="Arial"/>
          <w:noProof/>
          <w:szCs w:val="20"/>
          <w:lang w:eastAsia="cs-CZ"/>
        </w:rPr>
      </w:pPr>
    </w:p>
    <w:p w:rsidR="00BB6088" w:rsidRDefault="00BB6088" w:rsidP="00DA2E58">
      <w:pPr>
        <w:spacing w:after="240"/>
        <w:rPr>
          <w:rFonts w:cs="Arial"/>
          <w:noProof/>
          <w:szCs w:val="20"/>
          <w:lang w:eastAsia="cs-CZ"/>
        </w:rPr>
      </w:pPr>
    </w:p>
    <w:p w:rsidR="00BB6088" w:rsidRDefault="00BB6088" w:rsidP="00DA2E58">
      <w:pPr>
        <w:spacing w:after="240"/>
        <w:rPr>
          <w:rFonts w:cs="Arial"/>
          <w:noProof/>
          <w:szCs w:val="20"/>
          <w:lang w:eastAsia="cs-CZ"/>
        </w:rPr>
      </w:pPr>
    </w:p>
    <w:p w:rsidR="00DA2E58" w:rsidRDefault="00DA2E58" w:rsidP="008527CE">
      <w:pPr>
        <w:spacing w:after="240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t>Ve</w:t>
      </w:r>
      <w:r w:rsidRPr="009520B6">
        <w:rPr>
          <w:rFonts w:cs="Arial"/>
          <w:szCs w:val="20"/>
        </w:rPr>
        <w:t xml:space="preserve"> struktu</w:t>
      </w:r>
      <w:r>
        <w:rPr>
          <w:rFonts w:cs="Arial"/>
          <w:szCs w:val="20"/>
        </w:rPr>
        <w:t>ře</w:t>
      </w:r>
      <w:r w:rsidRPr="009520B6">
        <w:rPr>
          <w:rFonts w:cs="Arial"/>
          <w:szCs w:val="20"/>
        </w:rPr>
        <w:t xml:space="preserve"> bytů podle počtu bydlících osob</w:t>
      </w:r>
      <w:r>
        <w:rPr>
          <w:rFonts w:cs="Arial"/>
          <w:szCs w:val="20"/>
        </w:rPr>
        <w:t xml:space="preserve"> je zřejmá vazba na hospodařící domácnosti, jejich složení podle typů a jejich velikost. Z tohoto pohledu jsou počty bytů s více osobami častější v Polsku a na Slovensku, kde je vyšší zastoupení početnějších rodin nebo domácností složených ze dvou a více rodin. Ve více než polovině bytů v těchto dvou státech bydlí 3 a více osob, zhruba v desetině bytů dokonce 6 a více osob. Česká republika a Maďarsko má naopak převahu bytů s 1 nebo 2 osobami, dohromady tvoří tyto byty téměř 60 %, přičemž zastoupení bytů s 1 osobou a bytů se 2 osobami je přibližně shodné.</w:t>
      </w:r>
    </w:p>
    <w:p w:rsidR="00DA2E58" w:rsidRDefault="00DA2E58" w:rsidP="00DC5935">
      <w:pPr>
        <w:rPr>
          <w:rFonts w:cs="Arial"/>
          <w:szCs w:val="20"/>
        </w:rPr>
      </w:pPr>
      <w:r>
        <w:rPr>
          <w:rFonts w:cs="Arial"/>
          <w:szCs w:val="20"/>
        </w:rPr>
        <w:t>Oblastí, kde byly rozdíly minimální, byla základní technická vybavenost bytů. Podíly bytů s vodovodem, koupelnou nebo splachovacím záchodem se pohybovaly zhruba mezi 91 až 98 %. Nižší hodnoty (</w:t>
      </w:r>
      <w:r w:rsidR="00D32436" w:rsidRPr="00B324A4">
        <w:rPr>
          <w:rFonts w:cs="Arial"/>
          <w:szCs w:val="20"/>
        </w:rPr>
        <w:t>na úrovni 91 %</w:t>
      </w:r>
      <w:r w:rsidRPr="00B324A4">
        <w:rPr>
          <w:rFonts w:cs="Arial"/>
          <w:szCs w:val="20"/>
        </w:rPr>
        <w:t>)</w:t>
      </w:r>
      <w:r>
        <w:rPr>
          <w:rFonts w:cs="Arial"/>
          <w:szCs w:val="20"/>
        </w:rPr>
        <w:t xml:space="preserve"> sice vykazovaly Česká republika a Slovensko, důvodem ale byly byty s nezjištěnou vybaveností, kterých bylo v obou státech zhruba 7 %.  Maďarsko nemělo nezjištěné hodnoty vůbec, Polsko ve zcela zanedbatelném počtu (v relativním vyjádření promile procenta).</w:t>
      </w:r>
    </w:p>
    <w:p w:rsidR="00DA2E58" w:rsidRDefault="00DA2E58" w:rsidP="00DA2E58">
      <w:pPr>
        <w:spacing w:after="240"/>
        <w:rPr>
          <w:rFonts w:cs="Arial"/>
          <w:szCs w:val="20"/>
        </w:rPr>
      </w:pPr>
      <w:r>
        <w:rPr>
          <w:rFonts w:cs="Arial"/>
          <w:szCs w:val="20"/>
        </w:rPr>
        <w:t>Zatímco vodovod, koupelna nebo splachovací záchod byly standardní součástí bytů, naplatilo to o ústředním topení. Nejvyšší podíly bytů s ústředním topením vykázalo Polsko (86 %) a Česká republika (více než 80 %). Slovenské byty měly ústřední topení ze tří čtvrtin (současně ale téměř 9 % nezjištěných odpovědí). Nejnižší hodnoty mělo Maďarsko (62 %). Protože u všech bytů v maďarském sčítání byly informace o topení k dispozici (nulové nezjištěné hodnoty), údaj je v tomto případě zcela vypovídající.</w:t>
      </w:r>
    </w:p>
    <w:p w:rsidR="00DA2E58" w:rsidRPr="009520B6" w:rsidRDefault="00DA2E58" w:rsidP="00DA2E58">
      <w:pPr>
        <w:spacing w:after="240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Stáří bytového fondu bylo v České republice, Maďarsku a Polsku obdobné. Podíly jednotlivých období výstavby se lišily pouze v jednotkách procentních bodů. Ve všech třech státech byla zhruba pětina bytů v domech postavených do roku 1945 a obdobím s nejmasivnější bytovou výstavbou bylo desetiletí </w:t>
      </w:r>
      <w:r w:rsidRPr="00047A89">
        <w:rPr>
          <w:rFonts w:cs="Arial"/>
          <w:szCs w:val="20"/>
        </w:rPr>
        <w:t xml:space="preserve">1971 </w:t>
      </w:r>
      <w:r>
        <w:rPr>
          <w:rFonts w:cs="Arial"/>
          <w:szCs w:val="20"/>
        </w:rPr>
        <w:t>–</w:t>
      </w:r>
      <w:r w:rsidRPr="00047A89">
        <w:rPr>
          <w:rFonts w:cs="Arial"/>
          <w:szCs w:val="20"/>
        </w:rPr>
        <w:t xml:space="preserve"> 1980</w:t>
      </w:r>
      <w:r>
        <w:rPr>
          <w:rFonts w:cs="Arial"/>
          <w:szCs w:val="20"/>
        </w:rPr>
        <w:t>, na které připadá v průměru více než pětina všech bytů. Po roce 1990 se ve všech státech výstavba bytů významně zpomalila, takže podíly bytů postavených mezi lety 1991 – 2011 se pohybují v průměru kolem 16 % za uvedených dvacet let. Slovensko se strukturou bytů podle období výstavby od uvedených tří států odlišovalo. Nejstarších bytů, postavených do roku 1945 mělo necelou desetinu; tři čtvrtiny bytů byly postaveny mezi roky 1946 – 1990. Zpomalení bytové výstavby po roce 1990 bylo patrné i na Slovensku, ale na rozdíl od ostatních států V4 bylo toto zpomalení významnější. Byty postavené za posledních dvacet let tvoří pouhých 11 % z bytového fondu.</w:t>
      </w:r>
    </w:p>
    <w:p w:rsidR="00E6604E" w:rsidRDefault="00E6604E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950C9C" w:rsidRDefault="00950C9C" w:rsidP="003D48FF">
      <w:pPr>
        <w:rPr>
          <w:rFonts w:cs="Arial"/>
          <w:b/>
          <w:szCs w:val="20"/>
        </w:rPr>
      </w:pPr>
    </w:p>
    <w:p w:rsidR="00DC5935" w:rsidRDefault="00DC5935" w:rsidP="003D48FF">
      <w:pPr>
        <w:rPr>
          <w:rFonts w:cs="Arial"/>
          <w:b/>
          <w:szCs w:val="20"/>
        </w:rPr>
      </w:pPr>
    </w:p>
    <w:p w:rsidR="00DC5935" w:rsidRDefault="00DC5935" w:rsidP="003D48FF">
      <w:pPr>
        <w:rPr>
          <w:rFonts w:cs="Arial"/>
          <w:b/>
          <w:szCs w:val="20"/>
        </w:rPr>
      </w:pPr>
    </w:p>
    <w:p w:rsidR="00DC5935" w:rsidRDefault="00DC5935" w:rsidP="003D48FF">
      <w:pPr>
        <w:rPr>
          <w:rFonts w:cs="Arial"/>
          <w:b/>
          <w:szCs w:val="20"/>
        </w:rPr>
      </w:pPr>
    </w:p>
    <w:p w:rsidR="003D48FF" w:rsidRDefault="002C43A0" w:rsidP="003D48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4. Charakteristiky domácností</w:t>
      </w:r>
      <w:r w:rsidR="003D48FF">
        <w:rPr>
          <w:rFonts w:cs="Arial"/>
          <w:b/>
          <w:szCs w:val="20"/>
        </w:rPr>
        <w:t xml:space="preserve"> a jejich složení</w:t>
      </w:r>
    </w:p>
    <w:p w:rsidR="002C43A0" w:rsidRDefault="002C43A0" w:rsidP="003D48FF">
      <w:pPr>
        <w:rPr>
          <w:rFonts w:cs="Arial"/>
          <w:b/>
          <w:szCs w:val="20"/>
        </w:rPr>
      </w:pPr>
    </w:p>
    <w:p w:rsidR="002C43A0" w:rsidRDefault="002C43A0" w:rsidP="00EC2613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>4.1 Struktura domácností podle typu</w:t>
      </w:r>
    </w:p>
    <w:p w:rsidR="003D48FF" w:rsidRDefault="003D48FF" w:rsidP="003D48FF">
      <w:pPr>
        <w:rPr>
          <w:rFonts w:cs="Arial"/>
          <w:szCs w:val="20"/>
        </w:rPr>
      </w:pPr>
      <w:r>
        <w:rPr>
          <w:rFonts w:cs="Arial"/>
          <w:szCs w:val="20"/>
        </w:rPr>
        <w:t xml:space="preserve">Základní struktura domácností byla v zemích V4 rozdílná. Kromě celoevropských trendů, ke kterým patří např. dlouhodobé zvyšování počtu domácností jednotlivců, mají dopad do vývoje jednotlivých typů domácností i historické tradice a různá míra vlivu víry, která posiluje tradiční rodinu de iure. Z tohoto hlediska byly základní struktury domácností podobné v České republice a Maďarsku, kde zastoupení rodinných domácností bylo zhruba </w:t>
      </w:r>
      <w:r w:rsidR="00073816">
        <w:rPr>
          <w:rFonts w:cs="Arial"/>
          <w:szCs w:val="20"/>
        </w:rPr>
        <w:t>třípětinové, a podíl</w:t>
      </w:r>
      <w:r>
        <w:rPr>
          <w:rFonts w:cs="Arial"/>
          <w:szCs w:val="20"/>
        </w:rPr>
        <w:t xml:space="preserve"> domácností jednotlivců se blížil třetině ze všech hospodařících domácností. Jiné proporce byly u katoličtějších zemí – Polska a Slovenska, kde se zastoupení rodinných domácností blížilo třem čtvrtinám a jednotlivci tvořili cca čtvrtinu hospodařících domácností</w:t>
      </w:r>
    </w:p>
    <w:p w:rsidR="003D48FF" w:rsidRDefault="003D48FF" w:rsidP="003D48FF">
      <w:pPr>
        <w:rPr>
          <w:rFonts w:cs="Arial"/>
          <w:szCs w:val="20"/>
        </w:rPr>
      </w:pPr>
    </w:p>
    <w:p w:rsidR="003D48FF" w:rsidRPr="002C43A0" w:rsidRDefault="003D48FF" w:rsidP="003D48FF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t xml:space="preserve">Tab. </w:t>
      </w:r>
      <w:r w:rsidR="002364A7">
        <w:rPr>
          <w:rFonts w:cs="Arial"/>
          <w:b/>
          <w:szCs w:val="20"/>
        </w:rPr>
        <w:t>10</w:t>
      </w:r>
      <w:r w:rsidR="00584C21" w:rsidRPr="002C43A0">
        <w:rPr>
          <w:rFonts w:cs="Arial"/>
          <w:b/>
          <w:szCs w:val="20"/>
        </w:rPr>
        <w:t xml:space="preserve">: </w:t>
      </w:r>
      <w:r w:rsidRPr="002C43A0">
        <w:rPr>
          <w:rFonts w:cs="Arial"/>
          <w:b/>
          <w:szCs w:val="20"/>
        </w:rPr>
        <w:t>Hospodařící domácnosti podle typu ve státech V4</w:t>
      </w:r>
      <w:r w:rsidR="003532C9">
        <w:rPr>
          <w:rFonts w:cs="Arial"/>
          <w:b/>
          <w:szCs w:val="20"/>
        </w:rPr>
        <w:t xml:space="preserve"> podle sčítání 2011</w:t>
      </w:r>
    </w:p>
    <w:p w:rsidR="003D48FF" w:rsidRDefault="003D48FF" w:rsidP="003D48FF">
      <w:pPr>
        <w:rPr>
          <w:rFonts w:cs="Arial"/>
          <w:szCs w:val="20"/>
        </w:rPr>
      </w:pPr>
      <w:r w:rsidRPr="00B47599">
        <w:rPr>
          <w:noProof/>
          <w:szCs w:val="20"/>
          <w:lang w:eastAsia="cs-CZ"/>
        </w:rPr>
        <w:drawing>
          <wp:inline distT="0" distB="0" distL="0" distR="0">
            <wp:extent cx="5400040" cy="1310509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FF" w:rsidRDefault="003D48FF" w:rsidP="003D48FF">
      <w:pPr>
        <w:rPr>
          <w:rFonts w:cs="Arial"/>
          <w:szCs w:val="20"/>
        </w:rPr>
      </w:pPr>
    </w:p>
    <w:p w:rsidR="003D48FF" w:rsidRPr="00C82788" w:rsidRDefault="003D48FF" w:rsidP="003D48FF">
      <w:pPr>
        <w:rPr>
          <w:rFonts w:cs="Arial"/>
          <w:szCs w:val="20"/>
        </w:rPr>
      </w:pPr>
      <w:r>
        <w:rPr>
          <w:rFonts w:cs="Arial"/>
          <w:szCs w:val="20"/>
        </w:rPr>
        <w:t xml:space="preserve">Vnitřní struktura skupiny rodinných domácností nebyla ale ani v zemích, kde byly souhrnné podíly podobné, identická.  </w:t>
      </w:r>
    </w:p>
    <w:p w:rsidR="003D48FF" w:rsidRDefault="003D48FF" w:rsidP="003D48FF">
      <w:pPr>
        <w:rPr>
          <w:rFonts w:cs="Arial"/>
          <w:szCs w:val="20"/>
        </w:rPr>
      </w:pPr>
      <w:r>
        <w:rPr>
          <w:rFonts w:cs="Arial"/>
          <w:szCs w:val="20"/>
        </w:rPr>
        <w:t xml:space="preserve">V Maďarsku a v České republice </w:t>
      </w:r>
      <w:r w:rsidRPr="00C82788">
        <w:rPr>
          <w:rFonts w:cs="Arial"/>
          <w:szCs w:val="20"/>
        </w:rPr>
        <w:t xml:space="preserve">měly </w:t>
      </w:r>
      <w:r>
        <w:rPr>
          <w:rFonts w:cs="Arial"/>
          <w:szCs w:val="20"/>
        </w:rPr>
        <w:t xml:space="preserve">rodinné </w:t>
      </w:r>
      <w:r w:rsidRPr="00C82788">
        <w:rPr>
          <w:rFonts w:cs="Arial"/>
          <w:szCs w:val="20"/>
        </w:rPr>
        <w:t>domácnosti strukturu</w:t>
      </w:r>
      <w:r>
        <w:rPr>
          <w:rFonts w:cs="Arial"/>
          <w:szCs w:val="20"/>
        </w:rPr>
        <w:t xml:space="preserve"> podobnou</w:t>
      </w:r>
      <w:r w:rsidRPr="00C82788">
        <w:rPr>
          <w:rFonts w:cs="Arial"/>
          <w:szCs w:val="20"/>
        </w:rPr>
        <w:t xml:space="preserve">. Manželské páry </w:t>
      </w:r>
      <w:r>
        <w:rPr>
          <w:rFonts w:cs="Arial"/>
          <w:szCs w:val="20"/>
        </w:rPr>
        <w:t xml:space="preserve">byly zastoupeny 64 resp. 68 % a také podíl neúplných rodin byl v obou státech téměř stejný (pětina počtu rodinných domácností). Maďarsko mělo ale výrazněji vyšší zastoupení nesezdaných soužití. Na rozdíl od zbylých dvou států V4 zjišťovalo Maďarsko a Česká republika i rodiny osob stejného pohlaví. V obou zemích byly počty zanedbatelné (registrovaných partnerství bylo v ČR 632 a v Maďarsku pouhých 76 párů). Neformálních svazků osob stejného pohlaví bylo řádově více (4053 resp. 1585), ale ani jejich počet nijak strukturu rodinných domácností neovlivnil a podíly se pohybovaly v pouhých promile.  </w:t>
      </w:r>
    </w:p>
    <w:p w:rsidR="000306C4" w:rsidRPr="00C82788" w:rsidRDefault="000306C4" w:rsidP="000306C4">
      <w:pPr>
        <w:jc w:val="center"/>
        <w:rPr>
          <w:rFonts w:cs="Arial"/>
          <w:szCs w:val="20"/>
        </w:rPr>
      </w:pPr>
    </w:p>
    <w:p w:rsidR="000306C4" w:rsidRDefault="000306C4" w:rsidP="000306C4">
      <w:pPr>
        <w:rPr>
          <w:rFonts w:cs="Arial"/>
          <w:szCs w:val="20"/>
        </w:rPr>
      </w:pPr>
      <w:r>
        <w:rPr>
          <w:rFonts w:cs="Arial"/>
          <w:szCs w:val="20"/>
        </w:rPr>
        <w:t xml:space="preserve">Polsko a Slovensko mělo detailní strukturu rodinných domácností různorodou, a to jak mezi sebou, tak ve srovnání s Českou republikou a Maďarskem. Na Slovensku byly nejnižší podíly neúplných rodin a nejvyšší zastoupení domácností složených ze dvou a více rodin. V Polsku měly nejnižší zastoupení domácnosti nesezdaných soužití a naopak nejvyšší domácnosti manželských párů, což odpovídá </w:t>
      </w:r>
      <w:r w:rsidRPr="00C82788">
        <w:rPr>
          <w:rFonts w:cs="Arial"/>
          <w:szCs w:val="20"/>
        </w:rPr>
        <w:t xml:space="preserve">silné pozici tradičního institutu manželství i struktuře obyvatelstva podle rodinného stavu. V této souvislosti je ovšem překvapující </w:t>
      </w:r>
      <w:r>
        <w:rPr>
          <w:rFonts w:cs="Arial"/>
          <w:szCs w:val="20"/>
        </w:rPr>
        <w:t xml:space="preserve">vyšší </w:t>
      </w:r>
      <w:r w:rsidRPr="00C82788">
        <w:rPr>
          <w:rFonts w:cs="Arial"/>
          <w:szCs w:val="20"/>
        </w:rPr>
        <w:t xml:space="preserve">procento domácností osamělých rodičů (v drtivé většině osamělých matek), což by předpokládalo i vyšší procento rozvedených, které </w:t>
      </w:r>
      <w:r>
        <w:rPr>
          <w:rFonts w:cs="Arial"/>
          <w:szCs w:val="20"/>
        </w:rPr>
        <w:t>bylo</w:t>
      </w:r>
      <w:r w:rsidRPr="00C82788">
        <w:rPr>
          <w:rFonts w:cs="Arial"/>
          <w:szCs w:val="20"/>
        </w:rPr>
        <w:t xml:space="preserve"> ale v Polsku naopak velmi nízké.  </w:t>
      </w:r>
    </w:p>
    <w:p w:rsidR="000306C4" w:rsidRDefault="000306C4" w:rsidP="003D48FF">
      <w:pPr>
        <w:rPr>
          <w:rFonts w:cs="Arial"/>
          <w:szCs w:val="20"/>
        </w:rPr>
      </w:pPr>
    </w:p>
    <w:p w:rsidR="000306C4" w:rsidRDefault="000306C4" w:rsidP="003D48FF">
      <w:pPr>
        <w:rPr>
          <w:rFonts w:cs="Arial"/>
          <w:szCs w:val="20"/>
        </w:rPr>
      </w:pPr>
    </w:p>
    <w:p w:rsidR="003D48FF" w:rsidRDefault="003D48FF" w:rsidP="003D48FF">
      <w:pPr>
        <w:rPr>
          <w:rFonts w:cs="Arial"/>
          <w:szCs w:val="20"/>
        </w:rPr>
      </w:pPr>
    </w:p>
    <w:p w:rsidR="003D48FF" w:rsidRPr="002C43A0" w:rsidRDefault="00584C21" w:rsidP="003D48FF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lastRenderedPageBreak/>
        <w:t xml:space="preserve">Graf </w:t>
      </w:r>
      <w:r w:rsidR="004B4CE7">
        <w:rPr>
          <w:rFonts w:cs="Arial"/>
          <w:b/>
          <w:szCs w:val="20"/>
        </w:rPr>
        <w:t>20</w:t>
      </w:r>
      <w:r w:rsidR="003D48FF" w:rsidRPr="002C43A0">
        <w:rPr>
          <w:rFonts w:cs="Arial"/>
          <w:b/>
          <w:szCs w:val="20"/>
        </w:rPr>
        <w:t>: Struktura rodinných domácností ve státech V4</w:t>
      </w:r>
      <w:r w:rsidR="00CD5B0D">
        <w:rPr>
          <w:rFonts w:cs="Arial"/>
          <w:b/>
          <w:szCs w:val="20"/>
        </w:rPr>
        <w:t xml:space="preserve"> podle sčítání 2011</w:t>
      </w:r>
    </w:p>
    <w:p w:rsidR="00EF0E79" w:rsidRDefault="00343D33" w:rsidP="003D48FF">
      <w:pPr>
        <w:jc w:val="center"/>
        <w:rPr>
          <w:rFonts w:cs="Arial"/>
          <w:szCs w:val="20"/>
        </w:rPr>
      </w:pPr>
      <w:r w:rsidRPr="00343D33">
        <w:rPr>
          <w:noProof/>
          <w:szCs w:val="20"/>
          <w:lang w:eastAsia="cs-CZ"/>
        </w:rPr>
        <w:drawing>
          <wp:inline distT="0" distB="0" distL="0" distR="0">
            <wp:extent cx="5391148" cy="2162175"/>
            <wp:effectExtent l="19050" t="19050" r="19052" b="28575"/>
            <wp:docPr id="4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48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C4" w:rsidRDefault="000306C4" w:rsidP="003D48FF">
      <w:pPr>
        <w:jc w:val="center"/>
        <w:rPr>
          <w:rFonts w:cs="Arial"/>
          <w:szCs w:val="20"/>
        </w:rPr>
      </w:pPr>
    </w:p>
    <w:p w:rsidR="003D48FF" w:rsidRDefault="003D48FF" w:rsidP="003D48FF">
      <w:pPr>
        <w:rPr>
          <w:rFonts w:cs="Arial"/>
          <w:szCs w:val="20"/>
        </w:rPr>
      </w:pPr>
      <w:r>
        <w:rPr>
          <w:rFonts w:cs="Arial"/>
          <w:szCs w:val="20"/>
        </w:rPr>
        <w:t>Extrémní hodnotou ve struktuře rodinných domácností</w:t>
      </w:r>
      <w:r w:rsidRPr="00C8278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byl</w:t>
      </w:r>
      <w:r w:rsidRPr="00C82788">
        <w:rPr>
          <w:rFonts w:cs="Arial"/>
          <w:szCs w:val="20"/>
        </w:rPr>
        <w:t xml:space="preserve"> vysoký podíl domácností</w:t>
      </w:r>
      <w:r>
        <w:rPr>
          <w:rFonts w:cs="Arial"/>
          <w:szCs w:val="20"/>
        </w:rPr>
        <w:t>, ve kterých společně hospodaří dvě</w:t>
      </w:r>
      <w:r w:rsidRPr="00C82788">
        <w:rPr>
          <w:rFonts w:cs="Arial"/>
          <w:szCs w:val="20"/>
        </w:rPr>
        <w:t xml:space="preserve"> a</w:t>
      </w:r>
      <w:r>
        <w:rPr>
          <w:rFonts w:cs="Arial"/>
          <w:szCs w:val="20"/>
        </w:rPr>
        <w:t xml:space="preserve"> více rodin</w:t>
      </w:r>
      <w:r w:rsidR="00B92879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překračující na Slovensku čtvrtinu všech rodinných domácností (a blížící se pětině z celkového počtu hospodařících domácností). Tato hodnota, ovlivněná nepřesně zjištěnou informací o hospodaření, podstatným způsobem změnila relaci mezi jednotlivými typy domácností; podíly ostatních kategorií tak jsou částečně podhodnoceny. Nejvýrazněji se to projevilo u manželských párů, jejichž podíl z rodinných domácností byl pouze 53,4 % a v zastoupení osamělých matek, které činilo 12,4 %. Je pravděpodobné, že tyto domácnosti byly součástí domácností s dvěma a více rodinami, jejichž typ se dále nerozlišoval. </w:t>
      </w: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Rodinné domácnosti tvořené jednou rodinou je možné podrobněji rozlišovat podle počtu a věku dítěte žijícího v rodině (tab.</w:t>
      </w:r>
      <w:r w:rsidR="00EF0E79">
        <w:rPr>
          <w:rFonts w:cs="Arial"/>
          <w:szCs w:val="20"/>
        </w:rPr>
        <w:t xml:space="preserve"> </w:t>
      </w:r>
      <w:r w:rsidR="006019C3">
        <w:rPr>
          <w:rFonts w:cs="Arial"/>
          <w:szCs w:val="20"/>
        </w:rPr>
        <w:t>11</w:t>
      </w:r>
      <w:r>
        <w:rPr>
          <w:rFonts w:cs="Arial"/>
          <w:szCs w:val="20"/>
        </w:rPr>
        <w:t xml:space="preserve">). </w:t>
      </w:r>
    </w:p>
    <w:p w:rsidR="00374438" w:rsidRPr="002B754C" w:rsidRDefault="00374438" w:rsidP="0037443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Nejčetnějším typem rodinných</w:t>
      </w:r>
      <w:r w:rsidRPr="002B754C">
        <w:rPr>
          <w:rFonts w:cs="Arial"/>
          <w:szCs w:val="20"/>
        </w:rPr>
        <w:t xml:space="preserve"> domácnost</w:t>
      </w:r>
      <w:r>
        <w:rPr>
          <w:rFonts w:cs="Arial"/>
          <w:szCs w:val="20"/>
        </w:rPr>
        <w:t>í tvořených jednou rodinou</w:t>
      </w:r>
      <w:r w:rsidRPr="002B754C">
        <w:rPr>
          <w:rFonts w:cs="Arial"/>
          <w:szCs w:val="20"/>
        </w:rPr>
        <w:t xml:space="preserve"> byl ve všech zemích V4 man</w:t>
      </w:r>
      <w:r w:rsidR="007E6D72">
        <w:rPr>
          <w:rFonts w:cs="Arial"/>
          <w:szCs w:val="20"/>
        </w:rPr>
        <w:t>želský pár s dítětem mladším 25</w:t>
      </w:r>
      <w:r w:rsidRPr="002B754C">
        <w:rPr>
          <w:rFonts w:cs="Arial"/>
          <w:szCs w:val="20"/>
        </w:rPr>
        <w:t xml:space="preserve"> let. V Polsku a na Slovensku dosáhl jejich podíl 40 % a byl tak oproti podílu manželských párů bez dětí téměř dvojnásobný. V České republice a v Maďarsku se zastoupení těchto kategorií téměř rovnalo (rozdíly do 4 procentních bodů). Na vyšším podílu manželských párů hospodařících bez dětí se</w:t>
      </w:r>
      <w:r>
        <w:rPr>
          <w:rFonts w:cs="Arial"/>
          <w:szCs w:val="20"/>
        </w:rPr>
        <w:t xml:space="preserve"> v </w:t>
      </w:r>
      <w:r w:rsidRPr="002B754C">
        <w:rPr>
          <w:rFonts w:cs="Arial"/>
          <w:szCs w:val="20"/>
        </w:rPr>
        <w:t>Maďarsk</w:t>
      </w:r>
      <w:r>
        <w:rPr>
          <w:rFonts w:cs="Arial"/>
          <w:szCs w:val="20"/>
        </w:rPr>
        <w:t>u</w:t>
      </w:r>
      <w:r w:rsidRPr="002B754C">
        <w:rPr>
          <w:rFonts w:cs="Arial"/>
          <w:szCs w:val="20"/>
        </w:rPr>
        <w:t xml:space="preserve"> a Čes</w:t>
      </w:r>
      <w:r>
        <w:rPr>
          <w:rFonts w:cs="Arial"/>
          <w:szCs w:val="20"/>
        </w:rPr>
        <w:t>ké republice</w:t>
      </w:r>
      <w:r w:rsidRPr="002B754C">
        <w:rPr>
          <w:rFonts w:cs="Arial"/>
          <w:szCs w:val="20"/>
        </w:rPr>
        <w:t xml:space="preserve"> podílí </w:t>
      </w:r>
      <w:r>
        <w:rPr>
          <w:rFonts w:cs="Arial"/>
          <w:szCs w:val="20"/>
        </w:rPr>
        <w:t xml:space="preserve">i </w:t>
      </w:r>
      <w:r w:rsidRPr="002B754C">
        <w:rPr>
          <w:rFonts w:cs="Arial"/>
          <w:szCs w:val="20"/>
        </w:rPr>
        <w:t>starší věková struktura</w:t>
      </w:r>
      <w:r>
        <w:rPr>
          <w:rFonts w:cs="Arial"/>
          <w:szCs w:val="20"/>
        </w:rPr>
        <w:t>.</w:t>
      </w:r>
      <w:r w:rsidRPr="002B754C">
        <w:rPr>
          <w:rFonts w:cs="Arial"/>
          <w:szCs w:val="20"/>
        </w:rPr>
        <w:t xml:space="preserve"> </w:t>
      </w:r>
    </w:p>
    <w:p w:rsidR="00374438" w:rsidRDefault="00374438" w:rsidP="00374438">
      <w:pPr>
        <w:autoSpaceDE w:val="0"/>
        <w:autoSpaceDN w:val="0"/>
        <w:adjustRightInd w:val="0"/>
        <w:rPr>
          <w:rFonts w:cs="Arial"/>
          <w:szCs w:val="20"/>
        </w:rPr>
      </w:pPr>
      <w:r w:rsidRPr="002B754C">
        <w:rPr>
          <w:rFonts w:cs="Arial"/>
          <w:szCs w:val="20"/>
        </w:rPr>
        <w:t xml:space="preserve">S výjimkou </w:t>
      </w:r>
      <w:r>
        <w:rPr>
          <w:rFonts w:cs="Arial"/>
          <w:szCs w:val="20"/>
        </w:rPr>
        <w:t>České republiky převažovaly</w:t>
      </w:r>
      <w:r w:rsidRPr="002B754C">
        <w:rPr>
          <w:rFonts w:cs="Arial"/>
          <w:szCs w:val="20"/>
        </w:rPr>
        <w:t xml:space="preserve"> páry s dětmi do 25 let i v případě nesezdaných soužití, které ale v rámci rodinných domácností mají řádově nižší zastoupení.</w:t>
      </w:r>
      <w:r>
        <w:rPr>
          <w:rFonts w:cs="Arial"/>
          <w:szCs w:val="20"/>
        </w:rPr>
        <w:t xml:space="preserve"> </w:t>
      </w:r>
    </w:p>
    <w:p w:rsidR="00374438" w:rsidRDefault="00374438" w:rsidP="00374438">
      <w:pPr>
        <w:autoSpaceDE w:val="0"/>
        <w:autoSpaceDN w:val="0"/>
        <w:adjustRightInd w:val="0"/>
        <w:rPr>
          <w:rFonts w:cs="Arial"/>
          <w:szCs w:val="20"/>
          <w:highlight w:val="yellow"/>
        </w:rPr>
      </w:pPr>
      <w:r>
        <w:rPr>
          <w:rFonts w:cs="Arial"/>
          <w:szCs w:val="20"/>
        </w:rPr>
        <w:t>Ve všech státech tvoří většinu neúplných rodin do</w:t>
      </w:r>
      <w:r w:rsidR="007E6D72">
        <w:rPr>
          <w:rFonts w:cs="Arial"/>
          <w:szCs w:val="20"/>
        </w:rPr>
        <w:t>mácnosti s dítětem mladším 25</w:t>
      </w:r>
      <w:r>
        <w:rPr>
          <w:rFonts w:cs="Arial"/>
          <w:szCs w:val="20"/>
        </w:rPr>
        <w:t xml:space="preserve"> let.  </w:t>
      </w:r>
    </w:p>
    <w:p w:rsidR="00EC2613" w:rsidRDefault="00EC2613" w:rsidP="003D48FF">
      <w:pPr>
        <w:autoSpaceDE w:val="0"/>
        <w:autoSpaceDN w:val="0"/>
        <w:adjustRightInd w:val="0"/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0306C4" w:rsidRDefault="000306C4" w:rsidP="00CD5B0D">
      <w:pPr>
        <w:rPr>
          <w:rFonts w:cs="Arial"/>
          <w:b/>
          <w:szCs w:val="20"/>
        </w:rPr>
      </w:pPr>
    </w:p>
    <w:p w:rsidR="00CD5B0D" w:rsidRPr="002C43A0" w:rsidRDefault="003D48FF" w:rsidP="00CD5B0D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lastRenderedPageBreak/>
        <w:t>Tab.</w:t>
      </w:r>
      <w:r w:rsidR="00584C21" w:rsidRPr="002C43A0">
        <w:rPr>
          <w:rFonts w:cs="Arial"/>
          <w:b/>
          <w:szCs w:val="20"/>
        </w:rPr>
        <w:t xml:space="preserve"> </w:t>
      </w:r>
      <w:r w:rsidR="006019C3">
        <w:rPr>
          <w:rFonts w:cs="Arial"/>
          <w:b/>
          <w:szCs w:val="20"/>
        </w:rPr>
        <w:t>11</w:t>
      </w:r>
      <w:r w:rsidR="00584C21" w:rsidRPr="002C43A0">
        <w:rPr>
          <w:rFonts w:cs="Arial"/>
          <w:b/>
          <w:szCs w:val="20"/>
        </w:rPr>
        <w:t>:</w:t>
      </w:r>
      <w:r w:rsidRPr="002C43A0">
        <w:rPr>
          <w:rFonts w:cs="Arial"/>
          <w:b/>
          <w:szCs w:val="20"/>
        </w:rPr>
        <w:t xml:space="preserve"> Rodinné domácnosti tvořené 1 rodinou podle </w:t>
      </w:r>
      <w:r w:rsidR="00B31687">
        <w:rPr>
          <w:rFonts w:cs="Arial"/>
          <w:b/>
          <w:szCs w:val="20"/>
        </w:rPr>
        <w:t>typu domácnosti</w:t>
      </w:r>
      <w:r w:rsidR="00CD5B0D">
        <w:rPr>
          <w:rFonts w:cs="Arial"/>
          <w:b/>
          <w:szCs w:val="20"/>
        </w:rPr>
        <w:t xml:space="preserve"> </w:t>
      </w:r>
      <w:r w:rsidR="00CD5B0D" w:rsidRPr="002C43A0">
        <w:rPr>
          <w:rFonts w:cs="Arial"/>
          <w:b/>
          <w:szCs w:val="20"/>
        </w:rPr>
        <w:t>ve státech V4</w:t>
      </w:r>
      <w:r w:rsidR="00CD5B0D">
        <w:rPr>
          <w:rFonts w:cs="Arial"/>
          <w:b/>
          <w:szCs w:val="20"/>
        </w:rPr>
        <w:t xml:space="preserve"> podle sčítání 2011</w:t>
      </w:r>
    </w:p>
    <w:p w:rsidR="003D48FF" w:rsidRDefault="00CD5B0D" w:rsidP="003D48FF">
      <w:pPr>
        <w:autoSpaceDE w:val="0"/>
        <w:autoSpaceDN w:val="0"/>
        <w:adjustRightInd w:val="0"/>
        <w:rPr>
          <w:rFonts w:cs="Arial"/>
          <w:szCs w:val="20"/>
        </w:rPr>
      </w:pPr>
      <w:r w:rsidRPr="00CD5B0D">
        <w:rPr>
          <w:noProof/>
          <w:szCs w:val="20"/>
          <w:lang w:eastAsia="cs-CZ"/>
        </w:rPr>
        <w:drawing>
          <wp:inline distT="0" distB="0" distL="0" distR="0">
            <wp:extent cx="5398600" cy="3971925"/>
            <wp:effectExtent l="19050" t="0" r="0" b="0"/>
            <wp:docPr id="4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FF" w:rsidRDefault="003D48FF" w:rsidP="003D48FF">
      <w:pPr>
        <w:autoSpaceDE w:val="0"/>
        <w:autoSpaceDN w:val="0"/>
        <w:adjustRightInd w:val="0"/>
        <w:rPr>
          <w:rFonts w:cs="Arial"/>
          <w:sz w:val="16"/>
          <w:szCs w:val="16"/>
        </w:rPr>
      </w:pPr>
      <w:r w:rsidRPr="009F4394">
        <w:rPr>
          <w:rFonts w:cs="Arial"/>
          <w:sz w:val="16"/>
          <w:szCs w:val="16"/>
        </w:rPr>
        <w:t>1 v ČR a HU zahrnuto i registrované partnerství</w:t>
      </w:r>
    </w:p>
    <w:p w:rsidR="003419D7" w:rsidRPr="009F4394" w:rsidRDefault="003419D7" w:rsidP="003D48FF">
      <w:pPr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Významnou skupinou domácností, jejíž početnost v souvislosti se změnami demografického chování v postkomunistických zemích v posledních dvaceti letech stoupá, jsou domácnosti jednotlivců. V České republice a v Maďarsku hospodařilo jako jednotlivec přes 13 % obyvatel. V Polsku a na Slovensku pak 8,5 % obyvatel. Zastoupení jednotlivců v jednotlivých věkových skupinách nebylo konstantní. V České republice byly patrné dva vrcholy, a to u osob do 29 let (především ve věkové skupině 24</w:t>
      </w:r>
      <w:r w:rsidR="00AA1652">
        <w:rPr>
          <w:rFonts w:cs="Arial"/>
          <w:szCs w:val="20"/>
        </w:rPr>
        <w:t xml:space="preserve"> až </w:t>
      </w:r>
      <w:r>
        <w:rPr>
          <w:rFonts w:cs="Arial"/>
          <w:szCs w:val="20"/>
        </w:rPr>
        <w:t>29 let) a u osob ve věku 85</w:t>
      </w:r>
      <w:r w:rsidR="00AA1652">
        <w:rPr>
          <w:rFonts w:cs="Arial"/>
          <w:szCs w:val="20"/>
        </w:rPr>
        <w:t xml:space="preserve"> až </w:t>
      </w:r>
      <w:r>
        <w:rPr>
          <w:rFonts w:cs="Arial"/>
          <w:szCs w:val="20"/>
        </w:rPr>
        <w:t>89 let. Podobné zastoupení ve věkových kategoriích měl</w:t>
      </w:r>
      <w:r w:rsidR="00D56C2F">
        <w:rPr>
          <w:rFonts w:cs="Arial"/>
          <w:szCs w:val="20"/>
        </w:rPr>
        <w:t>i</w:t>
      </w:r>
      <w:r>
        <w:rPr>
          <w:rFonts w:cs="Arial"/>
          <w:szCs w:val="20"/>
        </w:rPr>
        <w:t xml:space="preserve"> jednotlivci i v Maďarsku. Naopak Polsku a Slovensku „chyběl“ první vrchol v mladších věkových skupinách</w:t>
      </w:r>
      <w:r w:rsidR="00AA1652">
        <w:rPr>
          <w:rFonts w:cs="Arial"/>
          <w:szCs w:val="20"/>
        </w:rPr>
        <w:t xml:space="preserve"> (např. na Slovensku představovaly</w:t>
      </w:r>
      <w:r>
        <w:rPr>
          <w:rFonts w:cs="Arial"/>
          <w:szCs w:val="20"/>
        </w:rPr>
        <w:t xml:space="preserve"> jednotlivci ve věkové skupině 24</w:t>
      </w:r>
      <w:r w:rsidR="00AA1652">
        <w:rPr>
          <w:rFonts w:cs="Arial"/>
          <w:szCs w:val="20"/>
        </w:rPr>
        <w:t xml:space="preserve"> až </w:t>
      </w:r>
      <w:r>
        <w:rPr>
          <w:rFonts w:cs="Arial"/>
          <w:szCs w:val="20"/>
        </w:rPr>
        <w:t xml:space="preserve">29 let jen 6,5 % </w:t>
      </w:r>
      <w:r w:rsidR="00AA1652">
        <w:rPr>
          <w:rFonts w:cs="Arial"/>
          <w:szCs w:val="20"/>
        </w:rPr>
        <w:t xml:space="preserve">osob v tomto věku, kdežto v ČR </w:t>
      </w:r>
      <w:r>
        <w:rPr>
          <w:rFonts w:cs="Arial"/>
          <w:szCs w:val="20"/>
        </w:rPr>
        <w:t>to</w:t>
      </w:r>
      <w:r w:rsidR="00AA1652">
        <w:rPr>
          <w:rFonts w:cs="Arial"/>
          <w:szCs w:val="20"/>
        </w:rPr>
        <w:t xml:space="preserve"> bylo</w:t>
      </w:r>
      <w:r>
        <w:rPr>
          <w:rFonts w:cs="Arial"/>
          <w:szCs w:val="20"/>
        </w:rPr>
        <w:t xml:space="preserve"> přes 14 %). </w:t>
      </w:r>
    </w:p>
    <w:p w:rsidR="00F87D6D" w:rsidRDefault="00F87D6D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950C9C" w:rsidRDefault="00950C9C" w:rsidP="00CD5B0D">
      <w:pPr>
        <w:rPr>
          <w:rFonts w:cs="Arial"/>
          <w:b/>
          <w:szCs w:val="20"/>
        </w:rPr>
      </w:pPr>
    </w:p>
    <w:p w:rsidR="00CD5B0D" w:rsidRPr="002C43A0" w:rsidRDefault="00584C21" w:rsidP="00CD5B0D">
      <w:pPr>
        <w:rPr>
          <w:rFonts w:cs="Arial"/>
          <w:b/>
          <w:szCs w:val="20"/>
        </w:rPr>
      </w:pPr>
      <w:r w:rsidRPr="002C43A0">
        <w:rPr>
          <w:rFonts w:cs="Arial"/>
          <w:b/>
          <w:szCs w:val="20"/>
        </w:rPr>
        <w:lastRenderedPageBreak/>
        <w:t xml:space="preserve">Graf </w:t>
      </w:r>
      <w:r w:rsidR="005D628D">
        <w:rPr>
          <w:rFonts w:cs="Arial"/>
          <w:b/>
          <w:szCs w:val="20"/>
        </w:rPr>
        <w:t>2</w:t>
      </w:r>
      <w:r w:rsidR="004B4CE7">
        <w:rPr>
          <w:rFonts w:cs="Arial"/>
          <w:b/>
          <w:szCs w:val="20"/>
        </w:rPr>
        <w:t>1</w:t>
      </w:r>
      <w:r w:rsidRPr="002C43A0">
        <w:rPr>
          <w:rFonts w:cs="Arial"/>
          <w:b/>
          <w:szCs w:val="20"/>
        </w:rPr>
        <w:t xml:space="preserve">: Osoby žijící jako </w:t>
      </w:r>
      <w:r w:rsidR="00BA328F" w:rsidRPr="002C43A0">
        <w:rPr>
          <w:rFonts w:cs="Arial"/>
          <w:b/>
          <w:szCs w:val="20"/>
        </w:rPr>
        <w:t>j</w:t>
      </w:r>
      <w:r w:rsidRPr="002C43A0">
        <w:rPr>
          <w:rFonts w:cs="Arial"/>
          <w:b/>
          <w:szCs w:val="20"/>
        </w:rPr>
        <w:t>ednotlivci podle věku</w:t>
      </w:r>
      <w:r w:rsidR="00CD5B0D">
        <w:rPr>
          <w:rFonts w:cs="Arial"/>
          <w:b/>
          <w:szCs w:val="20"/>
        </w:rPr>
        <w:t xml:space="preserve"> </w:t>
      </w:r>
      <w:r w:rsidR="00CD5B0D" w:rsidRPr="002C43A0">
        <w:rPr>
          <w:rFonts w:cs="Arial"/>
          <w:b/>
          <w:szCs w:val="20"/>
        </w:rPr>
        <w:t>ve státech V4</w:t>
      </w:r>
      <w:r w:rsidR="00CD5B0D">
        <w:rPr>
          <w:rFonts w:cs="Arial"/>
          <w:b/>
          <w:szCs w:val="20"/>
        </w:rPr>
        <w:t xml:space="preserve"> podle sčítání 2011</w:t>
      </w:r>
    </w:p>
    <w:p w:rsidR="007D1541" w:rsidRDefault="007D1541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3D48FF" w:rsidRDefault="00441764" w:rsidP="003D48FF">
      <w:pPr>
        <w:autoSpaceDE w:val="0"/>
        <w:autoSpaceDN w:val="0"/>
        <w:adjustRightInd w:val="0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1.</w:t>
      </w:r>
      <w:r w:rsidR="00BD5396">
        <w:rPr>
          <w:rFonts w:cs="Arial"/>
          <w:szCs w:val="20"/>
        </w:rPr>
        <w:t>Česká</w:t>
      </w:r>
      <w:proofErr w:type="gramEnd"/>
      <w:r w:rsidR="00BD5396">
        <w:rPr>
          <w:rFonts w:cs="Arial"/>
          <w:szCs w:val="20"/>
        </w:rPr>
        <w:t xml:space="preserve"> republika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2.Maďarsko</w:t>
      </w:r>
      <w:r w:rsidR="003D48FF" w:rsidRPr="00DE0EEB">
        <w:rPr>
          <w:noProof/>
          <w:szCs w:val="20"/>
          <w:lang w:eastAsia="cs-CZ"/>
        </w:rPr>
        <w:drawing>
          <wp:inline distT="0" distB="0" distL="0" distR="0">
            <wp:extent cx="5286375" cy="2219325"/>
            <wp:effectExtent l="19050" t="0" r="9525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B6" w:rsidRDefault="00441764" w:rsidP="00E064B6">
      <w:pPr>
        <w:autoSpaceDE w:val="0"/>
        <w:autoSpaceDN w:val="0"/>
        <w:adjustRightInd w:val="0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3.Polsko</w:t>
      </w:r>
      <w:proofErr w:type="gramEnd"/>
      <w:r w:rsidR="00E064B6">
        <w:rPr>
          <w:rFonts w:cs="Arial"/>
          <w:szCs w:val="20"/>
        </w:rPr>
        <w:tab/>
      </w:r>
      <w:r w:rsidR="00E064B6">
        <w:rPr>
          <w:rFonts w:cs="Arial"/>
          <w:szCs w:val="20"/>
        </w:rPr>
        <w:tab/>
      </w:r>
      <w:r w:rsidR="00E064B6">
        <w:rPr>
          <w:rFonts w:cs="Arial"/>
          <w:szCs w:val="20"/>
        </w:rPr>
        <w:tab/>
      </w:r>
      <w:r w:rsidR="00E064B6">
        <w:rPr>
          <w:rFonts w:cs="Arial"/>
          <w:szCs w:val="20"/>
        </w:rPr>
        <w:tab/>
      </w:r>
      <w:r w:rsidR="00E064B6">
        <w:rPr>
          <w:rFonts w:cs="Arial"/>
          <w:szCs w:val="20"/>
        </w:rPr>
        <w:tab/>
      </w:r>
      <w:r w:rsidR="00E064B6">
        <w:rPr>
          <w:rFonts w:cs="Arial"/>
          <w:szCs w:val="20"/>
        </w:rPr>
        <w:tab/>
      </w:r>
      <w:r>
        <w:rPr>
          <w:rFonts w:cs="Arial"/>
          <w:szCs w:val="20"/>
        </w:rPr>
        <w:t>4.Slovensko</w:t>
      </w:r>
    </w:p>
    <w:p w:rsidR="00B678B8" w:rsidRDefault="00E064B6" w:rsidP="003D48FF">
      <w:pPr>
        <w:autoSpaceDE w:val="0"/>
        <w:autoSpaceDN w:val="0"/>
        <w:adjustRightInd w:val="0"/>
        <w:rPr>
          <w:rFonts w:cs="Arial"/>
          <w:b/>
          <w:szCs w:val="20"/>
        </w:rPr>
      </w:pPr>
      <w:r w:rsidRPr="00E064B6">
        <w:rPr>
          <w:noProof/>
          <w:szCs w:val="20"/>
          <w:lang w:eastAsia="cs-CZ"/>
        </w:rPr>
        <w:drawing>
          <wp:inline distT="0" distB="0" distL="0" distR="0">
            <wp:extent cx="5286375" cy="2219325"/>
            <wp:effectExtent l="19050" t="0" r="952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B8" w:rsidRDefault="00B678B8" w:rsidP="003D48FF">
      <w:pPr>
        <w:autoSpaceDE w:val="0"/>
        <w:autoSpaceDN w:val="0"/>
        <w:adjustRightInd w:val="0"/>
        <w:rPr>
          <w:rFonts w:cs="Arial"/>
          <w:b/>
          <w:szCs w:val="20"/>
        </w:rPr>
      </w:pPr>
    </w:p>
    <w:p w:rsidR="00F74026" w:rsidRDefault="00F74026" w:rsidP="003D48FF">
      <w:pPr>
        <w:autoSpaceDE w:val="0"/>
        <w:autoSpaceDN w:val="0"/>
        <w:adjustRightInd w:val="0"/>
        <w:rPr>
          <w:rFonts w:cs="Arial"/>
          <w:b/>
          <w:szCs w:val="20"/>
        </w:rPr>
      </w:pPr>
    </w:p>
    <w:p w:rsidR="003D48FF" w:rsidRDefault="002C43A0" w:rsidP="00C46122">
      <w:pPr>
        <w:autoSpaceDE w:val="0"/>
        <w:autoSpaceDN w:val="0"/>
        <w:adjustRightInd w:val="0"/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4.2 </w:t>
      </w:r>
      <w:r w:rsidR="003D48FF" w:rsidRPr="00E566E2">
        <w:rPr>
          <w:rFonts w:cs="Arial"/>
          <w:b/>
          <w:szCs w:val="20"/>
        </w:rPr>
        <w:t>Postavení osoby v</w:t>
      </w:r>
      <w:r w:rsidR="003D48FF">
        <w:rPr>
          <w:rFonts w:cs="Arial"/>
          <w:b/>
          <w:szCs w:val="20"/>
        </w:rPr>
        <w:t> </w:t>
      </w:r>
      <w:r w:rsidR="003D48FF" w:rsidRPr="00E566E2">
        <w:rPr>
          <w:rFonts w:cs="Arial"/>
          <w:b/>
          <w:szCs w:val="20"/>
        </w:rPr>
        <w:t>domácnosti</w:t>
      </w: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  <w:r w:rsidRPr="00095F61">
        <w:rPr>
          <w:rFonts w:cs="Arial"/>
          <w:szCs w:val="20"/>
        </w:rPr>
        <w:t>Struktuře domácností odpovíd</w:t>
      </w:r>
      <w:r>
        <w:rPr>
          <w:rFonts w:cs="Arial"/>
          <w:szCs w:val="20"/>
        </w:rPr>
        <w:t>ala</w:t>
      </w:r>
      <w:r w:rsidRPr="00095F61">
        <w:rPr>
          <w:rFonts w:cs="Arial"/>
          <w:szCs w:val="20"/>
        </w:rPr>
        <w:t xml:space="preserve"> také struktura osob podle postavení v domácnosti. </w:t>
      </w:r>
      <w:r>
        <w:rPr>
          <w:rFonts w:cs="Arial"/>
          <w:szCs w:val="20"/>
        </w:rPr>
        <w:t xml:space="preserve">Drtivá většina osob v regionu </w:t>
      </w:r>
      <w:r w:rsidR="00345FC3">
        <w:rPr>
          <w:rFonts w:cs="Arial"/>
          <w:szCs w:val="20"/>
        </w:rPr>
        <w:t>V</w:t>
      </w:r>
      <w:r>
        <w:rPr>
          <w:rFonts w:cs="Arial"/>
          <w:szCs w:val="20"/>
        </w:rPr>
        <w:t xml:space="preserve">4 žila v soukromých domácnostech. </w:t>
      </w:r>
    </w:p>
    <w:p w:rsidR="000306C4" w:rsidRDefault="000306C4" w:rsidP="000306C4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 xml:space="preserve">Všechny čtyři státy zjišťovaly u osob i bydlení v hromadných ubytovacích zařízeních i případy bezdomovectví. Především v Polsku byly osoby žijící mimo soukromou domácnost (tj. v instituci nebo jako bezdomovec) výjimkou a tvořily jen 0,5 % populace. Největší zastoupení měly tyto osoby naopak na Slovensku (3,4 %). Většinu osob žijících mimo soukromou domácnost zde ale představovaly osoby s dále nespecifikovaným postavením, které se v ostatních zemích V4 nevyskytlo.   </w:t>
      </w:r>
    </w:p>
    <w:p w:rsidR="000306C4" w:rsidRDefault="000306C4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EF0E79" w:rsidRDefault="00EF0E79" w:rsidP="003D48FF">
      <w:pPr>
        <w:autoSpaceDE w:val="0"/>
        <w:autoSpaceDN w:val="0"/>
        <w:adjustRightInd w:val="0"/>
        <w:rPr>
          <w:rFonts w:cs="Arial"/>
          <w:b/>
          <w:szCs w:val="20"/>
        </w:rPr>
      </w:pPr>
    </w:p>
    <w:p w:rsidR="00EF0E79" w:rsidRDefault="00EF0E79" w:rsidP="003D48FF">
      <w:pPr>
        <w:autoSpaceDE w:val="0"/>
        <w:autoSpaceDN w:val="0"/>
        <w:adjustRightInd w:val="0"/>
        <w:rPr>
          <w:rFonts w:cs="Arial"/>
          <w:b/>
          <w:szCs w:val="20"/>
        </w:rPr>
      </w:pPr>
    </w:p>
    <w:p w:rsidR="003D48FF" w:rsidRPr="003F0764" w:rsidRDefault="003D48FF" w:rsidP="003D48FF">
      <w:pPr>
        <w:autoSpaceDE w:val="0"/>
        <w:autoSpaceDN w:val="0"/>
        <w:adjustRightInd w:val="0"/>
        <w:rPr>
          <w:rFonts w:cs="Arial"/>
          <w:b/>
          <w:szCs w:val="20"/>
        </w:rPr>
      </w:pPr>
      <w:r w:rsidRPr="003F0764">
        <w:rPr>
          <w:rFonts w:cs="Arial"/>
          <w:b/>
          <w:szCs w:val="20"/>
        </w:rPr>
        <w:lastRenderedPageBreak/>
        <w:t xml:space="preserve">Tab. </w:t>
      </w:r>
      <w:r w:rsidR="00B12F73">
        <w:rPr>
          <w:rFonts w:cs="Arial"/>
          <w:b/>
          <w:szCs w:val="20"/>
        </w:rPr>
        <w:t>12</w:t>
      </w:r>
      <w:r w:rsidRPr="003F0764">
        <w:rPr>
          <w:rFonts w:cs="Arial"/>
          <w:b/>
          <w:szCs w:val="20"/>
        </w:rPr>
        <w:t>: Obyvatelstvo podle postavení v domácnosti ve státech V4</w:t>
      </w:r>
      <w:r w:rsidR="00091FAA">
        <w:rPr>
          <w:rFonts w:cs="Arial"/>
          <w:b/>
          <w:szCs w:val="20"/>
        </w:rPr>
        <w:t xml:space="preserve"> podle sčítání 2011</w:t>
      </w:r>
    </w:p>
    <w:p w:rsidR="003D48FF" w:rsidRDefault="003F5A59" w:rsidP="003D48FF">
      <w:pPr>
        <w:autoSpaceDE w:val="0"/>
        <w:autoSpaceDN w:val="0"/>
        <w:adjustRightInd w:val="0"/>
        <w:rPr>
          <w:rFonts w:cs="Arial"/>
          <w:szCs w:val="20"/>
        </w:rPr>
      </w:pPr>
      <w:r w:rsidRPr="003F5A59">
        <w:rPr>
          <w:noProof/>
          <w:szCs w:val="20"/>
          <w:lang w:eastAsia="cs-CZ"/>
        </w:rPr>
        <w:drawing>
          <wp:inline distT="0" distB="0" distL="0" distR="0">
            <wp:extent cx="5400675" cy="2752725"/>
            <wp:effectExtent l="19050" t="0" r="9525" b="0"/>
            <wp:docPr id="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 xml:space="preserve">Struktura osob podle postavení v domácnosti závisí jednoznačně na věku osoby (graf </w:t>
      </w:r>
      <w:r w:rsidR="00345FC3">
        <w:rPr>
          <w:rFonts w:cs="Arial"/>
          <w:szCs w:val="20"/>
        </w:rPr>
        <w:t>2</w:t>
      </w:r>
      <w:r w:rsidR="004B4CE7">
        <w:rPr>
          <w:rFonts w:cs="Arial"/>
          <w:szCs w:val="20"/>
        </w:rPr>
        <w:t>2</w:t>
      </w:r>
      <w:r>
        <w:rPr>
          <w:rFonts w:cs="Arial"/>
          <w:szCs w:val="20"/>
        </w:rPr>
        <w:t xml:space="preserve">) </w:t>
      </w:r>
    </w:p>
    <w:p w:rsidR="00E064B6" w:rsidRDefault="00E064B6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3D48FF" w:rsidRPr="003F0764" w:rsidRDefault="003D48FF" w:rsidP="003D48FF">
      <w:pPr>
        <w:autoSpaceDE w:val="0"/>
        <w:autoSpaceDN w:val="0"/>
        <w:adjustRightInd w:val="0"/>
        <w:rPr>
          <w:rFonts w:cs="Arial"/>
          <w:b/>
          <w:szCs w:val="20"/>
        </w:rPr>
      </w:pPr>
      <w:r w:rsidRPr="003F0764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2</w:t>
      </w:r>
      <w:r w:rsidR="004B4CE7">
        <w:rPr>
          <w:rFonts w:cs="Arial"/>
          <w:b/>
          <w:szCs w:val="20"/>
        </w:rPr>
        <w:t>2</w:t>
      </w:r>
      <w:r w:rsidRPr="003F0764">
        <w:rPr>
          <w:rFonts w:cs="Arial"/>
          <w:b/>
          <w:szCs w:val="20"/>
        </w:rPr>
        <w:t>: Struktura osob podle postavení v </w:t>
      </w:r>
      <w:r w:rsidR="00635D0F" w:rsidRPr="003F0764">
        <w:rPr>
          <w:rFonts w:cs="Arial"/>
          <w:b/>
          <w:szCs w:val="20"/>
        </w:rPr>
        <w:t xml:space="preserve">domácnosti </w:t>
      </w:r>
      <w:r w:rsidR="00635D0F">
        <w:rPr>
          <w:rFonts w:cs="Arial"/>
          <w:b/>
          <w:szCs w:val="20"/>
        </w:rPr>
        <w:t xml:space="preserve">a věku </w:t>
      </w:r>
      <w:r w:rsidR="00635D0F" w:rsidRPr="003F0764">
        <w:rPr>
          <w:rFonts w:cs="Arial"/>
          <w:b/>
          <w:szCs w:val="20"/>
        </w:rPr>
        <w:t>ve státech V4</w:t>
      </w:r>
      <w:r w:rsidR="00635D0F">
        <w:rPr>
          <w:rFonts w:cs="Arial"/>
          <w:b/>
          <w:szCs w:val="20"/>
        </w:rPr>
        <w:t xml:space="preserve"> podle sčítání 2011</w:t>
      </w:r>
    </w:p>
    <w:p w:rsidR="003D48FF" w:rsidRDefault="00840C56" w:rsidP="003D48FF">
      <w:pPr>
        <w:autoSpaceDE w:val="0"/>
        <w:autoSpaceDN w:val="0"/>
        <w:adjustRightInd w:val="0"/>
        <w:rPr>
          <w:rFonts w:cs="Arial"/>
          <w:szCs w:val="20"/>
        </w:rPr>
      </w:pPr>
      <w:r w:rsidRPr="00840C56">
        <w:rPr>
          <w:noProof/>
          <w:szCs w:val="20"/>
          <w:lang w:eastAsia="cs-CZ"/>
        </w:rPr>
        <w:drawing>
          <wp:inline distT="0" distB="0" distL="0" distR="0">
            <wp:extent cx="5400040" cy="2547711"/>
            <wp:effectExtent l="19050" t="19050" r="10160" b="24039"/>
            <wp:docPr id="4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7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56" w:rsidRDefault="00840C56" w:rsidP="00EF0E79">
      <w:pPr>
        <w:autoSpaceDE w:val="0"/>
        <w:autoSpaceDN w:val="0"/>
        <w:adjustRightInd w:val="0"/>
        <w:rPr>
          <w:rFonts w:cs="Arial"/>
          <w:szCs w:val="20"/>
        </w:rPr>
      </w:pPr>
    </w:p>
    <w:p w:rsidR="00EF0E79" w:rsidRDefault="00EF0E79" w:rsidP="00EF0E79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Z grafického vyjádření je ale patrné, že rozdíly v jednotlivých věkových skupinách odpovídají celkových rozdílům mezi státy a postavení států se tak v závislosti na věku osoby nemění. Rozdíly zároveň korespondují s výše popsanou strukturou domácností. Polsko má ve všech věkových kategoriích vyšší zastoupení partnerů v sezdaných párech a zároveň vyšší podíl osamělých rodičů. Maďarsko pak vyšší podíl osob žijících v nesezdaném soužití</w:t>
      </w:r>
      <w:r w:rsidR="00536957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tj. druhů a družek. </w:t>
      </w:r>
    </w:p>
    <w:p w:rsidR="003D48FF" w:rsidRDefault="002C43A0" w:rsidP="00345FC3">
      <w:pPr>
        <w:spacing w:after="120"/>
        <w:rPr>
          <w:b/>
        </w:rPr>
      </w:pPr>
      <w:r>
        <w:rPr>
          <w:b/>
        </w:rPr>
        <w:lastRenderedPageBreak/>
        <w:t xml:space="preserve">4.3 </w:t>
      </w:r>
      <w:r w:rsidR="003D48FF">
        <w:rPr>
          <w:b/>
        </w:rPr>
        <w:t>V</w:t>
      </w:r>
      <w:r w:rsidR="003D48FF" w:rsidRPr="001A202A">
        <w:rPr>
          <w:b/>
        </w:rPr>
        <w:t>elikost domácnost</w:t>
      </w:r>
      <w:r w:rsidR="003D48FF">
        <w:rPr>
          <w:b/>
        </w:rPr>
        <w:t>í</w:t>
      </w:r>
    </w:p>
    <w:p w:rsidR="003D48FF" w:rsidRDefault="003D48FF" w:rsidP="003D48FF">
      <w:pPr>
        <w:autoSpaceDE w:val="0"/>
        <w:autoSpaceDN w:val="0"/>
        <w:adjustRightInd w:val="0"/>
      </w:pPr>
      <w:r w:rsidRPr="00456161">
        <w:t>Struktura domácnosti pod</w:t>
      </w:r>
      <w:r>
        <w:t>le počtu členů rozdělila státy V</w:t>
      </w:r>
      <w:r w:rsidRPr="00456161">
        <w:t>4 do dvojic.</w:t>
      </w:r>
      <w:r>
        <w:rPr>
          <w:b/>
        </w:rPr>
        <w:t xml:space="preserve"> </w:t>
      </w:r>
      <w:r>
        <w:t>Téměř stejných hodnot dosáhlo</w:t>
      </w:r>
      <w:r w:rsidRPr="001A202A">
        <w:t xml:space="preserve"> zastoupení jednotlivých velikostních skupin domácností v Maďarsku a v České republice. </w:t>
      </w:r>
      <w:r>
        <w:t>V těch shodně tvořily domácnosti s malým počtem členů (do 2) přes 60 %. Naopak na Slovensku a v Polsku převážily vícečlenné domácnosti. Na Slovensku to koresponduje s faktem, že bylo identifikováno velké množství domácností, ve kterých žily dvě a více rodiny</w:t>
      </w:r>
    </w:p>
    <w:p w:rsidR="003D48FF" w:rsidRDefault="003D48FF" w:rsidP="003D48FF">
      <w:pPr>
        <w:autoSpaceDE w:val="0"/>
        <w:autoSpaceDN w:val="0"/>
        <w:adjustRightInd w:val="0"/>
        <w:rPr>
          <w:rFonts w:cs="Arial"/>
          <w:szCs w:val="20"/>
        </w:rPr>
      </w:pPr>
    </w:p>
    <w:p w:rsidR="00CD5B0D" w:rsidRPr="002C43A0" w:rsidRDefault="003D48FF" w:rsidP="00CD5B0D">
      <w:pPr>
        <w:rPr>
          <w:rFonts w:cs="Arial"/>
          <w:b/>
          <w:szCs w:val="20"/>
        </w:rPr>
      </w:pPr>
      <w:r w:rsidRPr="003F0764">
        <w:rPr>
          <w:rFonts w:cs="Arial"/>
          <w:b/>
          <w:szCs w:val="20"/>
        </w:rPr>
        <w:t xml:space="preserve">Graf </w:t>
      </w:r>
      <w:r w:rsidR="005D628D">
        <w:rPr>
          <w:rFonts w:cs="Arial"/>
          <w:b/>
          <w:szCs w:val="20"/>
        </w:rPr>
        <w:t>2</w:t>
      </w:r>
      <w:r w:rsidR="004B4CE7">
        <w:rPr>
          <w:rFonts w:cs="Arial"/>
          <w:b/>
          <w:szCs w:val="20"/>
        </w:rPr>
        <w:t>3</w:t>
      </w:r>
      <w:r w:rsidR="00F74026" w:rsidRPr="003F0764">
        <w:rPr>
          <w:rFonts w:cs="Arial"/>
          <w:b/>
          <w:szCs w:val="20"/>
        </w:rPr>
        <w:t xml:space="preserve">: </w:t>
      </w:r>
      <w:r w:rsidRPr="003F0764">
        <w:rPr>
          <w:rFonts w:cs="Arial"/>
          <w:b/>
          <w:szCs w:val="20"/>
        </w:rPr>
        <w:t>Struktura domácností podle počtu členů</w:t>
      </w:r>
      <w:r w:rsidR="00CD5B0D">
        <w:rPr>
          <w:rFonts w:cs="Arial"/>
          <w:b/>
          <w:szCs w:val="20"/>
        </w:rPr>
        <w:t xml:space="preserve"> </w:t>
      </w:r>
      <w:r w:rsidR="00CD5B0D" w:rsidRPr="002C43A0">
        <w:rPr>
          <w:rFonts w:cs="Arial"/>
          <w:b/>
          <w:szCs w:val="20"/>
        </w:rPr>
        <w:t>ve státech V4</w:t>
      </w:r>
      <w:r w:rsidR="00CD5B0D">
        <w:rPr>
          <w:rFonts w:cs="Arial"/>
          <w:b/>
          <w:szCs w:val="20"/>
        </w:rPr>
        <w:t xml:space="preserve"> podle sčítání 2011</w:t>
      </w:r>
    </w:p>
    <w:p w:rsidR="003D48FF" w:rsidRDefault="00FD2807" w:rsidP="003D48FF">
      <w:pPr>
        <w:autoSpaceDE w:val="0"/>
        <w:autoSpaceDN w:val="0"/>
        <w:adjustRightInd w:val="0"/>
        <w:rPr>
          <w:rFonts w:cs="Arial"/>
          <w:szCs w:val="20"/>
        </w:rPr>
      </w:pPr>
      <w:r w:rsidRPr="00FD2807">
        <w:rPr>
          <w:noProof/>
          <w:szCs w:val="20"/>
          <w:lang w:eastAsia="cs-CZ"/>
        </w:rPr>
        <w:drawing>
          <wp:inline distT="0" distB="0" distL="0" distR="0">
            <wp:extent cx="5400674" cy="2095500"/>
            <wp:effectExtent l="19050" t="19050" r="9526" b="19050"/>
            <wp:docPr id="5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5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79" w:rsidRDefault="00EF0E79" w:rsidP="003D48FF"/>
    <w:p w:rsidR="003D48FF" w:rsidRDefault="003D48FF" w:rsidP="003D48FF">
      <w:r>
        <w:t xml:space="preserve">Průměrná domácnost v regionu V4 měla 2,65 členů. Nejmenší průměrnou velikost měly domácnosti v České republice (2,34 členů) těsně následované maďarskými domácnostmi (2,36 členů). V Polsku a na Slovensku byla velikost domácnosti v průměru o 0,5 člena větší. </w:t>
      </w:r>
    </w:p>
    <w:p w:rsidR="003D48FF" w:rsidRDefault="003D48FF" w:rsidP="003D48FF">
      <w:r>
        <w:t xml:space="preserve">Velikost domácnosti se liší podle typu (graf </w:t>
      </w:r>
      <w:r w:rsidR="00F74026">
        <w:t>2</w:t>
      </w:r>
      <w:r w:rsidR="00FC341D">
        <w:t>4</w:t>
      </w:r>
      <w:r>
        <w:t>). V domácnosti manželského páru žilo v průměru ve všech státech víc</w:t>
      </w:r>
      <w:r w:rsidR="00E160E7">
        <w:t>e</w:t>
      </w:r>
      <w:r>
        <w:t xml:space="preserve"> než 3 osoby. Největší jsou tyto domácnosti na Slovensku, nejmenší pak v České republice. Rozdíl se pohyboval na úrovni 0,25 osoby. Domácnosti nesezdaných soužití jsou v porovnání s manželskými páry menší. Největší rozdíl byl zjištěn v Polsku, kde tomu odpovídal i poměr párů žijících v domácnosti bez dětí; zatímco nesezdaných párů hospodařících bez dětí bylo více než 46 %, sezdaných párů jen 32 %. V ostatních zemích není tento poměr tak odlišný, např. v Maďarsku to byly jen 3 procentní body. Výrazně vyšších hodnot oproti jiným typům dosahuje logicky domácnost, ve které žijí dvě a více rodiny. Zde vybočuje nízká hodnota Slovenska, což se ale vzhledem k vysokému počtu sečtených domácností tohoto typu dalo očekávat.</w:t>
      </w:r>
    </w:p>
    <w:p w:rsidR="00F74026" w:rsidRDefault="00F74026" w:rsidP="003D48FF"/>
    <w:p w:rsidR="00EF0E79" w:rsidRDefault="00EF0E79" w:rsidP="003D48FF">
      <w:pPr>
        <w:rPr>
          <w:b/>
        </w:rPr>
      </w:pPr>
    </w:p>
    <w:p w:rsidR="0063075B" w:rsidRDefault="0063075B" w:rsidP="00CD5B0D">
      <w:pPr>
        <w:rPr>
          <w:b/>
        </w:rPr>
      </w:pPr>
    </w:p>
    <w:p w:rsidR="0063075B" w:rsidRDefault="0063075B" w:rsidP="00CD5B0D">
      <w:pPr>
        <w:rPr>
          <w:b/>
        </w:rPr>
      </w:pPr>
    </w:p>
    <w:p w:rsidR="0063075B" w:rsidRDefault="0063075B" w:rsidP="00CD5B0D">
      <w:pPr>
        <w:rPr>
          <w:b/>
        </w:rPr>
      </w:pPr>
    </w:p>
    <w:p w:rsidR="0063075B" w:rsidRDefault="0063075B" w:rsidP="00CD5B0D">
      <w:pPr>
        <w:rPr>
          <w:b/>
        </w:rPr>
      </w:pPr>
    </w:p>
    <w:p w:rsidR="0063075B" w:rsidRDefault="0063075B" w:rsidP="00CD5B0D">
      <w:pPr>
        <w:rPr>
          <w:b/>
        </w:rPr>
      </w:pPr>
    </w:p>
    <w:p w:rsidR="0063075B" w:rsidRDefault="0063075B" w:rsidP="00CD5B0D">
      <w:pPr>
        <w:rPr>
          <w:b/>
        </w:rPr>
      </w:pPr>
    </w:p>
    <w:p w:rsidR="00CD5B0D" w:rsidRPr="002C43A0" w:rsidRDefault="00F74026" w:rsidP="00CD5B0D">
      <w:pPr>
        <w:rPr>
          <w:rFonts w:cs="Arial"/>
          <w:b/>
          <w:szCs w:val="20"/>
        </w:rPr>
      </w:pPr>
      <w:r w:rsidRPr="003F0764">
        <w:rPr>
          <w:b/>
        </w:rPr>
        <w:lastRenderedPageBreak/>
        <w:t>Graf 2</w:t>
      </w:r>
      <w:r w:rsidR="004B4CE7">
        <w:rPr>
          <w:b/>
        </w:rPr>
        <w:t>4</w:t>
      </w:r>
      <w:r w:rsidRPr="003F0764">
        <w:rPr>
          <w:b/>
        </w:rPr>
        <w:t>: Typy domácností podle průměrného počtu členů</w:t>
      </w:r>
      <w:r w:rsidR="00CD5B0D">
        <w:rPr>
          <w:b/>
        </w:rPr>
        <w:t xml:space="preserve"> </w:t>
      </w:r>
      <w:r w:rsidR="00CD5B0D" w:rsidRPr="002C43A0">
        <w:rPr>
          <w:rFonts w:cs="Arial"/>
          <w:b/>
          <w:szCs w:val="20"/>
        </w:rPr>
        <w:t>ve státech V4</w:t>
      </w:r>
      <w:r w:rsidR="00CD5B0D">
        <w:rPr>
          <w:rFonts w:cs="Arial"/>
          <w:b/>
          <w:szCs w:val="20"/>
        </w:rPr>
        <w:t xml:space="preserve"> podle sčítání 2011</w:t>
      </w:r>
    </w:p>
    <w:p w:rsidR="00EF0E79" w:rsidRDefault="00FD2807" w:rsidP="003D48FF">
      <w:pPr>
        <w:rPr>
          <w:rFonts w:cs="Arial"/>
          <w:szCs w:val="20"/>
        </w:rPr>
      </w:pPr>
      <w:r w:rsidRPr="00FD2807">
        <w:rPr>
          <w:noProof/>
          <w:szCs w:val="20"/>
          <w:lang w:eastAsia="cs-CZ"/>
        </w:rPr>
        <w:drawing>
          <wp:inline distT="0" distB="0" distL="0" distR="0">
            <wp:extent cx="5343525" cy="3190875"/>
            <wp:effectExtent l="19050" t="19050" r="28575" b="28575"/>
            <wp:docPr id="5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43" w:rsidRDefault="00393443" w:rsidP="003D48FF">
      <w:pPr>
        <w:rPr>
          <w:rFonts w:cs="Arial"/>
          <w:szCs w:val="20"/>
        </w:rPr>
      </w:pPr>
    </w:p>
    <w:p w:rsidR="00EC2613" w:rsidRDefault="00EC2613" w:rsidP="003D48FF">
      <w:pPr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950C9C" w:rsidRDefault="00950C9C" w:rsidP="007C0168">
      <w:pPr>
        <w:spacing w:after="120"/>
        <w:rPr>
          <w:rFonts w:cs="Arial"/>
          <w:b/>
          <w:szCs w:val="20"/>
        </w:rPr>
      </w:pPr>
    </w:p>
    <w:p w:rsidR="003D48FF" w:rsidRPr="001B3B8C" w:rsidRDefault="003A2BF9" w:rsidP="007C0168">
      <w:pPr>
        <w:spacing w:after="120"/>
        <w:rPr>
          <w:rFonts w:cs="Arial"/>
          <w:b/>
          <w:szCs w:val="20"/>
        </w:rPr>
      </w:pPr>
      <w:r w:rsidRPr="001B3B8C">
        <w:rPr>
          <w:rFonts w:cs="Arial"/>
          <w:b/>
          <w:szCs w:val="20"/>
        </w:rPr>
        <w:lastRenderedPageBreak/>
        <w:t>Shrnutí</w:t>
      </w:r>
    </w:p>
    <w:p w:rsidR="00EC2613" w:rsidRDefault="00EC2613" w:rsidP="00EC2613">
      <w:pPr>
        <w:rPr>
          <w:rFonts w:cs="Arial"/>
          <w:szCs w:val="20"/>
        </w:rPr>
      </w:pPr>
      <w:r>
        <w:rPr>
          <w:rFonts w:cs="Arial"/>
          <w:szCs w:val="20"/>
        </w:rPr>
        <w:t xml:space="preserve">Státy Visegrádské čtyřky nespojuje pouze blízká geografická poloha, ale také společná historie, politické a sociální prostředí. Výsledky posledního sčítání lidu uskutečněného v roce 2011 ale ukázaly, že i v rámci středoevropských národů existují některé rozdílné tendence. </w:t>
      </w:r>
    </w:p>
    <w:p w:rsidR="00EC2613" w:rsidRDefault="00EC2613" w:rsidP="00EC2613">
      <w:pPr>
        <w:rPr>
          <w:rFonts w:cs="Arial"/>
          <w:szCs w:val="20"/>
        </w:rPr>
      </w:pPr>
    </w:p>
    <w:p w:rsidR="00EC2613" w:rsidRDefault="002811E7" w:rsidP="003F367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 xml:space="preserve">Věková struktura populace je výsledkem demografického chování dané populace v posledních 100 letech. </w:t>
      </w:r>
      <w:r w:rsidR="00EC2613" w:rsidRPr="003F3676">
        <w:rPr>
          <w:rFonts w:cs="Arial"/>
          <w:szCs w:val="20"/>
        </w:rPr>
        <w:t>Z</w:t>
      </w:r>
      <w:r>
        <w:rPr>
          <w:rFonts w:cs="Arial"/>
          <w:szCs w:val="20"/>
        </w:rPr>
        <w:t xml:space="preserve"> tohoto </w:t>
      </w:r>
      <w:r w:rsidR="00EC2613" w:rsidRPr="003F3676">
        <w:rPr>
          <w:rFonts w:cs="Arial"/>
          <w:szCs w:val="20"/>
        </w:rPr>
        <w:t>hlediska mají</w:t>
      </w:r>
      <w:r>
        <w:rPr>
          <w:rFonts w:cs="Arial"/>
          <w:szCs w:val="20"/>
        </w:rPr>
        <w:t xml:space="preserve"> k sobě</w:t>
      </w:r>
      <w:r w:rsidR="00EC2613" w:rsidRPr="003F3676">
        <w:rPr>
          <w:rFonts w:cs="Arial"/>
          <w:szCs w:val="20"/>
        </w:rPr>
        <w:t xml:space="preserve"> blíž starší věkové struktury Maďarska a České republiky, a naopak o něco mladší populace Slovenska a Polska. </w:t>
      </w:r>
    </w:p>
    <w:p w:rsidR="00F26037" w:rsidRPr="00EC2613" w:rsidRDefault="00F26037" w:rsidP="00F26037">
      <w:pPr>
        <w:pStyle w:val="Odstavecseseznamem"/>
        <w:autoSpaceDE w:val="0"/>
        <w:autoSpaceDN w:val="0"/>
        <w:adjustRightInd w:val="0"/>
        <w:rPr>
          <w:rFonts w:cs="Arial"/>
          <w:szCs w:val="20"/>
        </w:rPr>
      </w:pPr>
    </w:p>
    <w:p w:rsidR="00EC2613" w:rsidRPr="00F26037" w:rsidRDefault="00A021BB" w:rsidP="003D48FF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rFonts w:cs="Arial"/>
          <w:szCs w:val="20"/>
        </w:rPr>
      </w:pPr>
      <w:r>
        <w:t xml:space="preserve">V případě struktury obyvatelstva podle rodinného stavu jsou rozdíly dány především různým vlivem náboženské víry. </w:t>
      </w:r>
      <w:r w:rsidR="00F26037">
        <w:t xml:space="preserve">Polsko s vysokým podílem osob ženatých/vdaných a nízkým podílem rozvedených zemi </w:t>
      </w:r>
      <w:r>
        <w:t xml:space="preserve">tak představuje zemi </w:t>
      </w:r>
      <w:r w:rsidR="00F26037">
        <w:t>s</w:t>
      </w:r>
      <w:r w:rsidR="008B5728">
        <w:t> tradiční strukturou</w:t>
      </w:r>
      <w:r w:rsidR="00F26037">
        <w:t xml:space="preserve">; opakem byla Česká republika, kde se </w:t>
      </w:r>
      <w:r w:rsidR="008B5728">
        <w:t xml:space="preserve">podíl </w:t>
      </w:r>
      <w:r w:rsidR="00F26037">
        <w:t xml:space="preserve">rozvedených dostal již přes 10 % populace. </w:t>
      </w:r>
    </w:p>
    <w:p w:rsidR="00F26037" w:rsidRPr="00F26037" w:rsidRDefault="00F26037" w:rsidP="00F26037">
      <w:pPr>
        <w:pStyle w:val="Odstavecseseznamem"/>
        <w:rPr>
          <w:rFonts w:cs="Arial"/>
          <w:szCs w:val="20"/>
        </w:rPr>
      </w:pPr>
    </w:p>
    <w:p w:rsidR="00C67BF2" w:rsidRDefault="00C7459C" w:rsidP="00EC2613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 w:rsidRPr="00EC2613">
        <w:rPr>
          <w:rFonts w:cs="Arial"/>
          <w:szCs w:val="20"/>
        </w:rPr>
        <w:t>Struktura obyvatel</w:t>
      </w:r>
      <w:r w:rsidR="00FA04E1">
        <w:rPr>
          <w:rFonts w:cs="Arial"/>
          <w:szCs w:val="20"/>
        </w:rPr>
        <w:t xml:space="preserve">stva </w:t>
      </w:r>
      <w:r w:rsidRPr="00EC2613">
        <w:rPr>
          <w:rFonts w:cs="Arial"/>
          <w:szCs w:val="20"/>
        </w:rPr>
        <w:t>podle v</w:t>
      </w:r>
      <w:r w:rsidR="0012665B" w:rsidRPr="00EC2613">
        <w:rPr>
          <w:rFonts w:cs="Arial"/>
          <w:szCs w:val="20"/>
        </w:rPr>
        <w:t xml:space="preserve">zdělání </w:t>
      </w:r>
      <w:r w:rsidRPr="00EC2613">
        <w:rPr>
          <w:rFonts w:cs="Arial"/>
          <w:szCs w:val="20"/>
        </w:rPr>
        <w:t>byla bez větších rozdílů.</w:t>
      </w:r>
      <w:r w:rsidR="0012665B" w:rsidRPr="00EC2613">
        <w:rPr>
          <w:rFonts w:cs="Arial"/>
          <w:szCs w:val="20"/>
        </w:rPr>
        <w:t xml:space="preserve"> </w:t>
      </w:r>
      <w:r w:rsidRPr="00EC2613">
        <w:rPr>
          <w:rFonts w:cs="Arial"/>
          <w:szCs w:val="20"/>
        </w:rPr>
        <w:t xml:space="preserve">Výjimkou bylo pouze </w:t>
      </w:r>
      <w:r w:rsidR="0012665B" w:rsidRPr="00EC2613">
        <w:rPr>
          <w:rFonts w:cs="Arial"/>
          <w:szCs w:val="20"/>
        </w:rPr>
        <w:t xml:space="preserve">vyšší </w:t>
      </w:r>
      <w:r w:rsidRPr="00EC2613">
        <w:rPr>
          <w:rFonts w:cs="Arial"/>
          <w:szCs w:val="20"/>
        </w:rPr>
        <w:t xml:space="preserve">zastoupení osob se </w:t>
      </w:r>
      <w:r w:rsidR="0012665B" w:rsidRPr="00EC2613">
        <w:rPr>
          <w:rFonts w:cs="Arial"/>
          <w:szCs w:val="20"/>
        </w:rPr>
        <w:t>základní</w:t>
      </w:r>
      <w:r w:rsidRPr="00EC2613">
        <w:rPr>
          <w:rFonts w:cs="Arial"/>
          <w:szCs w:val="20"/>
        </w:rPr>
        <w:t>m</w:t>
      </w:r>
      <w:r w:rsidR="0012665B" w:rsidRPr="00EC2613">
        <w:rPr>
          <w:rFonts w:cs="Arial"/>
          <w:szCs w:val="20"/>
        </w:rPr>
        <w:t xml:space="preserve"> </w:t>
      </w:r>
      <w:r w:rsidRPr="00EC2613">
        <w:rPr>
          <w:rFonts w:cs="Arial"/>
          <w:szCs w:val="20"/>
        </w:rPr>
        <w:t xml:space="preserve">a neukončeným vzděláním a nižší podíl osob se </w:t>
      </w:r>
      <w:r w:rsidR="00043A45" w:rsidRPr="00EC2613">
        <w:rPr>
          <w:rFonts w:cs="Arial"/>
          <w:szCs w:val="20"/>
        </w:rPr>
        <w:t>vzděláním středním</w:t>
      </w:r>
      <w:r w:rsidR="0012665B" w:rsidRPr="00EC2613">
        <w:rPr>
          <w:rFonts w:cs="Arial"/>
          <w:szCs w:val="20"/>
        </w:rPr>
        <w:t xml:space="preserve"> vč. </w:t>
      </w:r>
      <w:r w:rsidR="00043A45" w:rsidRPr="00EC2613">
        <w:rPr>
          <w:rFonts w:cs="Arial"/>
          <w:szCs w:val="20"/>
        </w:rPr>
        <w:t>v</w:t>
      </w:r>
      <w:r w:rsidR="0012665B" w:rsidRPr="00EC2613">
        <w:rPr>
          <w:rFonts w:cs="Arial"/>
          <w:szCs w:val="20"/>
        </w:rPr>
        <w:t>yučení</w:t>
      </w:r>
      <w:r w:rsidR="00043A45" w:rsidRPr="00EC2613">
        <w:rPr>
          <w:rFonts w:cs="Arial"/>
          <w:szCs w:val="20"/>
        </w:rPr>
        <w:t xml:space="preserve"> v Maďarsku.</w:t>
      </w:r>
    </w:p>
    <w:p w:rsidR="00EC2613" w:rsidRPr="00EC2613" w:rsidRDefault="00EC2613" w:rsidP="00EC2613">
      <w:pPr>
        <w:pStyle w:val="Odstavecseseznamem"/>
        <w:rPr>
          <w:rFonts w:cs="Arial"/>
          <w:szCs w:val="20"/>
        </w:rPr>
      </w:pPr>
    </w:p>
    <w:p w:rsidR="0012665B" w:rsidRDefault="00043A45" w:rsidP="00EC2613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 w:rsidRPr="00EC2613">
        <w:rPr>
          <w:rFonts w:cs="Arial"/>
          <w:szCs w:val="20"/>
        </w:rPr>
        <w:t>Míra ekonomické aktivity dosahovala podobných hodnot v </w:t>
      </w:r>
      <w:r w:rsidR="00047DA5" w:rsidRPr="00EC2613">
        <w:rPr>
          <w:rFonts w:cs="Arial"/>
          <w:szCs w:val="20"/>
        </w:rPr>
        <w:t>Č</w:t>
      </w:r>
      <w:r w:rsidRPr="00EC2613">
        <w:rPr>
          <w:rFonts w:cs="Arial"/>
          <w:szCs w:val="20"/>
        </w:rPr>
        <w:t>eské republice</w:t>
      </w:r>
      <w:r w:rsidR="00047DA5" w:rsidRPr="00EC2613">
        <w:rPr>
          <w:rFonts w:cs="Arial"/>
          <w:szCs w:val="20"/>
        </w:rPr>
        <w:t xml:space="preserve"> a </w:t>
      </w:r>
      <w:r w:rsidRPr="00EC2613">
        <w:rPr>
          <w:rFonts w:cs="Arial"/>
          <w:szCs w:val="20"/>
        </w:rPr>
        <w:t xml:space="preserve">na </w:t>
      </w:r>
      <w:r w:rsidR="00047DA5" w:rsidRPr="00EC2613">
        <w:rPr>
          <w:rFonts w:cs="Arial"/>
          <w:szCs w:val="20"/>
        </w:rPr>
        <w:t>S</w:t>
      </w:r>
      <w:r w:rsidRPr="00EC2613">
        <w:rPr>
          <w:rFonts w:cs="Arial"/>
          <w:szCs w:val="20"/>
        </w:rPr>
        <w:t>lovensku</w:t>
      </w:r>
      <w:r w:rsidR="00047DA5" w:rsidRPr="00EC2613">
        <w:rPr>
          <w:rFonts w:cs="Arial"/>
          <w:szCs w:val="20"/>
        </w:rPr>
        <w:t xml:space="preserve">, </w:t>
      </w:r>
      <w:r w:rsidR="003F4BBA" w:rsidRPr="00EC2613">
        <w:rPr>
          <w:rFonts w:cs="Arial"/>
          <w:szCs w:val="20"/>
        </w:rPr>
        <w:t>o něco nižší byla</w:t>
      </w:r>
      <w:r w:rsidR="00FA04E1">
        <w:rPr>
          <w:rFonts w:cs="Arial"/>
          <w:szCs w:val="20"/>
        </w:rPr>
        <w:t xml:space="preserve"> v</w:t>
      </w:r>
      <w:r w:rsidR="003F4BBA" w:rsidRPr="00EC2613">
        <w:rPr>
          <w:rFonts w:cs="Arial"/>
          <w:szCs w:val="20"/>
        </w:rPr>
        <w:t xml:space="preserve"> Maďarsku a Polsku.</w:t>
      </w:r>
    </w:p>
    <w:p w:rsidR="00EC2613" w:rsidRPr="00EC2613" w:rsidRDefault="00EC2613" w:rsidP="00EC2613">
      <w:pPr>
        <w:rPr>
          <w:rFonts w:cs="Arial"/>
          <w:szCs w:val="20"/>
        </w:rPr>
      </w:pPr>
    </w:p>
    <w:p w:rsidR="00047DA5" w:rsidRDefault="005D3012" w:rsidP="00EC2613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 w:rsidRPr="00EC2613">
        <w:rPr>
          <w:rFonts w:cs="Arial"/>
          <w:szCs w:val="20"/>
        </w:rPr>
        <w:t>Struktura zaměstnaných podle o</w:t>
      </w:r>
      <w:r w:rsidR="00047DA5" w:rsidRPr="00EC2613">
        <w:rPr>
          <w:rFonts w:cs="Arial"/>
          <w:szCs w:val="20"/>
        </w:rPr>
        <w:t xml:space="preserve">dvětví </w:t>
      </w:r>
      <w:r w:rsidRPr="00EC2613">
        <w:rPr>
          <w:rFonts w:cs="Arial"/>
          <w:szCs w:val="20"/>
        </w:rPr>
        <w:t>ekono</w:t>
      </w:r>
      <w:r w:rsidR="00FA04E1">
        <w:rPr>
          <w:rFonts w:cs="Arial"/>
          <w:szCs w:val="20"/>
        </w:rPr>
        <w:t>mické činnosti se mezi zeměmi</w:t>
      </w:r>
      <w:r w:rsidRPr="00EC2613">
        <w:rPr>
          <w:rFonts w:cs="Arial"/>
          <w:szCs w:val="20"/>
        </w:rPr>
        <w:t xml:space="preserve"> </w:t>
      </w:r>
      <w:r w:rsidR="00A3540A">
        <w:rPr>
          <w:rFonts w:cs="Arial"/>
          <w:szCs w:val="20"/>
        </w:rPr>
        <w:t xml:space="preserve">V4 </w:t>
      </w:r>
      <w:r w:rsidRPr="00EC2613">
        <w:rPr>
          <w:rFonts w:cs="Arial"/>
          <w:szCs w:val="20"/>
        </w:rPr>
        <w:t>výrazně nelišila, pouze v </w:t>
      </w:r>
      <w:r w:rsidR="00047DA5" w:rsidRPr="00EC2613">
        <w:rPr>
          <w:rFonts w:cs="Arial"/>
          <w:szCs w:val="20"/>
        </w:rPr>
        <w:t>P</w:t>
      </w:r>
      <w:r w:rsidRPr="00EC2613">
        <w:rPr>
          <w:rFonts w:cs="Arial"/>
          <w:szCs w:val="20"/>
        </w:rPr>
        <w:t>olsku byl zjištěn vyšší podíl zaměstnaných v </w:t>
      </w:r>
      <w:r w:rsidR="00047DA5" w:rsidRPr="00EC2613">
        <w:rPr>
          <w:rFonts w:cs="Arial"/>
          <w:szCs w:val="20"/>
        </w:rPr>
        <w:t>zemědělství</w:t>
      </w:r>
      <w:r w:rsidRPr="00EC2613">
        <w:rPr>
          <w:rFonts w:cs="Arial"/>
          <w:szCs w:val="20"/>
        </w:rPr>
        <w:t>.</w:t>
      </w:r>
    </w:p>
    <w:p w:rsidR="00EC2613" w:rsidRPr="00EC2613" w:rsidRDefault="00EC2613" w:rsidP="00EC2613">
      <w:pPr>
        <w:rPr>
          <w:rFonts w:cs="Arial"/>
          <w:szCs w:val="20"/>
        </w:rPr>
      </w:pPr>
    </w:p>
    <w:p w:rsidR="00047DA5" w:rsidRPr="00834CD9" w:rsidRDefault="00047DA5" w:rsidP="00EC2613">
      <w:pPr>
        <w:pStyle w:val="Odstavecseseznamem"/>
        <w:numPr>
          <w:ilvl w:val="0"/>
          <w:numId w:val="11"/>
        </w:numPr>
        <w:rPr>
          <w:rFonts w:cs="Arial"/>
          <w:szCs w:val="20"/>
          <w:lang w:val="en-US"/>
        </w:rPr>
      </w:pPr>
      <w:r w:rsidRPr="00EC2613">
        <w:rPr>
          <w:rFonts w:cs="Arial"/>
          <w:szCs w:val="20"/>
        </w:rPr>
        <w:t xml:space="preserve">Míra nezaměstnanosti </w:t>
      </w:r>
      <w:r w:rsidR="00DD5F0A" w:rsidRPr="00EC2613">
        <w:rPr>
          <w:rFonts w:cs="Arial"/>
          <w:szCs w:val="20"/>
        </w:rPr>
        <w:t>byla nejnižší v </w:t>
      </w:r>
      <w:r w:rsidRPr="00EC2613">
        <w:rPr>
          <w:rFonts w:cs="Arial"/>
          <w:szCs w:val="20"/>
        </w:rPr>
        <w:t>ČR</w:t>
      </w:r>
      <w:r w:rsidR="00DD5F0A" w:rsidRPr="00EC2613">
        <w:rPr>
          <w:rFonts w:cs="Arial"/>
          <w:szCs w:val="20"/>
        </w:rPr>
        <w:t xml:space="preserve"> a nejvyšší na Slovensku.</w:t>
      </w:r>
    </w:p>
    <w:p w:rsidR="00834CD9" w:rsidRPr="00834CD9" w:rsidRDefault="00834CD9" w:rsidP="00834CD9">
      <w:pPr>
        <w:rPr>
          <w:rFonts w:cs="Arial"/>
          <w:szCs w:val="20"/>
          <w:lang w:val="en-US"/>
        </w:rPr>
      </w:pPr>
    </w:p>
    <w:p w:rsidR="00DD5F0A" w:rsidRDefault="00DD5F0A" w:rsidP="00EC2613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 w:rsidRPr="00EC2613">
        <w:rPr>
          <w:rFonts w:cs="Arial"/>
          <w:szCs w:val="20"/>
        </w:rPr>
        <w:t>Zastoupení cizinců v zemích V4 bylo nízké. N</w:t>
      </w:r>
      <w:r w:rsidR="00713A89" w:rsidRPr="00EC2613">
        <w:rPr>
          <w:rFonts w:cs="Arial"/>
          <w:szCs w:val="20"/>
        </w:rPr>
        <w:t xml:space="preserve">ejvíce </w:t>
      </w:r>
      <w:r w:rsidRPr="00EC2613">
        <w:rPr>
          <w:rFonts w:cs="Arial"/>
          <w:szCs w:val="20"/>
        </w:rPr>
        <w:t xml:space="preserve">cizinců žilo </w:t>
      </w:r>
      <w:r w:rsidR="00713A89" w:rsidRPr="00EC2613">
        <w:rPr>
          <w:rFonts w:cs="Arial"/>
          <w:szCs w:val="20"/>
        </w:rPr>
        <w:t>v</w:t>
      </w:r>
      <w:r w:rsidRPr="00EC2613">
        <w:rPr>
          <w:rFonts w:cs="Arial"/>
          <w:szCs w:val="20"/>
        </w:rPr>
        <w:t> </w:t>
      </w:r>
      <w:r w:rsidR="00713A89" w:rsidRPr="00EC2613">
        <w:rPr>
          <w:rFonts w:cs="Arial"/>
          <w:szCs w:val="20"/>
        </w:rPr>
        <w:t>Č</w:t>
      </w:r>
      <w:r w:rsidRPr="00EC2613">
        <w:rPr>
          <w:rFonts w:cs="Arial"/>
          <w:szCs w:val="20"/>
        </w:rPr>
        <w:t>eské republice a v Maďarsku.</w:t>
      </w:r>
    </w:p>
    <w:p w:rsidR="00FA04E1" w:rsidRDefault="00FA04E1" w:rsidP="00FA04E1">
      <w:pPr>
        <w:pStyle w:val="Odstavecseseznamem"/>
        <w:rPr>
          <w:rFonts w:cs="Arial"/>
          <w:szCs w:val="20"/>
        </w:rPr>
      </w:pPr>
    </w:p>
    <w:p w:rsidR="008B5728" w:rsidRDefault="006C14ED" w:rsidP="008B5728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 w:rsidRPr="00D23650">
        <w:rPr>
          <w:rFonts w:cs="Arial"/>
          <w:szCs w:val="20"/>
        </w:rPr>
        <w:t>Úroveň bydlení byla v zemích V4 srovnatelná.</w:t>
      </w:r>
      <w:r w:rsidR="00F8726A" w:rsidRPr="00D23650">
        <w:rPr>
          <w:rFonts w:cs="Arial"/>
          <w:szCs w:val="20"/>
        </w:rPr>
        <w:t xml:space="preserve"> </w:t>
      </w:r>
      <w:r w:rsidR="00D23650">
        <w:rPr>
          <w:rFonts w:cs="Arial"/>
          <w:szCs w:val="20"/>
        </w:rPr>
        <w:t xml:space="preserve">Polsko vykázalo velmi nízké hodnoty neobydlených bytů. Z hlediska </w:t>
      </w:r>
      <w:r w:rsidR="00276B6F">
        <w:rPr>
          <w:rFonts w:cs="Arial"/>
          <w:szCs w:val="20"/>
        </w:rPr>
        <w:t>vlastnictví bytů převažovalo</w:t>
      </w:r>
      <w:r w:rsidR="0067468F">
        <w:rPr>
          <w:rFonts w:cs="Arial"/>
          <w:szCs w:val="20"/>
        </w:rPr>
        <w:t xml:space="preserve"> sice</w:t>
      </w:r>
      <w:r w:rsidR="00D23650">
        <w:rPr>
          <w:rFonts w:cs="Arial"/>
          <w:szCs w:val="20"/>
        </w:rPr>
        <w:t xml:space="preserve"> </w:t>
      </w:r>
      <w:r w:rsidR="0067468F">
        <w:rPr>
          <w:rFonts w:cs="Arial"/>
          <w:szCs w:val="20"/>
        </w:rPr>
        <w:t xml:space="preserve">ve všech zemích </w:t>
      </w:r>
      <w:r w:rsidR="00D23650">
        <w:rPr>
          <w:rFonts w:cs="Arial"/>
          <w:szCs w:val="20"/>
        </w:rPr>
        <w:t>osobní vlastnictví</w:t>
      </w:r>
      <w:r w:rsidR="0067468F">
        <w:rPr>
          <w:rFonts w:cs="Arial"/>
          <w:szCs w:val="20"/>
        </w:rPr>
        <w:t xml:space="preserve">, ale zatímco v České </w:t>
      </w:r>
      <w:r w:rsidR="00276B6F">
        <w:rPr>
          <w:rFonts w:cs="Arial"/>
          <w:szCs w:val="20"/>
        </w:rPr>
        <w:t>republice představovala</w:t>
      </w:r>
      <w:r w:rsidR="0067468F">
        <w:rPr>
          <w:rFonts w:cs="Arial"/>
          <w:szCs w:val="20"/>
        </w:rPr>
        <w:t xml:space="preserve"> tato forma 56 %, v Polsku celých 91 %.</w:t>
      </w:r>
      <w:r w:rsidR="00D60FC7">
        <w:rPr>
          <w:rFonts w:cs="Arial"/>
          <w:szCs w:val="20"/>
        </w:rPr>
        <w:t xml:space="preserve"> V</w:t>
      </w:r>
      <w:r w:rsidR="00276B6F">
        <w:rPr>
          <w:rFonts w:cs="Arial"/>
          <w:szCs w:val="20"/>
        </w:rPr>
        <w:t xml:space="preserve"> technických charakteristikách bytů byly rozdíly minimální. </w:t>
      </w:r>
    </w:p>
    <w:p w:rsidR="00D23650" w:rsidRPr="00D23650" w:rsidRDefault="00D23650" w:rsidP="00D23650">
      <w:pPr>
        <w:pStyle w:val="Odstavecseseznamem"/>
        <w:rPr>
          <w:rFonts w:cs="Arial"/>
          <w:szCs w:val="20"/>
        </w:rPr>
      </w:pPr>
    </w:p>
    <w:p w:rsidR="00CA4BAE" w:rsidRPr="00EC2613" w:rsidRDefault="00301428" w:rsidP="00EC2613">
      <w:pPr>
        <w:pStyle w:val="Odstavecseseznamem"/>
        <w:numPr>
          <w:ilvl w:val="0"/>
          <w:numId w:val="11"/>
        </w:numPr>
        <w:rPr>
          <w:rFonts w:cs="Arial"/>
          <w:szCs w:val="20"/>
        </w:rPr>
      </w:pPr>
      <w:r>
        <w:rPr>
          <w:rFonts w:cs="Arial"/>
          <w:szCs w:val="20"/>
        </w:rPr>
        <w:t>Přestože ve všech zemích shodně převažují v rámci rodinných domácností manželské páry, zastoupení ostatních typů domácností se liší. V České republice a v Maďarsku byl</w:t>
      </w:r>
      <w:r w:rsidR="002D20A7">
        <w:rPr>
          <w:rFonts w:cs="Arial"/>
          <w:szCs w:val="20"/>
        </w:rPr>
        <w:t>o</w:t>
      </w:r>
      <w:r>
        <w:rPr>
          <w:rFonts w:cs="Arial"/>
          <w:szCs w:val="20"/>
        </w:rPr>
        <w:t xml:space="preserve"> zaznamenáno vyšší procento nesezdaných soužití a neúplných rodin. Oproti tomu v Polsku je zastoupení nesezdaných soužití zanedbatelné. Slovenské výsledky jsou ovlivněny extrémním podílem domácností s dvěma a více rodinami</w:t>
      </w:r>
    </w:p>
    <w:p w:rsidR="00F75FE5" w:rsidRDefault="00F75FE5" w:rsidP="003D48FF">
      <w:pPr>
        <w:tabs>
          <w:tab w:val="left" w:pos="7290"/>
        </w:tabs>
        <w:rPr>
          <w:rFonts w:cs="Arial"/>
          <w:szCs w:val="20"/>
        </w:rPr>
      </w:pPr>
    </w:p>
    <w:p w:rsidR="00F75FE5" w:rsidRDefault="00F75FE5" w:rsidP="003D48FF">
      <w:pPr>
        <w:tabs>
          <w:tab w:val="left" w:pos="7290"/>
        </w:tabs>
        <w:rPr>
          <w:rFonts w:cs="Arial"/>
          <w:szCs w:val="20"/>
        </w:rPr>
      </w:pPr>
    </w:p>
    <w:p w:rsidR="00F75FE5" w:rsidRDefault="00F75FE5" w:rsidP="003D48FF">
      <w:pPr>
        <w:tabs>
          <w:tab w:val="left" w:pos="7290"/>
        </w:tabs>
        <w:rPr>
          <w:rFonts w:cs="Arial"/>
          <w:i/>
          <w:szCs w:val="20"/>
        </w:rPr>
      </w:pPr>
    </w:p>
    <w:p w:rsidR="00F75FE5" w:rsidRDefault="00F75FE5" w:rsidP="003D48FF">
      <w:pPr>
        <w:tabs>
          <w:tab w:val="left" w:pos="7290"/>
        </w:tabs>
        <w:rPr>
          <w:rFonts w:cs="Arial"/>
          <w:i/>
          <w:szCs w:val="20"/>
        </w:rPr>
      </w:pPr>
    </w:p>
    <w:p w:rsidR="003D48FF" w:rsidRPr="00F75FE5" w:rsidRDefault="003D48FF" w:rsidP="003D48FF">
      <w:pPr>
        <w:tabs>
          <w:tab w:val="left" w:pos="7290"/>
        </w:tabs>
        <w:rPr>
          <w:rFonts w:cs="Arial"/>
          <w:i/>
          <w:szCs w:val="20"/>
        </w:rPr>
      </w:pPr>
      <w:r w:rsidRPr="00F75FE5">
        <w:rPr>
          <w:rFonts w:cs="Arial"/>
          <w:i/>
          <w:szCs w:val="20"/>
        </w:rPr>
        <w:tab/>
      </w:r>
    </w:p>
    <w:sectPr w:rsidR="003D48FF" w:rsidRPr="00F75FE5" w:rsidSect="00655849">
      <w:headerReference w:type="default" r:id="rId56"/>
      <w:footerReference w:type="default" r:id="rId57"/>
      <w:type w:val="continuous"/>
      <w:pgSz w:w="11907" w:h="16839" w:code="9"/>
      <w:pgMar w:top="2948" w:right="1418" w:bottom="1985" w:left="1985" w:header="720" w:footer="16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BAD" w:rsidRDefault="00BA7BAD" w:rsidP="00BA6370">
      <w:r>
        <w:separator/>
      </w:r>
    </w:p>
  </w:endnote>
  <w:endnote w:type="continuationSeparator" w:id="0">
    <w:p w:rsidR="00BA7BAD" w:rsidRDefault="00BA7BAD" w:rsidP="00BA6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PDNI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C56" w:rsidRDefault="00854E53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4098" type="#_x0000_t202" style="position:absolute;left:0;text-align:left;margin-left:99.2pt;margin-top:773.95pt;width:426.5pt;height:39pt;z-index:25165772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" filled="f" stroked="f">
          <v:textbox inset="0,0,0,0">
            <w:txbxContent>
              <w:p w:rsidR="00840C56" w:rsidRPr="005B16C2" w:rsidRDefault="00840C56" w:rsidP="0045547F">
                <w:pPr>
                  <w:spacing w:line="220" w:lineRule="atLeast"/>
                  <w:jc w:val="left"/>
                  <w:rPr>
                    <w:rFonts w:cs="Arial"/>
                    <w:b/>
                    <w:bCs/>
                    <w:sz w:val="15"/>
                    <w:szCs w:val="15"/>
                  </w:rPr>
                </w:pPr>
                <w:r w:rsidRPr="005B16C2">
                  <w:rPr>
                    <w:b/>
                    <w:sz w:val="15"/>
                    <w:szCs w:val="15"/>
                  </w:rPr>
                  <w:t>Oddělení metodiky, analýz a diseminace sčítání</w:t>
                </w:r>
              </w:p>
              <w:p w:rsidR="00840C56" w:rsidRPr="00A81EB3" w:rsidRDefault="00840C56" w:rsidP="00175ABA">
                <w:pPr>
                  <w:tabs>
                    <w:tab w:val="right" w:pos="8505"/>
                  </w:tabs>
                  <w:spacing w:before="60" w:line="220" w:lineRule="atLeast"/>
                  <w:jc w:val="left"/>
                  <w:rPr>
                    <w:rFonts w:cs="Arial"/>
                  </w:rPr>
                </w:pPr>
                <w:r>
                  <w:rPr>
                    <w:rFonts w:cs="Arial"/>
                    <w:sz w:val="15"/>
                    <w:szCs w:val="15"/>
                  </w:rPr>
                  <w:t>Český</w:t>
                </w:r>
                <w:r w:rsidRPr="001404AB">
                  <w:rPr>
                    <w:rFonts w:cs="Arial"/>
                    <w:sz w:val="15"/>
                    <w:szCs w:val="15"/>
                  </w:rPr>
                  <w:t xml:space="preserve"> statistick</w:t>
                </w:r>
                <w:r>
                  <w:rPr>
                    <w:rFonts w:cs="Arial"/>
                    <w:sz w:val="15"/>
                    <w:szCs w:val="15"/>
                  </w:rPr>
                  <w:t>ý úřad</w:t>
                </w:r>
                <w:r w:rsidRPr="001404AB">
                  <w:rPr>
                    <w:rFonts w:cs="Arial"/>
                    <w:sz w:val="15"/>
                    <w:szCs w:val="15"/>
                  </w:rPr>
                  <w:t xml:space="preserve">: </w:t>
                </w:r>
                <w:r w:rsidRPr="00E93830">
                  <w:rPr>
                    <w:rFonts w:cs="Arial"/>
                    <w:b/>
                    <w:bCs/>
                    <w:color w:val="BD1B21"/>
                    <w:sz w:val="15"/>
                    <w:szCs w:val="15"/>
                  </w:rPr>
                  <w:t>www.czso.cz</w:t>
                </w:r>
                <w:r>
                  <w:rPr>
                    <w:rFonts w:cs="Arial"/>
                    <w:sz w:val="15"/>
                    <w:szCs w:val="15"/>
                  </w:rPr>
                  <w:tab/>
                </w:r>
                <w:r w:rsidR="00854E53" w:rsidRPr="004E479E">
                  <w:rPr>
                    <w:rFonts w:cs="Arial"/>
                    <w:szCs w:val="15"/>
                  </w:rPr>
                  <w:fldChar w:fldCharType="begin"/>
                </w:r>
                <w:r w:rsidRPr="004E479E">
                  <w:rPr>
                    <w:rFonts w:cs="Arial"/>
                    <w:szCs w:val="15"/>
                  </w:rPr>
                  <w:instrText xml:space="preserve"> PAGE   \* MERGEFORMAT </w:instrText>
                </w:r>
                <w:r w:rsidR="00854E53" w:rsidRPr="004E479E">
                  <w:rPr>
                    <w:rFonts w:cs="Arial"/>
                    <w:szCs w:val="15"/>
                  </w:rPr>
                  <w:fldChar w:fldCharType="separate"/>
                </w:r>
                <w:r w:rsidR="00F75FE5">
                  <w:rPr>
                    <w:rFonts w:cs="Arial"/>
                    <w:noProof/>
                    <w:szCs w:val="15"/>
                  </w:rPr>
                  <w:t>36</w:t>
                </w:r>
                <w:r w:rsidR="00854E53" w:rsidRPr="004E479E">
                  <w:rPr>
                    <w:rFonts w:cs="Arial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cs-CZ"/>
      </w:rPr>
      <w:pict>
        <v:line id="Přímá spojnice 2" o:spid="_x0000_s4097" style="position:absolute;left:0;text-align:left;flip:y;z-index:251656704;visibility:visible;mso-wrap-distance-top:-6e-5mm;mso-wrap-distance-bottom:-6e-5mm;mso-position-horizontal-relative:page;mso-position-vertical-relative:page;mso-width-relative:margin;mso-height-relative:margin" from="97.8pt,756.95pt" to="525.85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" strokecolor="#0071bc" strokeweight="1.5pt">
          <o:lock v:ext="edit" shapetype="f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BAD" w:rsidRDefault="00BA7BAD" w:rsidP="00BA6370">
      <w:r>
        <w:separator/>
      </w:r>
    </w:p>
  </w:footnote>
  <w:footnote w:type="continuationSeparator" w:id="0">
    <w:p w:rsidR="00BA7BAD" w:rsidRDefault="00BA7BAD" w:rsidP="00BA6370">
      <w:r>
        <w:continuationSeparator/>
      </w:r>
    </w:p>
  </w:footnote>
  <w:footnote w:id="1">
    <w:p w:rsidR="00840C56" w:rsidRDefault="00840C5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B1330">
        <w:rPr>
          <w:rFonts w:cs="Arial"/>
          <w:bCs/>
          <w:sz w:val="18"/>
          <w:szCs w:val="18"/>
        </w:rPr>
        <w:t>Nařízení</w:t>
      </w:r>
      <w:r w:rsidRPr="006B1330">
        <w:rPr>
          <w:rFonts w:cs="Arial"/>
          <w:sz w:val="18"/>
          <w:szCs w:val="18"/>
        </w:rPr>
        <w:t xml:space="preserve"> </w:t>
      </w:r>
      <w:r w:rsidRPr="006B1330">
        <w:rPr>
          <w:rFonts w:cs="Arial"/>
          <w:bCs/>
          <w:sz w:val="18"/>
          <w:szCs w:val="18"/>
        </w:rPr>
        <w:t>Evropského parlamentu a Rady (ES) č. 763/2008 o sčítání lidu, domů a bytů</w:t>
      </w:r>
    </w:p>
  </w:footnote>
  <w:footnote w:id="2">
    <w:p w:rsidR="00840C56" w:rsidRDefault="00840C56" w:rsidP="00695086">
      <w:pPr>
        <w:pStyle w:val="Textpoznpodarou"/>
        <w:ind w:left="142" w:hanging="142"/>
        <w:rPr>
          <w:rFonts w:cs="Arial"/>
        </w:rPr>
      </w:pPr>
      <w:r>
        <w:rPr>
          <w:rStyle w:val="Znakapoznpodarou"/>
        </w:rPr>
        <w:footnoteRef/>
      </w:r>
      <w:r>
        <w:t xml:space="preserve"> </w:t>
      </w:r>
      <w:r w:rsidRPr="006B1330">
        <w:rPr>
          <w:rFonts w:cs="Arial"/>
          <w:bCs/>
          <w:sz w:val="18"/>
          <w:szCs w:val="18"/>
        </w:rPr>
        <w:t>Nařízení Komise (ES) č. 1201/2009, kterým se provádí nařízení Evropského parlamentu a Rady (ES) č. 763/2008 o sčítání lidu, domů a bytů, pokud jde o technické specifikace témat a jejich rozdělení</w:t>
      </w:r>
      <w:r w:rsidRPr="006B1330">
        <w:rPr>
          <w:rFonts w:cs="Arial"/>
        </w:rPr>
        <w:t xml:space="preserve"> </w:t>
      </w:r>
    </w:p>
    <w:p w:rsidR="00840C56" w:rsidRPr="00695086" w:rsidRDefault="00840C56" w:rsidP="00695086">
      <w:pPr>
        <w:pStyle w:val="Default"/>
        <w:ind w:left="142"/>
        <w:jc w:val="both"/>
        <w:rPr>
          <w:rFonts w:ascii="Arial" w:hAnsi="Arial" w:cs="Arial"/>
          <w:sz w:val="16"/>
          <w:szCs w:val="18"/>
        </w:rPr>
      </w:pPr>
      <w:r w:rsidRPr="00695086">
        <w:rPr>
          <w:rFonts w:ascii="Arial" w:hAnsi="Arial" w:cs="Arial"/>
          <w:sz w:val="16"/>
          <w:szCs w:val="18"/>
        </w:rPr>
        <w:t xml:space="preserve">Nařízení Komise </w:t>
      </w:r>
      <w:r w:rsidRPr="00695086">
        <w:rPr>
          <w:rFonts w:ascii="Arial" w:hAnsi="Arial" w:cs="Arial"/>
          <w:color w:val="19161B"/>
          <w:sz w:val="16"/>
          <w:szCs w:val="18"/>
        </w:rPr>
        <w:t>(EU) č. 519/2010</w:t>
      </w:r>
      <w:r w:rsidRPr="00695086">
        <w:rPr>
          <w:rFonts w:ascii="Arial" w:hAnsi="Arial" w:cs="Arial"/>
          <w:sz w:val="16"/>
          <w:szCs w:val="18"/>
        </w:rPr>
        <w:t xml:space="preserve">, kterým se přijímá program statistických údajů a </w:t>
      </w:r>
      <w:proofErr w:type="spellStart"/>
      <w:r w:rsidRPr="00695086">
        <w:rPr>
          <w:rFonts w:ascii="Arial" w:hAnsi="Arial" w:cs="Arial"/>
          <w:sz w:val="16"/>
          <w:szCs w:val="18"/>
        </w:rPr>
        <w:t>metadat</w:t>
      </w:r>
      <w:proofErr w:type="spellEnd"/>
      <w:r w:rsidRPr="00695086">
        <w:rPr>
          <w:rFonts w:ascii="Arial" w:hAnsi="Arial" w:cs="Arial"/>
          <w:sz w:val="16"/>
          <w:szCs w:val="18"/>
        </w:rPr>
        <w:t xml:space="preserve"> pro sčítání lidu, domů a bytů stanovený nařízením Evropského parlamentu a Rady (ES) č. 763/2008</w:t>
      </w:r>
    </w:p>
    <w:p w:rsidR="00840C56" w:rsidRPr="00695086" w:rsidRDefault="00840C56" w:rsidP="00695086">
      <w:pPr>
        <w:pStyle w:val="Default"/>
        <w:ind w:left="142"/>
        <w:jc w:val="both"/>
        <w:rPr>
          <w:rFonts w:cs="Arial"/>
          <w:bCs/>
          <w:sz w:val="16"/>
          <w:szCs w:val="18"/>
        </w:rPr>
      </w:pPr>
      <w:r w:rsidRPr="00695086">
        <w:rPr>
          <w:rFonts w:ascii="Arial" w:hAnsi="Arial" w:cs="Arial"/>
          <w:sz w:val="16"/>
          <w:szCs w:val="18"/>
        </w:rPr>
        <w:t xml:space="preserve">Nařízení Komise </w:t>
      </w:r>
      <w:r w:rsidRPr="00695086">
        <w:rPr>
          <w:rFonts w:ascii="Arial" w:hAnsi="Arial" w:cs="Arial"/>
          <w:color w:val="19161B"/>
          <w:sz w:val="16"/>
          <w:szCs w:val="18"/>
        </w:rPr>
        <w:t xml:space="preserve">(EU) </w:t>
      </w:r>
      <w:r w:rsidRPr="00695086">
        <w:rPr>
          <w:rFonts w:ascii="Arial" w:hAnsi="Arial" w:cs="Arial"/>
          <w:bCs/>
          <w:color w:val="19161B"/>
          <w:sz w:val="16"/>
          <w:szCs w:val="18"/>
        </w:rPr>
        <w:t>č.</w:t>
      </w:r>
      <w:r w:rsidRPr="00695086">
        <w:rPr>
          <w:rFonts w:ascii="Arial" w:hAnsi="Arial" w:cs="Arial"/>
          <w:b/>
          <w:bCs/>
          <w:color w:val="19161B"/>
          <w:sz w:val="16"/>
          <w:szCs w:val="18"/>
        </w:rPr>
        <w:t> </w:t>
      </w:r>
      <w:r w:rsidRPr="00695086">
        <w:rPr>
          <w:rFonts w:ascii="Arial" w:hAnsi="Arial" w:cs="Arial"/>
          <w:bCs/>
          <w:color w:val="19161B"/>
          <w:sz w:val="16"/>
          <w:szCs w:val="18"/>
        </w:rPr>
        <w:t>1151/2010 ze dne 8. prosince 2010, kterým se provádí nařízení Evropského parlamentu a Rady (ES) č. 763/2008 o sčítání lidu, domů a bytů, pokud jde o způsob zpracování a strukturu zpráv o kvalitě a technický formát pro předávání údajů</w:t>
      </w:r>
    </w:p>
    <w:p w:rsidR="00840C56" w:rsidRDefault="00840C56">
      <w:pPr>
        <w:pStyle w:val="Textpoznpodarou"/>
      </w:pPr>
    </w:p>
  </w:footnote>
  <w:footnote w:id="3">
    <w:p w:rsidR="00840C56" w:rsidRPr="003946BB" w:rsidRDefault="00840C56">
      <w:pPr>
        <w:pStyle w:val="Textpoznpodarou"/>
        <w:rPr>
          <w:rFonts w:ascii="Arial" w:hAnsi="Arial" w:cs="Arial"/>
          <w:sz w:val="16"/>
          <w:szCs w:val="16"/>
        </w:rPr>
      </w:pPr>
      <w:r w:rsidRPr="003946BB">
        <w:rPr>
          <w:rStyle w:val="Znakapoznpodarou"/>
          <w:rFonts w:ascii="Arial" w:hAnsi="Arial" w:cs="Arial"/>
          <w:sz w:val="16"/>
          <w:szCs w:val="16"/>
        </w:rPr>
        <w:footnoteRef/>
      </w:r>
      <w:r w:rsidRPr="003946BB">
        <w:rPr>
          <w:rFonts w:ascii="Arial" w:hAnsi="Arial" w:cs="Arial"/>
          <w:sz w:val="16"/>
          <w:szCs w:val="16"/>
        </w:rPr>
        <w:t xml:space="preserve"> Dostupné z 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946BB">
          <w:rPr>
            <w:rStyle w:val="Hypertextovodkaz"/>
            <w:rFonts w:ascii="Arial" w:hAnsi="Arial" w:cs="Arial"/>
            <w:sz w:val="16"/>
            <w:szCs w:val="16"/>
          </w:rPr>
          <w:t>http://ec.europa.eu/eurostat/web/population-and-housing-census/census-data/2011-census</w:t>
        </w:r>
      </w:hyperlink>
    </w:p>
  </w:footnote>
  <w:footnote w:id="4">
    <w:p w:rsidR="00840C56" w:rsidRDefault="00840C5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B3167">
        <w:rPr>
          <w:rStyle w:val="Siln"/>
          <w:rFonts w:ascii="Arial" w:hAnsi="Arial" w:cs="Arial"/>
          <w:sz w:val="16"/>
          <w:szCs w:val="16"/>
        </w:rPr>
        <w:t>index ekonomického zatížení</w:t>
      </w:r>
      <w:r w:rsidRPr="000B3167">
        <w:rPr>
          <w:rFonts w:ascii="Arial" w:hAnsi="Arial" w:cs="Arial"/>
          <w:sz w:val="16"/>
          <w:szCs w:val="16"/>
        </w:rPr>
        <w:t xml:space="preserve"> vyjadřuje počet dětí ve věku 0-14 let a počet obyvatel ve věku 60 a více let na 100 osob ve věku 15-59 let.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C56" w:rsidRPr="00C526BB" w:rsidRDefault="00854E53">
    <w:pPr>
      <w:pStyle w:val="Zhlav"/>
      <w:rPr>
        <w:b/>
      </w:rPr>
    </w:pPr>
    <w:r>
      <w:rPr>
        <w:b/>
        <w:noProof/>
        <w:lang w:eastAsia="cs-CZ"/>
      </w:rPr>
      <w:pict>
        <v:group id="Group 6" o:spid="_x0000_s4099" style="position:absolute;left:0;text-align:left;margin-left:28.35pt;margin-top:42.55pt;width:498.35pt;height:82.35pt;z-index:251658752;mso-position-horizontal-relative:page;mso-position-vertical-relative:page" coordorigin="571,846" coordsize="9967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">
          <v:rect id="Rectangle 7" o:spid="_x0000_s4114" style="position:absolute;left:1219;top:896;width:676;height: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LdsIA&#10;AADbAAAADwAAAGRycy9kb3ducmV2LnhtbESPQYvCMBSE74L/ITzBm6YqqHSNsiiCsHqwLnh927xt&#10;wzYvpYm2+++NIHgcZuYbZrXpbCXu1HjjWMFknIAgzp02XCj4vuxHSxA+IGusHJOCf/KwWfd7K0y1&#10;a/lM9ywUIkLYp6igDKFOpfR5SRb92NXE0ft1jcUQZVNI3WAb4baS0ySZS4uG40KJNW1Lyv+ym1Vg&#10;5LG12em6c8mtvpjr4mfpw5dSw0H3+QEiUBfe4Vf7oBXM5v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wt2wgAAANsAAAAPAAAAAAAAAAAAAAAAAJgCAABkcnMvZG93&#10;bnJldi54bWxQSwUGAAAAAAQABAD1AAAAhwMAAAAA&#10;" fillcolor="#0071bc" stroked="f"/>
          <v:rect id="Rectangle 8" o:spid="_x0000_s4113" style="position:absolute;left:571;top:1126;width:1324;height: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u7cIA&#10;AADbAAAADwAAAGRycy9kb3ducmV2LnhtbESPQYvCMBSE74L/ITzBm6YqqHSNsiiCsHqwLnh927xt&#10;wzYvpYm2+++NIHgcZuYbZrXpbCXu1HjjWMFknIAgzp02XCj4vuxHSxA+IGusHJOCf/KwWfd7K0y1&#10;a/lM9ywUIkLYp6igDKFOpfR5SRb92NXE0ft1jcUQZVNI3WAb4baS0ySZS4uG40KJNW1Lyv+ym1Vg&#10;5LG12em6c8mtvpjr4mfpw5dSw0H3+QEiUBfe4Vf7oBXMFv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67twgAAANsAAAAPAAAAAAAAAAAAAAAAAJgCAABkcnMvZG93&#10;bnJldi54bWxQSwUGAAAAAAQABAD1AAAAhwMAAAAA&#10;" fillcolor="#0071bc" stroked="f"/>
          <v:rect id="Rectangle 9" o:spid="_x0000_s4112" style="position:absolute;left:1292;top:1356;width:603;height: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6n8EA&#10;AADbAAAADwAAAGRycy9kb3ducmV2LnhtbERPy2rCQBTdF/yH4Rbc1Ukr2JA6ilgEwbpoLGR7m7lN&#10;BjN3Qmby8O87C8Hl4bzX28k2YqDOG8cKXhcJCOLSacOVgp/L4SUF4QOyxsYxKbiRh+1m9rTGTLuR&#10;v2nIQyViCPsMFdQhtJmUvqzJol+4ljhyf66zGCLsKqk7HGO4beRbkqykRcOxocaW9jWV17y3Coz8&#10;Gm1+Lj5d0rcXU7z/pj6clJo/T7sPEIGm8BDf3UetYBnHxi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EOp/BAAAA2wAAAA8AAAAAAAAAAAAAAAAAmAIAAGRycy9kb3du&#10;cmV2LnhtbFBLBQYAAAAABAAEAPUAAACGAwAAAAA=&#10;" fillcolor="#0071bc" stroked="f"/>
          <v:shape id="Freeform 10" o:spid="_x0000_s4111" style="position:absolute;left:1973;top:1306;width:600;height:207;visibility:visible;mso-wrap-style:square;v-text-anchor:top" coordsize="120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A78EA&#10;AADbAAAADwAAAGRycy9kb3ducmV2LnhtbESPQYvCMBSE78L+h/CEvdlUF0S7Rimysoonq94fzdum&#10;2LyUJmr33xtB8DjMzDfMYtXbRtyo87VjBeMkBUFcOl1zpeB03IxmIHxA1tg4JgX/5GG1/BgsMNPu&#10;zge6FaESEcI+QwUmhDaT0peGLPrEtcTR+3OdxRBlV0nd4T3CbSMnaTqVFmuOCwZbWhsqL8XVKvjJ&#10;yVB+atcF75rz7/myn9S7vVKfwz7/BhGoD+/wq73VCr7m8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YgO/BAAAA2wAAAA8AAAAAAAAAAAAAAAAAmAIAAGRycy9kb3du&#10;cmV2LnhtbFBLBQYAAAAABAAEAPUAAACGAwAAAAA=&#10;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<v:path arrowok="t" o:connecttype="custom" o:connectlocs="520,84;537,88;550,100;557,114;559,131;554,147;544,160;530,168;506,170;540,202;567,190;587,169;599,142;599,111;587,84;567,63;540,51;466,204;388,146;393,50;343,177;257,18;174,18;216,81;231,88;235,104;225,116;204,119;258,135;271,121;276,102;275,83;266,67;252,55;232,50;204,204;243,141;67,42;0,139;3,166;12,184;34,201;67,207;96,202;119,186;131,166;134,139;95,143;89,163;78,170;63,172;52,168;42,156;40,50" o:connectangles="0,0,0,0,0,0,0,0,0,0,0,0,0,0,0,0,0,0,0,0,0,0,0,0,0,0,0,0,0,0,0,0,0,0,0,0,0,0,0,0,0,0,0,0,0,0,0,0,0,0,0,0,0,0"/>
            <o:lock v:ext="edit" verticies="t"/>
          </v:shape>
          <v:shape id="Freeform 11" o:spid="_x0000_s4110" style="position:absolute;left:1966;top:1076;width:1319;height:208;visibility:visible;mso-wrap-style:square;v-text-anchor:top" coordsize="263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CT8IA&#10;AADbAAAADwAAAGRycy9kb3ducmV2LnhtbERPz2vCMBS+D/Y/hDfwMmaqDpFqFFEEcQrTzoO3R/Ns&#10;i81LSaLt/ntzGOz48f2eLTpTiwc5X1lWMOgnIIhzqysuFPxkm48JCB+QNdaWScEveVjMX19mmGrb&#10;8pEep1CIGMI+RQVlCE0qpc9LMuj7tiGO3NU6gyFCV0jtsI3hppbDJBlLgxXHhhIbWpWU3053o2CV&#10;1Wc32rdfR/e+3u4uh0Jmh2+lem/dcgoiUBf+xX/urVbwGdfH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oJPwgAAANsAAAAPAAAAAAAAAAAAAAAAAJgCAABkcnMvZG93&#10;bnJldi54bWxQSwUGAAAAAAQABAD1AAAAhwMAAAAA&#10;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<v:path arrowok="t" o:connecttype="custom" o:connectlocs="1221,204;1166,50;1072,137;1004,54;943,51;900,82;887,136;907,181;959,208;1000,157;969,169;945,161;929,137;933,107;953,89;984,88;864,50;802,50;680,59;638,46;602,54;581,82;583,116;610,138;644,153;637,171;608,170;586,198;633,208;671,193;687,160;678,126;638,107;621,93;635,80;665,90;452,84;452,204;343,204;333,177;158,204;84,49;42,48;14,68;6,103;19,128;64,147;71,165;48,174;17,158;40,207;84,202;110,176;110,135;93,117;50,99;53,84;76,81" o:connectangles="0,0,0,0,0,0,0,0,0,0,0,0,0,0,0,0,0,0,0,0,0,0,0,0,0,0,0,0,0,0,0,0,0,0,0,0,0,0,0,0,0,0,0,0,0,0,0,0,0,0,0,0,0,0,0,0,0,0"/>
            <o:lock v:ext="edit" verticies="t"/>
          </v:shape>
          <v:shape id="Freeform 12" o:spid="_x0000_s4109" style="position:absolute;left:1966;top:846;width:679;height:208;visibility:visible;mso-wrap-style:square;v-text-anchor:top" coordsize="13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rVcQA&#10;AADbAAAADwAAAGRycy9kb3ducmV2LnhtbESPQWvCQBSE7wX/w/IKXqRuFBGJrlIrUW+iFs+v2WcS&#10;mn2b7q4m/vtuQehxmJlvmMWqM7W4k/OVZQWjYQKCOLe64kLB5zl7m4HwAVljbZkUPMjDatl7WWCq&#10;bctHup9CISKEfYoKyhCaVEqfl2TQD21DHL2rdQZDlK6Q2mEb4aaW4ySZSoMVx4USG/ooKf8+3YyC&#10;8fTytcv2xfpQb38GTl832aDdKNV/7d7nIAJ14T/8bO+1gskI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61XEAAAA2wAAAA8AAAAAAAAAAAAAAAAAmAIAAGRycy9k&#10;b3ducmV2LnhtbFBLBQYAAAAABAAEAPUAAACJAwAAAAA=&#10;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<v:path arrowok="t" o:connecttype="custom" o:connectlocs="641,18;679,50;581,130;432,204;530,50;349,54;318,46;290,50;271,64;261,87;261,112;272,129;307,144;324,153;322,168;306,174;284,168;260,195;293,207;326,206;351,193;365,172;365,138;356,124;329,111;304,99;303,87;315,80;332,82;232,50;185,170;185,84;105,1;108,51;65,48;29,65;6,96;0,136;11,170;41,197;82,208;118,153;97,167;76,168;59,162;45,146;42,124;49,104;63,91;83,86;107,92" o:connectangles="0,0,0,0,0,0,0,0,0,0,0,0,0,0,0,0,0,0,0,0,0,0,0,0,0,0,0,0,0,0,0,0,0,0,0,0,0,0,0,0,0,0,0,0,0,0,0,0,0,0,0"/>
            <o:lock v:ext="edit" verticies="t"/>
          </v:shape>
          <v:rect id="Rectangle 13" o:spid="_x0000_s4108" style="position:absolute;left:1963;top:1925;width:8575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+CMQA&#10;AADbAAAADwAAAGRycy9kb3ducmV2LnhtbESPQWvCQBSE7wX/w/KE3pqNUtoQXUUshULbQxMh12f2&#10;mSxm34bsauK/dwuFHoeZ+YZZbyfbiSsN3jhWsEhSEMS104YbBYfy/SkD4QOyxs4xKbiRh+1m9rDG&#10;XLuRf+hahEZECPscFbQh9LmUvm7Jok9cTxy9kxsshiiHRuoBxwi3nVym6Yu0aDgutNjTvqX6XFys&#10;AiO/Rlt8V28uvfSlqV6PmQ+fSj3Op90KRKAp/If/2h9awfMS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fgjEAAAA2wAAAA8AAAAAAAAAAAAAAAAAmAIAAGRycy9k&#10;b3ducmV2LnhtbFBLBQYAAAAABAAEAPUAAACJAwAAAAA=&#10;" fillcolor="#0071bc" stroked="f"/>
          <v:shape id="Freeform 14" o:spid="_x0000_s4107" style="position:absolute;left:2178;top:2129;width:195;height:186;visibility:visible;mso-wrap-style:square;v-text-anchor:top" coordsize="391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jYMQA&#10;AADbAAAADwAAAGRycy9kb3ducmV2LnhtbESPT4vCMBTE7wt+h/AEL4um/kGka5QiK/QirFXB46N5&#10;2xabl9JkNX57s7Cwx2FmfsOst8G04k69aywrmE4SEMSl1Q1XCs6n/XgFwnlkja1lUvAkB9vN4G2N&#10;qbYPPtK98JWIEHYpKqi971IpXVmTQTexHXH0vm1v0EfZV1L3+Ihw08pZkiylwYbjQo0d7Woqb8WP&#10;UfDe7vP57JI3n9NDcQ0ZHxfZV1BqNAzZBwhPwf+H/9q5VrCYw++X+AP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I2DEAAAA2wAAAA8AAAAAAAAAAAAAAAAAmAIAAGRycy9k&#10;b3ducmV2LnhtbFBLBQYAAAAABAAEAPUAAACJAwAAAAA=&#10;" path="m197,116l156,236r81,l197,116xm128,309r-24,65l,374,143,,251,,391,374r-104,l263,309r-135,xe" stroked="f">
            <v:path arrowok="t" o:connecttype="custom" o:connectlocs="98,58;78,117;118,117;98,58;64,154;52,186;0,186;71,0;125,0;195,186;143,186;131,154;64,154" o:connectangles="0,0,0,0,0,0,0,0,0,0,0,0,0"/>
            <o:lock v:ext="edit" verticies="t"/>
          </v:shape>
          <v:shape id="Freeform 15" o:spid="_x0000_s4106" style="position:absolute;left:2394;top:2129;width:187;height:186;visibility:visible;mso-wrap-style:square;v-text-anchor:top" coordsize="373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xR8YA&#10;AADbAAAADwAAAGRycy9kb3ducmV2LnhtbESPQWvCQBSE70L/w/IKvUjdJIRQoqsUwVB6EKq24O2R&#10;fU1Cs2/T7Jqk/94tCB6HmfmGWW0m04qBetdYVhAvIhDEpdUNVwpOx93zCwjnkTW2lknBHznYrB9m&#10;K8y1HfmDhoOvRICwy1FB7X2XS+nKmgy6he2Ig/dte4M+yL6SuscxwE0rkyjKpMGGw0KNHW1rKn8O&#10;F6OgyOLzV3rK3otO7repm8e/CX8q9fQ4vS5BeJr8PXxrv2kFaQr/X8IP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xR8YAAADbAAAADwAAAAAAAAAAAAAAAACYAgAAZHJz&#10;L2Rvd25yZXYueG1sUEsFBgAAAAAEAAQA9QAAAIsDAAAAAA==&#10;" path="m,l97,,276,229,276,r97,l373,374r-97,l97,146r,228l,374,,xe" stroked="f">
            <v:path arrowok="t" o:connecttype="custom" o:connectlocs="0,0;49,0;138,114;138,0;187,0;187,186;138,186;49,73;49,186;0,186;0,0" o:connectangles="0,0,0,0,0,0,0,0,0,0,0"/>
          </v:shape>
          <v:shape id="Freeform 16" o:spid="_x0000_s4105" style="position:absolute;left:2603;top:2129;width:195;height:186;visibility:visible;mso-wrap-style:square;v-text-anchor:top" coordsize="39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vi8UA&#10;AADbAAAADwAAAGRycy9kb3ducmV2LnhtbESPT2sCMRTE7wW/Q3hCL1Kz2j+UrVFkobbiQbp68fbY&#10;vO4u3bwsSdT47U1B8DjMzG+Y2SKaTpzI+daygsk4A0FcWd1yrWC/+3x6B+EDssbOMim4kIfFfPAw&#10;w1zbM//QqQy1SBD2OSpoQuhzKX3VkEE/tj1x8n6tMxiSdLXUDs8Jbjo5zbI3abDltNBgT0VD1V95&#10;NArisx+F8jDdfhXrIh5GK0ebfqPU4zAuP0AEiuEevrW/tYKXV/j/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G+LxQAAANsAAAAPAAAAAAAAAAAAAAAAAJgCAABkcnMv&#10;ZG93bnJldi54bWxQSwUGAAAAAAQABAD1AAAAigMAAAAA&#10;" path="m196,116l155,236r81,l196,116xm128,309r-26,65l,374,143,,249,,390,374r-103,l263,309r-135,xe" stroked="f">
            <v:path arrowok="t" o:connecttype="custom" o:connectlocs="98,58;78,117;118,117;98,58;64,154;51,186;0,186;72,0;125,0;195,186;144,186;132,154;64,154" o:connectangles="0,0,0,0,0,0,0,0,0,0,0,0,0"/>
            <o:lock v:ext="edit" verticies="t"/>
          </v:shape>
          <v:shape id="Freeform 17" o:spid="_x0000_s4104" style="position:absolute;left:2820;top:2129;width:106;height:186;visibility:visible;mso-wrap-style:square;v-text-anchor:top" coordsize="213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RcMMA&#10;AADbAAAADwAAAGRycy9kb3ducmV2LnhtbESPQWsCMRSE74X+h/AK3mp2q0hdjSItak+C2ou3x+aZ&#10;LCYvyybV9d+bQqHHYWa+YebL3jtxpS42gRWUwwIEcR10w0bB93H9+g4iJmSNLjApuFOE5eL5aY6V&#10;Djfe0/WQjMgQjhUqsCm1lZSxtuQxDkNLnL1z6DymLDsjdYe3DPdOvhXFRHpsOC9YbOnDUn05/HgF&#10;n7v7uB7tTtqa8uzcZmumx3Kl1OClX81AJOrTf/iv/aUVjCfw+yX/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RcMMAAADbAAAADwAAAAAAAAAAAAAAAACYAgAAZHJzL2Rv&#10;d25yZXYueG1sUEsFBgAAAAAEAAQA9QAAAIgDAAAAAA==&#10;" path="m97,292r116,l213,374,,374,,,97,r,292xe" stroked="f">
            <v:path arrowok="t" o:connecttype="custom" o:connectlocs="48,145;106,145;106,186;0,186;0,0;48,0;48,145" o:connectangles="0,0,0,0,0,0,0"/>
          </v:shape>
          <v:shape id="Freeform 18" o:spid="_x0000_s4103" style="position:absolute;left:2909;top:2068;width:187;height:247;visibility:visible;mso-wrap-style:square;v-text-anchor:top" coordsize="37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9MsQA&#10;AADbAAAADwAAAGRycy9kb3ducmV2LnhtbESPT2vCQBTE7wW/w/IK3nSjlGqjq4hg/XPSKBRvj+xr&#10;Esy+Ddk1Sb+9Kwg9DjPzG2a+7EwpGqpdYVnBaBiBIE6tLjhTcDlvBlMQziNrLC2Tgj9ysFz03uYY&#10;a9vyiZrEZyJA2MWoIPe+iqV0aU4G3dBWxMH7tbVBH2SdSV1jG+CmlOMo+pQGCw4LOVa0zim9JXej&#10;4Gd7m7RHu1l9J5e1l1/N9TDK9kr137vVDISnzv+HX+2dVvAxg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9fTLEAAAA2wAAAA8AAAAAAAAAAAAAAAAAmAIAAGRycy9k&#10;b3ducmV2LnhtbFBLBQYAAAAABAAEAPUAAACJAwAAAAA=&#10;" path="m188,102l154,69,234,r47,43l188,102xm,121r117,l187,223,255,121r119,l233,316r,179l136,495r,-179l,121xe" stroked="f">
            <v:path arrowok="t" o:connecttype="custom" o:connectlocs="94,51;77,34;117,0;141,21;94,51;0,60;59,60;94,111;128,60;187,60;117,158;117,247;68,247;68,158;0,60" o:connectangles="0,0,0,0,0,0,0,0,0,0,0,0,0,0,0"/>
            <o:lock v:ext="edit" verticies="t"/>
          </v:shape>
          <v:shape id="Freeform 19" o:spid="_x0000_s4102" style="position:absolute;left:3099;top:2129;width:170;height:186;visibility:visible;mso-wrap-style:square;v-text-anchor:top" coordsize="34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jfcAA&#10;AADbAAAADwAAAGRycy9kb3ducmV2LnhtbERPTWvCQBC9F/wPywheRDdKqxJdRUoLpfRiFMXbkB2T&#10;YHY2ZKca/717KPT4eN+rTedqdaM2VJ4NTMYJKOLc24oLA4f952gBKgiyxdozGXhQgM2697LC1Po7&#10;7+iWSaFiCIcUDZQiTap1yEtyGMa+IY7cxbcOJcK20LbFewx3tZ4myUw7rDg2lNjQe0n5Nft1BmTu&#10;h9mi/mY+Dt/86ePHXs9ijRn0u+0SlFAn/+I/95c18BrHxi/xB+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ojfcAAAADbAAAADwAAAAAAAAAAAAAAAACYAgAAZHJzL2Rvd25y&#10;ZXYueG1sUEsFBgAAAAAEAAQA9QAAAIUDAAAAAA==&#10;" path="m320,292r,82l,374,177,82,30,82,30,,340,,163,292r157,xe" stroked="f">
            <v:path arrowok="t" o:connecttype="custom" o:connectlocs="160,145;160,186;0,186;89,41;15,41;15,0;170,0;82,145;160,145" o:connectangles="0,0,0,0,0,0,0,0,0"/>
          </v:shape>
          <v:shape id="Freeform 20" o:spid="_x0000_s4101" style="position:absolute;left:3278;top:2129;width:195;height:186;visibility:visible;mso-wrap-style:square;v-text-anchor:top" coordsize="39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BRsUA&#10;AADbAAAADwAAAGRycy9kb3ducmV2LnhtbESPT2sCMRTE7wW/Q3gFL0WzFRHdGkUsQg+9+Aft8bF5&#10;bpZuXpYk7q799I1Q6HGYmd8wy3Vva9GSD5VjBa/jDARx4XTFpYLTcTeagwgRWWPtmBTcKcB6NXha&#10;Yq5dx3tqD7EUCcIhRwUmxiaXMhSGLIaxa4iTd3XeYkzSl1J77BLc1nKSZTNpseK0YLChraHi+3Cz&#10;CvzX9OXnfVHPzPzC3TleP9v7Nig1fO43byAi9fE//Nf+0AqmC3h8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0FGxQAAANsAAAAPAAAAAAAAAAAAAAAAAJgCAABkcnMv&#10;ZG93bnJldi54bWxQSwUGAAAAAAQABAD1AAAAigMAAAAA&#10;" path="m197,116l156,236r81,l197,116xm129,309r-27,65l,374,144,,251,,392,374r-105,l263,309r-134,xe" stroked="f">
            <v:path arrowok="t" o:connecttype="custom" o:connectlocs="98,58;78,117;118,117;98,58;64,154;51,186;0,186;72,0;125,0;195,186;143,186;131,154;64,154" o:connectangles="0,0,0,0,0,0,0,0,0,0,0,0,0"/>
            <o:lock v:ext="edit" verticies="t"/>
          </v:shape>
          <v:shape id="Freeform 21" o:spid="_x0000_s4100" style="position:absolute;left:6643;top:1371;width:3880;height:179;visibility:visible;mso-wrap-style:square;v-text-anchor:top" coordsize="776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plMMA&#10;AADbAAAADwAAAGRycy9kb3ducmV2LnhtbERPu27CMBTdK/UfrFupW3FAEEHAoAoorSgLr4HtKr7E&#10;UePrEBtI/x4PlToenfdk1tpK3KjxpWMF3U4Cgjh3uuRCwWH/8TYE4QOyxsoxKfglD7Pp89MEM+3u&#10;vKXbLhQihrDPUIEJoc6k9Lkhi77jauLInV1jMUTYFFI3eI/htpK9JEmlxZJjg8Ga5obyn93VKliM&#10;Nt9Xczmlq+N5kK6Xw27/s66Uen1p38cgArXhX/zn/tIKBnF9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cplMMAAADbAAAADwAAAAAAAAAAAAAAAACYAgAAZHJzL2Rv&#10;d25yZXYueG1sUEsFBgAAAAAEAAQA9QAAAIgDAAAAAA==&#10;" path="m174,86l159,77,144,70r-9,-1l128,66r-8,l112,65,99,66,89,68,78,70,68,74,58,79,48,85r-7,6l32,99r-8,7l18,115r-5,9l8,134,5,144,2,155,,165r,12l,188r2,10l5,210r3,10l13,228r5,10l24,247r8,7l39,262r9,6l57,273r10,5l77,282r11,2l99,286r11,1l118,287r9,-1l135,284r8,-2l152,278r7,-2l166,271r8,-5l174,236r-8,7l159,248r-7,5l143,257r-8,4l127,263r-8,1l110,264r-8,-1l93,262r-9,-1l77,257r-8,-4l62,249r-8,-5l49,238r-6,-6l38,226r-4,-8l31,211r-4,-8l26,195r-3,-9l23,177r,-9l26,158r1,-7l31,142r3,-7l38,127r5,-7l49,114r5,-5l62,104r6,-5l77,95r7,-3l92,90r8,-1l109,87r9,2l127,90r8,1l143,95r9,4l159,104r7,5l174,116r,-30xm155,14l138,,110,24,82,,64,14r46,37l155,14xm327,221r,-4l326,202r-4,-14l320,182r-3,-6l314,171r-4,-5l306,162r-5,-4l296,155r-6,-3l284,150r-7,-2l271,147r-7,l256,147r-6,1l244,150r-6,2l231,155r-5,3l221,162r-3,4l213,171r-3,5l206,182r-2,6l200,202r-1,15l200,224r,8l203,238r1,8l206,252r4,5l214,262r4,5l223,272r5,4l233,279r6,3l245,283r6,3l257,287r8,l275,286r9,-2l292,282r8,-5l307,272r7,-6l320,258r6,-9l307,238r-5,6l297,251r-5,5l289,259r-5,3l277,264r-5,2l266,266r-9,-2l249,263r-7,-5l236,253r-5,-6l228,239r-3,-8l224,221r103,xm225,202r1,-7l230,188r4,-6l239,177r5,-4l250,170r7,-2l264,167r7,1l277,170r7,2l290,177r4,5l299,187r2,8l304,202r-79,xm431,171r-3,-6l424,160r-3,-4l416,152r-5,-2l406,148r-5,-1l394,147r-7,l380,150r-8,3l367,157r-5,6l358,170r-1,6l356,183r,7l357,196r3,5l363,205r5,5l376,213r7,5l394,223r10,5l411,233r2,3l414,238r2,4l416,244r,5l414,253r-2,4l409,259r-3,3l403,264r-5,2l394,266r-4,l386,264r-4,-1l378,261r-5,-7l367,244r-20,9l351,261r4,6l360,273r6,5l371,282r7,2l386,286r7,1l403,286r9,-3l419,279r7,-5l432,268r4,-7l438,252r1,-9l438,234r-2,-7l431,220r-7,-5l416,208r-17,-7l388,196r-6,-4l380,190r-2,-3l378,185r-1,-3l378,177r4,-5l387,168r6,-1l399,168r5,3l408,175r4,6l431,171xm493,49r-23,l470,283r23,l493,228r5,-6l551,283r32,l514,206r57,-56l540,150r-47,48l493,49xm644,271r-44,87l626,358,725,150r-27,l655,244,609,150r-26,l644,271xm693,82l670,73r-34,46l650,126,693,82xm899,171r-4,-6l892,160r-4,-4l884,152r-5,-2l874,148r-6,-1l862,147r-8,l847,150r-6,3l834,157r-5,6l827,170r-3,6l823,183r1,7l826,196r2,5l831,205r6,5l843,213r9,5l862,223r11,5l879,233r3,3l883,238r,4l883,244r,5l882,253r-2,4l877,259r-3,3l870,264r-3,2l862,266r-5,l853,264r-4,-1l847,261r-6,-7l836,244r-22,9l818,261r5,6l828,273r5,5l839,282r6,2l853,286r9,1l870,286r9,-3l887,279r7,-5l899,268r4,-7l905,252r2,-9l905,234r-2,-7l898,220r-6,-5l883,208r-16,-7l857,196r-8,-4l848,190r-1,-3l845,185r,-3l847,177r3,-5l855,168r7,-1l867,168r5,3l877,175r3,6l899,171xm961,171r24,l985,150r-24,l961,101r-22,l939,150r-14,l925,171r14,l939,283r22,l961,171xm1108,150r,18l1103,163r-6,-5l1092,155r-5,-3l1081,150r-6,-3l1069,147r-8,-1l1055,147r-6,l1042,150r-6,2l1030,155r-5,3l1020,162r-4,4l1012,171r-3,5l1005,182r-3,6l999,201r-2,15l999,223r,8l1000,237r2,7l1005,251r4,5l1012,262r4,5l1020,271r5,5l1031,278r5,4l1042,283r7,3l1055,287r7,l1069,287r6,-1l1081,283r6,-2l1092,278r6,-4l1103,269r5,-5l1108,283r23,l1131,150r-23,xm1065,167r10,1l1083,171r8,4l1097,181r5,7l1106,196r2,10l1110,216r-2,11l1106,236r-4,8l1097,252r-6,6l1083,262r-8,2l1065,266r-9,-2l1047,262r-7,-4l1034,252r-5,-8l1025,236r-3,-10l1021,216r1,-10l1025,196r4,-8l1034,181r6,-5l1047,171r9,-3l1065,167xm1197,171r24,l1221,150r-24,l1197,101r-23,l1174,150r-15,l1159,171r15,l1174,283r23,l1197,171xm1264,150r-22,l1242,283r22,l1264,150xm1253,82r-6,3l1242,87r-4,5l1237,99r1,3l1238,106r1,3l1242,111r2,1l1247,115r3,l1253,116r6,-1l1265,111r3,-5l1269,100r-1,-8l1265,87r-6,-2l1253,82xm1379,171r-3,-6l1372,160r-4,-4l1364,152r-5,-2l1354,148r-5,-1l1343,147r-9,l1328,150r-8,3l1315,157r-5,6l1306,170r-2,6l1304,183r,7l1305,196r3,5l1311,205r5,5l1323,213r8,5l1343,223r10,5l1359,233r2,3l1363,238r1,4l1364,244r,5l1363,253r-3,4l1358,259r-4,3l1350,264r-4,2l1341,266r-3,l1334,264r-4,-1l1326,261r-5,-7l1315,244r-20,9l1299,261r4,6l1308,273r5,5l1319,282r7,2l1334,286r7,1l1351,286r9,-3l1368,279r6,-5l1380,268r4,-7l1386,252r1,-9l1386,234r-2,-7l1379,220r-7,-5l1363,208r-17,-7l1336,196r-6,-4l1328,190r-2,-3l1325,185r,-3l1326,177r4,-5l1335,168r6,-1l1348,168r5,3l1356,175r4,6l1379,171xm1442,171r24,l1466,150r-24,l1442,101r-22,l1420,150r-14,l1406,171r14,l1420,283r22,l1442,171xm1510,150r-23,l1487,283r23,l1510,150xm1498,82r-6,3l1487,87r-4,5l1482,99r1,3l1483,106r3,3l1487,111r3,1l1492,115r4,l1498,116r7,-1l1511,111r2,-5l1516,100r-3,-8l1511,87r-6,-2l1498,82xm1654,160r-10,-7l1634,150r-10,-3l1613,147r-8,l1598,148r-6,2l1586,152r-7,3l1573,158r-6,4l1562,167r-4,5l1554,177r-3,6l1548,190r-2,6l1543,202r-1,8l1542,217r,7l1543,231r3,7l1548,244r3,7l1554,256r4,6l1562,267r5,4l1573,274r5,4l1584,282r8,1l1598,286r7,1l1613,287r10,-1l1634,283r10,-4l1655,273r,-30l1644,253r-10,8l1629,263r-5,1l1618,266r-6,l1603,264r-10,-2l1586,258r-7,-6l1573,244r-4,-8l1567,227r-1,-10l1567,207r2,-10l1573,188r6,-6l1586,176r8,-5l1603,168r10,-1l1618,168r6,l1629,171r5,1l1644,180r10,10l1654,160xm1710,49r-22,l1688,283r22,l1710,228r6,-6l1770,283r30,l1733,206r57,-56l1759,150r-49,48l1710,49xm1861,271r-42,87l1845,358r98,-208l1917,150r-44,94l1826,150r-26,l1861,271xm1912,82r-24,-9l1855,119r13,7l1912,82xm2066,150r-22,l2044,229r,14l2047,253r3,9l2055,269r4,5l2064,277r5,4l2074,282r10,4l2096,287r13,-1l2119,282r10,-5l2136,269r6,-7l2146,253r3,-10l2149,229r,-79l2126,150r,77l2126,236r-1,6l2124,248r-1,4l2118,258r-7,4l2105,264r-9,2l2088,264r-8,-2l2075,258r-5,-6l2069,248r-1,-6l2066,236r,-9l2066,150xm2136,82r-23,-9l2079,119r15,7l2136,82xm2190,150r,133l2212,283r,-71l2212,202r1,-9l2215,186r2,-5l2221,176r5,-4l2232,170r6,-2l2245,170r7,2l2262,152r-5,-2l2252,147r-5,l2242,146r-9,1l2227,150r-7,6l2212,165r,-15l2190,150xm2265,85l2248,73r-27,26l2192,73r-16,12l2221,126r44,-41xm2379,150r,18l2374,163r-5,-5l2363,155r-5,-3l2352,150r-6,-3l2339,147r-7,-1l2326,147r-7,l2313,150r-6,2l2302,155r-6,3l2291,162r-4,4l2283,171r-4,5l2276,182r-3,6l2270,201r-2,15l2270,223r,8l2272,237r1,7l2276,251r3,5l2283,262r4,5l2292,271r4,5l2302,278r5,4l2313,283r6,3l2326,287r7,l2339,287r8,-1l2352,283r6,-2l2364,278r5,-4l2374,269r5,-5l2379,283r23,l2402,150r-23,xm2336,167r10,1l2354,171r8,4l2368,181r5,7l2377,196r2,10l2380,216r-1,11l2377,236r-4,8l2368,252r-6,6l2354,262r-8,2l2336,266r-9,-2l2318,262r-7,-4l2304,252r-5,-8l2296,236r-3,-10l2292,216r1,-10l2296,196r3,-8l2304,181r7,-5l2318,171r9,-3l2336,167xm2544,49r,119l2539,163r-5,-5l2527,155r-5,-3l2516,150r-6,-2l2504,147r-8,l2490,147r-6,1l2478,150r-7,2l2466,155r-6,3l2455,162r-4,4l2448,171r-4,6l2440,182r-2,6l2434,202r-1,14l2434,223r,8l2436,238r2,6l2440,251r4,6l2448,262r3,5l2456,271r5,5l2466,278r5,4l2478,283r6,3l2490,287r8,l2504,287r7,-1l2517,283r7,-2l2529,278r5,-4l2539,269r3,-5l2542,283r24,l2566,49r-22,xm2500,167r9,1l2516,171r8,4l2531,180r6,7l2541,195r3,10l2545,216r-1,11l2541,237r-4,7l2532,252r-6,6l2519,262r-9,2l2500,266r-9,-2l2483,262r-8,-4l2469,252r-5,-8l2460,236r-2,-10l2456,216r2,-10l2460,197r4,-9l2469,181r6,-5l2483,171r8,-3l2500,167xm2734,337r25,l2759,69r-25,l2734,337xm2932,283r24,l2956,117r167,175l3123,69r-24,l3099,234,2932,60r,223xm3271,150r,18l3266,163r-5,-5l3256,155r-6,-3l3244,150r-5,-3l3231,147r-6,-1l3218,147r-7,l3205,150r-6,2l3194,155r-5,3l3184,162r-5,4l3175,171r-3,5l3169,182r-2,6l3163,201r-1,15l3162,223r1,8l3164,237r3,7l3169,251r3,5l3175,262r4,5l3184,271r5,5l3194,278r6,4l3205,283r6,3l3219,287r6,l3233,287r6,-1l3245,283r5,-2l3256,278r5,-4l3266,269r5,-5l3271,283r23,l3294,150r-23,xm3229,167r9,1l3246,171r8,4l3260,181r6,7l3270,196r2,10l3272,216r,11l3270,236r-4,8l3260,252r-6,6l3246,262r-8,2l3229,266r-10,-2l3210,262r-6,-4l3196,252r-5,-8l3188,236r-3,-10l3185,216r,-10l3188,196r3,-8l3198,181r6,-5l3211,171r8,-3l3229,167xm3438,358r,-94l3443,269r5,5l3453,278r5,4l3464,283r7,3l3477,287r7,l3490,287r7,-1l3503,283r6,-1l3515,278r5,-2l3525,272r4,-5l3537,257r6,-13l3547,232r1,-15l3548,210r-1,-8l3545,196r-2,-8l3540,182r-3,-5l3533,171r-4,-5l3525,162r-5,-4l3514,155r-5,-3l3503,150r-6,-2l3490,147r-7,-1l3477,147r-6,l3464,150r-6,2l3453,155r-5,3l3442,163r-4,5l3438,150r-24,l3414,358r24,xm3481,167r8,1l3498,171r7,5l3512,182r5,6l3520,197r3,10l3524,218r-1,9l3520,237r-3,7l3512,252r-7,6l3498,262r-9,2l3481,266r-10,-2l3463,262r-7,-4l3448,252r-5,-8l3439,237r-2,-10l3436,217r1,-10l3439,197r4,-9l3448,181r8,-5l3463,171r8,-3l3481,167xm3680,150r,18l3675,163r-5,-5l3665,155r-6,-3l3654,150r-7,-3l3641,147r-7,-1l3628,147r-8,l3614,150r-5,2l3603,155r-5,3l3593,162r-4,4l3584,171r-4,5l3578,182r-3,6l3571,201r-1,15l3570,223r1,8l3573,237r2,7l3578,251r2,5l3584,262r5,5l3593,271r5,5l3603,278r6,4l3615,283r6,3l3628,287r7,l3641,287r6,-1l3654,283r6,-2l3665,278r5,-4l3675,269r5,-5l3680,283r24,l3704,150r-24,xm3637,167r10,1l3655,171r7,4l3670,181r5,7l3679,196r2,10l3682,216r-1,11l3679,236r-4,8l3670,252r-8,6l3655,262r-9,2l3637,266r-9,-2l3620,262r-7,-4l3606,252r-5,-8l3596,236r-2,-10l3594,216r1,-10l3598,196r3,-8l3606,181r7,-5l3620,171r9,-3l3637,167xm3844,49r,119l3839,163r-5,-5l3829,155r-6,-3l3818,150r-6,-2l3806,147r-8,l3792,147r-7,1l3778,150r-5,2l3767,155r-5,3l3757,162r-4,4l3748,171r-3,6l3742,182r-2,6l3737,195r-1,7l3735,208r,8l3735,223r1,8l3737,238r3,6l3742,251r4,6l3748,262r5,5l3757,271r5,5l3767,278r6,4l3780,283r6,3l3792,287r6,l3806,287r6,-1l3818,283r6,-2l3831,278r5,-4l3841,269r3,-5l3844,283r24,l3868,49r-24,xm3802,167r9,1l3818,171r8,4l3833,180r5,7l3843,195r3,10l3846,216r,11l3843,237r-4,7l3834,252r-7,6l3819,262r-8,2l3802,266r-10,-2l3785,262r-8,-4l3771,252r-5,-8l3761,236r-3,-10l3758,216r2,-10l3762,197r4,-9l3771,181r6,-5l3785,171r8,-3l3802,167xm4026,221r,-4l4026,202r-4,-14l4020,182r-4,-6l4014,171r-4,-5l4005,162r-5,-4l3995,155r-6,-3l3984,150r-6,-2l3970,147r-7,l3956,147r-7,1l3943,150r-6,2l3932,155r-5,3l3922,162r-5,4l3913,171r-4,5l3907,182r-3,6l3900,202r-1,15l3899,224r1,8l3902,238r2,8l3907,252r2,5l3913,262r4,5l3922,272r5,4l3932,279r6,3l3944,283r6,3l3958,287r6,l3974,286r9,-2l3991,282r8,-5l4006,272r8,-6l4020,258r5,-9l4006,238r-5,6l3996,251r-3,5l3988,259r-5,3l3978,264r-7,2l3965,266r-9,-2l3949,263r-8,-5l3935,253r-5,-6l3927,239r-3,-8l3923,221r103,xm3924,202r3,-7l3929,188r4,-6l3938,177r6,-4l3950,170r6,-2l3964,167r6,1l3978,170r6,2l3989,177r5,5l3998,187r2,8l4003,202r-79,xm4131,171r-4,-6l4123,160r-3,-4l4116,152r-5,-2l4106,148r-6,-1l4093,147r-7,l4079,150r-7,3l4066,157r-5,6l4059,170r-3,6l4055,183r1,7l4057,196r3,5l4064,205r5,5l4075,213r9,5l4093,223r12,5l4111,233r2,3l4115,238r,4l4115,244r,5l4113,253r-1,4l4108,259r-2,3l4102,264r-4,2l4093,266r-4,l4085,264r-4,-1l4079,261r-7,-7l4067,244r-21,9l4050,261r5,6l4060,273r5,5l4071,282r6,2l4085,286r8,1l4102,286r9,-3l4118,279r8,-5l4131,268r4,-7l4137,252r1,-9l4137,234r-2,-7l4130,220r-7,-5l4115,208r-17,-7l4089,196r-8,-4l4080,190r-1,-3l4077,185r,-3l4079,177r3,-5l4087,168r6,-1l4098,168r5,3l4108,175r4,6l4131,171xm4270,150r,18l4265,163r-5,-5l4255,155r-5,-3l4244,150r-6,-3l4232,147r-8,-1l4218,147r-6,l4206,150r-7,2l4193,155r-5,3l4183,162r-4,4l4174,171r-2,5l4168,182r-2,6l4162,201r-1,15l4161,223r1,8l4163,237r3,7l4168,251r4,5l4176,262r3,5l4183,271r5,5l4194,278r5,4l4206,283r6,3l4218,287r8,l4232,287r6,-1l4244,283r6,-2l4255,278r7,-4l4267,269r3,-5l4270,283r24,l4294,150r-24,xm4228,167r10,1l4247,171r7,4l4260,181r5,7l4269,196r3,10l4273,216r-1,11l4269,236r-4,8l4260,252r-6,6l4245,262r-7,2l4228,266r-9,-2l4211,262r-8,-4l4197,252r-5,-8l4188,236r-2,-10l4184,216r2,-10l4188,196r4,-8l4197,181r6,-5l4211,171r8,-3l4228,167xm4273,82r-24,-9l4216,119r15,7l4273,82xm4359,171r24,l4383,150r-24,l4359,101r-23,l4336,150r-13,l4323,171r13,l4336,283r23,l4359,171xm4523,221r,-4l4522,202r-4,-14l4516,182r-3,-6l4510,171r-4,-5l4501,162r-5,-4l4491,155r-5,-3l4480,150r-7,-2l4466,147r-6,l4452,147r-6,1l4440,150r-6,2l4427,155r-5,3l4417,162r-5,4l4409,171r-4,5l4402,182r-2,6l4396,202r-1,15l4395,224r1,8l4397,238r3,8l4402,252r4,5l4409,262r5,5l4417,272r5,4l4429,279r5,3l4440,283r6,3l4454,287r7,l4470,286r10,-2l4487,282r9,-5l4503,272r7,-6l4516,258r6,-9l4502,238r-5,6l4493,251r-5,5l4483,259r-5,3l4473,264r-6,2l4461,266r-9,-2l4445,263r-8,-5l4431,253r-5,-6l4422,239r-2,-8l4419,221r104,xm4421,202r1,-7l4425,188r5,-6l4435,177r5,-4l4446,170r6,-2l4460,167r7,1l4473,170r7,2l4485,177r5,5l4493,187r4,8l4498,202r-77,xm4503,82r-25,-9l4445,119r15,7l4503,82xm4554,150r,133l4577,283r,-72l4578,201r,-8l4581,187r1,-5l4587,176r5,-5l4599,168r8,-1l4612,168r5,2l4622,172r2,4l4628,182r1,6l4630,196r,7l4630,283r24,l4654,210r,-10l4655,191r3,-8l4660,177r5,-4l4669,170r6,-2l4683,167r5,l4693,170r5,2l4700,176r3,5l4705,186r1,7l4706,202r,81l4729,283r,-85l4729,187r-1,-9l4725,171r-4,-6l4719,161r-4,-4l4711,153r-5,-2l4701,150r-5,-3l4692,147r-7,-1l4679,147r-5,1l4668,150r-5,2l4658,155r-4,3l4650,163r-3,5l4644,163r-4,-5l4637,155r-5,-3l4627,150r-5,-2l4617,147r-6,-1l4601,147r-9,4l4584,156r-7,9l4577,150r-23,xm4887,171r-7,5l4873,181r-6,5l4863,192r-3,8l4857,207r-1,8l4855,223r1,8l4856,237r2,6l4860,248r6,11l4873,268r10,8l4895,282r12,4l4921,287r12,-1l4946,282r11,-6l4967,268r7,-9l4979,248r3,-6l4983,236r1,-7l4984,223r,-8l4983,207r-4,-7l4977,192r-5,-6l4967,181r-6,-5l4953,171r6,-4l4964,163r5,-6l4973,152r3,-7l4978,139r1,-8l4981,125r-2,-13l4976,101r-5,-10l4963,82r-9,-7l4944,70r-11,-4l4921,66r-13,l4897,70r-10,5l4877,82r-6,9l4865,101r-3,11l4861,125r,7l4862,139r3,7l4867,152r4,5l4876,162r5,5l4887,171xm4921,87r7,2l4934,90r7,4l4947,99r5,5l4954,110r3,7l4958,125r-1,7l4954,140r-2,6l4947,151r-6,5l4934,158r-6,3l4921,162r-8,-1l4906,158r-6,-2l4895,151r-5,-6l4886,139r-3,-7l4883,124r2,-7l4886,110r4,-6l4895,99r5,-5l4906,90r7,-1l4921,87xm4920,182r8,1l4936,186r7,4l4949,195r5,5l4958,207r3,8l4961,223r,9l4958,239r-4,7l4949,252r-6,5l4936,261r-8,2l4920,264r-9,-1l4903,261r-6,-4l4891,252r-5,-6l4882,239r-2,-8l4878,222r2,-7l4882,207r4,-7l4891,195r6,-5l4903,186r9,-3l4920,182xm5090,91r,192l5114,283r,-214l5067,69r-13,22l5090,91xm5333,337r24,l5357,69r-24,l5333,337xm5587,91r,192l5611,283r,-214l5565,69r-13,22l5587,91xm5770,66r-7,l5755,68r-7,2l5741,74r-7,5l5728,84r-6,6l5717,97r-5,8l5707,114r-4,8l5701,132r-3,10l5696,152r-2,11l5694,175r,11l5696,197r1,10l5699,217r3,10l5706,236r3,8l5714,252r5,7l5726,267r7,5l5739,277r8,4l5755,284r8,2l5770,287r8,-1l5787,284r7,-3l5802,277r6,-4l5814,267r6,-6l5827,253r4,-7l5835,237r4,-9l5841,218r3,-10l5845,197r1,-10l5848,176r-2,-13l5845,152r-1,-10l5841,132r-3,-10l5834,114r-4,-9l5825,97r-5,-7l5814,84r-6,-5l5802,74r-8,-4l5787,68r-8,-2l5770,66xm5770,87r7,l5782,89r5,2l5792,94r5,3l5800,102r5,5l5809,112r6,14l5820,141r3,16l5824,176r-1,17l5820,211r-5,15l5808,238r-4,6l5800,249r-3,4l5792,257r-5,4l5782,262r-5,1l5770,264r-5,l5759,262r-5,-1l5749,258r-5,-4l5741,249r-4,-5l5733,239r-6,-13l5722,211r-4,-18l5718,176r,-19l5722,141r5,-15l5733,112r4,-5l5741,102r5,-5l5749,94r5,-3l5759,89r6,-2l5770,87xm5949,66r-9,l5932,68r-7,2l5917,74r-6,5l5905,84r-6,6l5894,97r-5,8l5885,114r-5,8l5878,132r-3,10l5873,152r-2,11l5871,175r,11l5873,197r1,10l5876,217r3,10l5883,236r5,8l5891,252r7,7l5904,267r6,5l5917,277r8,4l5932,284r8,2l5949,287r7,-1l5964,284r7,-3l5978,277r7,-4l5992,267r6,-6l6003,253r5,-7l6012,237r4,-9l6020,218r1,-10l6023,197r2,-10l6025,176r,-13l6023,152r-2,-10l6018,132r-2,-10l6012,114r-5,-9l6002,97r-5,-7l5991,84r-6,-5l5978,74r-7,-4l5964,68r-8,-2l5949,66xm5947,87r7,l5959,89r5,2l5969,94r5,3l5978,102r4,5l5986,112r6,14l5997,141r3,16l6001,176r-1,17l5997,211r-5,15l5986,238r-4,6l5977,249r-3,4l5969,257r-5,4l5959,262r-5,1l5949,264r-7,l5937,262r-5,-1l5927,258r-5,-4l5917,249r-3,-5l5910,239r-6,-13l5899,211r-3,-18l5895,176r1,-19l5899,141r5,-15l5910,112r4,-5l5917,102r5,-5l5927,94r5,-3l5937,89r5,-2l5947,87xm6174,171r-7,5l6160,181r-6,5l6150,192r-3,8l6144,207r-1,8l6142,223r1,8l6143,237r2,6l6147,248r6,11l6160,268r10,8l6182,282r12,4l6208,287r12,-1l6233,282r11,-6l6254,268r7,-9l6266,248r3,-6l6270,236r1,-7l6271,223r,-8l6270,207r-4,-7l6264,192r-5,-6l6254,181r-6,-5l6240,171r6,-4l6251,163r5,-6l6260,152r4,-7l6265,139r3,-8l6268,125r-2,-13l6263,101r-5,-10l6250,82r-9,-7l6231,70r-11,-4l6208,66r-13,l6184,70r-10,5l6165,82r-7,9l6152,101r-3,11l6148,125r,7l6149,139r3,7l6154,152r4,5l6163,162r5,5l6174,171xm6208,87r7,2l6221,90r7,4l6234,99r5,5l6241,110r3,7l6245,125r-1,7l6241,140r-2,6l6234,151r-6,5l6221,158r-6,3l6208,162r-8,-1l6193,158r-6,-2l6182,151r-5,-6l6173,139r-1,-7l6170,124r2,-7l6173,110r4,-6l6182,99r5,-5l6193,90r7,-1l6208,87xm6206,182r9,1l6223,186r7,4l6236,195r5,5l6245,207r3,8l6249,223r-1,9l6245,239r-4,7l6236,252r-6,5l6223,261r-8,2l6206,264r-7,-1l6190,261r-6,-4l6178,252r-5,-6l6169,239r-2,-8l6165,222r2,-7l6169,207r4,-7l6178,195r6,-5l6190,186r9,-3l6206,182xm6356,261r44,-50l6413,196r10,-13l6431,172r6,-10l6442,153r2,-7l6446,137r,-8l6446,122r-2,-6l6443,110r-2,-6l6434,94r-7,-10l6417,76r-11,-5l6400,69r-7,-1l6387,66r-7,l6371,66r-8,2l6355,70r-8,4l6341,77r-6,5l6329,89r-5,6l6320,102r-3,8l6315,120r-1,11l6337,131r2,-7l6340,116r1,-5l6345,106r2,-4l6351,99r4,-4l6360,92r3,-2l6370,89r5,-2l6380,87r8,2l6397,91r8,4l6411,100r5,5l6420,112r2,8l6423,129r-1,6l6421,141r-3,6l6415,155r-12,16l6386,192r-77,91l6446,283r,-22l6356,261xm6681,190r21,l6717,188r14,-3l6736,182r6,-2l6747,177r5,-4l6756,168r4,-3l6762,160r3,-5l6767,148r1,-6l6770,136r,-7l6770,122r-2,-6l6767,110r-2,-6l6762,99r-4,-7l6755,89r-5,-5l6745,80r-5,-3l6735,75r-6,-2l6714,70r-18,-1l6657,69r,214l6681,283r,-93xm6681,167r,-76l6699,91r12,l6720,94r9,2l6735,101r5,5l6743,112r3,9l6746,129r,8l6743,145r-3,7l6735,157r-8,5l6720,165r-9,2l6700,167r-19,xm6795,150r,133l6817,283r,-71l6817,202r1,-9l6819,186r3,-5l6826,176r5,-4l6837,170r6,-2l6849,170r8,2l6868,152r-6,-2l6857,147r-5,l6847,146r-8,1l6832,150r-6,6l6817,165r,-15l6795,150xm6983,150r,18l6978,163r-5,-5l6968,155r-7,-3l6955,150r-6,-3l6943,147r-6,-1l6929,147r-6,l6917,150r-7,2l6905,155r-5,3l6895,162r-5,4l6887,171r-4,5l6881,182r-3,6l6874,201r-1,15l6873,223r1,8l6876,237r2,7l6881,251r2,5l6887,262r3,5l6895,271r5,5l6905,278r7,4l6917,283r6,3l6930,287r7,l6944,287r6,-1l6957,283r4,-2l6968,278r5,-4l6978,269r5,-5l6983,283r22,l7005,150r-22,xm6940,167r9,1l6958,171r7,4l6971,181r5,7l6981,196r3,10l6984,216r,11l6981,236r-5,8l6971,252r-6,6l6958,262r-9,2l6939,266r-9,-2l6922,262r-8,-4l6908,252r-5,-8l6899,236r-2,-10l6895,216r2,-10l6899,196r4,-8l6909,181r6,-5l6923,171r7,-3l6940,167xm7046,49r,234l7069,283r,-67l7069,206r1,-9l7071,190r3,-7l7079,177r6,-5l7094,168r8,-1l7110,168r5,2l7120,172r3,4l7126,181r2,5l7130,193r,9l7130,283r23,l7153,201r-1,-13l7151,180r-3,-8l7145,165r-3,-4l7138,157r-5,-2l7130,152r-5,-2l7118,148r-5,-1l7107,147r-11,l7086,151r-9,6l7069,166r,-117l7046,49xm7295,150r,18l7290,163r-6,-5l7279,155r-5,-3l7268,150r-6,-3l7256,147r-8,-1l7242,147r-6,l7229,150r-6,2l7217,155r-5,3l7207,162r-4,4l7199,171r-3,5l7192,182r-3,6l7186,201r-1,15l7186,223r,8l7187,237r2,7l7192,251r4,5l7199,262r4,5l7207,271r5,5l7218,278r5,4l7229,283r7,3l7242,287r7,l7256,287r6,-1l7268,283r6,-2l7279,278r6,-4l7290,269r5,-5l7295,283r23,l7318,150r-23,xm7252,167r10,1l7270,171r8,4l7284,181r5,7l7293,196r2,10l7297,216r-2,11l7293,236r-4,8l7284,252r-6,6l7270,262r-8,2l7252,266r-9,-2l7234,262r-7,-4l7221,252r-5,-8l7212,236r-3,-10l7208,216r1,-10l7212,196r4,-8l7221,181r6,-5l7234,171r9,-3l7252,167xm7501,91r,192l7525,283r,-214l7477,69r-12,22l7501,91xm7684,66r-7,l7668,68r-8,2l7654,74r-7,5l7640,84r-4,6l7629,97r-5,8l7621,114r-4,8l7613,132r-2,10l7609,152r-1,11l7607,175r1,11l7608,197r3,10l7612,217r4,10l7619,236r4,8l7628,252r5,7l7639,267r6,5l7653,277r7,4l7668,284r9,2l7684,287r8,-1l7699,284r8,-3l7714,277r7,-4l7728,267r6,-6l7739,253r5,-7l7748,237r3,-9l7755,218r3,-10l7759,197r1,-10l7760,176r,-13l7759,152r-3,-10l7754,132r-3,-10l7748,114r-5,-9l7739,97r-6,-7l7728,84r-7,-5l7714,74r-6,-4l7700,68r-8,-2l7684,66xm7684,87r5,l7694,89r6,2l7705,94r4,3l7714,102r4,5l7721,112r7,14l7733,141r3,16l7736,176r,17l7733,211r-5,15l7721,238r-3,6l7714,249r-5,4l7705,257r-5,4l7695,262r-6,1l7684,264r-6,l7673,262r-5,-1l7663,258r-5,-4l7653,249r-4,-5l7645,239r-6,-13l7634,211r-2,-18l7631,176r1,-19l7634,141r5,-15l7645,112r4,-5l7654,102r4,-5l7663,94r5,-3l7673,89r5,-2l7684,87xe" fillcolor="#0071bc" stroked="f">
            <v:path arrowok="t" o:connecttype="custom" o:connectlocs="76,139;55,44;102,94;164,111;202,114;191,96;444,78;412,134;463,86;531,144;528,84;688,83;648,127;710,75;784,81;783,109;1022,75;1068,41;1160,74;1181,88;1233,78;1271,98;1633,82;1633,135;1729,141;1719,179;1817,73;1824,84;1893,74;1906,84;1995,76;2001,122;2043,74;2047,144;2097,78;2135,98;2180,142;2220,142;2247,94;2352,91;2434,93;2486,46;2443,70;2460,91;2857,126;2891,45;2880,45;3004,123;2987,127;3080,134;3076,51;3103,91;3223,61;3212,65;3341,95;3409,75;3479,142;3523,142;3640,78;3648,142;3751,46;3876,114;3850,131" o:connectangles="0,0,0,0,0,0,0,0,0,0,0,0,0,0,0,0,0,0,0,0,0,0,0,0,0,0,0,0,0,0,0,0,0,0,0,0,0,0,0,0,0,0,0,0,0,0,0,0,0,0,0,0,0,0,0,0,0,0,0,0,0,0,0"/>
            <o:lock v:ext="edit" verticies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282"/>
    <w:multiLevelType w:val="hybridMultilevel"/>
    <w:tmpl w:val="E7B8FB48"/>
    <w:lvl w:ilvl="0" w:tplc="029ED5CE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44A3F"/>
    <w:multiLevelType w:val="hybridMultilevel"/>
    <w:tmpl w:val="2998F3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D20E7"/>
    <w:multiLevelType w:val="hybridMultilevel"/>
    <w:tmpl w:val="707EE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617C9"/>
    <w:multiLevelType w:val="hybridMultilevel"/>
    <w:tmpl w:val="0E7E6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F5679"/>
    <w:multiLevelType w:val="hybridMultilevel"/>
    <w:tmpl w:val="9A540D22"/>
    <w:lvl w:ilvl="0" w:tplc="6AD6FD00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562AF"/>
    <w:multiLevelType w:val="hybridMultilevel"/>
    <w:tmpl w:val="DAF8E0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50EBA"/>
    <w:multiLevelType w:val="hybridMultilevel"/>
    <w:tmpl w:val="3A16D880"/>
    <w:lvl w:ilvl="0" w:tplc="91B2DE56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B32BDF"/>
    <w:multiLevelType w:val="hybridMultilevel"/>
    <w:tmpl w:val="9BE08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12FAB"/>
    <w:multiLevelType w:val="hybridMultilevel"/>
    <w:tmpl w:val="D8B645E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DB6D18"/>
    <w:multiLevelType w:val="hybridMultilevel"/>
    <w:tmpl w:val="970AD6EC"/>
    <w:lvl w:ilvl="0" w:tplc="1728D59E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77DBE"/>
    <w:multiLevelType w:val="hybridMultilevel"/>
    <w:tmpl w:val="656407A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1"/>
  </w:num>
  <w:num w:numId="9">
    <w:abstractNumId w:val="5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3314">
      <o:colormru v:ext="edit" colors="#0071bc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71A12"/>
    <w:rsid w:val="000009C6"/>
    <w:rsid w:val="0000169D"/>
    <w:rsid w:val="0000187B"/>
    <w:rsid w:val="000039F4"/>
    <w:rsid w:val="00005136"/>
    <w:rsid w:val="0000554F"/>
    <w:rsid w:val="00007FD5"/>
    <w:rsid w:val="000101F9"/>
    <w:rsid w:val="00010356"/>
    <w:rsid w:val="00012AD1"/>
    <w:rsid w:val="00013E5C"/>
    <w:rsid w:val="00013EC0"/>
    <w:rsid w:val="00014B0F"/>
    <w:rsid w:val="00015141"/>
    <w:rsid w:val="00016037"/>
    <w:rsid w:val="00016529"/>
    <w:rsid w:val="00017603"/>
    <w:rsid w:val="000229D8"/>
    <w:rsid w:val="00023676"/>
    <w:rsid w:val="0002486D"/>
    <w:rsid w:val="00025005"/>
    <w:rsid w:val="00025337"/>
    <w:rsid w:val="00025C9C"/>
    <w:rsid w:val="00026721"/>
    <w:rsid w:val="00026AF6"/>
    <w:rsid w:val="000271B2"/>
    <w:rsid w:val="0002797B"/>
    <w:rsid w:val="000306C4"/>
    <w:rsid w:val="00031D0D"/>
    <w:rsid w:val="000337CB"/>
    <w:rsid w:val="000354C7"/>
    <w:rsid w:val="00035FB8"/>
    <w:rsid w:val="000366F1"/>
    <w:rsid w:val="000369F8"/>
    <w:rsid w:val="000372C8"/>
    <w:rsid w:val="00037364"/>
    <w:rsid w:val="000406D6"/>
    <w:rsid w:val="00042D16"/>
    <w:rsid w:val="0004353F"/>
    <w:rsid w:val="00043A45"/>
    <w:rsid w:val="00043BF4"/>
    <w:rsid w:val="0004459C"/>
    <w:rsid w:val="00046490"/>
    <w:rsid w:val="0004662E"/>
    <w:rsid w:val="00047CDE"/>
    <w:rsid w:val="00047DA5"/>
    <w:rsid w:val="00050BB7"/>
    <w:rsid w:val="00054543"/>
    <w:rsid w:val="00054BCF"/>
    <w:rsid w:val="000560D6"/>
    <w:rsid w:val="000615F6"/>
    <w:rsid w:val="000634C3"/>
    <w:rsid w:val="000637C9"/>
    <w:rsid w:val="00064D18"/>
    <w:rsid w:val="00065E31"/>
    <w:rsid w:val="000661D0"/>
    <w:rsid w:val="00066F00"/>
    <w:rsid w:val="00066FBC"/>
    <w:rsid w:val="00067A50"/>
    <w:rsid w:val="00070A78"/>
    <w:rsid w:val="0007276A"/>
    <w:rsid w:val="000736AA"/>
    <w:rsid w:val="00073751"/>
    <w:rsid w:val="00073816"/>
    <w:rsid w:val="00073DD5"/>
    <w:rsid w:val="00075225"/>
    <w:rsid w:val="00076DC2"/>
    <w:rsid w:val="000805D2"/>
    <w:rsid w:val="00081057"/>
    <w:rsid w:val="000831CD"/>
    <w:rsid w:val="000835DB"/>
    <w:rsid w:val="000843A5"/>
    <w:rsid w:val="00087073"/>
    <w:rsid w:val="000905BD"/>
    <w:rsid w:val="00090B9B"/>
    <w:rsid w:val="0009170F"/>
    <w:rsid w:val="00091DF6"/>
    <w:rsid w:val="00091FAA"/>
    <w:rsid w:val="0009293A"/>
    <w:rsid w:val="00093E28"/>
    <w:rsid w:val="00094C4B"/>
    <w:rsid w:val="00095ABE"/>
    <w:rsid w:val="00095F61"/>
    <w:rsid w:val="00096B9D"/>
    <w:rsid w:val="00096F35"/>
    <w:rsid w:val="000972E5"/>
    <w:rsid w:val="000A3686"/>
    <w:rsid w:val="000A39EA"/>
    <w:rsid w:val="000A45BC"/>
    <w:rsid w:val="000A4A52"/>
    <w:rsid w:val="000A54A8"/>
    <w:rsid w:val="000A5C3A"/>
    <w:rsid w:val="000A731C"/>
    <w:rsid w:val="000A7C8F"/>
    <w:rsid w:val="000B0569"/>
    <w:rsid w:val="000B08D5"/>
    <w:rsid w:val="000B0F18"/>
    <w:rsid w:val="000B1CC4"/>
    <w:rsid w:val="000B288E"/>
    <w:rsid w:val="000B297B"/>
    <w:rsid w:val="000B2A58"/>
    <w:rsid w:val="000B3167"/>
    <w:rsid w:val="000B5777"/>
    <w:rsid w:val="000B6F63"/>
    <w:rsid w:val="000C0086"/>
    <w:rsid w:val="000C181E"/>
    <w:rsid w:val="000C2F6A"/>
    <w:rsid w:val="000C332B"/>
    <w:rsid w:val="000C39CE"/>
    <w:rsid w:val="000C40C8"/>
    <w:rsid w:val="000C4D64"/>
    <w:rsid w:val="000C50F5"/>
    <w:rsid w:val="000C557C"/>
    <w:rsid w:val="000C5654"/>
    <w:rsid w:val="000C56B1"/>
    <w:rsid w:val="000C6070"/>
    <w:rsid w:val="000C62DA"/>
    <w:rsid w:val="000C6C6D"/>
    <w:rsid w:val="000D0B09"/>
    <w:rsid w:val="000D1B52"/>
    <w:rsid w:val="000D7663"/>
    <w:rsid w:val="000D76C3"/>
    <w:rsid w:val="000D77E7"/>
    <w:rsid w:val="000D7919"/>
    <w:rsid w:val="000E0C86"/>
    <w:rsid w:val="000E0E0C"/>
    <w:rsid w:val="000E1691"/>
    <w:rsid w:val="000E3DA8"/>
    <w:rsid w:val="000E7DC0"/>
    <w:rsid w:val="000F11FD"/>
    <w:rsid w:val="000F1EBA"/>
    <w:rsid w:val="000F28C2"/>
    <w:rsid w:val="000F429F"/>
    <w:rsid w:val="000F5248"/>
    <w:rsid w:val="000F57CD"/>
    <w:rsid w:val="000F5B28"/>
    <w:rsid w:val="000F7A2B"/>
    <w:rsid w:val="00104ADF"/>
    <w:rsid w:val="0010532B"/>
    <w:rsid w:val="001056D6"/>
    <w:rsid w:val="001056E0"/>
    <w:rsid w:val="00105CE7"/>
    <w:rsid w:val="00105FC3"/>
    <w:rsid w:val="0010778C"/>
    <w:rsid w:val="00107BEF"/>
    <w:rsid w:val="00107BF8"/>
    <w:rsid w:val="001147BC"/>
    <w:rsid w:val="001151A1"/>
    <w:rsid w:val="00115AAB"/>
    <w:rsid w:val="00116DCC"/>
    <w:rsid w:val="00120289"/>
    <w:rsid w:val="00121BA5"/>
    <w:rsid w:val="0012665B"/>
    <w:rsid w:val="00126C09"/>
    <w:rsid w:val="00126E75"/>
    <w:rsid w:val="00127216"/>
    <w:rsid w:val="00130413"/>
    <w:rsid w:val="00133183"/>
    <w:rsid w:val="0013478D"/>
    <w:rsid w:val="001367A2"/>
    <w:rsid w:val="001404AB"/>
    <w:rsid w:val="001406E5"/>
    <w:rsid w:val="001417D4"/>
    <w:rsid w:val="00141C12"/>
    <w:rsid w:val="00142071"/>
    <w:rsid w:val="001513F0"/>
    <w:rsid w:val="001527F7"/>
    <w:rsid w:val="00152F3E"/>
    <w:rsid w:val="0015335D"/>
    <w:rsid w:val="00155A2E"/>
    <w:rsid w:val="001574E0"/>
    <w:rsid w:val="00157D22"/>
    <w:rsid w:val="00161DD1"/>
    <w:rsid w:val="00163FF2"/>
    <w:rsid w:val="001658A9"/>
    <w:rsid w:val="00166971"/>
    <w:rsid w:val="001676B5"/>
    <w:rsid w:val="0017005A"/>
    <w:rsid w:val="0017231D"/>
    <w:rsid w:val="00174DB9"/>
    <w:rsid w:val="00174ECD"/>
    <w:rsid w:val="00175602"/>
    <w:rsid w:val="00175ABA"/>
    <w:rsid w:val="0017613A"/>
    <w:rsid w:val="001762BC"/>
    <w:rsid w:val="001762F0"/>
    <w:rsid w:val="00176ABF"/>
    <w:rsid w:val="00177E53"/>
    <w:rsid w:val="001810DC"/>
    <w:rsid w:val="00181474"/>
    <w:rsid w:val="001821CB"/>
    <w:rsid w:val="00183583"/>
    <w:rsid w:val="00184F2D"/>
    <w:rsid w:val="00186455"/>
    <w:rsid w:val="00187A72"/>
    <w:rsid w:val="00191DC9"/>
    <w:rsid w:val="001925F7"/>
    <w:rsid w:val="001973D8"/>
    <w:rsid w:val="001A1CC6"/>
    <w:rsid w:val="001A243C"/>
    <w:rsid w:val="001A4495"/>
    <w:rsid w:val="001A59BF"/>
    <w:rsid w:val="001A6597"/>
    <w:rsid w:val="001A6CA8"/>
    <w:rsid w:val="001B144B"/>
    <w:rsid w:val="001B3B8C"/>
    <w:rsid w:val="001B46F1"/>
    <w:rsid w:val="001B5192"/>
    <w:rsid w:val="001B53A6"/>
    <w:rsid w:val="001B565F"/>
    <w:rsid w:val="001B607F"/>
    <w:rsid w:val="001B670B"/>
    <w:rsid w:val="001B7F8B"/>
    <w:rsid w:val="001C0149"/>
    <w:rsid w:val="001C15CB"/>
    <w:rsid w:val="001C389D"/>
    <w:rsid w:val="001C5D60"/>
    <w:rsid w:val="001C725A"/>
    <w:rsid w:val="001C79E7"/>
    <w:rsid w:val="001D021C"/>
    <w:rsid w:val="001D0356"/>
    <w:rsid w:val="001D0A43"/>
    <w:rsid w:val="001D1E3C"/>
    <w:rsid w:val="001D33B9"/>
    <w:rsid w:val="001D369A"/>
    <w:rsid w:val="001D48D0"/>
    <w:rsid w:val="001D4FEA"/>
    <w:rsid w:val="001D50EF"/>
    <w:rsid w:val="001D715F"/>
    <w:rsid w:val="001E0552"/>
    <w:rsid w:val="001E0D0E"/>
    <w:rsid w:val="001E1A07"/>
    <w:rsid w:val="001E20CD"/>
    <w:rsid w:val="001E6219"/>
    <w:rsid w:val="001E62CA"/>
    <w:rsid w:val="001E692C"/>
    <w:rsid w:val="001E739D"/>
    <w:rsid w:val="001E7FB6"/>
    <w:rsid w:val="001F0201"/>
    <w:rsid w:val="001F1AD1"/>
    <w:rsid w:val="001F4005"/>
    <w:rsid w:val="001F42FB"/>
    <w:rsid w:val="001F4FE8"/>
    <w:rsid w:val="001F625F"/>
    <w:rsid w:val="001F6825"/>
    <w:rsid w:val="001F6C45"/>
    <w:rsid w:val="001F6F08"/>
    <w:rsid w:val="002008CB"/>
    <w:rsid w:val="00200AE7"/>
    <w:rsid w:val="002012B8"/>
    <w:rsid w:val="0020196F"/>
    <w:rsid w:val="00202C80"/>
    <w:rsid w:val="00204090"/>
    <w:rsid w:val="0020460D"/>
    <w:rsid w:val="002051B9"/>
    <w:rsid w:val="00205E51"/>
    <w:rsid w:val="002064F7"/>
    <w:rsid w:val="002070FB"/>
    <w:rsid w:val="002072EA"/>
    <w:rsid w:val="00207400"/>
    <w:rsid w:val="0020781C"/>
    <w:rsid w:val="00207EBC"/>
    <w:rsid w:val="0021004F"/>
    <w:rsid w:val="0021164E"/>
    <w:rsid w:val="0021176E"/>
    <w:rsid w:val="00213729"/>
    <w:rsid w:val="00213B68"/>
    <w:rsid w:val="00213BA3"/>
    <w:rsid w:val="0022181C"/>
    <w:rsid w:val="00225D0C"/>
    <w:rsid w:val="00227977"/>
    <w:rsid w:val="00227DC1"/>
    <w:rsid w:val="002302AD"/>
    <w:rsid w:val="002303AD"/>
    <w:rsid w:val="002308FB"/>
    <w:rsid w:val="00230FF1"/>
    <w:rsid w:val="0023291C"/>
    <w:rsid w:val="00233DE2"/>
    <w:rsid w:val="002364A7"/>
    <w:rsid w:val="0023698B"/>
    <w:rsid w:val="002404EF"/>
    <w:rsid w:val="002406FA"/>
    <w:rsid w:val="002428E4"/>
    <w:rsid w:val="00243353"/>
    <w:rsid w:val="00243784"/>
    <w:rsid w:val="00244AF7"/>
    <w:rsid w:val="0024557D"/>
    <w:rsid w:val="00245B04"/>
    <w:rsid w:val="00245CE3"/>
    <w:rsid w:val="002460B9"/>
    <w:rsid w:val="00247ADF"/>
    <w:rsid w:val="00251B2F"/>
    <w:rsid w:val="002564A8"/>
    <w:rsid w:val="002573A5"/>
    <w:rsid w:val="002601B3"/>
    <w:rsid w:val="002605E0"/>
    <w:rsid w:val="002608F6"/>
    <w:rsid w:val="00261A4E"/>
    <w:rsid w:val="00262715"/>
    <w:rsid w:val="00264FFA"/>
    <w:rsid w:val="0026667C"/>
    <w:rsid w:val="00267703"/>
    <w:rsid w:val="002706FF"/>
    <w:rsid w:val="00270B5C"/>
    <w:rsid w:val="00271D84"/>
    <w:rsid w:val="00272AA7"/>
    <w:rsid w:val="00273B5F"/>
    <w:rsid w:val="00276B6F"/>
    <w:rsid w:val="00277354"/>
    <w:rsid w:val="0028072D"/>
    <w:rsid w:val="002811E7"/>
    <w:rsid w:val="002831E0"/>
    <w:rsid w:val="00285ADB"/>
    <w:rsid w:val="00287673"/>
    <w:rsid w:val="00290ECB"/>
    <w:rsid w:val="0029194C"/>
    <w:rsid w:val="00292918"/>
    <w:rsid w:val="00292A78"/>
    <w:rsid w:val="00293F6F"/>
    <w:rsid w:val="002953CC"/>
    <w:rsid w:val="00295AE8"/>
    <w:rsid w:val="00295C74"/>
    <w:rsid w:val="00296D9B"/>
    <w:rsid w:val="002A0608"/>
    <w:rsid w:val="002A1A05"/>
    <w:rsid w:val="002A2906"/>
    <w:rsid w:val="002A437D"/>
    <w:rsid w:val="002A4BE3"/>
    <w:rsid w:val="002A4E5B"/>
    <w:rsid w:val="002A74C2"/>
    <w:rsid w:val="002B0E3A"/>
    <w:rsid w:val="002B0F0D"/>
    <w:rsid w:val="002B2E47"/>
    <w:rsid w:val="002B3A06"/>
    <w:rsid w:val="002B5513"/>
    <w:rsid w:val="002B5AA9"/>
    <w:rsid w:val="002B5D14"/>
    <w:rsid w:val="002B60D4"/>
    <w:rsid w:val="002C0B18"/>
    <w:rsid w:val="002C0EF6"/>
    <w:rsid w:val="002C2B51"/>
    <w:rsid w:val="002C43A0"/>
    <w:rsid w:val="002C446D"/>
    <w:rsid w:val="002C64A6"/>
    <w:rsid w:val="002D19AF"/>
    <w:rsid w:val="002D20A7"/>
    <w:rsid w:val="002D21E0"/>
    <w:rsid w:val="002D3D17"/>
    <w:rsid w:val="002D471F"/>
    <w:rsid w:val="002D4DDF"/>
    <w:rsid w:val="002D5026"/>
    <w:rsid w:val="002D5B2B"/>
    <w:rsid w:val="002D5B90"/>
    <w:rsid w:val="002D6654"/>
    <w:rsid w:val="002D6A6C"/>
    <w:rsid w:val="002E1298"/>
    <w:rsid w:val="002E3509"/>
    <w:rsid w:val="002E7DBC"/>
    <w:rsid w:val="002F1C7E"/>
    <w:rsid w:val="002F2948"/>
    <w:rsid w:val="002F2A08"/>
    <w:rsid w:val="002F59B4"/>
    <w:rsid w:val="002F5F77"/>
    <w:rsid w:val="002F7493"/>
    <w:rsid w:val="002F79E0"/>
    <w:rsid w:val="0030024B"/>
    <w:rsid w:val="00301428"/>
    <w:rsid w:val="00301678"/>
    <w:rsid w:val="00304905"/>
    <w:rsid w:val="00304D8B"/>
    <w:rsid w:val="00304F2C"/>
    <w:rsid w:val="00306CB5"/>
    <w:rsid w:val="00307923"/>
    <w:rsid w:val="00316BE9"/>
    <w:rsid w:val="00323983"/>
    <w:rsid w:val="00323BD4"/>
    <w:rsid w:val="003271AF"/>
    <w:rsid w:val="003301A3"/>
    <w:rsid w:val="00333502"/>
    <w:rsid w:val="00334874"/>
    <w:rsid w:val="003355EA"/>
    <w:rsid w:val="00336520"/>
    <w:rsid w:val="003367B7"/>
    <w:rsid w:val="00340240"/>
    <w:rsid w:val="0034038F"/>
    <w:rsid w:val="003417CB"/>
    <w:rsid w:val="003419D7"/>
    <w:rsid w:val="003424EA"/>
    <w:rsid w:val="00343173"/>
    <w:rsid w:val="00343A06"/>
    <w:rsid w:val="00343D33"/>
    <w:rsid w:val="00344D08"/>
    <w:rsid w:val="00345972"/>
    <w:rsid w:val="00345988"/>
    <w:rsid w:val="00345AB5"/>
    <w:rsid w:val="00345DC8"/>
    <w:rsid w:val="00345FC3"/>
    <w:rsid w:val="003463DB"/>
    <w:rsid w:val="003464C9"/>
    <w:rsid w:val="00346BE7"/>
    <w:rsid w:val="00347455"/>
    <w:rsid w:val="003479B6"/>
    <w:rsid w:val="00350174"/>
    <w:rsid w:val="00350BB9"/>
    <w:rsid w:val="003515A9"/>
    <w:rsid w:val="003519EA"/>
    <w:rsid w:val="0035205F"/>
    <w:rsid w:val="00352AF7"/>
    <w:rsid w:val="003530C7"/>
    <w:rsid w:val="003532C9"/>
    <w:rsid w:val="003563D5"/>
    <w:rsid w:val="003577A3"/>
    <w:rsid w:val="003615BA"/>
    <w:rsid w:val="003618ED"/>
    <w:rsid w:val="00364140"/>
    <w:rsid w:val="00364C08"/>
    <w:rsid w:val="003655B4"/>
    <w:rsid w:val="0036615A"/>
    <w:rsid w:val="0036777B"/>
    <w:rsid w:val="00371A5B"/>
    <w:rsid w:val="00371D62"/>
    <w:rsid w:val="00371E14"/>
    <w:rsid w:val="00372BB0"/>
    <w:rsid w:val="00374438"/>
    <w:rsid w:val="00374B11"/>
    <w:rsid w:val="0037518C"/>
    <w:rsid w:val="003766F2"/>
    <w:rsid w:val="0038282A"/>
    <w:rsid w:val="00384CAD"/>
    <w:rsid w:val="00384DC5"/>
    <w:rsid w:val="003920C6"/>
    <w:rsid w:val="00393443"/>
    <w:rsid w:val="003946BB"/>
    <w:rsid w:val="00395CAA"/>
    <w:rsid w:val="00397314"/>
    <w:rsid w:val="00397580"/>
    <w:rsid w:val="003A068E"/>
    <w:rsid w:val="003A0BC2"/>
    <w:rsid w:val="003A1794"/>
    <w:rsid w:val="003A2A04"/>
    <w:rsid w:val="003A2BF9"/>
    <w:rsid w:val="003A3A3C"/>
    <w:rsid w:val="003A3E4B"/>
    <w:rsid w:val="003A45C8"/>
    <w:rsid w:val="003A4B8D"/>
    <w:rsid w:val="003A58B9"/>
    <w:rsid w:val="003A5DB0"/>
    <w:rsid w:val="003A632F"/>
    <w:rsid w:val="003A6C33"/>
    <w:rsid w:val="003A7397"/>
    <w:rsid w:val="003B3590"/>
    <w:rsid w:val="003B7053"/>
    <w:rsid w:val="003C002E"/>
    <w:rsid w:val="003C066F"/>
    <w:rsid w:val="003C0FAD"/>
    <w:rsid w:val="003C2DCF"/>
    <w:rsid w:val="003C2F27"/>
    <w:rsid w:val="003C4354"/>
    <w:rsid w:val="003C5729"/>
    <w:rsid w:val="003C6493"/>
    <w:rsid w:val="003C6B84"/>
    <w:rsid w:val="003C7755"/>
    <w:rsid w:val="003C7FE7"/>
    <w:rsid w:val="003D0499"/>
    <w:rsid w:val="003D0CBB"/>
    <w:rsid w:val="003D1A04"/>
    <w:rsid w:val="003D1E9F"/>
    <w:rsid w:val="003D205C"/>
    <w:rsid w:val="003D2109"/>
    <w:rsid w:val="003D2E11"/>
    <w:rsid w:val="003D3F88"/>
    <w:rsid w:val="003D48FF"/>
    <w:rsid w:val="003D5468"/>
    <w:rsid w:val="003D564A"/>
    <w:rsid w:val="003D5E0E"/>
    <w:rsid w:val="003D630A"/>
    <w:rsid w:val="003D67FE"/>
    <w:rsid w:val="003E1450"/>
    <w:rsid w:val="003E34AD"/>
    <w:rsid w:val="003E3969"/>
    <w:rsid w:val="003E3AC7"/>
    <w:rsid w:val="003E41F6"/>
    <w:rsid w:val="003E73C5"/>
    <w:rsid w:val="003F0764"/>
    <w:rsid w:val="003F1449"/>
    <w:rsid w:val="003F18F6"/>
    <w:rsid w:val="003F2002"/>
    <w:rsid w:val="003F2621"/>
    <w:rsid w:val="003F3676"/>
    <w:rsid w:val="003F381F"/>
    <w:rsid w:val="003F3E60"/>
    <w:rsid w:val="003F4BBA"/>
    <w:rsid w:val="003F4E2F"/>
    <w:rsid w:val="003F526A"/>
    <w:rsid w:val="003F5A59"/>
    <w:rsid w:val="00400965"/>
    <w:rsid w:val="00402342"/>
    <w:rsid w:val="00402AC8"/>
    <w:rsid w:val="0040330B"/>
    <w:rsid w:val="00403A41"/>
    <w:rsid w:val="00405244"/>
    <w:rsid w:val="004073BE"/>
    <w:rsid w:val="00411170"/>
    <w:rsid w:val="004112A2"/>
    <w:rsid w:val="004119E2"/>
    <w:rsid w:val="00412520"/>
    <w:rsid w:val="004148AF"/>
    <w:rsid w:val="00415766"/>
    <w:rsid w:val="00415D3B"/>
    <w:rsid w:val="004179DA"/>
    <w:rsid w:val="004235C6"/>
    <w:rsid w:val="00424010"/>
    <w:rsid w:val="0042571B"/>
    <w:rsid w:val="00425EC8"/>
    <w:rsid w:val="00426192"/>
    <w:rsid w:val="00426C2B"/>
    <w:rsid w:val="00431780"/>
    <w:rsid w:val="00432808"/>
    <w:rsid w:val="004342E0"/>
    <w:rsid w:val="00434CF6"/>
    <w:rsid w:val="004357AA"/>
    <w:rsid w:val="00435B05"/>
    <w:rsid w:val="00437185"/>
    <w:rsid w:val="00440C00"/>
    <w:rsid w:val="00441764"/>
    <w:rsid w:val="00441D51"/>
    <w:rsid w:val="0044352A"/>
    <w:rsid w:val="004436EE"/>
    <w:rsid w:val="00444B04"/>
    <w:rsid w:val="00444CD7"/>
    <w:rsid w:val="00444D27"/>
    <w:rsid w:val="004450BE"/>
    <w:rsid w:val="0044603A"/>
    <w:rsid w:val="004510F6"/>
    <w:rsid w:val="00451B18"/>
    <w:rsid w:val="00452326"/>
    <w:rsid w:val="00453C09"/>
    <w:rsid w:val="00455209"/>
    <w:rsid w:val="0045547F"/>
    <w:rsid w:val="0045702A"/>
    <w:rsid w:val="00457D03"/>
    <w:rsid w:val="00460E91"/>
    <w:rsid w:val="004614C5"/>
    <w:rsid w:val="004618B8"/>
    <w:rsid w:val="00461AA0"/>
    <w:rsid w:val="00462A30"/>
    <w:rsid w:val="004639E7"/>
    <w:rsid w:val="00463A27"/>
    <w:rsid w:val="0046500B"/>
    <w:rsid w:val="0046651C"/>
    <w:rsid w:val="00466DE3"/>
    <w:rsid w:val="00466EB2"/>
    <w:rsid w:val="00470150"/>
    <w:rsid w:val="0047074E"/>
    <w:rsid w:val="00471DA1"/>
    <w:rsid w:val="0047425C"/>
    <w:rsid w:val="00482324"/>
    <w:rsid w:val="00483995"/>
    <w:rsid w:val="00483F77"/>
    <w:rsid w:val="004841FE"/>
    <w:rsid w:val="004848A6"/>
    <w:rsid w:val="00485F72"/>
    <w:rsid w:val="004901EB"/>
    <w:rsid w:val="00490D67"/>
    <w:rsid w:val="0049109A"/>
    <w:rsid w:val="00491998"/>
    <w:rsid w:val="004920AD"/>
    <w:rsid w:val="00493CE5"/>
    <w:rsid w:val="00496585"/>
    <w:rsid w:val="004965EF"/>
    <w:rsid w:val="00497B49"/>
    <w:rsid w:val="004A0035"/>
    <w:rsid w:val="004A2478"/>
    <w:rsid w:val="004A2CE7"/>
    <w:rsid w:val="004A3D31"/>
    <w:rsid w:val="004A420A"/>
    <w:rsid w:val="004A470E"/>
    <w:rsid w:val="004A56BB"/>
    <w:rsid w:val="004A63C5"/>
    <w:rsid w:val="004A717D"/>
    <w:rsid w:val="004B13F6"/>
    <w:rsid w:val="004B148C"/>
    <w:rsid w:val="004B1B7A"/>
    <w:rsid w:val="004B4CE7"/>
    <w:rsid w:val="004B5573"/>
    <w:rsid w:val="004B6EA4"/>
    <w:rsid w:val="004B77DB"/>
    <w:rsid w:val="004C0869"/>
    <w:rsid w:val="004C1515"/>
    <w:rsid w:val="004C2936"/>
    <w:rsid w:val="004C47A6"/>
    <w:rsid w:val="004C7B18"/>
    <w:rsid w:val="004D05B3"/>
    <w:rsid w:val="004D0E67"/>
    <w:rsid w:val="004D5C28"/>
    <w:rsid w:val="004D760D"/>
    <w:rsid w:val="004D795B"/>
    <w:rsid w:val="004D7D62"/>
    <w:rsid w:val="004D7F29"/>
    <w:rsid w:val="004E1ECA"/>
    <w:rsid w:val="004E479E"/>
    <w:rsid w:val="004E4F50"/>
    <w:rsid w:val="004E67D0"/>
    <w:rsid w:val="004F1571"/>
    <w:rsid w:val="004F1C4D"/>
    <w:rsid w:val="004F32C4"/>
    <w:rsid w:val="004F3CA2"/>
    <w:rsid w:val="004F74BE"/>
    <w:rsid w:val="004F78E6"/>
    <w:rsid w:val="004F7B34"/>
    <w:rsid w:val="00501534"/>
    <w:rsid w:val="00501F7F"/>
    <w:rsid w:val="00502B31"/>
    <w:rsid w:val="00504D59"/>
    <w:rsid w:val="00504EE7"/>
    <w:rsid w:val="00506608"/>
    <w:rsid w:val="00506F39"/>
    <w:rsid w:val="00507129"/>
    <w:rsid w:val="00510383"/>
    <w:rsid w:val="00512D99"/>
    <w:rsid w:val="00513409"/>
    <w:rsid w:val="00515EDE"/>
    <w:rsid w:val="00517212"/>
    <w:rsid w:val="00517415"/>
    <w:rsid w:val="00517583"/>
    <w:rsid w:val="005205FF"/>
    <w:rsid w:val="00531459"/>
    <w:rsid w:val="00531698"/>
    <w:rsid w:val="00531BEE"/>
    <w:rsid w:val="00531C5C"/>
    <w:rsid w:val="00531DBB"/>
    <w:rsid w:val="005320B3"/>
    <w:rsid w:val="0053292B"/>
    <w:rsid w:val="00533957"/>
    <w:rsid w:val="00534D46"/>
    <w:rsid w:val="00536283"/>
    <w:rsid w:val="00536957"/>
    <w:rsid w:val="00540016"/>
    <w:rsid w:val="00540069"/>
    <w:rsid w:val="00540592"/>
    <w:rsid w:val="005413CB"/>
    <w:rsid w:val="005417C8"/>
    <w:rsid w:val="005417FC"/>
    <w:rsid w:val="00541FDB"/>
    <w:rsid w:val="005420E3"/>
    <w:rsid w:val="00542540"/>
    <w:rsid w:val="00543C32"/>
    <w:rsid w:val="005453FF"/>
    <w:rsid w:val="00545D85"/>
    <w:rsid w:val="00551912"/>
    <w:rsid w:val="0055326C"/>
    <w:rsid w:val="00553DAA"/>
    <w:rsid w:val="00554D45"/>
    <w:rsid w:val="00555FBC"/>
    <w:rsid w:val="0055688A"/>
    <w:rsid w:val="0056021C"/>
    <w:rsid w:val="005614A8"/>
    <w:rsid w:val="005620C2"/>
    <w:rsid w:val="0056453B"/>
    <w:rsid w:val="005646B3"/>
    <w:rsid w:val="0056482D"/>
    <w:rsid w:val="00570BB9"/>
    <w:rsid w:val="00571C1B"/>
    <w:rsid w:val="00572DD7"/>
    <w:rsid w:val="00573730"/>
    <w:rsid w:val="00574A38"/>
    <w:rsid w:val="00575E32"/>
    <w:rsid w:val="005777EA"/>
    <w:rsid w:val="00580665"/>
    <w:rsid w:val="00581722"/>
    <w:rsid w:val="00581B2F"/>
    <w:rsid w:val="00581C60"/>
    <w:rsid w:val="00581CE8"/>
    <w:rsid w:val="005839CB"/>
    <w:rsid w:val="00583AF9"/>
    <w:rsid w:val="00583F13"/>
    <w:rsid w:val="00584C21"/>
    <w:rsid w:val="00584E0B"/>
    <w:rsid w:val="00587A62"/>
    <w:rsid w:val="00590148"/>
    <w:rsid w:val="005914E5"/>
    <w:rsid w:val="005923CF"/>
    <w:rsid w:val="005927E3"/>
    <w:rsid w:val="00592E95"/>
    <w:rsid w:val="00594CF6"/>
    <w:rsid w:val="00594F5D"/>
    <w:rsid w:val="005A2155"/>
    <w:rsid w:val="005A38A9"/>
    <w:rsid w:val="005A45A9"/>
    <w:rsid w:val="005A56F7"/>
    <w:rsid w:val="005A62C7"/>
    <w:rsid w:val="005B08F9"/>
    <w:rsid w:val="005B1074"/>
    <w:rsid w:val="005B16C2"/>
    <w:rsid w:val="005B4D0C"/>
    <w:rsid w:val="005B4E3D"/>
    <w:rsid w:val="005B5E73"/>
    <w:rsid w:val="005B6F7F"/>
    <w:rsid w:val="005B76B3"/>
    <w:rsid w:val="005C05E6"/>
    <w:rsid w:val="005C16DB"/>
    <w:rsid w:val="005C267D"/>
    <w:rsid w:val="005C4E32"/>
    <w:rsid w:val="005C6B5C"/>
    <w:rsid w:val="005C6BAB"/>
    <w:rsid w:val="005C6D7C"/>
    <w:rsid w:val="005C6FBB"/>
    <w:rsid w:val="005D12A7"/>
    <w:rsid w:val="005D1902"/>
    <w:rsid w:val="005D27C9"/>
    <w:rsid w:val="005D3012"/>
    <w:rsid w:val="005D3280"/>
    <w:rsid w:val="005D3638"/>
    <w:rsid w:val="005D60B8"/>
    <w:rsid w:val="005D628D"/>
    <w:rsid w:val="005E0D5C"/>
    <w:rsid w:val="005E1C9A"/>
    <w:rsid w:val="005E4F25"/>
    <w:rsid w:val="005E5F32"/>
    <w:rsid w:val="005E68AE"/>
    <w:rsid w:val="005E779E"/>
    <w:rsid w:val="005E7CA7"/>
    <w:rsid w:val="005F13F2"/>
    <w:rsid w:val="005F21DE"/>
    <w:rsid w:val="005F4AE6"/>
    <w:rsid w:val="005F596B"/>
    <w:rsid w:val="005F66B6"/>
    <w:rsid w:val="005F699D"/>
    <w:rsid w:val="005F79FB"/>
    <w:rsid w:val="005F7F67"/>
    <w:rsid w:val="00600C81"/>
    <w:rsid w:val="006011E5"/>
    <w:rsid w:val="006019C3"/>
    <w:rsid w:val="0060308C"/>
    <w:rsid w:val="00603172"/>
    <w:rsid w:val="006039D2"/>
    <w:rsid w:val="00603C18"/>
    <w:rsid w:val="00604406"/>
    <w:rsid w:val="00605F4A"/>
    <w:rsid w:val="00606331"/>
    <w:rsid w:val="00607822"/>
    <w:rsid w:val="006103AA"/>
    <w:rsid w:val="00613BBF"/>
    <w:rsid w:val="00614AD4"/>
    <w:rsid w:val="00615352"/>
    <w:rsid w:val="00615DA0"/>
    <w:rsid w:val="00617918"/>
    <w:rsid w:val="00620F51"/>
    <w:rsid w:val="0062104A"/>
    <w:rsid w:val="00622B80"/>
    <w:rsid w:val="00622FCF"/>
    <w:rsid w:val="006236FA"/>
    <w:rsid w:val="00623EE0"/>
    <w:rsid w:val="00625307"/>
    <w:rsid w:val="0063075B"/>
    <w:rsid w:val="00630CCD"/>
    <w:rsid w:val="00630ED7"/>
    <w:rsid w:val="00631539"/>
    <w:rsid w:val="006318AC"/>
    <w:rsid w:val="00631A5F"/>
    <w:rsid w:val="006324D6"/>
    <w:rsid w:val="006336E1"/>
    <w:rsid w:val="00635D0F"/>
    <w:rsid w:val="00636DBF"/>
    <w:rsid w:val="00640B91"/>
    <w:rsid w:val="00641347"/>
    <w:rsid w:val="0064139A"/>
    <w:rsid w:val="0064214E"/>
    <w:rsid w:val="00642880"/>
    <w:rsid w:val="00644F50"/>
    <w:rsid w:val="006453D5"/>
    <w:rsid w:val="00645B98"/>
    <w:rsid w:val="00646D58"/>
    <w:rsid w:val="00650F96"/>
    <w:rsid w:val="0065105D"/>
    <w:rsid w:val="00653249"/>
    <w:rsid w:val="00654AE0"/>
    <w:rsid w:val="00655849"/>
    <w:rsid w:val="00656187"/>
    <w:rsid w:val="006576D1"/>
    <w:rsid w:val="00657BAC"/>
    <w:rsid w:val="00660B11"/>
    <w:rsid w:val="00660F4B"/>
    <w:rsid w:val="006614D3"/>
    <w:rsid w:val="00661AD2"/>
    <w:rsid w:val="00662DA9"/>
    <w:rsid w:val="00664486"/>
    <w:rsid w:val="00667498"/>
    <w:rsid w:val="006731EB"/>
    <w:rsid w:val="00674340"/>
    <w:rsid w:val="0067468F"/>
    <w:rsid w:val="00674D8E"/>
    <w:rsid w:val="006755C0"/>
    <w:rsid w:val="0067638A"/>
    <w:rsid w:val="006768EA"/>
    <w:rsid w:val="00680DD5"/>
    <w:rsid w:val="006829D5"/>
    <w:rsid w:val="006843CA"/>
    <w:rsid w:val="006864F1"/>
    <w:rsid w:val="006879C9"/>
    <w:rsid w:val="00690385"/>
    <w:rsid w:val="00693327"/>
    <w:rsid w:val="00694B4C"/>
    <w:rsid w:val="00695086"/>
    <w:rsid w:val="00696E76"/>
    <w:rsid w:val="00696F3B"/>
    <w:rsid w:val="00697674"/>
    <w:rsid w:val="006977DB"/>
    <w:rsid w:val="00697CF7"/>
    <w:rsid w:val="006A099B"/>
    <w:rsid w:val="006A0A8E"/>
    <w:rsid w:val="006A1929"/>
    <w:rsid w:val="006A2E09"/>
    <w:rsid w:val="006A33C4"/>
    <w:rsid w:val="006A344A"/>
    <w:rsid w:val="006A3C63"/>
    <w:rsid w:val="006A52C7"/>
    <w:rsid w:val="006A6B45"/>
    <w:rsid w:val="006B0872"/>
    <w:rsid w:val="006B1DAD"/>
    <w:rsid w:val="006B327A"/>
    <w:rsid w:val="006B56D0"/>
    <w:rsid w:val="006C09DD"/>
    <w:rsid w:val="006C14ED"/>
    <w:rsid w:val="006C1AB5"/>
    <w:rsid w:val="006C1EE5"/>
    <w:rsid w:val="006C223E"/>
    <w:rsid w:val="006C28A2"/>
    <w:rsid w:val="006C298B"/>
    <w:rsid w:val="006C765C"/>
    <w:rsid w:val="006D0707"/>
    <w:rsid w:val="006D11D8"/>
    <w:rsid w:val="006D1F11"/>
    <w:rsid w:val="006D442A"/>
    <w:rsid w:val="006D4B03"/>
    <w:rsid w:val="006E024F"/>
    <w:rsid w:val="006E3B8F"/>
    <w:rsid w:val="006E4E81"/>
    <w:rsid w:val="006E6B96"/>
    <w:rsid w:val="006F173E"/>
    <w:rsid w:val="006F2962"/>
    <w:rsid w:val="006F51E6"/>
    <w:rsid w:val="006F57A1"/>
    <w:rsid w:val="006F68D2"/>
    <w:rsid w:val="006F7985"/>
    <w:rsid w:val="0070008D"/>
    <w:rsid w:val="007002C2"/>
    <w:rsid w:val="007009F7"/>
    <w:rsid w:val="0070159C"/>
    <w:rsid w:val="00702A4F"/>
    <w:rsid w:val="00705A79"/>
    <w:rsid w:val="00706DCC"/>
    <w:rsid w:val="00707F7D"/>
    <w:rsid w:val="0071003F"/>
    <w:rsid w:val="00710F17"/>
    <w:rsid w:val="00711B01"/>
    <w:rsid w:val="00712218"/>
    <w:rsid w:val="00712952"/>
    <w:rsid w:val="00713A89"/>
    <w:rsid w:val="00715A99"/>
    <w:rsid w:val="00717683"/>
    <w:rsid w:val="00717A03"/>
    <w:rsid w:val="00717EC5"/>
    <w:rsid w:val="00721BD3"/>
    <w:rsid w:val="0072591E"/>
    <w:rsid w:val="007262B5"/>
    <w:rsid w:val="00726399"/>
    <w:rsid w:val="0072713E"/>
    <w:rsid w:val="007311A1"/>
    <w:rsid w:val="007323FF"/>
    <w:rsid w:val="00732B61"/>
    <w:rsid w:val="00733670"/>
    <w:rsid w:val="00734995"/>
    <w:rsid w:val="00735C53"/>
    <w:rsid w:val="00737575"/>
    <w:rsid w:val="00737B80"/>
    <w:rsid w:val="007418A2"/>
    <w:rsid w:val="007421F5"/>
    <w:rsid w:val="00742B32"/>
    <w:rsid w:val="00743E7D"/>
    <w:rsid w:val="00744CBC"/>
    <w:rsid w:val="00745FD9"/>
    <w:rsid w:val="007501DB"/>
    <w:rsid w:val="007506AD"/>
    <w:rsid w:val="00751631"/>
    <w:rsid w:val="00752214"/>
    <w:rsid w:val="00753CF6"/>
    <w:rsid w:val="00757923"/>
    <w:rsid w:val="007579C8"/>
    <w:rsid w:val="0076234F"/>
    <w:rsid w:val="00762FBC"/>
    <w:rsid w:val="00763C54"/>
    <w:rsid w:val="00764E1F"/>
    <w:rsid w:val="0076577C"/>
    <w:rsid w:val="00765DD9"/>
    <w:rsid w:val="007670BD"/>
    <w:rsid w:val="007671CA"/>
    <w:rsid w:val="00767522"/>
    <w:rsid w:val="00767A1C"/>
    <w:rsid w:val="007702B4"/>
    <w:rsid w:val="007715A7"/>
    <w:rsid w:val="00772457"/>
    <w:rsid w:val="00772A67"/>
    <w:rsid w:val="00772EB0"/>
    <w:rsid w:val="0077318F"/>
    <w:rsid w:val="007742C5"/>
    <w:rsid w:val="00775EBF"/>
    <w:rsid w:val="00776BE8"/>
    <w:rsid w:val="00777370"/>
    <w:rsid w:val="00777EF3"/>
    <w:rsid w:val="007804C5"/>
    <w:rsid w:val="00781EEF"/>
    <w:rsid w:val="00782B55"/>
    <w:rsid w:val="00784E79"/>
    <w:rsid w:val="00786E6B"/>
    <w:rsid w:val="00787A50"/>
    <w:rsid w:val="00793A1F"/>
    <w:rsid w:val="00793A2C"/>
    <w:rsid w:val="00793DE7"/>
    <w:rsid w:val="00794E21"/>
    <w:rsid w:val="00794FAB"/>
    <w:rsid w:val="00795DD1"/>
    <w:rsid w:val="00796A9A"/>
    <w:rsid w:val="00796AB1"/>
    <w:rsid w:val="007A00DB"/>
    <w:rsid w:val="007A11CE"/>
    <w:rsid w:val="007A1EA7"/>
    <w:rsid w:val="007A2D3B"/>
    <w:rsid w:val="007A3E35"/>
    <w:rsid w:val="007A4267"/>
    <w:rsid w:val="007A4624"/>
    <w:rsid w:val="007A4FBE"/>
    <w:rsid w:val="007A57F2"/>
    <w:rsid w:val="007B1333"/>
    <w:rsid w:val="007B14DB"/>
    <w:rsid w:val="007B3D33"/>
    <w:rsid w:val="007B4FEE"/>
    <w:rsid w:val="007C0168"/>
    <w:rsid w:val="007C01B5"/>
    <w:rsid w:val="007C43D9"/>
    <w:rsid w:val="007C4BEF"/>
    <w:rsid w:val="007D1541"/>
    <w:rsid w:val="007D2E8B"/>
    <w:rsid w:val="007D3197"/>
    <w:rsid w:val="007D702E"/>
    <w:rsid w:val="007D74B1"/>
    <w:rsid w:val="007D7806"/>
    <w:rsid w:val="007E1457"/>
    <w:rsid w:val="007E1680"/>
    <w:rsid w:val="007E192A"/>
    <w:rsid w:val="007E23A3"/>
    <w:rsid w:val="007E6A13"/>
    <w:rsid w:val="007E6D72"/>
    <w:rsid w:val="007E750C"/>
    <w:rsid w:val="007F111B"/>
    <w:rsid w:val="007F1B5F"/>
    <w:rsid w:val="007F37AB"/>
    <w:rsid w:val="007F3982"/>
    <w:rsid w:val="007F45EB"/>
    <w:rsid w:val="007F4969"/>
    <w:rsid w:val="007F4AEB"/>
    <w:rsid w:val="007F73BC"/>
    <w:rsid w:val="007F75B2"/>
    <w:rsid w:val="00801B18"/>
    <w:rsid w:val="00803FD9"/>
    <w:rsid w:val="008043C4"/>
    <w:rsid w:val="00804480"/>
    <w:rsid w:val="00804561"/>
    <w:rsid w:val="00805647"/>
    <w:rsid w:val="00810BAB"/>
    <w:rsid w:val="00815588"/>
    <w:rsid w:val="0081619B"/>
    <w:rsid w:val="00817CD8"/>
    <w:rsid w:val="008202C1"/>
    <w:rsid w:val="00821054"/>
    <w:rsid w:val="00821501"/>
    <w:rsid w:val="00822950"/>
    <w:rsid w:val="008239A8"/>
    <w:rsid w:val="00824269"/>
    <w:rsid w:val="00825037"/>
    <w:rsid w:val="008267CA"/>
    <w:rsid w:val="00830309"/>
    <w:rsid w:val="00830B45"/>
    <w:rsid w:val="00830F83"/>
    <w:rsid w:val="00831B1B"/>
    <w:rsid w:val="00832B2A"/>
    <w:rsid w:val="00833123"/>
    <w:rsid w:val="008333DA"/>
    <w:rsid w:val="00834CD9"/>
    <w:rsid w:val="008366BC"/>
    <w:rsid w:val="00840C56"/>
    <w:rsid w:val="00842843"/>
    <w:rsid w:val="00844904"/>
    <w:rsid w:val="00844CDF"/>
    <w:rsid w:val="00845564"/>
    <w:rsid w:val="00845BD2"/>
    <w:rsid w:val="00846202"/>
    <w:rsid w:val="008479D8"/>
    <w:rsid w:val="008527CE"/>
    <w:rsid w:val="00854693"/>
    <w:rsid w:val="00854E53"/>
    <w:rsid w:val="0085581B"/>
    <w:rsid w:val="00855A9E"/>
    <w:rsid w:val="0085641B"/>
    <w:rsid w:val="008570E1"/>
    <w:rsid w:val="0085738B"/>
    <w:rsid w:val="0086185A"/>
    <w:rsid w:val="00861D0E"/>
    <w:rsid w:val="008635CC"/>
    <w:rsid w:val="00865D8B"/>
    <w:rsid w:val="00867569"/>
    <w:rsid w:val="00870E7C"/>
    <w:rsid w:val="00870FE0"/>
    <w:rsid w:val="00871163"/>
    <w:rsid w:val="00871C5D"/>
    <w:rsid w:val="0087207A"/>
    <w:rsid w:val="00872158"/>
    <w:rsid w:val="00873183"/>
    <w:rsid w:val="008732B9"/>
    <w:rsid w:val="008748A6"/>
    <w:rsid w:val="008762FD"/>
    <w:rsid w:val="00877CAE"/>
    <w:rsid w:val="0088121A"/>
    <w:rsid w:val="0088167E"/>
    <w:rsid w:val="008823F1"/>
    <w:rsid w:val="00882CCD"/>
    <w:rsid w:val="008840C0"/>
    <w:rsid w:val="008849C0"/>
    <w:rsid w:val="008867ED"/>
    <w:rsid w:val="00892710"/>
    <w:rsid w:val="00896F18"/>
    <w:rsid w:val="00897E3F"/>
    <w:rsid w:val="008A18A9"/>
    <w:rsid w:val="008A23A1"/>
    <w:rsid w:val="008A4599"/>
    <w:rsid w:val="008A750A"/>
    <w:rsid w:val="008B1795"/>
    <w:rsid w:val="008B2D24"/>
    <w:rsid w:val="008B3C31"/>
    <w:rsid w:val="008B3FE2"/>
    <w:rsid w:val="008B5728"/>
    <w:rsid w:val="008B62E2"/>
    <w:rsid w:val="008C0033"/>
    <w:rsid w:val="008C1A14"/>
    <w:rsid w:val="008C1B96"/>
    <w:rsid w:val="008C1F0D"/>
    <w:rsid w:val="008C3749"/>
    <w:rsid w:val="008C378D"/>
    <w:rsid w:val="008C384C"/>
    <w:rsid w:val="008C44A4"/>
    <w:rsid w:val="008C6676"/>
    <w:rsid w:val="008C6888"/>
    <w:rsid w:val="008D0F11"/>
    <w:rsid w:val="008D14CE"/>
    <w:rsid w:val="008D1D81"/>
    <w:rsid w:val="008D30FC"/>
    <w:rsid w:val="008D4176"/>
    <w:rsid w:val="008D44D2"/>
    <w:rsid w:val="008D49AA"/>
    <w:rsid w:val="008D52F4"/>
    <w:rsid w:val="008D7889"/>
    <w:rsid w:val="008E2133"/>
    <w:rsid w:val="008E293A"/>
    <w:rsid w:val="008E2999"/>
    <w:rsid w:val="008E2F45"/>
    <w:rsid w:val="008E38D7"/>
    <w:rsid w:val="008E5C66"/>
    <w:rsid w:val="008E6397"/>
    <w:rsid w:val="008E67D2"/>
    <w:rsid w:val="008E6D93"/>
    <w:rsid w:val="008E7ABD"/>
    <w:rsid w:val="008F1A5C"/>
    <w:rsid w:val="008F4562"/>
    <w:rsid w:val="008F7149"/>
    <w:rsid w:val="008F73B4"/>
    <w:rsid w:val="008F7AA9"/>
    <w:rsid w:val="00900AEE"/>
    <w:rsid w:val="00901636"/>
    <w:rsid w:val="00904EB6"/>
    <w:rsid w:val="00905C4B"/>
    <w:rsid w:val="009073BA"/>
    <w:rsid w:val="0090741A"/>
    <w:rsid w:val="00907C29"/>
    <w:rsid w:val="00913907"/>
    <w:rsid w:val="00913F44"/>
    <w:rsid w:val="009163E0"/>
    <w:rsid w:val="00917C9C"/>
    <w:rsid w:val="00921AB5"/>
    <w:rsid w:val="009276AA"/>
    <w:rsid w:val="00927EC2"/>
    <w:rsid w:val="0093034B"/>
    <w:rsid w:val="009307D8"/>
    <w:rsid w:val="009308C7"/>
    <w:rsid w:val="00931A52"/>
    <w:rsid w:val="00933551"/>
    <w:rsid w:val="00933939"/>
    <w:rsid w:val="00936869"/>
    <w:rsid w:val="009372BC"/>
    <w:rsid w:val="009378AF"/>
    <w:rsid w:val="00937C24"/>
    <w:rsid w:val="00941902"/>
    <w:rsid w:val="00942FC3"/>
    <w:rsid w:val="00943FA0"/>
    <w:rsid w:val="00944C31"/>
    <w:rsid w:val="00950C9C"/>
    <w:rsid w:val="00950CE8"/>
    <w:rsid w:val="009530BE"/>
    <w:rsid w:val="00953285"/>
    <w:rsid w:val="00953C38"/>
    <w:rsid w:val="00955B45"/>
    <w:rsid w:val="00955D9E"/>
    <w:rsid w:val="009600A3"/>
    <w:rsid w:val="00961ADE"/>
    <w:rsid w:val="00963731"/>
    <w:rsid w:val="00964874"/>
    <w:rsid w:val="00964AC4"/>
    <w:rsid w:val="00965641"/>
    <w:rsid w:val="0096736A"/>
    <w:rsid w:val="00970903"/>
    <w:rsid w:val="0097142E"/>
    <w:rsid w:val="00971A12"/>
    <w:rsid w:val="00971A8D"/>
    <w:rsid w:val="00971FA3"/>
    <w:rsid w:val="00972620"/>
    <w:rsid w:val="009741C5"/>
    <w:rsid w:val="00975A96"/>
    <w:rsid w:val="009765ED"/>
    <w:rsid w:val="00977542"/>
    <w:rsid w:val="009824C3"/>
    <w:rsid w:val="00982932"/>
    <w:rsid w:val="00985C79"/>
    <w:rsid w:val="009874C1"/>
    <w:rsid w:val="00987C6C"/>
    <w:rsid w:val="00990399"/>
    <w:rsid w:val="009931F1"/>
    <w:rsid w:val="00993BA3"/>
    <w:rsid w:val="009942C0"/>
    <w:rsid w:val="00995B3C"/>
    <w:rsid w:val="00995F0B"/>
    <w:rsid w:val="00996596"/>
    <w:rsid w:val="00997204"/>
    <w:rsid w:val="00997EB8"/>
    <w:rsid w:val="009A348E"/>
    <w:rsid w:val="009A460E"/>
    <w:rsid w:val="009A6406"/>
    <w:rsid w:val="009A6925"/>
    <w:rsid w:val="009A7912"/>
    <w:rsid w:val="009B154C"/>
    <w:rsid w:val="009B2C6E"/>
    <w:rsid w:val="009B3C2C"/>
    <w:rsid w:val="009B55B1"/>
    <w:rsid w:val="009B6038"/>
    <w:rsid w:val="009B693C"/>
    <w:rsid w:val="009B7EA2"/>
    <w:rsid w:val="009C1307"/>
    <w:rsid w:val="009C1E8D"/>
    <w:rsid w:val="009C3DEE"/>
    <w:rsid w:val="009C4303"/>
    <w:rsid w:val="009C4595"/>
    <w:rsid w:val="009C57BD"/>
    <w:rsid w:val="009C7967"/>
    <w:rsid w:val="009C7E9A"/>
    <w:rsid w:val="009D1098"/>
    <w:rsid w:val="009D1B7A"/>
    <w:rsid w:val="009D2600"/>
    <w:rsid w:val="009D523C"/>
    <w:rsid w:val="009D6C06"/>
    <w:rsid w:val="009D70D1"/>
    <w:rsid w:val="009E0F0E"/>
    <w:rsid w:val="009E71A5"/>
    <w:rsid w:val="009F0F88"/>
    <w:rsid w:val="009F3483"/>
    <w:rsid w:val="009F4442"/>
    <w:rsid w:val="009F7262"/>
    <w:rsid w:val="009F7FF5"/>
    <w:rsid w:val="00A0007C"/>
    <w:rsid w:val="00A00F8B"/>
    <w:rsid w:val="00A017EC"/>
    <w:rsid w:val="00A019BA"/>
    <w:rsid w:val="00A021BB"/>
    <w:rsid w:val="00A03222"/>
    <w:rsid w:val="00A03E62"/>
    <w:rsid w:val="00A04179"/>
    <w:rsid w:val="00A1328E"/>
    <w:rsid w:val="00A1691D"/>
    <w:rsid w:val="00A21AD6"/>
    <w:rsid w:val="00A2321F"/>
    <w:rsid w:val="00A23945"/>
    <w:rsid w:val="00A243FE"/>
    <w:rsid w:val="00A25C90"/>
    <w:rsid w:val="00A2613A"/>
    <w:rsid w:val="00A27248"/>
    <w:rsid w:val="00A273A8"/>
    <w:rsid w:val="00A30708"/>
    <w:rsid w:val="00A31706"/>
    <w:rsid w:val="00A325B8"/>
    <w:rsid w:val="00A338AF"/>
    <w:rsid w:val="00A344ED"/>
    <w:rsid w:val="00A34841"/>
    <w:rsid w:val="00A3540A"/>
    <w:rsid w:val="00A369C2"/>
    <w:rsid w:val="00A3701D"/>
    <w:rsid w:val="00A37BD1"/>
    <w:rsid w:val="00A37F00"/>
    <w:rsid w:val="00A42587"/>
    <w:rsid w:val="00A42EE3"/>
    <w:rsid w:val="00A43274"/>
    <w:rsid w:val="00A4343D"/>
    <w:rsid w:val="00A46E31"/>
    <w:rsid w:val="00A502F1"/>
    <w:rsid w:val="00A526D9"/>
    <w:rsid w:val="00A53F64"/>
    <w:rsid w:val="00A53F8A"/>
    <w:rsid w:val="00A569F5"/>
    <w:rsid w:val="00A56C80"/>
    <w:rsid w:val="00A56CB9"/>
    <w:rsid w:val="00A57C52"/>
    <w:rsid w:val="00A57F72"/>
    <w:rsid w:val="00A604FE"/>
    <w:rsid w:val="00A60734"/>
    <w:rsid w:val="00A61B03"/>
    <w:rsid w:val="00A61CA7"/>
    <w:rsid w:val="00A6212A"/>
    <w:rsid w:val="00A63EE9"/>
    <w:rsid w:val="00A6497B"/>
    <w:rsid w:val="00A64B11"/>
    <w:rsid w:val="00A64B21"/>
    <w:rsid w:val="00A6634F"/>
    <w:rsid w:val="00A667B0"/>
    <w:rsid w:val="00A669F7"/>
    <w:rsid w:val="00A70A83"/>
    <w:rsid w:val="00A72E85"/>
    <w:rsid w:val="00A73123"/>
    <w:rsid w:val="00A7333C"/>
    <w:rsid w:val="00A7620A"/>
    <w:rsid w:val="00A7794F"/>
    <w:rsid w:val="00A77DC1"/>
    <w:rsid w:val="00A8026A"/>
    <w:rsid w:val="00A81E89"/>
    <w:rsid w:val="00A81EB3"/>
    <w:rsid w:val="00A83758"/>
    <w:rsid w:val="00A84FF8"/>
    <w:rsid w:val="00A87C36"/>
    <w:rsid w:val="00A941D7"/>
    <w:rsid w:val="00AA0FB2"/>
    <w:rsid w:val="00AA10FF"/>
    <w:rsid w:val="00AA1652"/>
    <w:rsid w:val="00AA173E"/>
    <w:rsid w:val="00AA211F"/>
    <w:rsid w:val="00AA3356"/>
    <w:rsid w:val="00AA4CC5"/>
    <w:rsid w:val="00AA5E87"/>
    <w:rsid w:val="00AA5EFD"/>
    <w:rsid w:val="00AA60B1"/>
    <w:rsid w:val="00AA759E"/>
    <w:rsid w:val="00AB0BA2"/>
    <w:rsid w:val="00AB1663"/>
    <w:rsid w:val="00AB302B"/>
    <w:rsid w:val="00AB7750"/>
    <w:rsid w:val="00AB7B9C"/>
    <w:rsid w:val="00AC0DE1"/>
    <w:rsid w:val="00AC0EC1"/>
    <w:rsid w:val="00AC175A"/>
    <w:rsid w:val="00AC1806"/>
    <w:rsid w:val="00AC2C2E"/>
    <w:rsid w:val="00AC3E4A"/>
    <w:rsid w:val="00AC5384"/>
    <w:rsid w:val="00AC617F"/>
    <w:rsid w:val="00AC6B54"/>
    <w:rsid w:val="00AC6EF8"/>
    <w:rsid w:val="00AC7724"/>
    <w:rsid w:val="00AD0902"/>
    <w:rsid w:val="00AD1342"/>
    <w:rsid w:val="00AD1965"/>
    <w:rsid w:val="00AD2814"/>
    <w:rsid w:val="00AD2910"/>
    <w:rsid w:val="00AD3B3C"/>
    <w:rsid w:val="00AD5AD3"/>
    <w:rsid w:val="00AD6B13"/>
    <w:rsid w:val="00AE0453"/>
    <w:rsid w:val="00AE077E"/>
    <w:rsid w:val="00AE2386"/>
    <w:rsid w:val="00AE2830"/>
    <w:rsid w:val="00AE2ED2"/>
    <w:rsid w:val="00AE2F57"/>
    <w:rsid w:val="00AE3C21"/>
    <w:rsid w:val="00AE45A9"/>
    <w:rsid w:val="00AE51F3"/>
    <w:rsid w:val="00AE551E"/>
    <w:rsid w:val="00AE6B69"/>
    <w:rsid w:val="00AE6C98"/>
    <w:rsid w:val="00AF0A7D"/>
    <w:rsid w:val="00AF18CF"/>
    <w:rsid w:val="00AF1AF0"/>
    <w:rsid w:val="00AF2343"/>
    <w:rsid w:val="00AF7241"/>
    <w:rsid w:val="00AF7249"/>
    <w:rsid w:val="00AF7A10"/>
    <w:rsid w:val="00B00368"/>
    <w:rsid w:val="00B00C1D"/>
    <w:rsid w:val="00B037BA"/>
    <w:rsid w:val="00B03D64"/>
    <w:rsid w:val="00B0440D"/>
    <w:rsid w:val="00B04812"/>
    <w:rsid w:val="00B05B31"/>
    <w:rsid w:val="00B069AB"/>
    <w:rsid w:val="00B06E59"/>
    <w:rsid w:val="00B102C7"/>
    <w:rsid w:val="00B11478"/>
    <w:rsid w:val="00B12F73"/>
    <w:rsid w:val="00B13FB9"/>
    <w:rsid w:val="00B14347"/>
    <w:rsid w:val="00B14FF0"/>
    <w:rsid w:val="00B1666C"/>
    <w:rsid w:val="00B1670E"/>
    <w:rsid w:val="00B17DD1"/>
    <w:rsid w:val="00B20B88"/>
    <w:rsid w:val="00B23245"/>
    <w:rsid w:val="00B23A98"/>
    <w:rsid w:val="00B25061"/>
    <w:rsid w:val="00B25CEC"/>
    <w:rsid w:val="00B279FC"/>
    <w:rsid w:val="00B31272"/>
    <w:rsid w:val="00B31687"/>
    <w:rsid w:val="00B322CA"/>
    <w:rsid w:val="00B324A4"/>
    <w:rsid w:val="00B33194"/>
    <w:rsid w:val="00B339CA"/>
    <w:rsid w:val="00B33D90"/>
    <w:rsid w:val="00B350CC"/>
    <w:rsid w:val="00B36E2C"/>
    <w:rsid w:val="00B408E8"/>
    <w:rsid w:val="00B4348E"/>
    <w:rsid w:val="00B505EF"/>
    <w:rsid w:val="00B51A16"/>
    <w:rsid w:val="00B52D5C"/>
    <w:rsid w:val="00B531A9"/>
    <w:rsid w:val="00B53F71"/>
    <w:rsid w:val="00B552DA"/>
    <w:rsid w:val="00B563F1"/>
    <w:rsid w:val="00B6032E"/>
    <w:rsid w:val="00B6310F"/>
    <w:rsid w:val="00B631AB"/>
    <w:rsid w:val="00B668B8"/>
    <w:rsid w:val="00B678B8"/>
    <w:rsid w:val="00B70737"/>
    <w:rsid w:val="00B70A13"/>
    <w:rsid w:val="00B71605"/>
    <w:rsid w:val="00B71AD6"/>
    <w:rsid w:val="00B73098"/>
    <w:rsid w:val="00B73C21"/>
    <w:rsid w:val="00B75047"/>
    <w:rsid w:val="00B803E1"/>
    <w:rsid w:val="00B80F66"/>
    <w:rsid w:val="00B816A2"/>
    <w:rsid w:val="00B8293B"/>
    <w:rsid w:val="00B86DA3"/>
    <w:rsid w:val="00B87CA4"/>
    <w:rsid w:val="00B9115E"/>
    <w:rsid w:val="00B9197A"/>
    <w:rsid w:val="00B920A7"/>
    <w:rsid w:val="00B92437"/>
    <w:rsid w:val="00B92879"/>
    <w:rsid w:val="00B94702"/>
    <w:rsid w:val="00B94A98"/>
    <w:rsid w:val="00B95550"/>
    <w:rsid w:val="00B977A2"/>
    <w:rsid w:val="00B97C64"/>
    <w:rsid w:val="00B97E3E"/>
    <w:rsid w:val="00BA07EC"/>
    <w:rsid w:val="00BA0A61"/>
    <w:rsid w:val="00BA0BD5"/>
    <w:rsid w:val="00BA1242"/>
    <w:rsid w:val="00BA1527"/>
    <w:rsid w:val="00BA1DFB"/>
    <w:rsid w:val="00BA2304"/>
    <w:rsid w:val="00BA283E"/>
    <w:rsid w:val="00BA300B"/>
    <w:rsid w:val="00BA328F"/>
    <w:rsid w:val="00BA37F7"/>
    <w:rsid w:val="00BA439F"/>
    <w:rsid w:val="00BA4D19"/>
    <w:rsid w:val="00BA6370"/>
    <w:rsid w:val="00BA7BAD"/>
    <w:rsid w:val="00BB12A8"/>
    <w:rsid w:val="00BB35C7"/>
    <w:rsid w:val="00BB3C50"/>
    <w:rsid w:val="00BB3C94"/>
    <w:rsid w:val="00BB4179"/>
    <w:rsid w:val="00BB6088"/>
    <w:rsid w:val="00BB7EB6"/>
    <w:rsid w:val="00BB7FA1"/>
    <w:rsid w:val="00BC15D0"/>
    <w:rsid w:val="00BC1976"/>
    <w:rsid w:val="00BC748B"/>
    <w:rsid w:val="00BC7B5A"/>
    <w:rsid w:val="00BD0775"/>
    <w:rsid w:val="00BD5396"/>
    <w:rsid w:val="00BD5B9D"/>
    <w:rsid w:val="00BD7944"/>
    <w:rsid w:val="00BE02C1"/>
    <w:rsid w:val="00BE0E9E"/>
    <w:rsid w:val="00BE0FC9"/>
    <w:rsid w:val="00BE146B"/>
    <w:rsid w:val="00BE3B50"/>
    <w:rsid w:val="00BE3B7A"/>
    <w:rsid w:val="00BE3C8B"/>
    <w:rsid w:val="00BE550B"/>
    <w:rsid w:val="00BE716A"/>
    <w:rsid w:val="00BF15BD"/>
    <w:rsid w:val="00BF1CAC"/>
    <w:rsid w:val="00BF4C2C"/>
    <w:rsid w:val="00BF6644"/>
    <w:rsid w:val="00BF6734"/>
    <w:rsid w:val="00BF6AF7"/>
    <w:rsid w:val="00BF7611"/>
    <w:rsid w:val="00C00496"/>
    <w:rsid w:val="00C01A64"/>
    <w:rsid w:val="00C01AA9"/>
    <w:rsid w:val="00C03CE6"/>
    <w:rsid w:val="00C04255"/>
    <w:rsid w:val="00C04630"/>
    <w:rsid w:val="00C05F60"/>
    <w:rsid w:val="00C064DE"/>
    <w:rsid w:val="00C07068"/>
    <w:rsid w:val="00C11498"/>
    <w:rsid w:val="00C12328"/>
    <w:rsid w:val="00C12503"/>
    <w:rsid w:val="00C138F2"/>
    <w:rsid w:val="00C14C9F"/>
    <w:rsid w:val="00C17A6C"/>
    <w:rsid w:val="00C17F81"/>
    <w:rsid w:val="00C2020B"/>
    <w:rsid w:val="00C207AE"/>
    <w:rsid w:val="00C22C3C"/>
    <w:rsid w:val="00C23F33"/>
    <w:rsid w:val="00C24006"/>
    <w:rsid w:val="00C24656"/>
    <w:rsid w:val="00C2490A"/>
    <w:rsid w:val="00C2514B"/>
    <w:rsid w:val="00C26571"/>
    <w:rsid w:val="00C269D4"/>
    <w:rsid w:val="00C27D46"/>
    <w:rsid w:val="00C31BF9"/>
    <w:rsid w:val="00C35858"/>
    <w:rsid w:val="00C36DFE"/>
    <w:rsid w:val="00C36E38"/>
    <w:rsid w:val="00C37427"/>
    <w:rsid w:val="00C40D9E"/>
    <w:rsid w:val="00C4160D"/>
    <w:rsid w:val="00C41BC1"/>
    <w:rsid w:val="00C46122"/>
    <w:rsid w:val="00C50B23"/>
    <w:rsid w:val="00C51DAD"/>
    <w:rsid w:val="00C526BB"/>
    <w:rsid w:val="00C52849"/>
    <w:rsid w:val="00C544BA"/>
    <w:rsid w:val="00C5532F"/>
    <w:rsid w:val="00C55E7B"/>
    <w:rsid w:val="00C57139"/>
    <w:rsid w:val="00C57E30"/>
    <w:rsid w:val="00C6012B"/>
    <w:rsid w:val="00C66410"/>
    <w:rsid w:val="00C67BF2"/>
    <w:rsid w:val="00C70DD2"/>
    <w:rsid w:val="00C72F79"/>
    <w:rsid w:val="00C7459C"/>
    <w:rsid w:val="00C75C3B"/>
    <w:rsid w:val="00C75E2B"/>
    <w:rsid w:val="00C76ACB"/>
    <w:rsid w:val="00C7758A"/>
    <w:rsid w:val="00C804F6"/>
    <w:rsid w:val="00C811BE"/>
    <w:rsid w:val="00C81663"/>
    <w:rsid w:val="00C83BB6"/>
    <w:rsid w:val="00C8406E"/>
    <w:rsid w:val="00C84105"/>
    <w:rsid w:val="00C8531D"/>
    <w:rsid w:val="00C85B68"/>
    <w:rsid w:val="00C870E3"/>
    <w:rsid w:val="00C919FD"/>
    <w:rsid w:val="00C91A4E"/>
    <w:rsid w:val="00C924F8"/>
    <w:rsid w:val="00C9343B"/>
    <w:rsid w:val="00C93F44"/>
    <w:rsid w:val="00C947FB"/>
    <w:rsid w:val="00C95AC7"/>
    <w:rsid w:val="00C9638E"/>
    <w:rsid w:val="00C963E0"/>
    <w:rsid w:val="00C96784"/>
    <w:rsid w:val="00C97D59"/>
    <w:rsid w:val="00CA2920"/>
    <w:rsid w:val="00CA38CC"/>
    <w:rsid w:val="00CA418E"/>
    <w:rsid w:val="00CA47FA"/>
    <w:rsid w:val="00CA4BAE"/>
    <w:rsid w:val="00CA528E"/>
    <w:rsid w:val="00CA58DC"/>
    <w:rsid w:val="00CA61FE"/>
    <w:rsid w:val="00CA7A2A"/>
    <w:rsid w:val="00CB2709"/>
    <w:rsid w:val="00CB2AB6"/>
    <w:rsid w:val="00CB2CD6"/>
    <w:rsid w:val="00CB4817"/>
    <w:rsid w:val="00CB4823"/>
    <w:rsid w:val="00CB6F89"/>
    <w:rsid w:val="00CB76B5"/>
    <w:rsid w:val="00CC4B28"/>
    <w:rsid w:val="00CC5853"/>
    <w:rsid w:val="00CC67DF"/>
    <w:rsid w:val="00CD1B6E"/>
    <w:rsid w:val="00CD28A7"/>
    <w:rsid w:val="00CD2F40"/>
    <w:rsid w:val="00CD5B0D"/>
    <w:rsid w:val="00CE0163"/>
    <w:rsid w:val="00CE0862"/>
    <w:rsid w:val="00CE1D36"/>
    <w:rsid w:val="00CE228C"/>
    <w:rsid w:val="00CE35CF"/>
    <w:rsid w:val="00CE6835"/>
    <w:rsid w:val="00CE7020"/>
    <w:rsid w:val="00CE717F"/>
    <w:rsid w:val="00CE7EC7"/>
    <w:rsid w:val="00CF25E1"/>
    <w:rsid w:val="00CF3371"/>
    <w:rsid w:val="00CF4967"/>
    <w:rsid w:val="00CF4EE9"/>
    <w:rsid w:val="00CF545B"/>
    <w:rsid w:val="00D02CAC"/>
    <w:rsid w:val="00D02FCB"/>
    <w:rsid w:val="00D05594"/>
    <w:rsid w:val="00D078A0"/>
    <w:rsid w:val="00D11049"/>
    <w:rsid w:val="00D123E1"/>
    <w:rsid w:val="00D1252A"/>
    <w:rsid w:val="00D12B38"/>
    <w:rsid w:val="00D12BD9"/>
    <w:rsid w:val="00D1433B"/>
    <w:rsid w:val="00D15E82"/>
    <w:rsid w:val="00D17803"/>
    <w:rsid w:val="00D17809"/>
    <w:rsid w:val="00D21545"/>
    <w:rsid w:val="00D2245D"/>
    <w:rsid w:val="00D22E48"/>
    <w:rsid w:val="00D23650"/>
    <w:rsid w:val="00D253F5"/>
    <w:rsid w:val="00D27D69"/>
    <w:rsid w:val="00D32436"/>
    <w:rsid w:val="00D32E9D"/>
    <w:rsid w:val="00D339AA"/>
    <w:rsid w:val="00D365F4"/>
    <w:rsid w:val="00D36F5C"/>
    <w:rsid w:val="00D3798E"/>
    <w:rsid w:val="00D4105C"/>
    <w:rsid w:val="00D42B8D"/>
    <w:rsid w:val="00D42E1B"/>
    <w:rsid w:val="00D4414D"/>
    <w:rsid w:val="00D448C2"/>
    <w:rsid w:val="00D467FE"/>
    <w:rsid w:val="00D50021"/>
    <w:rsid w:val="00D5106E"/>
    <w:rsid w:val="00D51F44"/>
    <w:rsid w:val="00D5402E"/>
    <w:rsid w:val="00D543EE"/>
    <w:rsid w:val="00D562AA"/>
    <w:rsid w:val="00D56C2F"/>
    <w:rsid w:val="00D5791D"/>
    <w:rsid w:val="00D60FC7"/>
    <w:rsid w:val="00D64E2D"/>
    <w:rsid w:val="00D662C1"/>
    <w:rsid w:val="00D666C3"/>
    <w:rsid w:val="00D72CB8"/>
    <w:rsid w:val="00D767D6"/>
    <w:rsid w:val="00D77896"/>
    <w:rsid w:val="00D816E2"/>
    <w:rsid w:val="00D818A5"/>
    <w:rsid w:val="00D82143"/>
    <w:rsid w:val="00D82814"/>
    <w:rsid w:val="00D83E4D"/>
    <w:rsid w:val="00D8614A"/>
    <w:rsid w:val="00D867F3"/>
    <w:rsid w:val="00D874A1"/>
    <w:rsid w:val="00D9189B"/>
    <w:rsid w:val="00D92763"/>
    <w:rsid w:val="00D929D0"/>
    <w:rsid w:val="00D94A30"/>
    <w:rsid w:val="00D952FF"/>
    <w:rsid w:val="00DA139C"/>
    <w:rsid w:val="00DA2E58"/>
    <w:rsid w:val="00DA37C9"/>
    <w:rsid w:val="00DA3AEF"/>
    <w:rsid w:val="00DA464F"/>
    <w:rsid w:val="00DA533E"/>
    <w:rsid w:val="00DA7060"/>
    <w:rsid w:val="00DB069F"/>
    <w:rsid w:val="00DB06C6"/>
    <w:rsid w:val="00DB0BE6"/>
    <w:rsid w:val="00DB11FC"/>
    <w:rsid w:val="00DB25EA"/>
    <w:rsid w:val="00DB517E"/>
    <w:rsid w:val="00DB6938"/>
    <w:rsid w:val="00DB7333"/>
    <w:rsid w:val="00DB7D19"/>
    <w:rsid w:val="00DC0CCE"/>
    <w:rsid w:val="00DC10C5"/>
    <w:rsid w:val="00DC24C5"/>
    <w:rsid w:val="00DC33EA"/>
    <w:rsid w:val="00DC4FD9"/>
    <w:rsid w:val="00DC52C8"/>
    <w:rsid w:val="00DC54AF"/>
    <w:rsid w:val="00DC5935"/>
    <w:rsid w:val="00DC5947"/>
    <w:rsid w:val="00DC5FA5"/>
    <w:rsid w:val="00DC64C3"/>
    <w:rsid w:val="00DC78A2"/>
    <w:rsid w:val="00DD0ED1"/>
    <w:rsid w:val="00DD1AB2"/>
    <w:rsid w:val="00DD1EAE"/>
    <w:rsid w:val="00DD2729"/>
    <w:rsid w:val="00DD38A0"/>
    <w:rsid w:val="00DD5A14"/>
    <w:rsid w:val="00DD5F0A"/>
    <w:rsid w:val="00DE0017"/>
    <w:rsid w:val="00DE231C"/>
    <w:rsid w:val="00DE27DC"/>
    <w:rsid w:val="00DE291F"/>
    <w:rsid w:val="00DE611A"/>
    <w:rsid w:val="00DE68E1"/>
    <w:rsid w:val="00DE6B76"/>
    <w:rsid w:val="00DF04AF"/>
    <w:rsid w:val="00DF06AA"/>
    <w:rsid w:val="00DF1CF2"/>
    <w:rsid w:val="00DF2417"/>
    <w:rsid w:val="00DF3847"/>
    <w:rsid w:val="00DF3BDE"/>
    <w:rsid w:val="00DF3D0D"/>
    <w:rsid w:val="00DF4771"/>
    <w:rsid w:val="00DF47FE"/>
    <w:rsid w:val="00DF4883"/>
    <w:rsid w:val="00DF4E12"/>
    <w:rsid w:val="00DF559D"/>
    <w:rsid w:val="00DF6181"/>
    <w:rsid w:val="00DF6E53"/>
    <w:rsid w:val="00DF7FAD"/>
    <w:rsid w:val="00E000E8"/>
    <w:rsid w:val="00E001F4"/>
    <w:rsid w:val="00E013E4"/>
    <w:rsid w:val="00E025B2"/>
    <w:rsid w:val="00E02F12"/>
    <w:rsid w:val="00E03348"/>
    <w:rsid w:val="00E03479"/>
    <w:rsid w:val="00E047BA"/>
    <w:rsid w:val="00E054AB"/>
    <w:rsid w:val="00E05502"/>
    <w:rsid w:val="00E05C2C"/>
    <w:rsid w:val="00E060D8"/>
    <w:rsid w:val="00E064B6"/>
    <w:rsid w:val="00E06793"/>
    <w:rsid w:val="00E07489"/>
    <w:rsid w:val="00E07698"/>
    <w:rsid w:val="00E07E7D"/>
    <w:rsid w:val="00E10342"/>
    <w:rsid w:val="00E10EE8"/>
    <w:rsid w:val="00E11027"/>
    <w:rsid w:val="00E160E7"/>
    <w:rsid w:val="00E166B7"/>
    <w:rsid w:val="00E17713"/>
    <w:rsid w:val="00E17804"/>
    <w:rsid w:val="00E22DA6"/>
    <w:rsid w:val="00E22F32"/>
    <w:rsid w:val="00E23C64"/>
    <w:rsid w:val="00E23D67"/>
    <w:rsid w:val="00E23EDC"/>
    <w:rsid w:val="00E23FC9"/>
    <w:rsid w:val="00E24BF1"/>
    <w:rsid w:val="00E24F00"/>
    <w:rsid w:val="00E25330"/>
    <w:rsid w:val="00E26704"/>
    <w:rsid w:val="00E30F4B"/>
    <w:rsid w:val="00E31980"/>
    <w:rsid w:val="00E3199A"/>
    <w:rsid w:val="00E3383A"/>
    <w:rsid w:val="00E345AF"/>
    <w:rsid w:val="00E3529A"/>
    <w:rsid w:val="00E35568"/>
    <w:rsid w:val="00E358F8"/>
    <w:rsid w:val="00E36942"/>
    <w:rsid w:val="00E3697D"/>
    <w:rsid w:val="00E36E83"/>
    <w:rsid w:val="00E37597"/>
    <w:rsid w:val="00E37CC0"/>
    <w:rsid w:val="00E414A0"/>
    <w:rsid w:val="00E42222"/>
    <w:rsid w:val="00E424E8"/>
    <w:rsid w:val="00E42887"/>
    <w:rsid w:val="00E42E00"/>
    <w:rsid w:val="00E43B6E"/>
    <w:rsid w:val="00E445CD"/>
    <w:rsid w:val="00E455AB"/>
    <w:rsid w:val="00E45943"/>
    <w:rsid w:val="00E466AD"/>
    <w:rsid w:val="00E46811"/>
    <w:rsid w:val="00E47273"/>
    <w:rsid w:val="00E5112A"/>
    <w:rsid w:val="00E513E3"/>
    <w:rsid w:val="00E52D36"/>
    <w:rsid w:val="00E54908"/>
    <w:rsid w:val="00E55CC7"/>
    <w:rsid w:val="00E566E2"/>
    <w:rsid w:val="00E56EBA"/>
    <w:rsid w:val="00E56F3F"/>
    <w:rsid w:val="00E5791C"/>
    <w:rsid w:val="00E626BB"/>
    <w:rsid w:val="00E6423C"/>
    <w:rsid w:val="00E64B1F"/>
    <w:rsid w:val="00E6604E"/>
    <w:rsid w:val="00E660F5"/>
    <w:rsid w:val="00E7134F"/>
    <w:rsid w:val="00E72787"/>
    <w:rsid w:val="00E727E9"/>
    <w:rsid w:val="00E72C34"/>
    <w:rsid w:val="00E72FFA"/>
    <w:rsid w:val="00E7314A"/>
    <w:rsid w:val="00E74CC2"/>
    <w:rsid w:val="00E74F70"/>
    <w:rsid w:val="00E773CB"/>
    <w:rsid w:val="00E80042"/>
    <w:rsid w:val="00E8106B"/>
    <w:rsid w:val="00E82ED9"/>
    <w:rsid w:val="00E83BE4"/>
    <w:rsid w:val="00E84D0C"/>
    <w:rsid w:val="00E85E67"/>
    <w:rsid w:val="00E866C1"/>
    <w:rsid w:val="00E8726B"/>
    <w:rsid w:val="00E87575"/>
    <w:rsid w:val="00E9130C"/>
    <w:rsid w:val="00E91935"/>
    <w:rsid w:val="00E91D9A"/>
    <w:rsid w:val="00E92EC4"/>
    <w:rsid w:val="00E93830"/>
    <w:rsid w:val="00E93CC6"/>
    <w:rsid w:val="00E93E0E"/>
    <w:rsid w:val="00E93E22"/>
    <w:rsid w:val="00E94951"/>
    <w:rsid w:val="00E977EB"/>
    <w:rsid w:val="00E97960"/>
    <w:rsid w:val="00EA0C15"/>
    <w:rsid w:val="00EA1623"/>
    <w:rsid w:val="00EA26C5"/>
    <w:rsid w:val="00EA28EA"/>
    <w:rsid w:val="00EA3726"/>
    <w:rsid w:val="00EA64D4"/>
    <w:rsid w:val="00EA7B94"/>
    <w:rsid w:val="00EB02FE"/>
    <w:rsid w:val="00EB0AA1"/>
    <w:rsid w:val="00EB12E2"/>
    <w:rsid w:val="00EB15A0"/>
    <w:rsid w:val="00EB1ED3"/>
    <w:rsid w:val="00EB4B9E"/>
    <w:rsid w:val="00EB4CFB"/>
    <w:rsid w:val="00EB4FD6"/>
    <w:rsid w:val="00EB54E8"/>
    <w:rsid w:val="00EB5A8E"/>
    <w:rsid w:val="00EC1150"/>
    <w:rsid w:val="00EC167C"/>
    <w:rsid w:val="00EC2613"/>
    <w:rsid w:val="00EC2D51"/>
    <w:rsid w:val="00EC39F5"/>
    <w:rsid w:val="00EC675E"/>
    <w:rsid w:val="00ED2234"/>
    <w:rsid w:val="00ED3DED"/>
    <w:rsid w:val="00ED499E"/>
    <w:rsid w:val="00ED4D9F"/>
    <w:rsid w:val="00ED66A9"/>
    <w:rsid w:val="00ED731F"/>
    <w:rsid w:val="00ED7B69"/>
    <w:rsid w:val="00EE0AAB"/>
    <w:rsid w:val="00EE2100"/>
    <w:rsid w:val="00EE30D8"/>
    <w:rsid w:val="00EE3D40"/>
    <w:rsid w:val="00EE70BC"/>
    <w:rsid w:val="00EE7F33"/>
    <w:rsid w:val="00EF0E79"/>
    <w:rsid w:val="00EF2295"/>
    <w:rsid w:val="00EF2D79"/>
    <w:rsid w:val="00EF60C4"/>
    <w:rsid w:val="00F00BDA"/>
    <w:rsid w:val="00F00CE4"/>
    <w:rsid w:val="00F00EF4"/>
    <w:rsid w:val="00F00FB3"/>
    <w:rsid w:val="00F01C71"/>
    <w:rsid w:val="00F023F4"/>
    <w:rsid w:val="00F02C75"/>
    <w:rsid w:val="00F040DB"/>
    <w:rsid w:val="00F06A18"/>
    <w:rsid w:val="00F10DEB"/>
    <w:rsid w:val="00F12495"/>
    <w:rsid w:val="00F1263E"/>
    <w:rsid w:val="00F13564"/>
    <w:rsid w:val="00F14D98"/>
    <w:rsid w:val="00F1558E"/>
    <w:rsid w:val="00F1631C"/>
    <w:rsid w:val="00F17083"/>
    <w:rsid w:val="00F20241"/>
    <w:rsid w:val="00F21863"/>
    <w:rsid w:val="00F22641"/>
    <w:rsid w:val="00F26037"/>
    <w:rsid w:val="00F26395"/>
    <w:rsid w:val="00F32CCE"/>
    <w:rsid w:val="00F32DA4"/>
    <w:rsid w:val="00F35DF0"/>
    <w:rsid w:val="00F370F1"/>
    <w:rsid w:val="00F40407"/>
    <w:rsid w:val="00F40997"/>
    <w:rsid w:val="00F40E4C"/>
    <w:rsid w:val="00F40EE5"/>
    <w:rsid w:val="00F41593"/>
    <w:rsid w:val="00F4171C"/>
    <w:rsid w:val="00F443DC"/>
    <w:rsid w:val="00F44A82"/>
    <w:rsid w:val="00F45512"/>
    <w:rsid w:val="00F45DA8"/>
    <w:rsid w:val="00F46623"/>
    <w:rsid w:val="00F468A9"/>
    <w:rsid w:val="00F47CD1"/>
    <w:rsid w:val="00F50181"/>
    <w:rsid w:val="00F551B4"/>
    <w:rsid w:val="00F60F00"/>
    <w:rsid w:val="00F63E8A"/>
    <w:rsid w:val="00F63F7A"/>
    <w:rsid w:val="00F642D8"/>
    <w:rsid w:val="00F64CAA"/>
    <w:rsid w:val="00F64EBC"/>
    <w:rsid w:val="00F6684C"/>
    <w:rsid w:val="00F66EE2"/>
    <w:rsid w:val="00F700EE"/>
    <w:rsid w:val="00F70B2E"/>
    <w:rsid w:val="00F73805"/>
    <w:rsid w:val="00F74026"/>
    <w:rsid w:val="00F750B5"/>
    <w:rsid w:val="00F75FE5"/>
    <w:rsid w:val="00F801EB"/>
    <w:rsid w:val="00F80639"/>
    <w:rsid w:val="00F83447"/>
    <w:rsid w:val="00F8358F"/>
    <w:rsid w:val="00F8400F"/>
    <w:rsid w:val="00F841B4"/>
    <w:rsid w:val="00F8623A"/>
    <w:rsid w:val="00F8726A"/>
    <w:rsid w:val="00F8763C"/>
    <w:rsid w:val="00F87D6D"/>
    <w:rsid w:val="00F90DA2"/>
    <w:rsid w:val="00F91586"/>
    <w:rsid w:val="00F92A20"/>
    <w:rsid w:val="00F93844"/>
    <w:rsid w:val="00F95A77"/>
    <w:rsid w:val="00F96958"/>
    <w:rsid w:val="00FA04E1"/>
    <w:rsid w:val="00FA0BD6"/>
    <w:rsid w:val="00FA3501"/>
    <w:rsid w:val="00FA3682"/>
    <w:rsid w:val="00FA4DCD"/>
    <w:rsid w:val="00FA59C1"/>
    <w:rsid w:val="00FA7578"/>
    <w:rsid w:val="00FA7C87"/>
    <w:rsid w:val="00FA7DC0"/>
    <w:rsid w:val="00FB2166"/>
    <w:rsid w:val="00FB4B6E"/>
    <w:rsid w:val="00FB6045"/>
    <w:rsid w:val="00FB687C"/>
    <w:rsid w:val="00FB6A24"/>
    <w:rsid w:val="00FB6B02"/>
    <w:rsid w:val="00FC0946"/>
    <w:rsid w:val="00FC24C4"/>
    <w:rsid w:val="00FC341D"/>
    <w:rsid w:val="00FC35B2"/>
    <w:rsid w:val="00FC59BB"/>
    <w:rsid w:val="00FC64B4"/>
    <w:rsid w:val="00FD0475"/>
    <w:rsid w:val="00FD2367"/>
    <w:rsid w:val="00FD2807"/>
    <w:rsid w:val="00FD28D5"/>
    <w:rsid w:val="00FD3EB1"/>
    <w:rsid w:val="00FD3F76"/>
    <w:rsid w:val="00FD4F47"/>
    <w:rsid w:val="00FD517E"/>
    <w:rsid w:val="00FD5384"/>
    <w:rsid w:val="00FD567E"/>
    <w:rsid w:val="00FD5E31"/>
    <w:rsid w:val="00FD76A2"/>
    <w:rsid w:val="00FE0223"/>
    <w:rsid w:val="00FE03EE"/>
    <w:rsid w:val="00FE2344"/>
    <w:rsid w:val="00FE2A4D"/>
    <w:rsid w:val="00FE2CA6"/>
    <w:rsid w:val="00FE2E52"/>
    <w:rsid w:val="00FE32F0"/>
    <w:rsid w:val="00FE41F7"/>
    <w:rsid w:val="00FE57EA"/>
    <w:rsid w:val="00FE68DF"/>
    <w:rsid w:val="00FE6B5F"/>
    <w:rsid w:val="00FF07BE"/>
    <w:rsid w:val="00FF265B"/>
    <w:rsid w:val="00FF3260"/>
    <w:rsid w:val="00FF4720"/>
    <w:rsid w:val="00FF7029"/>
    <w:rsid w:val="00FF7307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0071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_"/>
    <w:qFormat/>
    <w:rsid w:val="00D27D69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aliases w:val="Mezititulek_"/>
    <w:next w:val="Normln"/>
    <w:link w:val="Nadpis1Char"/>
    <w:uiPriority w:val="9"/>
    <w:qFormat/>
    <w:rsid w:val="00E6423C"/>
    <w:pPr>
      <w:keepNext/>
      <w:keepLines/>
      <w:spacing w:line="276" w:lineRule="auto"/>
      <w:outlineLvl w:val="0"/>
    </w:pPr>
    <w:rPr>
      <w:rFonts w:ascii="Arial" w:eastAsia="Times New Roman" w:hAnsi="Arial"/>
      <w:b/>
      <w:bCs/>
      <w:szCs w:val="28"/>
      <w:lang w:eastAsia="en-US"/>
    </w:rPr>
  </w:style>
  <w:style w:type="paragraph" w:styleId="Nadpis2">
    <w:name w:val="heading 2"/>
    <w:next w:val="Normln"/>
    <w:link w:val="Nadpis2Char"/>
    <w:uiPriority w:val="9"/>
    <w:unhideWhenUsed/>
    <w:rsid w:val="00A4343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aliases w:val="Mezititulek"/>
    <w:basedOn w:val="Normln"/>
    <w:next w:val="Normln"/>
    <w:link w:val="Nadpis3Char"/>
    <w:uiPriority w:val="9"/>
    <w:unhideWhenUsed/>
    <w:rsid w:val="001810DC"/>
    <w:pPr>
      <w:keepNext/>
      <w:keepLines/>
      <w:spacing w:before="200"/>
      <w:jc w:val="left"/>
      <w:outlineLvl w:val="2"/>
    </w:pPr>
    <w:rPr>
      <w:rFonts w:eastAsia="Times New Roman"/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70"/>
  </w:style>
  <w:style w:type="paragraph" w:styleId="Zpat">
    <w:name w:val="footer"/>
    <w:basedOn w:val="Normln"/>
    <w:link w:val="Zpat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70"/>
  </w:style>
  <w:style w:type="paragraph" w:styleId="Textbubliny">
    <w:name w:val="Balloon Text"/>
    <w:basedOn w:val="Normln"/>
    <w:link w:val="TextbublinyChar"/>
    <w:uiPriority w:val="99"/>
    <w:semiHidden/>
    <w:unhideWhenUsed/>
    <w:rsid w:val="00BA6370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A6370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A6370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_"/>
    <w:qFormat/>
    <w:rsid w:val="00622B80"/>
    <w:pPr>
      <w:spacing w:line="276" w:lineRule="auto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aliases w:val="Mezititulek_ Char"/>
    <w:link w:val="Nadpis1"/>
    <w:uiPriority w:val="9"/>
    <w:rsid w:val="00E6423C"/>
    <w:rPr>
      <w:rFonts w:ascii="Arial" w:eastAsia="Times New Roman" w:hAnsi="Arial"/>
      <w:b/>
      <w:bCs/>
      <w:szCs w:val="28"/>
      <w:lang w:eastAsia="en-US" w:bidi="ar-SA"/>
    </w:rPr>
  </w:style>
  <w:style w:type="character" w:customStyle="1" w:styleId="Nadpis2Char">
    <w:name w:val="Nadpis 2 Char"/>
    <w:link w:val="Nadpis2"/>
    <w:uiPriority w:val="9"/>
    <w:rsid w:val="00A4343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0"/>
    <w:rsid w:val="008C384C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0">
    <w:name w:val="Poznámky_"/>
    <w:next w:val="Normln"/>
    <w:qFormat/>
    <w:rsid w:val="002D6A6C"/>
    <w:pPr>
      <w:pBdr>
        <w:top w:val="single" w:sz="4" w:space="9" w:color="auto"/>
      </w:pBdr>
      <w:spacing w:before="280" w:line="276" w:lineRule="auto"/>
      <w:jc w:val="both"/>
    </w:pPr>
    <w:rPr>
      <w:rFonts w:ascii="Arial" w:hAnsi="Arial" w:cs="ArialMT"/>
      <w:i/>
      <w:sz w:val="18"/>
      <w:szCs w:val="18"/>
      <w:lang w:eastAsia="en-US"/>
    </w:rPr>
  </w:style>
  <w:style w:type="character" w:customStyle="1" w:styleId="Nadpis3Char">
    <w:name w:val="Nadpis 3 Char"/>
    <w:aliases w:val="Mezititulek Char"/>
    <w:link w:val="Nadpis3"/>
    <w:uiPriority w:val="9"/>
    <w:rsid w:val="001810DC"/>
    <w:rPr>
      <w:rFonts w:ascii="Arial" w:eastAsia="Times New Roman" w:hAnsi="Arial" w:cs="Times New Roman"/>
      <w:b/>
      <w:bCs/>
      <w:sz w:val="20"/>
      <w:lang w:val="cs-CZ"/>
    </w:rPr>
  </w:style>
  <w:style w:type="character" w:styleId="Hypertextovodkaz">
    <w:name w:val="Hyperlink"/>
    <w:uiPriority w:val="99"/>
    <w:unhideWhenUsed/>
    <w:rsid w:val="004E479E"/>
    <w:rPr>
      <w:color w:val="0000FF"/>
      <w:u w:val="single"/>
    </w:rPr>
  </w:style>
  <w:style w:type="paragraph" w:customStyle="1" w:styleId="Perex">
    <w:name w:val="Perex_"/>
    <w:next w:val="Normln"/>
    <w:qFormat/>
    <w:rsid w:val="00D27D69"/>
    <w:pPr>
      <w:autoSpaceDE w:val="0"/>
      <w:autoSpaceDN w:val="0"/>
      <w:adjustRightInd w:val="0"/>
      <w:spacing w:after="280" w:line="276" w:lineRule="auto"/>
      <w:jc w:val="both"/>
    </w:pPr>
    <w:rPr>
      <w:rFonts w:ascii="Arial" w:hAnsi="Arial" w:cs="Arial"/>
      <w:b/>
      <w:szCs w:val="18"/>
      <w:lang w:eastAsia="en-US"/>
    </w:rPr>
  </w:style>
  <w:style w:type="paragraph" w:styleId="Nzev">
    <w:name w:val="Title"/>
    <w:aliases w:val="Titulek_"/>
    <w:next w:val="Normln"/>
    <w:link w:val="NzevChar"/>
    <w:uiPriority w:val="10"/>
    <w:qFormat/>
    <w:rsid w:val="003C2DCF"/>
    <w:pPr>
      <w:spacing w:before="280" w:after="280" w:line="360" w:lineRule="exact"/>
      <w:outlineLvl w:val="0"/>
    </w:pPr>
    <w:rPr>
      <w:rFonts w:ascii="Arial" w:eastAsia="Times New Roman" w:hAnsi="Arial"/>
      <w:b/>
      <w:bCs/>
      <w:color w:val="BD1B21"/>
      <w:sz w:val="32"/>
      <w:szCs w:val="32"/>
      <w:lang w:eastAsia="en-US"/>
    </w:rPr>
  </w:style>
  <w:style w:type="character" w:customStyle="1" w:styleId="NzevChar">
    <w:name w:val="Název Char"/>
    <w:aliases w:val="Titulek_ Char"/>
    <w:link w:val="Nzev"/>
    <w:uiPriority w:val="10"/>
    <w:rsid w:val="003C2DCF"/>
    <w:rPr>
      <w:rFonts w:ascii="Arial" w:eastAsia="Times New Roman" w:hAnsi="Arial"/>
      <w:b/>
      <w:bCs/>
      <w:color w:val="BD1B21"/>
      <w:sz w:val="32"/>
      <w:szCs w:val="32"/>
      <w:lang w:eastAsia="en-US" w:bidi="ar-SA"/>
    </w:rPr>
  </w:style>
  <w:style w:type="character" w:styleId="Odkazjemn">
    <w:name w:val="Subtle Reference"/>
    <w:uiPriority w:val="31"/>
    <w:rsid w:val="003A45C8"/>
    <w:rPr>
      <w:smallCaps/>
      <w:color w:val="C0504D"/>
      <w:u w:val="single"/>
    </w:rPr>
  </w:style>
  <w:style w:type="paragraph" w:customStyle="1" w:styleId="TabulkaGraf">
    <w:name w:val="Tabulka/Graf_"/>
    <w:next w:val="Normln"/>
    <w:link w:val="TabulkaGrafChar"/>
    <w:qFormat/>
    <w:rsid w:val="007A57F2"/>
    <w:pPr>
      <w:spacing w:line="276" w:lineRule="auto"/>
    </w:pPr>
    <w:rPr>
      <w:rFonts w:ascii="Arial" w:eastAsia="Times New Roman" w:hAnsi="Arial"/>
      <w:b/>
      <w:bCs/>
      <w:szCs w:val="28"/>
      <w:lang w:eastAsia="en-US"/>
    </w:rPr>
  </w:style>
  <w:style w:type="character" w:customStyle="1" w:styleId="TabulkaGrafChar">
    <w:name w:val="Tabulka/Graf_ Char"/>
    <w:link w:val="TabulkaGraf"/>
    <w:rsid w:val="007A57F2"/>
    <w:rPr>
      <w:rFonts w:ascii="Arial" w:eastAsia="Times New Roman" w:hAnsi="Arial"/>
      <w:b/>
      <w:bCs/>
      <w:szCs w:val="28"/>
      <w:lang w:eastAsia="en-US" w:bidi="ar-SA"/>
    </w:rPr>
  </w:style>
  <w:style w:type="paragraph" w:styleId="Textpoznpodarou">
    <w:name w:val="footnote text"/>
    <w:aliases w:val="Text pozn. pod čarou_martin_ang"/>
    <w:basedOn w:val="Normln"/>
    <w:link w:val="TextpoznpodarouChar"/>
    <w:uiPriority w:val="99"/>
    <w:unhideWhenUsed/>
    <w:rsid w:val="00E94951"/>
    <w:pPr>
      <w:spacing w:line="240" w:lineRule="auto"/>
      <w:jc w:val="left"/>
    </w:pPr>
    <w:rPr>
      <w:rFonts w:ascii="Calibri" w:hAnsi="Calibri"/>
      <w:szCs w:val="20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uiPriority w:val="99"/>
    <w:rsid w:val="00E94951"/>
    <w:rPr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94951"/>
    <w:rPr>
      <w:vertAlign w:val="superscript"/>
    </w:rPr>
  </w:style>
  <w:style w:type="paragraph" w:customStyle="1" w:styleId="Default">
    <w:name w:val="Default"/>
    <w:rsid w:val="00D42B8D"/>
    <w:pPr>
      <w:autoSpaceDE w:val="0"/>
      <w:autoSpaceDN w:val="0"/>
      <w:adjustRightInd w:val="0"/>
    </w:pPr>
    <w:rPr>
      <w:rFonts w:ascii="BOPDNI+Arial" w:eastAsia="Times New Roman" w:hAnsi="BOPDNI+Arial" w:cs="BOPDNI+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C2020B"/>
    <w:rPr>
      <w:b/>
      <w:bCs/>
    </w:rPr>
  </w:style>
  <w:style w:type="paragraph" w:styleId="Odstavecseseznamem">
    <w:name w:val="List Paragraph"/>
    <w:basedOn w:val="Normln"/>
    <w:uiPriority w:val="34"/>
    <w:rsid w:val="00451B1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D29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D291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2910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291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2910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basedOn w:val="Standardnpsmoodstavce"/>
    <w:rsid w:val="00877CAE"/>
  </w:style>
  <w:style w:type="paragraph" w:styleId="Normlnweb">
    <w:name w:val="Normal (Web)"/>
    <w:basedOn w:val="Normln"/>
    <w:uiPriority w:val="99"/>
    <w:unhideWhenUsed/>
    <w:rsid w:val="00877C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C5D60"/>
    <w:rPr>
      <w:color w:val="800080" w:themeColor="followedHyperlink"/>
      <w:u w:val="single"/>
    </w:rPr>
  </w:style>
  <w:style w:type="character" w:customStyle="1" w:styleId="descriptionid4202siteid0">
    <w:name w:val="descriptionid4202siteid0"/>
    <w:basedOn w:val="Standardnpsmoodstavce"/>
    <w:rsid w:val="00B05B31"/>
  </w:style>
  <w:style w:type="character" w:customStyle="1" w:styleId="st">
    <w:name w:val="st"/>
    <w:basedOn w:val="Standardnpsmoodstavce"/>
    <w:rsid w:val="004F32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_"/>
    <w:qFormat/>
    <w:rsid w:val="00D27D69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aliases w:val="Mezititulek_"/>
    <w:next w:val="Normln"/>
    <w:link w:val="Nadpis1Char"/>
    <w:uiPriority w:val="9"/>
    <w:qFormat/>
    <w:rsid w:val="00E6423C"/>
    <w:pPr>
      <w:keepNext/>
      <w:keepLines/>
      <w:spacing w:line="276" w:lineRule="auto"/>
      <w:outlineLvl w:val="0"/>
    </w:pPr>
    <w:rPr>
      <w:rFonts w:ascii="Arial" w:eastAsia="Times New Roman" w:hAnsi="Arial"/>
      <w:b/>
      <w:bCs/>
      <w:szCs w:val="28"/>
      <w:lang w:eastAsia="en-US"/>
    </w:rPr>
  </w:style>
  <w:style w:type="paragraph" w:styleId="Nadpis2">
    <w:name w:val="heading 2"/>
    <w:next w:val="Normln"/>
    <w:link w:val="Nadpis2Char"/>
    <w:uiPriority w:val="9"/>
    <w:unhideWhenUsed/>
    <w:rsid w:val="00A4343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aliases w:val="Mezititulek"/>
    <w:basedOn w:val="Normln"/>
    <w:next w:val="Normln"/>
    <w:link w:val="Nadpis3Char"/>
    <w:uiPriority w:val="9"/>
    <w:unhideWhenUsed/>
    <w:rsid w:val="001810DC"/>
    <w:pPr>
      <w:keepNext/>
      <w:keepLines/>
      <w:spacing w:before="200"/>
      <w:jc w:val="left"/>
      <w:outlineLvl w:val="2"/>
    </w:pPr>
    <w:rPr>
      <w:rFonts w:eastAsia="Times New Roman"/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70"/>
  </w:style>
  <w:style w:type="paragraph" w:styleId="Zpat">
    <w:name w:val="footer"/>
    <w:basedOn w:val="Normln"/>
    <w:link w:val="Zpat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70"/>
  </w:style>
  <w:style w:type="paragraph" w:styleId="Textbubliny">
    <w:name w:val="Balloon Text"/>
    <w:basedOn w:val="Normln"/>
    <w:link w:val="TextbublinyChar"/>
    <w:uiPriority w:val="99"/>
    <w:semiHidden/>
    <w:unhideWhenUsed/>
    <w:rsid w:val="00BA6370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A6370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A6370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_"/>
    <w:qFormat/>
    <w:rsid w:val="00622B80"/>
    <w:pPr>
      <w:spacing w:line="276" w:lineRule="auto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aliases w:val="Mezititulek_ Char"/>
    <w:link w:val="Nadpis1"/>
    <w:uiPriority w:val="9"/>
    <w:rsid w:val="00E6423C"/>
    <w:rPr>
      <w:rFonts w:ascii="Arial" w:eastAsia="Times New Roman" w:hAnsi="Arial"/>
      <w:b/>
      <w:bCs/>
      <w:szCs w:val="28"/>
      <w:lang w:eastAsia="en-US" w:bidi="ar-SA"/>
    </w:rPr>
  </w:style>
  <w:style w:type="character" w:customStyle="1" w:styleId="Nadpis2Char">
    <w:name w:val="Nadpis 2 Char"/>
    <w:link w:val="Nadpis2"/>
    <w:uiPriority w:val="9"/>
    <w:rsid w:val="00A4343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0"/>
    <w:rsid w:val="008C384C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0">
    <w:name w:val="Poznámky_"/>
    <w:next w:val="Normln"/>
    <w:qFormat/>
    <w:rsid w:val="002D6A6C"/>
    <w:pPr>
      <w:pBdr>
        <w:top w:val="single" w:sz="4" w:space="9" w:color="auto"/>
      </w:pBdr>
      <w:spacing w:before="280" w:line="276" w:lineRule="auto"/>
      <w:jc w:val="both"/>
    </w:pPr>
    <w:rPr>
      <w:rFonts w:ascii="Arial" w:hAnsi="Arial" w:cs="ArialMT"/>
      <w:i/>
      <w:sz w:val="18"/>
      <w:szCs w:val="18"/>
      <w:lang w:eastAsia="en-US"/>
    </w:rPr>
  </w:style>
  <w:style w:type="character" w:customStyle="1" w:styleId="Nadpis3Char">
    <w:name w:val="Nadpis 3 Char"/>
    <w:aliases w:val="Mezititulek Char"/>
    <w:link w:val="Nadpis3"/>
    <w:uiPriority w:val="9"/>
    <w:rsid w:val="001810DC"/>
    <w:rPr>
      <w:rFonts w:ascii="Arial" w:eastAsia="Times New Roman" w:hAnsi="Arial" w:cs="Times New Roman"/>
      <w:b/>
      <w:bCs/>
      <w:sz w:val="20"/>
      <w:lang w:val="cs-CZ"/>
    </w:rPr>
  </w:style>
  <w:style w:type="character" w:styleId="Hypertextovodkaz">
    <w:name w:val="Hyperlink"/>
    <w:uiPriority w:val="99"/>
    <w:unhideWhenUsed/>
    <w:rsid w:val="004E479E"/>
    <w:rPr>
      <w:color w:val="0000FF"/>
      <w:u w:val="single"/>
    </w:rPr>
  </w:style>
  <w:style w:type="paragraph" w:customStyle="1" w:styleId="Perex">
    <w:name w:val="Perex_"/>
    <w:next w:val="Normln"/>
    <w:qFormat/>
    <w:rsid w:val="00D27D69"/>
    <w:pPr>
      <w:autoSpaceDE w:val="0"/>
      <w:autoSpaceDN w:val="0"/>
      <w:adjustRightInd w:val="0"/>
      <w:spacing w:after="280" w:line="276" w:lineRule="auto"/>
      <w:jc w:val="both"/>
    </w:pPr>
    <w:rPr>
      <w:rFonts w:ascii="Arial" w:hAnsi="Arial" w:cs="Arial"/>
      <w:b/>
      <w:szCs w:val="18"/>
      <w:lang w:eastAsia="en-US"/>
    </w:rPr>
  </w:style>
  <w:style w:type="paragraph" w:styleId="Nzev">
    <w:name w:val="Title"/>
    <w:aliases w:val="Titulek_"/>
    <w:next w:val="Normln"/>
    <w:link w:val="NzevChar"/>
    <w:uiPriority w:val="10"/>
    <w:qFormat/>
    <w:rsid w:val="003C2DCF"/>
    <w:pPr>
      <w:spacing w:before="280" w:after="280" w:line="360" w:lineRule="exact"/>
      <w:outlineLvl w:val="0"/>
    </w:pPr>
    <w:rPr>
      <w:rFonts w:ascii="Arial" w:eastAsia="Times New Roman" w:hAnsi="Arial"/>
      <w:b/>
      <w:bCs/>
      <w:color w:val="BD1B21"/>
      <w:sz w:val="32"/>
      <w:szCs w:val="32"/>
      <w:lang w:eastAsia="en-US"/>
    </w:rPr>
  </w:style>
  <w:style w:type="character" w:customStyle="1" w:styleId="NzevChar">
    <w:name w:val="Název Char"/>
    <w:aliases w:val="Titulek_ Char"/>
    <w:link w:val="Nzev"/>
    <w:uiPriority w:val="10"/>
    <w:rsid w:val="003C2DCF"/>
    <w:rPr>
      <w:rFonts w:ascii="Arial" w:eastAsia="Times New Roman" w:hAnsi="Arial"/>
      <w:b/>
      <w:bCs/>
      <w:color w:val="BD1B21"/>
      <w:sz w:val="32"/>
      <w:szCs w:val="32"/>
      <w:lang w:eastAsia="en-US" w:bidi="ar-SA"/>
    </w:rPr>
  </w:style>
  <w:style w:type="character" w:styleId="Odkazjemn">
    <w:name w:val="Subtle Reference"/>
    <w:uiPriority w:val="31"/>
    <w:rsid w:val="003A45C8"/>
    <w:rPr>
      <w:smallCaps/>
      <w:color w:val="C0504D"/>
      <w:u w:val="single"/>
    </w:rPr>
  </w:style>
  <w:style w:type="paragraph" w:customStyle="1" w:styleId="TabulkaGraf">
    <w:name w:val="Tabulka/Graf_"/>
    <w:next w:val="Normln"/>
    <w:link w:val="TabulkaGrafChar"/>
    <w:qFormat/>
    <w:rsid w:val="007A57F2"/>
    <w:pPr>
      <w:spacing w:line="276" w:lineRule="auto"/>
    </w:pPr>
    <w:rPr>
      <w:rFonts w:ascii="Arial" w:eastAsia="Times New Roman" w:hAnsi="Arial"/>
      <w:b/>
      <w:bCs/>
      <w:szCs w:val="28"/>
      <w:lang w:eastAsia="en-US"/>
    </w:rPr>
  </w:style>
  <w:style w:type="character" w:customStyle="1" w:styleId="TabulkaGrafChar">
    <w:name w:val="Tabulka/Graf_ Char"/>
    <w:link w:val="TabulkaGraf"/>
    <w:rsid w:val="007A57F2"/>
    <w:rPr>
      <w:rFonts w:ascii="Arial" w:eastAsia="Times New Roman" w:hAnsi="Arial"/>
      <w:b/>
      <w:bCs/>
      <w:szCs w:val="28"/>
      <w:lang w:eastAsia="en-US" w:bidi="ar-SA"/>
    </w:rPr>
  </w:style>
  <w:style w:type="paragraph" w:styleId="Textpoznpodarou">
    <w:name w:val="footnote text"/>
    <w:aliases w:val="Text pozn. pod čarou_martin_ang"/>
    <w:basedOn w:val="Normln"/>
    <w:link w:val="TextpoznpodarouChar"/>
    <w:uiPriority w:val="99"/>
    <w:unhideWhenUsed/>
    <w:rsid w:val="00E94951"/>
    <w:pPr>
      <w:spacing w:line="240" w:lineRule="auto"/>
      <w:jc w:val="left"/>
    </w:pPr>
    <w:rPr>
      <w:rFonts w:ascii="Calibri" w:hAnsi="Calibri"/>
      <w:szCs w:val="20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uiPriority w:val="99"/>
    <w:rsid w:val="00E94951"/>
    <w:rPr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94951"/>
    <w:rPr>
      <w:vertAlign w:val="superscript"/>
    </w:rPr>
  </w:style>
  <w:style w:type="paragraph" w:customStyle="1" w:styleId="Default">
    <w:name w:val="Default"/>
    <w:rsid w:val="00D42B8D"/>
    <w:pPr>
      <w:autoSpaceDE w:val="0"/>
      <w:autoSpaceDN w:val="0"/>
      <w:adjustRightInd w:val="0"/>
    </w:pPr>
    <w:rPr>
      <w:rFonts w:ascii="BOPDNI+Arial" w:eastAsia="Times New Roman" w:hAnsi="BOPDNI+Arial" w:cs="BOPDNI+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C2020B"/>
    <w:rPr>
      <w:b/>
      <w:bCs/>
    </w:rPr>
  </w:style>
  <w:style w:type="paragraph" w:styleId="Odstavecseseznamem">
    <w:name w:val="List Paragraph"/>
    <w:basedOn w:val="Normln"/>
    <w:uiPriority w:val="34"/>
    <w:rsid w:val="00451B1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D29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D291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2910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291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2910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basedOn w:val="Standardnpsmoodstavce"/>
    <w:rsid w:val="00877CAE"/>
  </w:style>
  <w:style w:type="paragraph" w:styleId="Normlnweb">
    <w:name w:val="Normal (Web)"/>
    <w:basedOn w:val="Normln"/>
    <w:uiPriority w:val="99"/>
    <w:unhideWhenUsed/>
    <w:rsid w:val="00877C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C5D60"/>
    <w:rPr>
      <w:color w:val="800080" w:themeColor="followedHyperlink"/>
      <w:u w:val="single"/>
    </w:rPr>
  </w:style>
  <w:style w:type="character" w:customStyle="1" w:styleId="descriptionid4202siteid0">
    <w:name w:val="descriptionid4202siteid0"/>
    <w:basedOn w:val="Standardnpsmoodstavce"/>
    <w:rsid w:val="00B05B31"/>
  </w:style>
  <w:style w:type="character" w:customStyle="1" w:styleId="st">
    <w:name w:val="st"/>
    <w:basedOn w:val="Standardnpsmoodstavce"/>
    <w:rsid w:val="004F32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.wikipedia.org/wiki/Visegr%C3%A1d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image" Target="media/image25.emf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0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7" Type="http://schemas.openxmlformats.org/officeDocument/2006/relationships/endnotes" Target="endnotes.xml"/><Relationship Id="rId12" Type="http://schemas.openxmlformats.org/officeDocument/2006/relationships/hyperlink" Target="http://cs.wikipedia.org/wiki/1991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chart" Target="charts/chart3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29" Type="http://schemas.openxmlformats.org/officeDocument/2006/relationships/image" Target="media/image15.emf"/><Relationship Id="rId41" Type="http://schemas.openxmlformats.org/officeDocument/2006/relationships/image" Target="media/image27.emf"/><Relationship Id="rId54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.wikipedia.org/wiki/Slovensko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jpeg"/><Relationship Id="rId45" Type="http://schemas.openxmlformats.org/officeDocument/2006/relationships/chart" Target="charts/chart2.xml"/><Relationship Id="rId53" Type="http://schemas.openxmlformats.org/officeDocument/2006/relationships/image" Target="media/image3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49" Type="http://schemas.openxmlformats.org/officeDocument/2006/relationships/image" Target="media/image32.emf"/><Relationship Id="rId57" Type="http://schemas.openxmlformats.org/officeDocument/2006/relationships/footer" Target="footer1.xml"/><Relationship Id="rId61" Type="http://schemas.microsoft.com/office/2007/relationships/stylesWithEffects" Target="stylesWithEffects.xml"/><Relationship Id="rId10" Type="http://schemas.openxmlformats.org/officeDocument/2006/relationships/hyperlink" Target="http://cs.wikipedia.org/wiki/Polsko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7.emf"/><Relationship Id="rId44" Type="http://schemas.openxmlformats.org/officeDocument/2006/relationships/chart" Target="charts/chart1.xml"/><Relationship Id="rId52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hyperlink" Target="http://cs.wikipedia.org/wiki/%C4%8Cesko" TargetMode="External"/><Relationship Id="rId14" Type="http://schemas.openxmlformats.org/officeDocument/2006/relationships/hyperlink" Target="http://cs.wikipedia.org/wiki/1335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1.emf"/><Relationship Id="rId56" Type="http://schemas.openxmlformats.org/officeDocument/2006/relationships/header" Target="header1.xml"/><Relationship Id="rId8" Type="http://schemas.openxmlformats.org/officeDocument/2006/relationships/hyperlink" Target="http://cs.wikipedia.org/wiki/St%C5%99edn%C3%AD_Evropa" TargetMode="External"/><Relationship Id="rId51" Type="http://schemas.openxmlformats.org/officeDocument/2006/relationships/image" Target="media/image34.emf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ostat/web/population-and-housing-census/census-data/2011-censu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DUBSKA~1\LOCALS~1\Temp\Anal&#253;za%20CZ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352;t&#283;p&#225;nka\Desktop\pravni%20duvod%20uzivan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352;t&#283;p&#225;nka\Desktop\plocha%20bez%20S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352;t&#283;p&#225;nka\Desktop\obyt%20mist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6.7761194029850827E-2"/>
          <c:y val="6.0356652949245651E-2"/>
          <c:w val="0.72805950562149935"/>
          <c:h val="0.81742134085091156"/>
        </c:manualLayout>
      </c:layout>
      <c:barChart>
        <c:barDir val="bar"/>
        <c:grouping val="percentStacked"/>
        <c:ser>
          <c:idx val="0"/>
          <c:order val="0"/>
          <c:tx>
            <c:strRef>
              <c:f>xlsoutput_HC41_2014_11_26_10_10!$C$32</c:f>
              <c:strCache>
                <c:ptCount val="1"/>
                <c:pt idx="0">
                  <c:v>osobní vlast.</c:v>
                </c:pt>
              </c:strCache>
            </c:strRef>
          </c:tx>
          <c:cat>
            <c:strRef>
              <c:f>xlsoutput_HC41_2014_11_26_10_10!$B$33:$B$36</c:f>
              <c:strCache>
                <c:ptCount val="4"/>
                <c:pt idx="0">
                  <c:v>CZ</c:v>
                </c:pt>
                <c:pt idx="1">
                  <c:v>HU</c:v>
                </c:pt>
                <c:pt idx="2">
                  <c:v>PL</c:v>
                </c:pt>
                <c:pt idx="3">
                  <c:v>SK</c:v>
                </c:pt>
              </c:strCache>
            </c:strRef>
          </c:cat>
          <c:val>
            <c:numRef>
              <c:f>xlsoutput_HC41_2014_11_26_10_10!$C$33:$C$36</c:f>
              <c:numCache>
                <c:formatCode>General</c:formatCode>
                <c:ptCount val="4"/>
                <c:pt idx="0">
                  <c:v>55.89412944147287</c:v>
                </c:pt>
                <c:pt idx="1">
                  <c:v>91.565367703797278</c:v>
                </c:pt>
                <c:pt idx="2">
                  <c:v>77.095718718585516</c:v>
                </c:pt>
                <c:pt idx="3">
                  <c:v>86.099012936679458</c:v>
                </c:pt>
              </c:numCache>
            </c:numRef>
          </c:val>
        </c:ser>
        <c:ser>
          <c:idx val="1"/>
          <c:order val="1"/>
          <c:tx>
            <c:strRef>
              <c:f>xlsoutput_HC41_2014_11_26_10_10!$D$32</c:f>
              <c:strCache>
                <c:ptCount val="1"/>
                <c:pt idx="0">
                  <c:v>družstevní</c:v>
                </c:pt>
              </c:strCache>
            </c:strRef>
          </c:tx>
          <c:cat>
            <c:strRef>
              <c:f>xlsoutput_HC41_2014_11_26_10_10!$B$33:$B$36</c:f>
              <c:strCache>
                <c:ptCount val="4"/>
                <c:pt idx="0">
                  <c:v>CZ</c:v>
                </c:pt>
                <c:pt idx="1">
                  <c:v>HU</c:v>
                </c:pt>
                <c:pt idx="2">
                  <c:v>PL</c:v>
                </c:pt>
                <c:pt idx="3">
                  <c:v>SK</c:v>
                </c:pt>
              </c:strCache>
            </c:strRef>
          </c:cat>
          <c:val>
            <c:numRef>
              <c:f>xlsoutput_HC41_2014_11_26_10_10!$D$33:$D$36</c:f>
              <c:numCache>
                <c:formatCode>General</c:formatCode>
                <c:ptCount val="4"/>
                <c:pt idx="0">
                  <c:v>9.3942823174290577</c:v>
                </c:pt>
                <c:pt idx="2">
                  <c:v>2.8241367843292111</c:v>
                </c:pt>
                <c:pt idx="3">
                  <c:v>3.6625480641689965</c:v>
                </c:pt>
              </c:numCache>
            </c:numRef>
          </c:val>
        </c:ser>
        <c:ser>
          <c:idx val="2"/>
          <c:order val="2"/>
          <c:tx>
            <c:strRef>
              <c:f>xlsoutput_HC41_2014_11_26_10_10!$E$32</c:f>
              <c:strCache>
                <c:ptCount val="1"/>
                <c:pt idx="0">
                  <c:v>nájemní</c:v>
                </c:pt>
              </c:strCache>
            </c:strRef>
          </c:tx>
          <c:cat>
            <c:strRef>
              <c:f>xlsoutput_HC41_2014_11_26_10_10!$B$33:$B$36</c:f>
              <c:strCache>
                <c:ptCount val="4"/>
                <c:pt idx="0">
                  <c:v>CZ</c:v>
                </c:pt>
                <c:pt idx="1">
                  <c:v>HU</c:v>
                </c:pt>
                <c:pt idx="2">
                  <c:v>PL</c:v>
                </c:pt>
                <c:pt idx="3">
                  <c:v>SK</c:v>
                </c:pt>
              </c:strCache>
            </c:strRef>
          </c:cat>
          <c:val>
            <c:numRef>
              <c:f>xlsoutput_HC41_2014_11_26_10_10!$E$33:$E$36</c:f>
              <c:numCache>
                <c:formatCode>General</c:formatCode>
                <c:ptCount val="4"/>
                <c:pt idx="0">
                  <c:v>22.423552885944606</c:v>
                </c:pt>
                <c:pt idx="1">
                  <c:v>7.0890998916529924</c:v>
                </c:pt>
                <c:pt idx="2">
                  <c:v>18.047295995322227</c:v>
                </c:pt>
                <c:pt idx="3">
                  <c:v>2.3373812730440031</c:v>
                </c:pt>
              </c:numCache>
            </c:numRef>
          </c:val>
        </c:ser>
        <c:ser>
          <c:idx val="3"/>
          <c:order val="3"/>
          <c:tx>
            <c:strRef>
              <c:f>xlsoutput_HC41_2014_11_26_10_10!$F$32</c:f>
              <c:strCache>
                <c:ptCount val="1"/>
                <c:pt idx="0">
                  <c:v>jiné</c:v>
                </c:pt>
              </c:strCache>
            </c:strRef>
          </c:tx>
          <c:cat>
            <c:strRef>
              <c:f>xlsoutput_HC41_2014_11_26_10_10!$B$33:$B$36</c:f>
              <c:strCache>
                <c:ptCount val="4"/>
                <c:pt idx="0">
                  <c:v>CZ</c:v>
                </c:pt>
                <c:pt idx="1">
                  <c:v>HU</c:v>
                </c:pt>
                <c:pt idx="2">
                  <c:v>PL</c:v>
                </c:pt>
                <c:pt idx="3">
                  <c:v>SK</c:v>
                </c:pt>
              </c:strCache>
            </c:strRef>
          </c:cat>
          <c:val>
            <c:numRef>
              <c:f>xlsoutput_HC41_2014_11_26_10_10!$F$33:$F$36</c:f>
              <c:numCache>
                <c:formatCode>General</c:formatCode>
                <c:ptCount val="4"/>
                <c:pt idx="0">
                  <c:v>4.5069293615632082</c:v>
                </c:pt>
                <c:pt idx="1">
                  <c:v>1.3455324045497061</c:v>
                </c:pt>
                <c:pt idx="2">
                  <c:v>0.16178718479066004</c:v>
                </c:pt>
                <c:pt idx="3">
                  <c:v>4.1198800169830205</c:v>
                </c:pt>
              </c:numCache>
            </c:numRef>
          </c:val>
        </c:ser>
        <c:ser>
          <c:idx val="4"/>
          <c:order val="4"/>
          <c:tx>
            <c:strRef>
              <c:f>xlsoutput_HC41_2014_11_26_10_10!$G$32</c:f>
              <c:strCache>
                <c:ptCount val="1"/>
                <c:pt idx="0">
                  <c:v>nezjištěno</c:v>
                </c:pt>
              </c:strCache>
            </c:strRef>
          </c:tx>
          <c:cat>
            <c:strRef>
              <c:f>xlsoutput_HC41_2014_11_26_10_10!$B$33:$B$36</c:f>
              <c:strCache>
                <c:ptCount val="4"/>
                <c:pt idx="0">
                  <c:v>CZ</c:v>
                </c:pt>
                <c:pt idx="1">
                  <c:v>HU</c:v>
                </c:pt>
                <c:pt idx="2">
                  <c:v>PL</c:v>
                </c:pt>
                <c:pt idx="3">
                  <c:v>SK</c:v>
                </c:pt>
              </c:strCache>
            </c:strRef>
          </c:cat>
          <c:val>
            <c:numRef>
              <c:f>xlsoutput_HC41_2014_11_26_10_10!$G$33:$G$36</c:f>
              <c:numCache>
                <c:formatCode>General</c:formatCode>
                <c:ptCount val="4"/>
                <c:pt idx="0">
                  <c:v>7.7811059935901934</c:v>
                </c:pt>
                <c:pt idx="2">
                  <c:v>1.8710613169712564</c:v>
                </c:pt>
                <c:pt idx="3">
                  <c:v>3.781177709124445</c:v>
                </c:pt>
              </c:numCache>
            </c:numRef>
          </c:val>
        </c:ser>
        <c:gapWidth val="50"/>
        <c:overlap val="100"/>
        <c:axId val="55753728"/>
        <c:axId val="55755520"/>
      </c:barChart>
      <c:catAx>
        <c:axId val="5575372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cs-CZ"/>
          </a:p>
        </c:txPr>
        <c:crossAx val="55755520"/>
        <c:crosses val="autoZero"/>
        <c:auto val="1"/>
        <c:lblAlgn val="ctr"/>
        <c:lblOffset val="100"/>
      </c:catAx>
      <c:valAx>
        <c:axId val="55755520"/>
        <c:scaling>
          <c:orientation val="minMax"/>
        </c:scaling>
        <c:axPos val="b"/>
        <c:majorGridlines/>
        <c:numFmt formatCode="0%" sourceLinked="1"/>
        <c:maj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cs-CZ"/>
          </a:p>
        </c:txPr>
        <c:crossAx val="55753728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cs-CZ"/>
        </a:p>
      </c:txPr>
    </c:legend>
    <c:plotVisOnly val="1"/>
    <c:dispBlanksAs val="gap"/>
  </c:chart>
  <c:spPr>
    <a:ln>
      <a:solidFill>
        <a:schemeClr val="bg1">
          <a:lumMod val="65000"/>
        </a:scheme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0.14838288071134095"/>
          <c:y val="7.1882758427438562E-2"/>
          <c:w val="0.75005160069277876"/>
          <c:h val="0.53540282630234137"/>
        </c:manualLayout>
      </c:layout>
      <c:barChart>
        <c:barDir val="bar"/>
        <c:grouping val="percentStacked"/>
        <c:ser>
          <c:idx val="0"/>
          <c:order val="0"/>
          <c:tx>
            <c:strRef>
              <c:f>xlsoutput_HC54_2014_11_26_08_38!$C$28</c:f>
              <c:strCache>
                <c:ptCount val="1"/>
                <c:pt idx="0">
                  <c:v>méně než 40 m2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xlsoutput_HC54_2014_11_26_08_38!$C$29:$C$31</c:f>
              <c:numCache>
                <c:formatCode>General</c:formatCode>
                <c:ptCount val="3"/>
                <c:pt idx="0">
                  <c:v>11.395848839178246</c:v>
                </c:pt>
                <c:pt idx="1">
                  <c:v>7.3977572500356699</c:v>
                </c:pt>
                <c:pt idx="2">
                  <c:v>15.508804203413471</c:v>
                </c:pt>
              </c:numCache>
            </c:numRef>
          </c:val>
        </c:ser>
        <c:ser>
          <c:idx val="1"/>
          <c:order val="1"/>
          <c:tx>
            <c:strRef>
              <c:f>xlsoutput_HC54_2014_11_26_08_38!$D$28</c:f>
              <c:strCache>
                <c:ptCount val="1"/>
                <c:pt idx="0">
                  <c:v> 40-59,9 m2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xlsoutput_HC54_2014_11_26_08_38!$D$29:$D$31</c:f>
              <c:numCache>
                <c:formatCode>General</c:formatCode>
                <c:ptCount val="3"/>
                <c:pt idx="0">
                  <c:v>20.292449876785227</c:v>
                </c:pt>
                <c:pt idx="1">
                  <c:v>25.862245679090886</c:v>
                </c:pt>
                <c:pt idx="2">
                  <c:v>32.264737402146949</c:v>
                </c:pt>
              </c:numCache>
            </c:numRef>
          </c:val>
        </c:ser>
        <c:ser>
          <c:idx val="2"/>
          <c:order val="2"/>
          <c:tx>
            <c:strRef>
              <c:f>xlsoutput_HC54_2014_11_26_08_38!$E$28</c:f>
              <c:strCache>
                <c:ptCount val="1"/>
                <c:pt idx="0">
                  <c:v> 60-79,9 m2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xlsoutput_HC54_2014_11_26_08_38!$E$29:$E$31</c:f>
              <c:numCache>
                <c:formatCode>General</c:formatCode>
                <c:ptCount val="3"/>
                <c:pt idx="0">
                  <c:v>17.731759340355477</c:v>
                </c:pt>
                <c:pt idx="1">
                  <c:v>22.118688927006897</c:v>
                </c:pt>
                <c:pt idx="2">
                  <c:v>18.525791501857789</c:v>
                </c:pt>
              </c:numCache>
            </c:numRef>
          </c:val>
        </c:ser>
        <c:ser>
          <c:idx val="3"/>
          <c:order val="3"/>
          <c:tx>
            <c:strRef>
              <c:f>xlsoutput_HC54_2014_11_26_08_38!$F$28</c:f>
              <c:strCache>
                <c:ptCount val="1"/>
                <c:pt idx="0">
                  <c:v>80-99,9 m2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xlsoutput_HC54_2014_11_26_08_38!$F$29:$F$31</c:f>
              <c:numCache>
                <c:formatCode>General</c:formatCode>
                <c:ptCount val="3"/>
                <c:pt idx="0">
                  <c:v>10.1564694546531</c:v>
                </c:pt>
                <c:pt idx="1">
                  <c:v>20.383603127366626</c:v>
                </c:pt>
                <c:pt idx="2">
                  <c:v>8.9091479487761198</c:v>
                </c:pt>
              </c:numCache>
            </c:numRef>
          </c:val>
        </c:ser>
        <c:ser>
          <c:idx val="4"/>
          <c:order val="4"/>
          <c:tx>
            <c:strRef>
              <c:f>xlsoutput_HC54_2014_11_26_08_38!$G$28</c:f>
              <c:strCache>
                <c:ptCount val="1"/>
                <c:pt idx="0">
                  <c:v>100 a více m2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xlsoutput_HC54_2014_11_26_08_38!$G$29:$G$31</c:f>
              <c:numCache>
                <c:formatCode>General</c:formatCode>
                <c:ptCount val="3"/>
                <c:pt idx="0">
                  <c:v>30.182123380032529</c:v>
                </c:pt>
                <c:pt idx="1">
                  <c:v>24.237705016499991</c:v>
                </c:pt>
                <c:pt idx="2">
                  <c:v>24.762876133649289</c:v>
                </c:pt>
              </c:numCache>
            </c:numRef>
          </c:val>
        </c:ser>
        <c:ser>
          <c:idx val="5"/>
          <c:order val="5"/>
          <c:tx>
            <c:strRef>
              <c:f>xlsoutput_HC54_2014_11_26_08_38!$H$28</c:f>
              <c:strCache>
                <c:ptCount val="1"/>
                <c:pt idx="0">
                  <c:v>nezj.</c:v>
                </c:pt>
              </c:strCache>
            </c:strRef>
          </c:tx>
          <c:cat>
            <c:strRef>
              <c:f>xlsoutput_HC54_2014_11_26_08_38!$B$29:$B$31</c:f>
              <c:strCache>
                <c:ptCount val="3"/>
                <c:pt idx="0">
                  <c:v>CZ</c:v>
                </c:pt>
                <c:pt idx="1">
                  <c:v>HU</c:v>
                </c:pt>
                <c:pt idx="2">
                  <c:v>PL</c:v>
                </c:pt>
              </c:strCache>
            </c:strRef>
          </c:cat>
          <c:val>
            <c:numRef>
              <c:f>xlsoutput_HC54_2014_11_26_08_38!$H$29:$H$31</c:f>
              <c:numCache>
                <c:formatCode>General</c:formatCode>
                <c:ptCount val="3"/>
                <c:pt idx="0">
                  <c:v>10.241349108994998</c:v>
                </c:pt>
                <c:pt idx="2">
                  <c:v>2.8650720349668507E-2</c:v>
                </c:pt>
              </c:numCache>
            </c:numRef>
          </c:val>
        </c:ser>
        <c:gapWidth val="50"/>
        <c:overlap val="100"/>
        <c:axId val="59652736"/>
        <c:axId val="59658624"/>
      </c:barChart>
      <c:catAx>
        <c:axId val="59652736"/>
        <c:scaling>
          <c:orientation val="minMax"/>
        </c:scaling>
        <c:axPos val="l"/>
        <c:majorTickMark val="none"/>
        <c:tickLblPos val="nextTo"/>
        <c:crossAx val="59658624"/>
        <c:crosses val="autoZero"/>
        <c:auto val="1"/>
        <c:lblAlgn val="ctr"/>
        <c:lblOffset val="100"/>
      </c:catAx>
      <c:valAx>
        <c:axId val="59658624"/>
        <c:scaling>
          <c:orientation val="minMax"/>
        </c:scaling>
        <c:axPos val="b"/>
        <c:majorGridlines/>
        <c:numFmt formatCode="0%" sourceLinked="1"/>
        <c:majorTickMark val="none"/>
        <c:tickLblPos val="nextTo"/>
        <c:crossAx val="59652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9769451746494764E-2"/>
          <c:y val="0.73478750586640251"/>
          <c:w val="0.84306373012436187"/>
          <c:h val="0.237434774295597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0.11852743126210349"/>
          <c:y val="6.6260740208776828E-2"/>
          <c:w val="0.79569239238354172"/>
          <c:h val="0.55199600049993769"/>
        </c:manualLayout>
      </c:layout>
      <c:barChart>
        <c:barDir val="bar"/>
        <c:grouping val="percentStacked"/>
        <c:ser>
          <c:idx val="0"/>
          <c:order val="0"/>
          <c:tx>
            <c:strRef>
              <c:f>xlsoutput_HC54_2014_11_26_08_43!$Q$18</c:f>
              <c:strCache>
                <c:ptCount val="1"/>
                <c:pt idx="0">
                  <c:v>1 místnost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xlsoutput_HC54_2014_11_26_08_43!$Q$19:$Q$20</c:f>
              <c:numCache>
                <c:formatCode>General</c:formatCode>
                <c:ptCount val="2"/>
                <c:pt idx="0">
                  <c:v>2.3972168049046987</c:v>
                </c:pt>
                <c:pt idx="1">
                  <c:v>5.1886846122199755</c:v>
                </c:pt>
              </c:numCache>
            </c:numRef>
          </c:val>
        </c:ser>
        <c:ser>
          <c:idx val="1"/>
          <c:order val="1"/>
          <c:tx>
            <c:strRef>
              <c:f>xlsoutput_HC54_2014_11_26_08_43!$R$18</c:f>
              <c:strCache>
                <c:ptCount val="1"/>
                <c:pt idx="0">
                  <c:v>2 místnosti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xlsoutput_HC54_2014_11_26_08_43!$R$19:$R$20</c:f>
              <c:numCache>
                <c:formatCode>General</c:formatCode>
                <c:ptCount val="2"/>
                <c:pt idx="0">
                  <c:v>8.6265892095155845</c:v>
                </c:pt>
                <c:pt idx="1">
                  <c:v>15.415386402683326</c:v>
                </c:pt>
              </c:numCache>
            </c:numRef>
          </c:val>
        </c:ser>
        <c:ser>
          <c:idx val="2"/>
          <c:order val="2"/>
          <c:tx>
            <c:strRef>
              <c:f>xlsoutput_HC54_2014_11_26_08_43!$S$18</c:f>
              <c:strCache>
                <c:ptCount val="1"/>
                <c:pt idx="0">
                  <c:v>3 místnosti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xlsoutput_HC54_2014_11_26_08_43!$S$19:$S$20</c:f>
              <c:numCache>
                <c:formatCode>General</c:formatCode>
                <c:ptCount val="2"/>
                <c:pt idx="0">
                  <c:v>20.29154845680554</c:v>
                </c:pt>
                <c:pt idx="1">
                  <c:v>42.959381473055139</c:v>
                </c:pt>
              </c:numCache>
            </c:numRef>
          </c:val>
        </c:ser>
        <c:ser>
          <c:idx val="3"/>
          <c:order val="3"/>
          <c:tx>
            <c:strRef>
              <c:f>xlsoutput_HC54_2014_11_26_08_43!$T$18</c:f>
              <c:strCache>
                <c:ptCount val="1"/>
                <c:pt idx="0">
                  <c:v>4 místnosti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xlsoutput_HC54_2014_11_26_08_43!$T$19:$T$20</c:f>
              <c:numCache>
                <c:formatCode>General</c:formatCode>
                <c:ptCount val="2"/>
                <c:pt idx="0">
                  <c:v>27.396735641536889</c:v>
                </c:pt>
                <c:pt idx="1">
                  <c:v>17.279506653979109</c:v>
                </c:pt>
              </c:numCache>
            </c:numRef>
          </c:val>
        </c:ser>
        <c:ser>
          <c:idx val="4"/>
          <c:order val="4"/>
          <c:tx>
            <c:strRef>
              <c:f>xlsoutput_HC54_2014_11_26_08_43!$U$18</c:f>
              <c:strCache>
                <c:ptCount val="1"/>
                <c:pt idx="0">
                  <c:v>5 místností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xlsoutput_HC54_2014_11_26_08_43!$U$19:$U$20</c:f>
              <c:numCache>
                <c:formatCode>General</c:formatCode>
                <c:ptCount val="2"/>
                <c:pt idx="0">
                  <c:v>15.794656528534206</c:v>
                </c:pt>
                <c:pt idx="1">
                  <c:v>9.722361119178748</c:v>
                </c:pt>
              </c:numCache>
            </c:numRef>
          </c:val>
        </c:ser>
        <c:ser>
          <c:idx val="5"/>
          <c:order val="5"/>
          <c:tx>
            <c:strRef>
              <c:f>xlsoutput_HC54_2014_11_26_08_43!$V$18</c:f>
              <c:strCache>
                <c:ptCount val="1"/>
                <c:pt idx="0">
                  <c:v>6 a více místností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xlsoutput_HC54_2014_11_26_08_43!$V$19:$V$20</c:f>
              <c:numCache>
                <c:formatCode>General</c:formatCode>
                <c:ptCount val="2"/>
                <c:pt idx="0">
                  <c:v>17.665906956404161</c:v>
                </c:pt>
                <c:pt idx="1">
                  <c:v>8.5916367597400232</c:v>
                </c:pt>
              </c:numCache>
            </c:numRef>
          </c:val>
        </c:ser>
        <c:ser>
          <c:idx val="6"/>
          <c:order val="6"/>
          <c:tx>
            <c:strRef>
              <c:f>xlsoutput_HC54_2014_11_26_08_43!$W$18</c:f>
              <c:strCache>
                <c:ptCount val="1"/>
                <c:pt idx="0">
                  <c:v>nezj.</c:v>
                </c:pt>
              </c:strCache>
            </c:strRef>
          </c:tx>
          <c:cat>
            <c:strRef>
              <c:f>xlsoutput_HC54_2014_11_26_08_43!$P$19:$P$20</c:f>
              <c:strCache>
                <c:ptCount val="2"/>
                <c:pt idx="0">
                  <c:v>CZ</c:v>
                </c:pt>
                <c:pt idx="1">
                  <c:v>SK</c:v>
                </c:pt>
              </c:strCache>
            </c:strRef>
          </c:cat>
          <c:val>
            <c:numRef>
              <c:f>xlsoutput_HC54_2014_11_26_08_43!$W$19:$W$20</c:f>
              <c:numCache>
                <c:formatCode>General</c:formatCode>
                <c:ptCount val="2"/>
                <c:pt idx="0">
                  <c:v>7.8273464022988639</c:v>
                </c:pt>
                <c:pt idx="1">
                  <c:v>0.84304297914310444</c:v>
                </c:pt>
              </c:numCache>
            </c:numRef>
          </c:val>
        </c:ser>
        <c:gapWidth val="70"/>
        <c:overlap val="100"/>
        <c:axId val="59699584"/>
        <c:axId val="59701120"/>
      </c:barChart>
      <c:catAx>
        <c:axId val="59699584"/>
        <c:scaling>
          <c:orientation val="minMax"/>
        </c:scaling>
        <c:axPos val="l"/>
        <c:majorTickMark val="none"/>
        <c:tickLblPos val="nextTo"/>
        <c:crossAx val="59701120"/>
        <c:crosses val="autoZero"/>
        <c:auto val="1"/>
        <c:lblAlgn val="ctr"/>
        <c:lblOffset val="100"/>
      </c:catAx>
      <c:valAx>
        <c:axId val="59701120"/>
        <c:scaling>
          <c:orientation val="minMax"/>
        </c:scaling>
        <c:axPos val="b"/>
        <c:majorGridlines/>
        <c:numFmt formatCode="0%" sourceLinked="1"/>
        <c:majorTickMark val="none"/>
        <c:tickLblPos val="nextTo"/>
        <c:crossAx val="59699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953817570556485E-2"/>
          <c:y val="0.75051439998571556"/>
          <c:w val="0.91985962428854229"/>
          <c:h val="0.21656435802667628"/>
        </c:manualLayout>
      </c:layout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E9EED-30F5-48A8-AE02-AF6FCCBE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Analýza CZ</Template>
  <TotalTime>3</TotalTime>
  <Pages>36</Pages>
  <Words>8341</Words>
  <Characters>49216</Characters>
  <Application>Microsoft Office Word</Application>
  <DocSecurity>0</DocSecurity>
  <Lines>410</Lines>
  <Paragraphs>114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57443</CharactersWithSpaces>
  <SharedDoc>false</SharedDoc>
  <HLinks>
    <vt:vector size="12" baseType="variant">
      <vt:variant>
        <vt:i4>5963832</vt:i4>
      </vt:variant>
      <vt:variant>
        <vt:i4>6</vt:i4>
      </vt:variant>
      <vt:variant>
        <vt:i4>0</vt:i4>
      </vt:variant>
      <vt:variant>
        <vt:i4>5</vt:i4>
      </vt:variant>
      <vt:variant>
        <vt:lpwstr>mailto:drahomira.dubska@czso.cz</vt:lpwstr>
      </vt:variant>
      <vt:variant>
        <vt:lpwstr/>
      </vt:variant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mailto:infoservis@czso.cz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operator</cp:lastModifiedBy>
  <cp:revision>3</cp:revision>
  <cp:lastPrinted>2014-12-12T08:00:00Z</cp:lastPrinted>
  <dcterms:created xsi:type="dcterms:W3CDTF">2014-12-16T12:31:00Z</dcterms:created>
  <dcterms:modified xsi:type="dcterms:W3CDTF">2014-12-16T12:37:00Z</dcterms:modified>
</cp:coreProperties>
</file>