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E9F" w:rsidRDefault="00571E9F" w:rsidP="00571E9F">
      <w:pPr>
        <w:pStyle w:val="Mnadpis1"/>
      </w:pPr>
      <w:r>
        <w:t>4</w:t>
      </w:r>
      <w:r w:rsidRPr="00D64EEF">
        <w:t>.</w:t>
      </w:r>
      <w:r>
        <w:t xml:space="preserve"> </w:t>
      </w:r>
      <w:r w:rsidRPr="00D64EEF">
        <w:t xml:space="preserve"> Územní rozdíly v úrovni vzdělanosti obyvatelstva ČR</w:t>
      </w:r>
    </w:p>
    <w:p w:rsidR="00571E9F" w:rsidRDefault="00571E9F" w:rsidP="00571E9F">
      <w:pPr>
        <w:pStyle w:val="Mnadpis1"/>
      </w:pPr>
    </w:p>
    <w:p w:rsidR="00571E9F" w:rsidRDefault="00571E9F" w:rsidP="00571E9F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4.1.  </w:t>
      </w:r>
      <w:r w:rsidRPr="00CB701B">
        <w:rPr>
          <w:rFonts w:ascii="Arial" w:hAnsi="Arial" w:cs="Arial"/>
          <w:b/>
          <w:color w:val="000000"/>
          <w:sz w:val="24"/>
          <w:szCs w:val="24"/>
        </w:rPr>
        <w:t>Úrov</w:t>
      </w:r>
      <w:r>
        <w:rPr>
          <w:rFonts w:ascii="Arial" w:hAnsi="Arial" w:cs="Arial"/>
          <w:b/>
          <w:color w:val="000000"/>
          <w:sz w:val="24"/>
          <w:szCs w:val="24"/>
        </w:rPr>
        <w:t>eň vzdělání podle krajů a SO ORP</w:t>
      </w:r>
    </w:p>
    <w:p w:rsidR="00571E9F" w:rsidRDefault="00571E9F" w:rsidP="00571E9F">
      <w:pPr>
        <w:jc w:val="both"/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Rozdílná úroveň vzdělání v regionech zůstala přibližně ve stejných proporcích </w:t>
      </w:r>
      <w:r w:rsidRPr="003B4694">
        <w:rPr>
          <w:rFonts w:ascii="Arial" w:hAnsi="Arial" w:cs="Arial"/>
          <w:color w:val="000000"/>
        </w:rPr>
        <w:t>jak</w:t>
      </w:r>
      <w:r>
        <w:rPr>
          <w:rFonts w:ascii="Arial" w:hAnsi="Arial" w:cs="Arial"/>
          <w:color w:val="000000"/>
        </w:rPr>
        <w:t>o</w:t>
      </w:r>
      <w:r w:rsidRPr="003B4694">
        <w:rPr>
          <w:rFonts w:ascii="Arial" w:hAnsi="Arial" w:cs="Arial"/>
          <w:color w:val="000000"/>
        </w:rPr>
        <w:t xml:space="preserve"> při sčítání 2001</w:t>
      </w:r>
      <w:r>
        <w:rPr>
          <w:rFonts w:ascii="Arial" w:hAnsi="Arial" w:cs="Arial"/>
          <w:color w:val="000000"/>
        </w:rPr>
        <w:t>. Velmi výrazně se od ostatních regionů svou vzdělanostní strukturou odlišuje především Praha. Hlavní město představuje nejvýznamnější centrum vysokého školství a sídlo dalších vzdělávacích institucí, koncentruje se zde množství specializovaných a vysoce kvalifikovaných pracovních pozic. To se ve struktuře obyvatelstva projevuje vysokým zastoupením osob s vyššími stupni dosaženého vzdělání. Téměř tři pětiny obyvatel Prahy starších 15 let mají alespoň úplné střední vzdělání s maturitou anebo vyšší, zatímco v ostatních krajích se podíl takto vzdělaných osob pohybuje kolem republikového průměru (43,6 %).</w:t>
      </w:r>
    </w:p>
    <w:p w:rsidR="00571E9F" w:rsidRDefault="00571E9F" w:rsidP="00571E9F">
      <w:pPr>
        <w:jc w:val="both"/>
        <w:rPr>
          <w:rFonts w:ascii="Arial" w:hAnsi="Arial" w:cs="Arial"/>
          <w:color w:val="000000"/>
        </w:rPr>
      </w:pPr>
    </w:p>
    <w:p w:rsidR="00571E9F" w:rsidRPr="00BA6C4E" w:rsidRDefault="00571E9F" w:rsidP="00571E9F">
      <w:pPr>
        <w:spacing w:after="60"/>
        <w:jc w:val="both"/>
        <w:rPr>
          <w:rFonts w:ascii="Arial" w:hAnsi="Arial" w:cs="Arial"/>
          <w:b/>
        </w:rPr>
      </w:pPr>
      <w:r w:rsidRPr="00BA6C4E">
        <w:rPr>
          <w:rFonts w:ascii="Arial" w:hAnsi="Arial" w:cs="Arial"/>
          <w:b/>
        </w:rPr>
        <w:t>Obyvatelstvo ve věku 15 a více let podle nejvyššího ukončeného vzdělání v krajích ČR k 26.</w:t>
      </w:r>
      <w:r>
        <w:rPr>
          <w:rFonts w:ascii="Arial" w:hAnsi="Arial" w:cs="Arial"/>
          <w:b/>
        </w:rPr>
        <w:t> </w:t>
      </w:r>
      <w:r w:rsidRPr="00BA6C4E"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> </w:t>
      </w:r>
      <w:r w:rsidRPr="00BA6C4E">
        <w:rPr>
          <w:rFonts w:ascii="Arial" w:hAnsi="Arial" w:cs="Arial"/>
          <w:b/>
        </w:rPr>
        <w:t>2011</w:t>
      </w:r>
    </w:p>
    <w:tbl>
      <w:tblPr>
        <w:tblW w:w="94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20"/>
        <w:gridCol w:w="1065"/>
        <w:gridCol w:w="940"/>
        <w:gridCol w:w="1000"/>
        <w:gridCol w:w="940"/>
        <w:gridCol w:w="940"/>
        <w:gridCol w:w="959"/>
        <w:gridCol w:w="940"/>
        <w:gridCol w:w="940"/>
      </w:tblGrid>
      <w:tr w:rsidR="00571E9F" w:rsidRPr="00680183" w:rsidTr="003E30E1">
        <w:trPr>
          <w:trHeight w:val="225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Kraj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Obyvatelstvo ve věku 15+ celkem</w:t>
            </w:r>
          </w:p>
        </w:tc>
        <w:tc>
          <w:tcPr>
            <w:tcW w:w="6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v tom nejvyšší ukončené vzdělání v %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bez vzdělání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 xml:space="preserve">základní vč. </w:t>
            </w:r>
            <w:proofErr w:type="spellStart"/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neukonče</w:t>
            </w:r>
            <w:proofErr w:type="spellEnd"/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ného</w:t>
            </w:r>
            <w:proofErr w:type="spell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střední vč. vyučení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úplné střední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nástavbové a vyšší odborné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vysoko-</w:t>
            </w: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br/>
              <w:t>školské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680183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nezjištěno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ČR celkem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8 947 632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Hlavní město Praha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1 115 174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Středočeský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1 089 911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Jihočeský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537 217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Plzeňský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490 932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Karlovarský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253 436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Ústecký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687 269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Liberecký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367 842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Královéhradecký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468 789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Pardubický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436 534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Kraj Vysočina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431 767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Jihomoravský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1 000 714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Olomoucký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538 029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Zlínský kraj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497 677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571E9F" w:rsidRPr="00680183" w:rsidTr="003E30E1">
        <w:trPr>
          <w:trHeight w:val="22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Moravskoslezský kraj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1 032 341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680183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0183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</w:tr>
    </w:tbl>
    <w:p w:rsidR="00571E9F" w:rsidRDefault="00571E9F" w:rsidP="00571E9F">
      <w:pPr>
        <w:jc w:val="both"/>
        <w:rPr>
          <w:rFonts w:ascii="Arial" w:hAnsi="Arial" w:cs="Arial"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Největší odstup od hodnot ostatních krajů má podíl obyvatel s vysokoškolským vzděláním, kterého dosáhl téměř každý čtvrtý z obyvatel hlavního města. Nadprůměrné je i zastoupení osob s úplným středním všeobecným vzděláním, nástavbovým a vyšším odborným vzděláním. Velmi nízký je naopak podíl osob se středním vzděláním nebo vyučením bez maturity – pětina obyvatel, a se základním vzděláním – přibližně desetina. Dalších více než 10 % obyvatel ponechalo otázku na nejvyšší dosažené vzdělání nevyplněnou, což je míra téměř dvojnásobná oproti celorepublikové hodnotě.</w:t>
      </w:r>
    </w:p>
    <w:p w:rsidR="00571E9F" w:rsidRPr="003B4694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 w:rsidRPr="00683B0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4295775" cy="3200400"/>
            <wp:effectExtent l="19050" t="0" r="9525" b="0"/>
            <wp:wrapSquare wrapText="bothSides"/>
            <wp:docPr id="28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</w:rPr>
        <w:t>Podobné, ovšem menší centrum vyššího vzdělání, vědy a pracovních příležitostí pro zaměstnance s vysokoškolským vzděláním existuje v Brně. Díky tomu má druhý nejvyšší podíl vysokoškolsky vzdělaných osob – téměř 15 % – Jihomoravský kraj.</w:t>
      </w:r>
    </w:p>
    <w:p w:rsidR="00571E9F" w:rsidRPr="00980899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 w:rsidRPr="00F83952">
        <w:rPr>
          <w:rFonts w:ascii="Arial" w:hAnsi="Arial" w:cs="Arial"/>
          <w:color w:val="000000"/>
        </w:rPr>
        <w:t>Nejméně</w:t>
      </w:r>
      <w:r>
        <w:rPr>
          <w:rFonts w:ascii="Arial" w:hAnsi="Arial" w:cs="Arial"/>
          <w:color w:val="000000"/>
        </w:rPr>
        <w:t xml:space="preserve"> příznivou vzdělanostní strukturu mají kraje Karlovarský a Ústecký. V těchto regionech získalo vzdělání s maturitou nebo vyšší jen asi 35 % obyvatel, přibližně stejný díl obyvatelstva dosáhl středního vzdělání nebo vyučení bez maturity. Více než pětina obyvatel má pouze základní </w:t>
      </w:r>
      <w:r>
        <w:rPr>
          <w:rFonts w:ascii="Arial" w:hAnsi="Arial" w:cs="Arial"/>
          <w:color w:val="000000"/>
        </w:rPr>
        <w:lastRenderedPageBreak/>
        <w:t>vzdělání. Podíl vysokoškolsky vzdělaných se pohybuje jen mezi 7-8 %. Stejně velká část populace své vzdělání při sčítání vůbec neuvedla.</w:t>
      </w:r>
    </w:p>
    <w:p w:rsidR="00571E9F" w:rsidRPr="00980899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 w:rsidRPr="00980899">
        <w:rPr>
          <w:rFonts w:ascii="Arial" w:hAnsi="Arial" w:cs="Arial"/>
          <w:color w:val="000000"/>
        </w:rPr>
        <w:t xml:space="preserve">Méně než </w:t>
      </w:r>
      <w:r>
        <w:rPr>
          <w:rFonts w:ascii="Arial" w:hAnsi="Arial" w:cs="Arial"/>
          <w:color w:val="000000"/>
        </w:rPr>
        <w:t>10 % vysokoškolsky vzdělaných je i mezi obyvatelstvem v kraji Vysočina, Libereckém a Pardubickém; zde je to spíše ve prospěch vyššího podílu lidí se středním vzděláním bez maturity nebo vyučením.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 w:rsidRPr="00633FDD">
        <w:rPr>
          <w:rFonts w:ascii="Arial" w:hAnsi="Arial" w:cs="Arial"/>
          <w:color w:val="000000"/>
        </w:rPr>
        <w:t>Výrazně větší</w:t>
      </w:r>
      <w:r>
        <w:rPr>
          <w:rFonts w:ascii="Arial" w:hAnsi="Arial" w:cs="Arial"/>
          <w:color w:val="000000"/>
        </w:rPr>
        <w:t xml:space="preserve"> rozdíly ve vzdělanosti obyvatel jsou samozřejmě patrné na úrovni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 xml:space="preserve"> – správních obvodů obcí s rozšířenou působností (SO ORP).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130" cy="4310380"/>
            <wp:effectExtent l="19050" t="19050" r="13970" b="13970"/>
            <wp:docPr id="29" name="Obrázek 5" descr="mat_pl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plus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Vezmeme-li jako základní ukazatel úrovně vzdělanosti podíl obyvatel ve věku 15 a více let, kteří mají úplné střední vzdělání (s maturitou) nebo některý z ještě vyšších stupňů vzdělání, je zřejmé, že nejvzdělanější populaci mají SO ORP zahrnující velká města (s minimálně 50-100 tis. nebo více obyvateli) a jejich zázemí. V těchto městech se v největší míře koncentrují jak školy, které vyšší stupně vzdělání poskytují, tak i pracovní příležitosti s vyššími kvalifikačními požadavky. Osoby s úplným středním či vyšším vzděláním zde většinou představují přibližně polovinu obyvatel. I na úrovni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 xml:space="preserve"> zaujímá v tomto ohledu první místo Praha, těsně následovaná Brnem. Podíl lidí s tímto vzděláním mezi 44-50 % mají prakticky všechna krajská města; neplatí to pouze pro Karlovy Vary, Ústí nad Labem a Jihlavu, kde jsou naopak hodnoty podprůměrné. 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Obdobná úroveň vzdělanosti je i v zázemí velkých měst, odkud lze za prací a do škol snadno dojíždět. Nejrozsáhlejší zázemí s vysoce vzdělaným obyvatelstvem je patrné v případě Prahy. Oblasti v okolí velkých měst zaznamenaly mezi roky 1991 a 2011 značný migrační přírůstek především lidí mladšího a středního věku, což se zřejmě také odrazilo ve zvýšeném podílu lidí s vyššími stupni vzdělání. V některých případech pak mohou mít obce či </w:t>
      </w:r>
      <w:proofErr w:type="spellStart"/>
      <w:r>
        <w:rPr>
          <w:rFonts w:ascii="Arial" w:hAnsi="Arial" w:cs="Arial"/>
          <w:color w:val="000000"/>
        </w:rPr>
        <w:t>mikroregiony</w:t>
      </w:r>
      <w:proofErr w:type="spellEnd"/>
      <w:r>
        <w:rPr>
          <w:rFonts w:ascii="Arial" w:hAnsi="Arial" w:cs="Arial"/>
          <w:color w:val="000000"/>
        </w:rPr>
        <w:t xml:space="preserve"> v zázemí dokonce vyšší úroveň vzdělanosti než samotná metropole (např. </w:t>
      </w:r>
      <w:r w:rsidRPr="00BF50EE">
        <w:rPr>
          <w:rFonts w:ascii="Arial" w:hAnsi="Arial" w:cs="Arial"/>
          <w:color w:val="000000"/>
        </w:rPr>
        <w:t>Frýdlant nad Ostravicí</w:t>
      </w:r>
      <w:r>
        <w:rPr>
          <w:rFonts w:ascii="Arial" w:hAnsi="Arial" w:cs="Arial"/>
          <w:color w:val="000000"/>
        </w:rPr>
        <w:t xml:space="preserve"> v zázemí Ostravy).</w:t>
      </w:r>
    </w:p>
    <w:p w:rsidR="00571E9F" w:rsidRPr="00633FDD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Nízká úroveň vzdělanosti byla zaznamenána v řadě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 xml:space="preserve"> především v západočeském a severočeském pohraničí - v Ústeckém a Karlovarském kraji a oblasti Tachovska v Plzeňském kraji. Podíl osob, které v průběhu života získaly vzdělání s maturitou nebo vyšší, zde mnohdy nedosahuje ani třetiny obyvatel. Podobně jsou na tom v Čechách odlehlé oblasti Šluknovského, Frýdlantského a Broumovského výběžku, na Moravě oblast Jeseníků a jejich podhůří a také některé </w:t>
      </w:r>
      <w:proofErr w:type="spellStart"/>
      <w:r>
        <w:rPr>
          <w:rFonts w:ascii="Arial" w:hAnsi="Arial" w:cs="Arial"/>
          <w:color w:val="000000"/>
        </w:rPr>
        <w:t>mikroregiony</w:t>
      </w:r>
      <w:proofErr w:type="spellEnd"/>
      <w:r>
        <w:rPr>
          <w:rFonts w:ascii="Arial" w:hAnsi="Arial" w:cs="Arial"/>
          <w:color w:val="000000"/>
        </w:rPr>
        <w:t xml:space="preserve"> jižně od Brna. Jedná se zpravidla o periferní oblasti, kde je nabídka kvalifikovaných pracovních pozic značně omezená a </w:t>
      </w:r>
      <w:proofErr w:type="spellStart"/>
      <w:r>
        <w:rPr>
          <w:rFonts w:ascii="Arial" w:hAnsi="Arial" w:cs="Arial"/>
          <w:color w:val="000000"/>
        </w:rPr>
        <w:t>dojížďková</w:t>
      </w:r>
      <w:proofErr w:type="spellEnd"/>
      <w:r>
        <w:rPr>
          <w:rFonts w:ascii="Arial" w:hAnsi="Arial" w:cs="Arial"/>
          <w:color w:val="000000"/>
        </w:rPr>
        <w:t xml:space="preserve"> vzdálenost do větších center příliš velká. Pro obyvatele, kteří získají vyšší vzdělání, je často řešením spíše přestěhování do větších měst nebo alespoň do jejich blízkosti.</w:t>
      </w:r>
    </w:p>
    <w:p w:rsidR="00571E9F" w:rsidRPr="001A27EA" w:rsidRDefault="00571E9F" w:rsidP="00571E9F">
      <w:pPr>
        <w:spacing w:after="60"/>
        <w:rPr>
          <w:rFonts w:ascii="Arial" w:hAnsi="Arial" w:cs="Arial"/>
          <w:b/>
        </w:rPr>
      </w:pPr>
      <w:r w:rsidRPr="009B1E74">
        <w:rPr>
          <w:rFonts w:ascii="Arial" w:hAnsi="Arial" w:cs="Arial"/>
          <w:b/>
        </w:rPr>
        <w:lastRenderedPageBreak/>
        <w:t xml:space="preserve">SO ORP s nejvyšším a nejnižším podílem </w:t>
      </w:r>
      <w:r>
        <w:rPr>
          <w:rFonts w:ascii="Arial" w:hAnsi="Arial" w:cs="Arial"/>
          <w:b/>
        </w:rPr>
        <w:t>osob s úplným</w:t>
      </w:r>
      <w:r w:rsidRPr="00141D9F">
        <w:rPr>
          <w:rFonts w:ascii="Arial" w:hAnsi="Arial" w:cs="Arial"/>
          <w:b/>
        </w:rPr>
        <w:t xml:space="preserve"> střední</w:t>
      </w:r>
      <w:r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br/>
        <w:t>nebo vyšším vzděláním</w:t>
      </w:r>
      <w:r w:rsidRPr="00141D9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k 26. 3. </w:t>
      </w:r>
      <w:r w:rsidRPr="009B1E74">
        <w:rPr>
          <w:rFonts w:ascii="Arial" w:hAnsi="Arial" w:cs="Arial"/>
          <w:b/>
        </w:rPr>
        <w:t>2011</w:t>
      </w:r>
    </w:p>
    <w:tbl>
      <w:tblPr>
        <w:tblW w:w="70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1180"/>
        <w:gridCol w:w="560"/>
        <w:gridCol w:w="2080"/>
        <w:gridCol w:w="1180"/>
      </w:tblGrid>
      <w:tr w:rsidR="00571E9F" w:rsidRPr="001A27EA" w:rsidTr="003E30E1">
        <w:trPr>
          <w:trHeight w:val="240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Nejvyšší hodnoty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Nejnižší hodnoty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 ve věku 15+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SO ORP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podíl v % z počtu obyvatel ve věku 15+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Hlavní město Praha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Bílina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25,9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Brno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Frýdlant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27,7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Černošice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54,8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Kraslice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28,1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Kuřim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Aš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28,4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Říčany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Podbořany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Brandýs n. L. - S. Boleslav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Broumov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29,5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České Budějovice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50,7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Rumburk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Plzeň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50,7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Vítkov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29,9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Hradec Králové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50,5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Králíky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</w:tr>
      <w:tr w:rsidR="00571E9F" w:rsidRPr="001A27EA" w:rsidTr="003E30E1">
        <w:trPr>
          <w:trHeight w:val="22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Olomouc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1A27EA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Nepomuk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1A27EA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7EA">
              <w:rPr>
                <w:rFonts w:ascii="Arial" w:hAnsi="Arial" w:cs="Arial"/>
                <w:color w:val="000000"/>
                <w:sz w:val="16"/>
                <w:szCs w:val="16"/>
              </w:rPr>
              <w:t>31,0</w:t>
            </w:r>
          </w:p>
        </w:tc>
      </w:tr>
    </w:tbl>
    <w:p w:rsidR="00571E9F" w:rsidRPr="001A27EA" w:rsidRDefault="00571E9F" w:rsidP="00571E9F">
      <w:pPr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</w:p>
    <w:p w:rsidR="00571E9F" w:rsidRPr="00A33F6F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  <w:r w:rsidRPr="00A33F6F">
        <w:rPr>
          <w:rFonts w:ascii="Arial" w:hAnsi="Arial" w:cs="Arial"/>
          <w:b/>
          <w:color w:val="000000"/>
        </w:rPr>
        <w:t>Vysokoškolské vzdělání</w:t>
      </w:r>
    </w:p>
    <w:p w:rsidR="00571E9F" w:rsidRPr="00121722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 podílem obyvatel, kteří získali úplné střední vzdělání s maturitou anebo vyšší, velmi silně koreluje podíl obyvatel s vysokoškolským vzděláním. Také zde výrazně vystupují na jedné straně velkoměsta a některé </w:t>
      </w:r>
      <w:proofErr w:type="spellStart"/>
      <w:r>
        <w:rPr>
          <w:rFonts w:ascii="Arial" w:hAnsi="Arial" w:cs="Arial"/>
          <w:color w:val="000000"/>
        </w:rPr>
        <w:t>mikroregiony</w:t>
      </w:r>
      <w:proofErr w:type="spellEnd"/>
      <w:r>
        <w:rPr>
          <w:rFonts w:ascii="Arial" w:hAnsi="Arial" w:cs="Arial"/>
          <w:color w:val="000000"/>
        </w:rPr>
        <w:t xml:space="preserve"> v jejich zázemí, kde se podíl vysokoškolsky vzdělaných pohybuje mezi 14-18 %. Více než pětina obyvatel 15letých a starších má vysokoškolské vzdělání v Praze a v Brně – shodně 23,6 % a v SO ORP </w:t>
      </w:r>
      <w:proofErr w:type="spellStart"/>
      <w:r>
        <w:rPr>
          <w:rFonts w:ascii="Arial" w:hAnsi="Arial" w:cs="Arial"/>
          <w:color w:val="000000"/>
        </w:rPr>
        <w:t>Černošice</w:t>
      </w:r>
      <w:proofErr w:type="spellEnd"/>
      <w:r>
        <w:rPr>
          <w:rFonts w:ascii="Arial" w:hAnsi="Arial" w:cs="Arial"/>
          <w:color w:val="000000"/>
        </w:rPr>
        <w:t xml:space="preserve"> (20,8 %). Na druhé straně ve zmíněných periferních oblastech je podíl osob s vystudovanou vysokou školou 2-3krát nižší než ve velkých městech. Vůbec nejnižší zastoupení mají lidé s vysokoškolským vzděláním v </w:t>
      </w:r>
      <w:proofErr w:type="spellStart"/>
      <w:r>
        <w:rPr>
          <w:rFonts w:ascii="Arial" w:hAnsi="Arial" w:cs="Arial"/>
          <w:color w:val="000000"/>
        </w:rPr>
        <w:t>mikroregionu</w:t>
      </w:r>
      <w:proofErr w:type="spellEnd"/>
      <w:r>
        <w:rPr>
          <w:rFonts w:ascii="Arial" w:hAnsi="Arial" w:cs="Arial"/>
          <w:color w:val="000000"/>
        </w:rPr>
        <w:t xml:space="preserve"> Kraslice – 3,9 %, v několika dalších - Bílina, Aš, Frýdlant, Rumburk a Broumov – se hodnota pohybuje mezi 4-5 %. Podíl osob s vysokoškolským vzděláním má tak ze sledovaných stupňů vzdělání největší regionální rozdíly.</w:t>
      </w:r>
    </w:p>
    <w:p w:rsidR="00571E9F" w:rsidRDefault="00571E9F" w:rsidP="00571E9F">
      <w:pPr>
        <w:spacing w:after="12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6120130" cy="4310380"/>
            <wp:effectExtent l="19050" t="19050" r="13970" b="13970"/>
            <wp:docPr id="30" name="Obrázek 0" descr="V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1E9F" w:rsidRPr="00A33F6F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</w:p>
    <w:p w:rsidR="00571E9F" w:rsidRPr="00A33F6F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</w:p>
    <w:p w:rsidR="00571E9F" w:rsidRPr="00A33F6F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  <w:r w:rsidRPr="00A33F6F">
        <w:rPr>
          <w:rFonts w:ascii="Arial" w:hAnsi="Arial" w:cs="Arial"/>
          <w:b/>
          <w:color w:val="000000"/>
        </w:rPr>
        <w:t>Nástavbové a vyšší odborné vzdělání</w:t>
      </w:r>
    </w:p>
    <w:p w:rsidR="00571E9F" w:rsidRPr="005C4D10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Naproti tomu vyšší odborné a nástavbové vzdělání má poměrně nízké zastoupení mezi obyvatelstvem obecně a výrazně menší územní variabilitu. Nízký podíl obyvatel s nástavbovým a vyšším odborným vzděláním – obvykle 2,5-3 % – vykazuje z velké části shodná skupina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>, jako u vysokoškolského vzdělání a vyšších stupňů vzdělání celkem, nejčastěji ze západních a severozápadních Čech a oblasti Jeseníků. Minimální hodnota byla zaznamenána v SO ORP Bílina – 2,2 %.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130" cy="4310380"/>
            <wp:effectExtent l="19050" t="19050" r="13970" b="13970"/>
            <wp:docPr id="31" name="Obrázek 3" descr="nast-V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-VO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Skupina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 xml:space="preserve"> s nejvyšším podílem nástavbového a vyššího odborného vzdělání (více než 4,5 %) je poměrně různorodá. Objevují se zde velkoměsta, SO ORP v zázemí Prahy, ale také např. některé oblasti s významným podílem cestovního ruchu na hospodářství a zaměstnanosti. Vyšší podíl tohoto typu vzdělání má řada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 xml:space="preserve"> z východních Čech. Také v této kategorii zaujímá první místo Praha s podílem 5,4 %, pětiprocentní hranici překračují hodnoty ještě v SO ORP </w:t>
      </w:r>
      <w:r w:rsidRPr="003A10E7">
        <w:rPr>
          <w:rFonts w:ascii="Arial" w:hAnsi="Arial" w:cs="Arial"/>
          <w:color w:val="000000"/>
        </w:rPr>
        <w:t xml:space="preserve">Nové Město na Moravě </w:t>
      </w:r>
      <w:r>
        <w:rPr>
          <w:rFonts w:ascii="Arial" w:hAnsi="Arial" w:cs="Arial"/>
          <w:color w:val="000000"/>
        </w:rPr>
        <w:t xml:space="preserve">(5,1 %) a </w:t>
      </w:r>
      <w:r w:rsidRPr="003A10E7">
        <w:rPr>
          <w:rFonts w:ascii="Arial" w:hAnsi="Arial" w:cs="Arial"/>
          <w:color w:val="000000"/>
        </w:rPr>
        <w:t xml:space="preserve">Ústí nad Orlicí </w:t>
      </w:r>
      <w:r>
        <w:rPr>
          <w:rFonts w:ascii="Arial" w:hAnsi="Arial" w:cs="Arial"/>
          <w:color w:val="000000"/>
        </w:rPr>
        <w:t>(5,0 %).</w:t>
      </w:r>
    </w:p>
    <w:p w:rsidR="00571E9F" w:rsidRDefault="00571E9F" w:rsidP="00571E9F">
      <w:pPr>
        <w:jc w:val="both"/>
        <w:rPr>
          <w:rFonts w:ascii="Arial" w:hAnsi="Arial" w:cs="Arial"/>
          <w:color w:val="000000"/>
        </w:rPr>
      </w:pPr>
    </w:p>
    <w:p w:rsidR="00571E9F" w:rsidRDefault="00571E9F" w:rsidP="00571E9F">
      <w:pPr>
        <w:jc w:val="both"/>
        <w:rPr>
          <w:rFonts w:ascii="Arial" w:hAnsi="Arial" w:cs="Arial"/>
          <w:color w:val="000000"/>
        </w:rPr>
      </w:pPr>
    </w:p>
    <w:p w:rsidR="00571E9F" w:rsidRPr="00A33F6F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  <w:r w:rsidRPr="00A33F6F">
        <w:rPr>
          <w:rFonts w:ascii="Arial" w:hAnsi="Arial" w:cs="Arial"/>
          <w:b/>
          <w:color w:val="000000"/>
        </w:rPr>
        <w:t>Úplné střední vzdělání s maturitou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 w:rsidRPr="00A33F6F">
        <w:rPr>
          <w:rFonts w:ascii="Arial" w:hAnsi="Arial" w:cs="Arial"/>
          <w:color w:val="000000"/>
        </w:rPr>
        <w:t>Největší část skupiny obyvatel s vyššími stupni vzdělání</w:t>
      </w:r>
      <w:r>
        <w:rPr>
          <w:rFonts w:ascii="Arial" w:hAnsi="Arial" w:cs="Arial"/>
          <w:color w:val="000000"/>
        </w:rPr>
        <w:t xml:space="preserve"> představují osoby s úplným středním vzděláním s maturitou. Do jisté míry proto lze i zde pozorovat podobný prostorový vzorec. Rozdíly mezi údaji za jednotlivé regiony jsou však v relativním vyjádření, např. vzhledem k průměrné hodnotě, menší než v případě vysokoškolského i nástavbového a vyššího odborného vzdělání.</w:t>
      </w:r>
    </w:p>
    <w:p w:rsidR="00571E9F" w:rsidRPr="005C4D10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Mikroregiony</w:t>
      </w:r>
      <w:proofErr w:type="spellEnd"/>
      <w:r>
        <w:rPr>
          <w:rFonts w:ascii="Arial" w:hAnsi="Arial" w:cs="Arial"/>
          <w:color w:val="000000"/>
        </w:rPr>
        <w:t xml:space="preserve"> s nejnižším podílem</w:t>
      </w:r>
      <w:r w:rsidRPr="00831380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tohoto stupně vzdělání – přibližně pětina obyvatelstva – nalezneme nejčastěji v severozápadních Čechách, v oblasti Jeseníků a jejich podhůří a na jižní Moravě. Nejnižší hodnoty dosáhl opět SO ORP Bílina a Frýdlant (19,7 %).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 w:rsidRPr="00D554D4"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</w:rPr>
        <w:t>jvyšší podíly obyvatel s úplným středním vzděláním se pohybují přibližně kolem 30 %. Dosahují je zejména velká města nebo SO ORP v jejich zázemí, především opět v širokém zázemí Prahy. Podobné hodnoty se objevují i v některých dalších</w:t>
      </w:r>
      <w:r w:rsidRPr="00AB1086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mikroregionech</w:t>
      </w:r>
      <w:proofErr w:type="spellEnd"/>
      <w:r>
        <w:rPr>
          <w:rFonts w:ascii="Arial" w:hAnsi="Arial" w:cs="Arial"/>
          <w:color w:val="000000"/>
        </w:rPr>
        <w:t xml:space="preserve"> na Vysočině, ve východních a jižních Čechách. 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</w:p>
    <w:p w:rsidR="00571E9F" w:rsidRDefault="00571E9F" w:rsidP="00571E9F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310380"/>
            <wp:effectExtent l="19050" t="19050" r="13970" b="13970"/>
            <wp:docPr id="32" name="Obrázek 6" descr="upl_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_str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1E9F" w:rsidRDefault="00571E9F" w:rsidP="00571E9F">
      <w:pPr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  <w:r w:rsidRPr="00A33F6F">
        <w:rPr>
          <w:rFonts w:ascii="Arial" w:hAnsi="Arial" w:cs="Arial"/>
          <w:b/>
          <w:color w:val="000000"/>
        </w:rPr>
        <w:t>Střední vzdělání nebo vyučení bez maturity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Osoby se středním vzděláním nebo vyučením bez </w:t>
      </w:r>
      <w:r w:rsidRPr="00A33F6F">
        <w:rPr>
          <w:rFonts w:ascii="Arial" w:hAnsi="Arial" w:cs="Arial"/>
          <w:color w:val="000000"/>
        </w:rPr>
        <w:t>maturity představují největší část z populace 15</w:t>
      </w:r>
      <w:r>
        <w:rPr>
          <w:rFonts w:ascii="Arial" w:hAnsi="Arial" w:cs="Arial"/>
          <w:color w:val="000000"/>
        </w:rPr>
        <w:t>let</w:t>
      </w:r>
      <w:r w:rsidRPr="00A33F6F">
        <w:rPr>
          <w:rFonts w:ascii="Arial" w:hAnsi="Arial" w:cs="Arial"/>
          <w:color w:val="000000"/>
        </w:rPr>
        <w:t>ých</w:t>
      </w:r>
      <w:r>
        <w:rPr>
          <w:rFonts w:ascii="Arial" w:hAnsi="Arial" w:cs="Arial"/>
          <w:color w:val="000000"/>
        </w:rPr>
        <w:t xml:space="preserve"> a starších osob téměř ve všech </w:t>
      </w:r>
      <w:proofErr w:type="spellStart"/>
      <w:r>
        <w:rPr>
          <w:rFonts w:ascii="Arial" w:hAnsi="Arial" w:cs="Arial"/>
          <w:color w:val="000000"/>
        </w:rPr>
        <w:t>mikroregionech</w:t>
      </w:r>
      <w:proofErr w:type="spellEnd"/>
      <w:r>
        <w:rPr>
          <w:rFonts w:ascii="Arial" w:hAnsi="Arial" w:cs="Arial"/>
          <w:color w:val="000000"/>
        </w:rPr>
        <w:t xml:space="preserve">. Existuje pouze několik SO ORP – ve velkých městech nebo v jejich okolí, kde nad touto skupinou početně převažují osoby s úplným středním vzděláním – Praha, Brno, Plzeň, Hradec Králové, </w:t>
      </w:r>
      <w:proofErr w:type="spellStart"/>
      <w:r>
        <w:rPr>
          <w:rFonts w:ascii="Arial" w:hAnsi="Arial" w:cs="Arial"/>
          <w:color w:val="000000"/>
        </w:rPr>
        <w:t>Černošice</w:t>
      </w:r>
      <w:proofErr w:type="spellEnd"/>
      <w:r>
        <w:rPr>
          <w:rFonts w:ascii="Arial" w:hAnsi="Arial" w:cs="Arial"/>
          <w:color w:val="000000"/>
        </w:rPr>
        <w:t xml:space="preserve"> a Brandýs nad </w:t>
      </w:r>
      <w:proofErr w:type="spellStart"/>
      <w:proofErr w:type="gramStart"/>
      <w:r>
        <w:rPr>
          <w:rFonts w:ascii="Arial" w:hAnsi="Arial" w:cs="Arial"/>
          <w:color w:val="000000"/>
        </w:rPr>
        <w:t>Labem</w:t>
      </w:r>
      <w:proofErr w:type="spellEnd"/>
      <w:r>
        <w:rPr>
          <w:rFonts w:ascii="Arial" w:hAnsi="Arial" w:cs="Arial"/>
          <w:color w:val="000000"/>
        </w:rPr>
        <w:t>-Stará</w:t>
      </w:r>
      <w:proofErr w:type="gramEnd"/>
      <w:r>
        <w:rPr>
          <w:rFonts w:ascii="Arial" w:hAnsi="Arial" w:cs="Arial"/>
          <w:color w:val="000000"/>
        </w:rPr>
        <w:t xml:space="preserve"> Boleslav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případně jsou jejich počty vyrovnané – SO ORP České Budějovice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</w:rPr>
        <w:t xml:space="preserve"> Říčany.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Podíl obyvatel se středním vzděláním nebo vyučením bez maturity nevykazuje úplně těsnou závislost s podílem vyšších stupňů vzdělání. V zastoupení této skupiny hraje zřejmě roli nejen celková úroveň vzdělanosti obyvatelstva, ale i určitá hospodářská, resp. průmyslová tradice regionu, odvětvová struktura hospodářství a z ní vyplývající specifické potřeby pracovních sil se vzděláním či vyučením v oboru. Tyto okolnosti mohou být velmi individuální pro každý </w:t>
      </w:r>
      <w:proofErr w:type="spellStart"/>
      <w:r>
        <w:rPr>
          <w:rFonts w:ascii="Arial" w:hAnsi="Arial" w:cs="Arial"/>
          <w:color w:val="000000"/>
        </w:rPr>
        <w:t>mikroregion</w:t>
      </w:r>
      <w:proofErr w:type="spellEnd"/>
      <w:r>
        <w:rPr>
          <w:rFonts w:ascii="Arial" w:hAnsi="Arial" w:cs="Arial"/>
          <w:color w:val="000000"/>
        </w:rPr>
        <w:t>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Mezi </w:t>
      </w:r>
      <w:proofErr w:type="spellStart"/>
      <w:r>
        <w:rPr>
          <w:rFonts w:ascii="Arial" w:hAnsi="Arial" w:cs="Arial"/>
          <w:color w:val="000000"/>
        </w:rPr>
        <w:t>mikroregiony</w:t>
      </w:r>
      <w:proofErr w:type="spellEnd"/>
      <w:r>
        <w:rPr>
          <w:rFonts w:ascii="Arial" w:hAnsi="Arial" w:cs="Arial"/>
          <w:color w:val="000000"/>
        </w:rPr>
        <w:t xml:space="preserve"> s nízkým podílem osob se středním vzděláním či vyučením lze opět nalézt především velká města a </w:t>
      </w:r>
      <w:proofErr w:type="spellStart"/>
      <w:r>
        <w:rPr>
          <w:rFonts w:ascii="Arial" w:hAnsi="Arial" w:cs="Arial"/>
          <w:color w:val="000000"/>
        </w:rPr>
        <w:t>mikroregiony</w:t>
      </w:r>
      <w:proofErr w:type="spellEnd"/>
      <w:r>
        <w:rPr>
          <w:rFonts w:ascii="Arial" w:hAnsi="Arial" w:cs="Arial"/>
          <w:color w:val="000000"/>
        </w:rPr>
        <w:t xml:space="preserve"> v jejich zázemí, kde žije vysoké procento osob s vyššími stupni vzdělání a existuje zde velké množství kvalifikovaných pracovních pozic ve službách, vědě, výzkumu a řízení, které vyžadují vyšší stupně vzdělání. Lidé se středním vzděláním resp. vyučením zde obvykle netvoří více než třetinu obyvatelstva ve věku 15 a více let. Vůbec nejnižší zastoupení těchto osob je v Praze – 20,3 % a v Brně – 23,2 %.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 opačném konci pomyslného žebříčku se nacházejí SO ORP, v nichž osoby se středním vzděláním představují přibližně dvě pětiny obyvatel. Tato skupina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 xml:space="preserve"> je poměrně nesourodá a územně roztříštěná. Jen některé z nich zároveň figurují i mezi výše zmíněnými oblastmi s nízkou vzdělaností.</w:t>
      </w:r>
    </w:p>
    <w:p w:rsidR="00571E9F" w:rsidRPr="008843A6" w:rsidRDefault="00571E9F" w:rsidP="00571E9F">
      <w:pPr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4310380"/>
            <wp:effectExtent l="19050" t="19050" r="13970" b="13970"/>
            <wp:docPr id="33" name="Obrázek 7" descr="str_bezm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_bezmat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1E9F" w:rsidRDefault="00571E9F" w:rsidP="00571E9F">
      <w:pPr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20130" cy="4310380"/>
            <wp:effectExtent l="19050" t="19050" r="13970" b="13970"/>
            <wp:docPr id="34" name="Obrázek 8" descr="zaklma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max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1E9F" w:rsidRPr="008E004A" w:rsidRDefault="00571E9F" w:rsidP="00571E9F">
      <w:pPr>
        <w:spacing w:after="120"/>
        <w:jc w:val="both"/>
        <w:rPr>
          <w:rFonts w:ascii="Arial" w:hAnsi="Arial" w:cs="Arial"/>
          <w:b/>
          <w:color w:val="000000"/>
        </w:rPr>
      </w:pPr>
      <w:r w:rsidRPr="008E004A">
        <w:rPr>
          <w:rFonts w:ascii="Arial" w:hAnsi="Arial" w:cs="Arial"/>
          <w:b/>
          <w:color w:val="000000"/>
        </w:rPr>
        <w:lastRenderedPageBreak/>
        <w:t xml:space="preserve">Základní vzdělání 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Podíl osob s nejvýše základním vzděláním (zahrnuje osoby s nejvyšším dosaženým vzděláním na úrovni základního, neukončeného základního a osoby bez vzdělání) vykresluje téměř inverzní mapu k rozložení osob se stupni vzdělání od maturity výše. Ve většině velkoměst a jejich nejbližším zázemí představují lidé s nejnižším vzděláním jen 13-16 % obyvatel. Extrémně nízká hodnota u Hlavního města Prahy (10,4 %) opět vyniká i na úrovni </w:t>
      </w:r>
      <w:proofErr w:type="spellStart"/>
      <w:r>
        <w:rPr>
          <w:rFonts w:ascii="Arial" w:hAnsi="Arial" w:cs="Arial"/>
          <w:color w:val="000000"/>
        </w:rPr>
        <w:t>mikroregionů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Nejvyšší podíly obyvatel s nízkým vzděláním se objevují v již známých oblastech západních a severních Čech, Jeseníků a jejich podhůří a na jižní Moravě. Osoby s nejvýše základním vzděláním zde představují přibližně čtvrtinu obyvatel, maximum v SO ORP Králíky dosahuje hodnoty 28,4 %.</w:t>
      </w:r>
    </w:p>
    <w:p w:rsidR="00571E9F" w:rsidRPr="001942BF" w:rsidRDefault="00571E9F" w:rsidP="00571E9F">
      <w:pPr>
        <w:jc w:val="both"/>
        <w:rPr>
          <w:rFonts w:ascii="Arial" w:hAnsi="Arial" w:cs="Arial"/>
          <w:color w:val="000000"/>
        </w:rPr>
      </w:pPr>
    </w:p>
    <w:p w:rsidR="00571E9F" w:rsidRPr="001942BF" w:rsidRDefault="00571E9F" w:rsidP="00571E9F">
      <w:pPr>
        <w:spacing w:line="276" w:lineRule="auto"/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4.2.  </w:t>
      </w:r>
      <w:r w:rsidRPr="00CB701B">
        <w:rPr>
          <w:rFonts w:ascii="Arial" w:hAnsi="Arial" w:cs="Arial"/>
          <w:b/>
          <w:color w:val="000000"/>
          <w:sz w:val="24"/>
          <w:szCs w:val="24"/>
        </w:rPr>
        <w:t>Úroveň vzdělání podle velikostních skupin obcí</w:t>
      </w:r>
    </w:p>
    <w:p w:rsidR="00571E9F" w:rsidRPr="00EB2754" w:rsidRDefault="00571E9F" w:rsidP="00571E9F">
      <w:pPr>
        <w:rPr>
          <w:rFonts w:ascii="Arial" w:hAnsi="Arial" w:cs="Arial"/>
          <w:b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892810</wp:posOffset>
            </wp:positionV>
            <wp:extent cx="4429125" cy="3781425"/>
            <wp:effectExtent l="19050" t="0" r="9525" b="0"/>
            <wp:wrapTopAndBottom/>
            <wp:docPr id="3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</w:rPr>
        <w:t>Vyšší úroveň vzdělanosti obyvatel ve velkých městech</w:t>
      </w:r>
      <w:r w:rsidRPr="002B46C3">
        <w:rPr>
          <w:rFonts w:ascii="Arial" w:hAnsi="Arial" w:cs="Arial"/>
          <w:color w:val="000000"/>
        </w:rPr>
        <w:t xml:space="preserve"> ještě </w:t>
      </w:r>
      <w:r>
        <w:rPr>
          <w:rFonts w:ascii="Arial" w:hAnsi="Arial" w:cs="Arial"/>
          <w:color w:val="000000"/>
        </w:rPr>
        <w:t>víc</w:t>
      </w:r>
      <w:r w:rsidRPr="002B46C3">
        <w:rPr>
          <w:rFonts w:ascii="Arial" w:hAnsi="Arial" w:cs="Arial"/>
          <w:color w:val="000000"/>
        </w:rPr>
        <w:t>e vynik</w:t>
      </w:r>
      <w:r>
        <w:rPr>
          <w:rFonts w:ascii="Arial" w:hAnsi="Arial" w:cs="Arial"/>
          <w:color w:val="000000"/>
        </w:rPr>
        <w:t>á</w:t>
      </w:r>
      <w:r w:rsidRPr="002B46C3">
        <w:rPr>
          <w:rFonts w:ascii="Arial" w:hAnsi="Arial" w:cs="Arial"/>
          <w:color w:val="000000"/>
        </w:rPr>
        <w:t xml:space="preserve"> při hodnocení úrovně vzdělání podle velikostních skupin obcí.</w:t>
      </w:r>
      <w:r>
        <w:rPr>
          <w:rFonts w:ascii="Arial" w:hAnsi="Arial" w:cs="Arial"/>
          <w:color w:val="000000"/>
        </w:rPr>
        <w:t xml:space="preserve"> S rostoucí velikostí obce se zvyšuje zastoupení všech vyšších stupňů vzdělání (tj. alespoň s maturitou nebo vyššího). Ve městech nad 100 tis. obyvatel více než polovina obyvatel 15</w:t>
      </w:r>
      <w:r>
        <w:rPr>
          <w:rFonts w:ascii="Arial" w:hAnsi="Arial" w:cs="Arial"/>
          <w:color w:val="000000"/>
        </w:rPr>
        <w:t>let</w:t>
      </w:r>
      <w:r>
        <w:rPr>
          <w:rFonts w:ascii="Arial" w:hAnsi="Arial" w:cs="Arial"/>
          <w:color w:val="000000"/>
        </w:rPr>
        <w:t xml:space="preserve">ých a starších získala alespoň úplné střední vzdělání s maturitou nebo vyšší. V nejmenších obcích do 500 obyvatel naproti tomu dosáhla na maturitní nebo vyšší vzdělání jen necelá třetina obyvatel. </w:t>
      </w:r>
    </w:p>
    <w:p w:rsidR="00571E9F" w:rsidRDefault="00571E9F" w:rsidP="00571E9F">
      <w:pPr>
        <w:jc w:val="both"/>
        <w:rPr>
          <w:rFonts w:ascii="Arial" w:hAnsi="Arial" w:cs="Arial"/>
          <w:color w:val="000000"/>
        </w:rPr>
      </w:pP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Vysokou školu vystudovalo jen 6-7 % obyvatel nejmenších obcí, zatímco u obcí od 5000 obyvatel výše přesahuje jejich podíl desetinu. Prudký nárůst podílu vysokoškolsky vzdělaných osob je patrný právě u kategorie velkoměst s více než 100 tis. obyvateli, kde tvoří pětinu populace. Obyvatelé velkých měst také výrazně častěji otázku na dosažené vzdělání nezodpověděli.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Analogicky s velikostí obce klesá zastoupení osob se středním vzděláním bez maturity a se základním vzděláním. V obcích do 1000 obyvatel má více než pětina obyvatel nejvýše základní vzdělání a dvě pětiny dosáhly středního vzdělání bez maturity nebo vyučení. Důvodem méně příznivé vzdělanostní struktury obyvatelstva v menších obcích přitom v některých případech může být kromě nedostatku pracovních pozic s vyšší kvalifikací také větší zastoupení vyšších věkových kategorií mezi obyvatelstvem.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Poměrně plynule se podíly stupňů vzdělání bez maturity snižují až do úrovně měst s 50-99 tis. obyvateli. K největšímu poklesu dochází u kategorie velkoměst, kde lidé se středním vzděláním bez maturity nebo se základním vzděláním představují dohromady jen asi 36 % obyvatel.</w:t>
      </w:r>
    </w:p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</w:p>
    <w:p w:rsidR="00571E9F" w:rsidRPr="008D5CBB" w:rsidRDefault="00571E9F" w:rsidP="00571E9F">
      <w:pPr>
        <w:spacing w:after="60"/>
        <w:rPr>
          <w:rFonts w:ascii="Arial" w:hAnsi="Arial" w:cs="Arial"/>
          <w:b/>
        </w:rPr>
      </w:pPr>
      <w:r w:rsidRPr="008D5CBB">
        <w:rPr>
          <w:rFonts w:ascii="Arial" w:hAnsi="Arial" w:cs="Arial"/>
          <w:b/>
        </w:rPr>
        <w:lastRenderedPageBreak/>
        <w:t xml:space="preserve">Obyvatelstvo ve věku 15 a více let podle nejvyššího ukončeného vzdělání </w:t>
      </w:r>
      <w:r>
        <w:rPr>
          <w:rFonts w:ascii="Arial" w:hAnsi="Arial" w:cs="Arial"/>
          <w:b/>
        </w:rPr>
        <w:br/>
      </w:r>
      <w:r w:rsidRPr="008D5CBB">
        <w:rPr>
          <w:rFonts w:ascii="Arial" w:hAnsi="Arial" w:cs="Arial"/>
          <w:b/>
        </w:rPr>
        <w:t>a velikostních skupin obcí k 26.</w:t>
      </w:r>
      <w:r>
        <w:rPr>
          <w:rFonts w:ascii="Arial" w:hAnsi="Arial" w:cs="Arial"/>
          <w:b/>
        </w:rPr>
        <w:t> </w:t>
      </w:r>
      <w:r w:rsidRPr="008D5CBB"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> </w:t>
      </w:r>
      <w:r w:rsidRPr="008D5CBB">
        <w:rPr>
          <w:rFonts w:ascii="Arial" w:hAnsi="Arial" w:cs="Arial"/>
          <w:b/>
        </w:rPr>
        <w:t>2011 (v</w:t>
      </w:r>
      <w:r>
        <w:rPr>
          <w:rFonts w:ascii="Arial" w:hAnsi="Arial" w:cs="Arial"/>
          <w:b/>
        </w:rPr>
        <w:t> %</w:t>
      </w:r>
      <w:r w:rsidRPr="008D5CBB">
        <w:rPr>
          <w:rFonts w:ascii="Arial" w:hAnsi="Arial" w:cs="Arial"/>
          <w:b/>
        </w:rPr>
        <w:t>)</w:t>
      </w:r>
    </w:p>
    <w:tbl>
      <w:tblPr>
        <w:tblW w:w="90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065"/>
        <w:gridCol w:w="940"/>
        <w:gridCol w:w="1000"/>
        <w:gridCol w:w="940"/>
        <w:gridCol w:w="940"/>
        <w:gridCol w:w="959"/>
        <w:gridCol w:w="940"/>
        <w:gridCol w:w="940"/>
      </w:tblGrid>
      <w:tr w:rsidR="00571E9F" w:rsidRPr="008D5CBB" w:rsidTr="003E30E1">
        <w:trPr>
          <w:trHeight w:val="225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Velikostní skupina obce podle počtu obyvatel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Obyvatelstvo ve věku 15+ celkem</w:t>
            </w:r>
          </w:p>
        </w:tc>
        <w:tc>
          <w:tcPr>
            <w:tcW w:w="6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v tom nejvyšší ukončené vzdělání v %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bez vzdělání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 xml:space="preserve">základní vč. </w:t>
            </w:r>
            <w:proofErr w:type="spellStart"/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neukonče</w:t>
            </w:r>
            <w:proofErr w:type="spellEnd"/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proofErr w:type="spellStart"/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ného</w:t>
            </w:r>
            <w:proofErr w:type="spell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střední vč. vyučení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úplné střední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nástavbové a vyšší odborné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vysoko-</w:t>
            </w: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br/>
              <w:t>školské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E9F" w:rsidRPr="008D5CBB" w:rsidRDefault="00571E9F" w:rsidP="003E30E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nezjištěno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ČR celkem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8 947 632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do 199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163 336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200 - 499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553 633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500 - 999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794 082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1 000 -1 999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845 690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2 000 - 4 999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1 040 813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5 000 - 9 999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796 258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10 000 - 19 999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817 743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20 000 - 49 999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1 144 442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50 000 - 99 999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759 276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5,1</w:t>
            </w:r>
          </w:p>
        </w:tc>
      </w:tr>
      <w:tr w:rsidR="00571E9F" w:rsidRPr="008D5CBB" w:rsidTr="003E30E1">
        <w:trPr>
          <w:trHeight w:val="22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100 000 a více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2 032 359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E9F" w:rsidRPr="008D5CBB" w:rsidRDefault="00571E9F" w:rsidP="003E30E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D5CBB">
              <w:rPr>
                <w:rFonts w:ascii="Arial" w:hAnsi="Arial" w:cs="Arial"/>
                <w:color w:val="000000"/>
                <w:sz w:val="16"/>
                <w:szCs w:val="16"/>
              </w:rPr>
              <w:t>8,3</w:t>
            </w:r>
          </w:p>
        </w:tc>
      </w:tr>
    </w:tbl>
    <w:p w:rsidR="00571E9F" w:rsidRDefault="00571E9F" w:rsidP="00571E9F">
      <w:pPr>
        <w:spacing w:after="120"/>
        <w:jc w:val="both"/>
        <w:rPr>
          <w:rFonts w:ascii="Arial" w:hAnsi="Arial" w:cs="Arial"/>
          <w:color w:val="000000"/>
        </w:rPr>
      </w:pPr>
    </w:p>
    <w:p w:rsidR="006B21C5" w:rsidRPr="00571E9F" w:rsidRDefault="006B21C5" w:rsidP="00571E9F">
      <w:pPr>
        <w:spacing w:after="200" w:line="276" w:lineRule="auto"/>
        <w:rPr>
          <w:rFonts w:ascii="Arial" w:hAnsi="Arial" w:cs="Arial"/>
          <w:noProof/>
        </w:rPr>
      </w:pPr>
    </w:p>
    <w:sectPr w:rsidR="006B21C5" w:rsidRPr="00571E9F" w:rsidSect="00571E9F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571E9F"/>
    <w:rsid w:val="00571E9F"/>
    <w:rsid w:val="006B2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1E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nadpis1">
    <w:name w:val="Mnadpis1"/>
    <w:basedOn w:val="Normln"/>
    <w:link w:val="Mnadpis1Char"/>
    <w:qFormat/>
    <w:rsid w:val="00571E9F"/>
    <w:pPr>
      <w:widowControl w:val="0"/>
      <w:ind w:left="709" w:hanging="709"/>
    </w:pPr>
    <w:rPr>
      <w:rFonts w:ascii="Arial" w:hAnsi="Arial" w:cs="Arial"/>
      <w:b/>
      <w:color w:val="000000"/>
      <w:sz w:val="28"/>
      <w:szCs w:val="28"/>
    </w:rPr>
  </w:style>
  <w:style w:type="character" w:customStyle="1" w:styleId="Mnadpis1Char">
    <w:name w:val="Mnadpis1 Char"/>
    <w:basedOn w:val="Standardnpsmoodstavce"/>
    <w:link w:val="Mnadpis1"/>
    <w:rsid w:val="00571E9F"/>
    <w:rPr>
      <w:rFonts w:ascii="Arial" w:eastAsia="Times New Roman" w:hAnsi="Arial" w:cs="Arial"/>
      <w:b/>
      <w:color w:val="000000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1E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1E9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2096</Words>
  <Characters>12368</Characters>
  <Application>Microsoft Office Word</Application>
  <DocSecurity>0</DocSecurity>
  <Lines>103</Lines>
  <Paragraphs>28</Paragraphs>
  <ScaleCrop>false</ScaleCrop>
  <Company>ČSÚ</Company>
  <LinksUpToDate>false</LinksUpToDate>
  <CharactersWithSpaces>14436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Radolfová</dc:creator>
  <cp:lastModifiedBy>Marie Radolfová</cp:lastModifiedBy>
  <cp:revision>1</cp:revision>
  <dcterms:created xsi:type="dcterms:W3CDTF">2014-12-16T10:59:00Z</dcterms:created>
  <dcterms:modified xsi:type="dcterms:W3CDTF">2014-12-16T11:01:00Z</dcterms:modified>
</cp:coreProperties>
</file>