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5F" w:rsidRDefault="00717F1E" w:rsidP="00717F1E">
      <w:pPr>
        <w:pStyle w:val="Nadpis1"/>
        <w:numPr>
          <w:ilvl w:val="0"/>
          <w:numId w:val="39"/>
        </w:numPr>
        <w:jc w:val="left"/>
        <w:rPr>
          <w:rFonts w:cs="Arial"/>
          <w:sz w:val="18"/>
          <w:szCs w:val="16"/>
        </w:rPr>
      </w:pPr>
      <w:r>
        <w:rPr>
          <w:lang w:val="cs-CZ"/>
        </w:rPr>
        <w:t xml:space="preserve"> </w:t>
      </w:r>
      <w:r w:rsidR="0097075F">
        <w:t>Dlouhodobý vývoj nehodovosti na silničních komunikacích</w:t>
      </w:r>
    </w:p>
    <w:p w:rsidR="0097075F" w:rsidRDefault="0097075F">
      <w:pPr>
        <w:pStyle w:val="Zhlav"/>
        <w:jc w:val="both"/>
        <w:rPr>
          <w:rFonts w:ascii="Arial" w:hAnsi="Arial" w:cs="Arial"/>
          <w:sz w:val="18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737"/>
        <w:gridCol w:w="1378"/>
        <w:gridCol w:w="283"/>
        <w:gridCol w:w="3300"/>
        <w:gridCol w:w="708"/>
        <w:gridCol w:w="3189"/>
        <w:gridCol w:w="99"/>
      </w:tblGrid>
      <w:tr w:rsidR="00EE38E0" w:rsidTr="001B5961">
        <w:tc>
          <w:tcPr>
            <w:tcW w:w="1091" w:type="pct"/>
            <w:gridSpan w:val="2"/>
          </w:tcPr>
          <w:p w:rsidR="00EE38E0" w:rsidRDefault="00EE3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63" w:type="pct"/>
            <w:gridSpan w:val="4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EE38E0" w:rsidTr="001B5961">
        <w:tc>
          <w:tcPr>
            <w:tcW w:w="1091" w:type="pct"/>
            <w:gridSpan w:val="2"/>
          </w:tcPr>
          <w:p w:rsidR="00EE38E0" w:rsidRDefault="001B59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nehod na silnicích České republiky vrcholil v roce 1999…</w:t>
            </w:r>
          </w:p>
        </w:tc>
        <w:tc>
          <w:tcPr>
            <w:tcW w:w="146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63" w:type="pct"/>
            <w:gridSpan w:val="4"/>
          </w:tcPr>
          <w:p w:rsidR="001B5961" w:rsidRDefault="00EE38E0">
            <w:pPr>
              <w:pStyle w:val="Textpoznpodarou"/>
              <w:jc w:val="both"/>
              <w:rPr>
                <w:lang w:val="cs-CZ"/>
              </w:rPr>
            </w:pPr>
            <w:r>
              <w:t xml:space="preserve">V dlouhodobém pohledu dosáhl celkový počet nehod na tuzemských silnicích vrcholu v roce 1999 (kdy byl oproti polovině 90. let vyšší o téměř třetinu a ve vztahu k roku 1990 více než dvojnásobný). Významný pokles nastal mezi roky 1999-2001 (téměř na úroveň roku 1995). </w:t>
            </w:r>
          </w:p>
          <w:p w:rsidR="001B5961" w:rsidRDefault="001B5961">
            <w:pPr>
              <w:pStyle w:val="Textpoznpodarou"/>
              <w:jc w:val="both"/>
              <w:rPr>
                <w:lang w:val="cs-CZ"/>
              </w:rPr>
            </w:pPr>
          </w:p>
          <w:p w:rsidR="001B5961" w:rsidRDefault="00EE38E0">
            <w:pPr>
              <w:pStyle w:val="Textpoznpodarou"/>
              <w:jc w:val="both"/>
              <w:rPr>
                <w:lang w:val="cs-CZ"/>
              </w:rPr>
            </w:pPr>
            <w:r>
              <w:t xml:space="preserve">Období od začátku první dekády po roce 2000 lze z pohledu celkové nehodovosti hodnotit </w:t>
            </w:r>
            <w:r w:rsidR="00DA1FBA">
              <w:rPr>
                <w:lang w:val="cs-CZ"/>
              </w:rPr>
              <w:t xml:space="preserve">nejprve </w:t>
            </w:r>
            <w:r w:rsidR="00DA1FBA">
              <w:t xml:space="preserve">spíše </w:t>
            </w:r>
            <w:r>
              <w:t>jako stagnaci s</w:t>
            </w:r>
            <w:r w:rsidR="00DA1FBA">
              <w:rPr>
                <w:lang w:val="cs-CZ"/>
              </w:rPr>
              <w:t xml:space="preserve"> pozdější postupnou </w:t>
            </w:r>
            <w:r>
              <w:t>tendencí mírného poklesu, která se plně zrealizovala až po roce 2006. Na výrazný pokles počtu evidovaných dopravních nehod v Česku mezi roky 2008 a 2009 mělo vliv především ustanovení zákona č. 361/2000 Sb. (o provozu na pozemních komunikacích) a jeho následných novelizacích</w:t>
            </w:r>
            <w:r>
              <w:rPr>
                <w:rStyle w:val="Znakapoznpodarou"/>
              </w:rPr>
              <w:footnoteReference w:id="1"/>
            </w:r>
            <w:r>
              <w:t xml:space="preserve">, podle nichž se několikrát měnila i povinnost nahlašovat policii pouze ty dopravní nehody bez zranění a bez poškození majetku třetí osoby, při nichž došlo k hmotné škodě zřejmě převyšující stanovené hranice. Těmi byly do r. 2000 1 tis. </w:t>
            </w:r>
            <w:r w:rsidR="001B5961">
              <w:rPr>
                <w:lang w:val="cs-CZ"/>
              </w:rPr>
              <w:t>k</w:t>
            </w:r>
            <w:proofErr w:type="spellStart"/>
            <w:r>
              <w:t>orun</w:t>
            </w:r>
            <w:proofErr w:type="spellEnd"/>
            <w:r>
              <w:t xml:space="preserve">, od ledna 2001 20 tis. </w:t>
            </w:r>
            <w:r w:rsidR="001B5961">
              <w:rPr>
                <w:lang w:val="cs-CZ"/>
              </w:rPr>
              <w:t>k</w:t>
            </w:r>
            <w:proofErr w:type="spellStart"/>
            <w:r>
              <w:t>orun</w:t>
            </w:r>
            <w:proofErr w:type="spellEnd"/>
            <w:r>
              <w:t xml:space="preserve">, od července 2006 50 tis. </w:t>
            </w:r>
            <w:r w:rsidR="001B5961">
              <w:rPr>
                <w:lang w:val="cs-CZ"/>
              </w:rPr>
              <w:t>k</w:t>
            </w:r>
            <w:proofErr w:type="spellStart"/>
            <w:r>
              <w:t>orun</w:t>
            </w:r>
            <w:proofErr w:type="spellEnd"/>
            <w:r>
              <w:t xml:space="preserve"> a konečně od ledna 2009 100 tis. Korun. </w:t>
            </w:r>
          </w:p>
          <w:p w:rsidR="001B5961" w:rsidRDefault="001B5961">
            <w:pPr>
              <w:pStyle w:val="Textpoznpodarou"/>
              <w:jc w:val="both"/>
              <w:rPr>
                <w:lang w:val="cs-CZ"/>
              </w:rPr>
            </w:pPr>
          </w:p>
          <w:p w:rsidR="00EE38E0" w:rsidRDefault="00EE38E0">
            <w:pPr>
              <w:pStyle w:val="Textpoznpodarou"/>
              <w:jc w:val="both"/>
            </w:pPr>
            <w:r>
              <w:t>Vliv tohoto ustanovení se vedle roku 2009 částečně projevil i roce 2007, kdy meziroční pokles celkového počtu nehod (-3 %) nebyl doprovázen souběžnou redukcí počtu usmrcených (+17 %) či zraněných osob (+4 %).</w:t>
            </w:r>
          </w:p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EE38E0" w:rsidTr="001B5961">
        <w:tc>
          <w:tcPr>
            <w:tcW w:w="1091" w:type="pct"/>
            <w:gridSpan w:val="2"/>
          </w:tcPr>
          <w:p w:rsidR="00EE38E0" w:rsidRDefault="001B5961" w:rsidP="001B59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 počet usmrcených osob byl - při velkém růstu těchto případů na počátku 90. let – nejvyšší v roce 1997 </w:t>
            </w:r>
          </w:p>
        </w:tc>
        <w:tc>
          <w:tcPr>
            <w:tcW w:w="146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63" w:type="pct"/>
            <w:gridSpan w:val="4"/>
          </w:tcPr>
          <w:p w:rsidR="001B5961" w:rsidRDefault="00EE38E0">
            <w:pPr>
              <w:pStyle w:val="Textpoznpodarou"/>
              <w:jc w:val="both"/>
              <w:rPr>
                <w:rFonts w:cs="Arial"/>
                <w:lang w:val="cs-CZ"/>
              </w:rPr>
            </w:pPr>
            <w:r>
              <w:rPr>
                <w:rFonts w:cs="Arial"/>
              </w:rPr>
              <w:t xml:space="preserve">Počet usmrcených osob následkem dopravních nehod na silnicích v ČR na počátku 90. let prudce vzrostl (např. vlivem silně rostoucí intenzity dopravy) a při mírnějších tempech růstu vrcholil v roce 1997 na úrovni o ¼ vyšší než v roce 1990. Od té doby se vývoj ustálil (v rozmezí 1400-1500 osob usmrcených ročně), počínaje rokem 2004 vidíme pozitivní tendenci ke snižování počtu zemřelých i všech zraněných osob (mj. i vlivem zavedení restriktivních opatření na řidiče). I přes mírné zhoršení v roce 2007 pokračovala i v následujících letech redukce usmrcených, a to dokonce s větší intenzitou. </w:t>
            </w:r>
          </w:p>
          <w:p w:rsidR="001B5961" w:rsidRDefault="001B5961">
            <w:pPr>
              <w:pStyle w:val="Textpoznpodarou"/>
              <w:jc w:val="both"/>
              <w:rPr>
                <w:rFonts w:cs="Arial"/>
                <w:lang w:val="cs-CZ"/>
              </w:rPr>
            </w:pPr>
          </w:p>
          <w:p w:rsidR="001B5961" w:rsidRDefault="00EE38E0">
            <w:pPr>
              <w:pStyle w:val="Textpoznpodarou"/>
              <w:jc w:val="both"/>
              <w:rPr>
                <w:spacing w:val="-2"/>
                <w:lang w:val="cs-CZ"/>
              </w:rPr>
            </w:pPr>
            <w:r>
              <w:rPr>
                <w:rFonts w:cs="Arial"/>
              </w:rPr>
              <w:t xml:space="preserve">Počet zemřelých do 24 hod. po nehodě </w:t>
            </w:r>
            <w:r w:rsidR="009D735E">
              <w:rPr>
                <w:rFonts w:cs="Arial"/>
                <w:lang w:val="cs-CZ"/>
              </w:rPr>
              <w:t xml:space="preserve">od roku 2008 plynule klesal, tato redukce </w:t>
            </w:r>
            <w:r w:rsidR="009D735E">
              <w:rPr>
                <w:rFonts w:cs="Arial"/>
              </w:rPr>
              <w:t xml:space="preserve">poklesu usmrcených však </w:t>
            </w:r>
            <w:r w:rsidR="009D735E">
              <w:rPr>
                <w:rFonts w:cs="Arial"/>
                <w:lang w:val="cs-CZ"/>
              </w:rPr>
              <w:t>postupně</w:t>
            </w:r>
            <w:r>
              <w:rPr>
                <w:rFonts w:cs="Arial"/>
              </w:rPr>
              <w:t xml:space="preserve"> ubírala na meziroční dynamice, což by mohlo naznačovat, že se již z velké části vyčerpal potenciál represivních i preventivních opatření dopravní politiky, které byly intenzivně realizovány zejména po roce 2005. Svědčí pro to i zastavení počtu lehce zraněných osob </w:t>
            </w:r>
            <w:r w:rsidR="009D735E">
              <w:rPr>
                <w:rFonts w:cs="Arial"/>
                <w:lang w:val="cs-CZ"/>
              </w:rPr>
              <w:t xml:space="preserve">v období po roce 2010 a také dosavadní vývoj v roce 2014, </w:t>
            </w:r>
            <w:r w:rsidR="009D735E">
              <w:rPr>
                <w:spacing w:val="-2"/>
              </w:rPr>
              <w:t>když počet usmrcených meziročně o desetinu vzrostl (vinou vyšší četnosti obětí v červnu a září)</w:t>
            </w:r>
            <w:r w:rsidR="009D735E" w:rsidRPr="006532F4">
              <w:rPr>
                <w:spacing w:val="-2"/>
              </w:rPr>
              <w:t>,</w:t>
            </w:r>
            <w:r w:rsidR="009D735E">
              <w:rPr>
                <w:spacing w:val="-2"/>
              </w:rPr>
              <w:t xml:space="preserve"> mírně vyšší byl i počet lehkých zranění</w:t>
            </w:r>
            <w:r w:rsidR="009D735E">
              <w:rPr>
                <w:spacing w:val="-2"/>
                <w:lang w:val="cs-CZ"/>
              </w:rPr>
              <w:t>.</w:t>
            </w:r>
          </w:p>
          <w:p w:rsidR="00717F1E" w:rsidRDefault="00717F1E">
            <w:pPr>
              <w:pStyle w:val="Textpoznpodarou"/>
              <w:jc w:val="both"/>
              <w:rPr>
                <w:spacing w:val="-2"/>
                <w:lang w:val="cs-CZ"/>
              </w:rPr>
            </w:pPr>
          </w:p>
          <w:p w:rsidR="00717F1E" w:rsidRDefault="00717F1E">
            <w:pPr>
              <w:pStyle w:val="Textpoznpodarou"/>
              <w:jc w:val="both"/>
              <w:rPr>
                <w:spacing w:val="-2"/>
                <w:lang w:val="cs-CZ"/>
              </w:rPr>
            </w:pPr>
          </w:p>
          <w:p w:rsidR="00717F1E" w:rsidRDefault="00717F1E">
            <w:pPr>
              <w:pStyle w:val="Textpoznpodarou"/>
              <w:jc w:val="both"/>
              <w:rPr>
                <w:spacing w:val="-2"/>
                <w:lang w:val="cs-CZ"/>
              </w:rPr>
            </w:pPr>
          </w:p>
          <w:p w:rsidR="00717F1E" w:rsidRDefault="00717F1E">
            <w:pPr>
              <w:pStyle w:val="Textpoznpodarou"/>
              <w:jc w:val="both"/>
              <w:rPr>
                <w:spacing w:val="-2"/>
                <w:lang w:val="cs-CZ"/>
              </w:rPr>
            </w:pPr>
          </w:p>
          <w:p w:rsidR="00717F1E" w:rsidRDefault="00717F1E">
            <w:pPr>
              <w:pStyle w:val="Textpoznpodarou"/>
              <w:jc w:val="both"/>
              <w:rPr>
                <w:spacing w:val="-2"/>
                <w:lang w:val="cs-CZ"/>
              </w:rPr>
            </w:pPr>
          </w:p>
          <w:p w:rsidR="00717F1E" w:rsidRDefault="00717F1E">
            <w:pPr>
              <w:pStyle w:val="Textpoznpodarou"/>
              <w:jc w:val="both"/>
              <w:rPr>
                <w:spacing w:val="-2"/>
                <w:lang w:val="cs-CZ"/>
              </w:rPr>
            </w:pPr>
          </w:p>
          <w:p w:rsidR="00717F1E" w:rsidRDefault="00717F1E">
            <w:pPr>
              <w:pStyle w:val="Textpoznpodarou"/>
              <w:jc w:val="both"/>
              <w:rPr>
                <w:spacing w:val="-2"/>
                <w:lang w:val="cs-CZ"/>
              </w:rPr>
            </w:pPr>
          </w:p>
          <w:p w:rsidR="00717F1E" w:rsidRPr="009D735E" w:rsidRDefault="00717F1E">
            <w:pPr>
              <w:pStyle w:val="Textpoznpodarou"/>
              <w:jc w:val="both"/>
              <w:rPr>
                <w:rFonts w:cs="Arial"/>
                <w:lang w:val="cs-CZ"/>
              </w:rPr>
            </w:pPr>
          </w:p>
          <w:p w:rsidR="001B5961" w:rsidRDefault="001B5961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EE38E0" w:rsidTr="001B5961">
        <w:trPr>
          <w:cantSplit/>
          <w:trHeight w:val="110"/>
        </w:trPr>
        <w:tc>
          <w:tcPr>
            <w:tcW w:w="1091" w:type="pct"/>
            <w:gridSpan w:val="2"/>
          </w:tcPr>
          <w:p w:rsidR="00EE38E0" w:rsidRDefault="00EE3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EE38E0" w:rsidRDefault="00EE38E0">
            <w:pPr>
              <w:pStyle w:val="Textpoznpodarou"/>
              <w:jc w:val="both"/>
              <w:rPr>
                <w:spacing w:val="-2"/>
                <w:lang w:val="cs-CZ" w:eastAsia="cs-CZ"/>
              </w:rPr>
            </w:pPr>
          </w:p>
        </w:tc>
        <w:tc>
          <w:tcPr>
            <w:tcW w:w="3763" w:type="pct"/>
            <w:gridSpan w:val="4"/>
          </w:tcPr>
          <w:p w:rsidR="00EE38E0" w:rsidRDefault="00EE38E0">
            <w:pPr>
              <w:pStyle w:val="Textpoznpodarou"/>
              <w:jc w:val="both"/>
              <w:rPr>
                <w:spacing w:val="-4"/>
                <w:lang w:val="cs-CZ" w:eastAsia="cs-CZ"/>
              </w:rPr>
            </w:pPr>
          </w:p>
        </w:tc>
      </w:tr>
      <w:tr w:rsidR="00EE38E0" w:rsidTr="001B5961">
        <w:trPr>
          <w:gridAfter w:val="1"/>
          <w:wAfter w:w="50" w:type="pct"/>
          <w:cantSplit/>
        </w:trPr>
        <w:tc>
          <w:tcPr>
            <w:tcW w:w="380" w:type="pct"/>
          </w:tcPr>
          <w:p w:rsidR="00EE38E0" w:rsidRDefault="007D49C2">
            <w:pPr>
              <w:jc w:val="left"/>
            </w:pPr>
            <w:r>
              <w:lastRenderedPageBreak/>
              <w:t>Graf č. 1</w:t>
            </w:r>
            <w:r w:rsidR="0086691A">
              <w:t>6</w:t>
            </w:r>
          </w:p>
        </w:tc>
        <w:tc>
          <w:tcPr>
            <w:tcW w:w="2559" w:type="pct"/>
            <w:gridSpan w:val="3"/>
          </w:tcPr>
          <w:p w:rsidR="00EE38E0" w:rsidRDefault="00EE38E0">
            <w:pPr>
              <w:jc w:val="left"/>
              <w:rPr>
                <w:b/>
              </w:rPr>
            </w:pPr>
            <w:r>
              <w:rPr>
                <w:b/>
                <w:bCs/>
              </w:rPr>
              <w:t>Dlouhodobý vývoj počtu nehod v silničním provozu v ČR a jejich následků</w:t>
            </w:r>
            <w:r w:rsidR="00E01837">
              <w:rPr>
                <w:b/>
                <w:bCs/>
              </w:rPr>
              <w:t xml:space="preserve"> </w:t>
            </w:r>
            <w:r w:rsidR="00E01837" w:rsidRPr="00E01837">
              <w:rPr>
                <w:bCs/>
              </w:rPr>
              <w:t>(</w:t>
            </w:r>
            <w:proofErr w:type="spellStart"/>
            <w:r w:rsidR="00E01837" w:rsidRPr="00E01837">
              <w:rPr>
                <w:bCs/>
              </w:rPr>
              <w:t>abs</w:t>
            </w:r>
            <w:proofErr w:type="spellEnd"/>
            <w:r w:rsidR="00E01837" w:rsidRPr="00E01837">
              <w:rPr>
                <w:bCs/>
              </w:rPr>
              <w:t>. počty)</w:t>
            </w:r>
          </w:p>
        </w:tc>
        <w:tc>
          <w:tcPr>
            <w:tcW w:w="365" w:type="pct"/>
          </w:tcPr>
          <w:p w:rsidR="00EE38E0" w:rsidRDefault="00EE38E0">
            <w:pPr>
              <w:jc w:val="left"/>
              <w:rPr>
                <w:b/>
              </w:rPr>
            </w:pPr>
            <w:r>
              <w:t xml:space="preserve">Graf č. </w:t>
            </w:r>
            <w:r w:rsidR="007D49C2">
              <w:t>1</w:t>
            </w:r>
            <w:r w:rsidR="0086691A">
              <w:t>7</w:t>
            </w:r>
          </w:p>
        </w:tc>
        <w:tc>
          <w:tcPr>
            <w:tcW w:w="1645" w:type="pct"/>
          </w:tcPr>
          <w:p w:rsidR="00EE38E0" w:rsidRPr="007D49C2" w:rsidRDefault="00EE38E0" w:rsidP="007D49C2">
            <w:pPr>
              <w:pStyle w:val="Zkladntext2"/>
              <w:rPr>
                <w:iCs/>
              </w:rPr>
            </w:pPr>
            <w:r>
              <w:t xml:space="preserve">Podíl </w:t>
            </w:r>
            <w:r w:rsidR="00BC2CD5">
              <w:t>„následně“ zemřelých</w:t>
            </w:r>
            <w:r>
              <w:t xml:space="preserve"> z</w:t>
            </w:r>
            <w:r w:rsidR="009778C7">
              <w:t> </w:t>
            </w:r>
            <w:r>
              <w:t>celkového počt</w:t>
            </w:r>
            <w:r w:rsidR="009778C7">
              <w:t>u usmrcených osob při doprav.</w:t>
            </w:r>
            <w:r>
              <w:t xml:space="preserve"> nehodách v ČR</w:t>
            </w:r>
          </w:p>
        </w:tc>
      </w:tr>
    </w:tbl>
    <w:p w:rsidR="00EE38E0" w:rsidRDefault="00743F52">
      <w:pPr>
        <w:pStyle w:val="Zhlav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noProof/>
          <w:sz w:val="18"/>
          <w:szCs w:val="16"/>
          <w:lang w:eastAsia="cs-CZ"/>
        </w:rPr>
      </w:r>
      <w:r>
        <w:rPr>
          <w:rFonts w:ascii="Arial" w:hAnsi="Arial" w:cs="Arial"/>
          <w:sz w:val="18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5" type="#_x0000_t75" style="width:321.45pt;height:203.45pt;mso-position-horizontal-relative:char;mso-position-vertical-relative:line">
            <v:imagedata r:id="rId8" o:title=""/>
            <w10:anchorlock/>
          </v:shape>
        </w:pict>
      </w:r>
      <w:r w:rsidR="00BC2CD5" w:rsidRPr="00BC2CD5">
        <w:rPr>
          <w:szCs w:val="16"/>
        </w:rPr>
        <w:pict>
          <v:shape id="_x0000_i1026" type="#_x0000_t75" style="width:159pt;height:204.5pt">
            <v:imagedata r:id="rId9" o:title=""/>
          </v:shape>
        </w:pict>
      </w:r>
    </w:p>
    <w:p w:rsidR="00EE38E0" w:rsidRDefault="00EE38E0">
      <w:pPr>
        <w:rPr>
          <w:sz w:val="18"/>
        </w:rPr>
      </w:pPr>
      <w:r>
        <w:rPr>
          <w:sz w:val="18"/>
        </w:rPr>
        <w:t>Pozn.: od roku 2009 není celkový počet nehod srovnatelný s předchozími roky vlivem významné metodické změny (netýká se nehod s následky na zdraví jejich účastníků)</w:t>
      </w:r>
    </w:p>
    <w:p w:rsidR="00EE38E0" w:rsidRPr="005B5E1F" w:rsidRDefault="00EE38E0">
      <w:pPr>
        <w:pStyle w:val="Zhlav"/>
        <w:jc w:val="both"/>
        <w:rPr>
          <w:rFonts w:ascii="Arial" w:hAnsi="Arial" w:cs="Arial"/>
          <w:sz w:val="18"/>
          <w:szCs w:val="16"/>
        </w:rPr>
      </w:pPr>
      <w:r w:rsidRPr="005B5E1F">
        <w:rPr>
          <w:rFonts w:ascii="Arial" w:hAnsi="Arial" w:cs="Arial"/>
          <w:sz w:val="18"/>
        </w:rPr>
        <w:t>Pramen: Policejní prezidium ČR, vlastní výpočty</w:t>
      </w:r>
    </w:p>
    <w:p w:rsidR="00EE38E0" w:rsidRDefault="00EE38E0">
      <w:pPr>
        <w:pStyle w:val="Zhlav"/>
        <w:jc w:val="both"/>
        <w:rPr>
          <w:rFonts w:ascii="Arial" w:hAnsi="Arial" w:cs="Arial"/>
          <w:sz w:val="18"/>
          <w:szCs w:val="16"/>
        </w:rPr>
      </w:pPr>
    </w:p>
    <w:p w:rsidR="00EB23A7" w:rsidRDefault="00EB23A7">
      <w:pPr>
        <w:pStyle w:val="Zhlav"/>
        <w:jc w:val="both"/>
        <w:rPr>
          <w:rFonts w:ascii="Arial" w:hAnsi="Arial" w:cs="Arial"/>
          <w:sz w:val="18"/>
          <w:szCs w:val="16"/>
        </w:rPr>
      </w:pPr>
    </w:p>
    <w:tbl>
      <w:tblPr>
        <w:tblW w:w="4986" w:type="pct"/>
        <w:tblCellMar>
          <w:left w:w="28" w:type="dxa"/>
          <w:right w:w="28" w:type="dxa"/>
        </w:tblCellMar>
        <w:tblLook w:val="04A0"/>
      </w:tblPr>
      <w:tblGrid>
        <w:gridCol w:w="737"/>
        <w:gridCol w:w="8930"/>
      </w:tblGrid>
      <w:tr w:rsidR="00E01837" w:rsidTr="00E01837">
        <w:trPr>
          <w:cantSplit/>
        </w:trPr>
        <w:tc>
          <w:tcPr>
            <w:tcW w:w="381" w:type="pct"/>
          </w:tcPr>
          <w:p w:rsidR="00E01837" w:rsidRDefault="0086691A" w:rsidP="00AA13E4">
            <w:pPr>
              <w:jc w:val="left"/>
            </w:pPr>
            <w:r>
              <w:t>Graf č. 18</w:t>
            </w:r>
          </w:p>
        </w:tc>
        <w:tc>
          <w:tcPr>
            <w:tcW w:w="4619" w:type="pct"/>
          </w:tcPr>
          <w:p w:rsidR="00EB23A7" w:rsidRDefault="00E01837" w:rsidP="00EB23A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Dlouhodobý vývoj </w:t>
            </w:r>
            <w:r w:rsidR="00EB23A7">
              <w:rPr>
                <w:b/>
                <w:bCs/>
              </w:rPr>
              <w:t xml:space="preserve">počtu důsledků </w:t>
            </w:r>
            <w:r>
              <w:rPr>
                <w:b/>
                <w:bCs/>
              </w:rPr>
              <w:t>nehod v silničním provozu v</w:t>
            </w:r>
            <w:r w:rsidR="00EB23A7">
              <w:rPr>
                <w:b/>
                <w:bCs/>
              </w:rPr>
              <w:t> ČR</w:t>
            </w:r>
          </w:p>
          <w:p w:rsidR="00E01837" w:rsidRPr="00E01837" w:rsidRDefault="00E01837" w:rsidP="00EB23A7">
            <w:pPr>
              <w:jc w:val="left"/>
              <w:rPr>
                <w:b/>
              </w:rPr>
            </w:pPr>
            <w:r w:rsidRPr="00E01837">
              <w:rPr>
                <w:bCs/>
              </w:rPr>
              <w:t>(</w:t>
            </w:r>
            <w:r w:rsidR="00EB23A7">
              <w:rPr>
                <w:bCs/>
              </w:rPr>
              <w:t>úroveň roku 1980=100)</w:t>
            </w:r>
          </w:p>
        </w:tc>
      </w:tr>
    </w:tbl>
    <w:p w:rsidR="00E01837" w:rsidRDefault="004E3CF7">
      <w:pPr>
        <w:pStyle w:val="Zhlav"/>
        <w:jc w:val="both"/>
        <w:rPr>
          <w:rFonts w:ascii="Arial" w:hAnsi="Arial" w:cs="Arial"/>
          <w:sz w:val="18"/>
          <w:szCs w:val="16"/>
        </w:rPr>
      </w:pPr>
      <w:r w:rsidRPr="004E3CF7">
        <w:rPr>
          <w:szCs w:val="16"/>
        </w:rPr>
        <w:pict>
          <v:shape id="_x0000_i1027" type="#_x0000_t75" style="width:481.55pt;height:213.1pt">
            <v:imagedata r:id="rId10" o:title=""/>
          </v:shape>
        </w:pict>
      </w:r>
    </w:p>
    <w:p w:rsidR="00EB23A7" w:rsidRPr="005B5E1F" w:rsidRDefault="00EB23A7" w:rsidP="00EB23A7">
      <w:pPr>
        <w:pStyle w:val="Zhlav"/>
        <w:jc w:val="both"/>
        <w:rPr>
          <w:rFonts w:ascii="Arial" w:hAnsi="Arial" w:cs="Arial"/>
          <w:sz w:val="18"/>
          <w:szCs w:val="16"/>
        </w:rPr>
      </w:pPr>
      <w:r w:rsidRPr="005B5E1F">
        <w:rPr>
          <w:rFonts w:ascii="Arial" w:hAnsi="Arial" w:cs="Arial"/>
          <w:sz w:val="18"/>
        </w:rPr>
        <w:t>Pramen: Policejní prezidium ČR, vlastní výpočty</w:t>
      </w:r>
    </w:p>
    <w:p w:rsidR="00E01837" w:rsidRDefault="00E01837">
      <w:pPr>
        <w:pStyle w:val="Zhlav"/>
        <w:jc w:val="both"/>
        <w:rPr>
          <w:rFonts w:ascii="Arial" w:hAnsi="Arial" w:cs="Arial"/>
          <w:sz w:val="18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115"/>
        <w:gridCol w:w="283"/>
        <w:gridCol w:w="7296"/>
      </w:tblGrid>
      <w:tr w:rsidR="00EE38E0">
        <w:tc>
          <w:tcPr>
            <w:tcW w:w="1091" w:type="pct"/>
          </w:tcPr>
          <w:p w:rsidR="00EE38E0" w:rsidRDefault="00EE3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Hlavní faktory dlouhodobého poklesu dopravní nehodovosti v ČR </w:t>
            </w:r>
          </w:p>
        </w:tc>
        <w:tc>
          <w:tcPr>
            <w:tcW w:w="146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63" w:type="pct"/>
          </w:tcPr>
          <w:p w:rsidR="00EE38E0" w:rsidRDefault="00EE38E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Mezi hlavní faktory působící ve směru poklesu počtu dopravních nehod patří</w:t>
            </w:r>
          </w:p>
          <w:p w:rsidR="00EE38E0" w:rsidRDefault="00EE38E0">
            <w:pPr>
              <w:numPr>
                <w:ilvl w:val="0"/>
                <w:numId w:val="18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Obměna vozového parku směrem k většímu zastoupení vozidel vybavených moderními bezpečnostními prvky (konstrukce vozidla odolnější vůči srážce, posílení vnitřních bezpečnostních prvků – airbagy aj.).</w:t>
            </w:r>
          </w:p>
          <w:p w:rsidR="00EE38E0" w:rsidRDefault="00EE38E0">
            <w:pPr>
              <w:numPr>
                <w:ilvl w:val="0"/>
                <w:numId w:val="18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Rozvoj dopravní infrastruktury (dálnice, obchvaty měst).</w:t>
            </w:r>
          </w:p>
          <w:p w:rsidR="00EE38E0" w:rsidRDefault="00EE38E0">
            <w:pPr>
              <w:numPr>
                <w:ilvl w:val="0"/>
                <w:numId w:val="18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Preventivní i represivní dopravní opatření (bodový systém, osvětové informační kampaně).</w:t>
            </w:r>
          </w:p>
          <w:p w:rsidR="00EE38E0" w:rsidRDefault="00EE38E0">
            <w:pPr>
              <w:numPr>
                <w:ilvl w:val="0"/>
                <w:numId w:val="18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Metodická změna povinnosti hlásit nehody v závislosti na výši hmotné škody (podrobně viz dále). Tato změna výrazně ovlivnila počet nehod především mezi roky 2008 a 2009, nemá však na nehody s následky na zdraví (u nich trvá povinnost hlásit každou událost policii)</w:t>
            </w:r>
          </w:p>
          <w:p w:rsidR="00EE38E0" w:rsidRDefault="00EE38E0">
            <w:pPr>
              <w:numPr>
                <w:ilvl w:val="0"/>
                <w:numId w:val="18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 důsledku demografického vývoje došlo v posledním desetiletí k postupnému posunu populačně silných kohort z věku typického vysokou nehodovosti řidičů (dvacátníci) do kategorie vyzrálejších řidičů </w:t>
            </w:r>
            <w:r>
              <w:rPr>
                <w:rFonts w:cs="Arial"/>
                <w:szCs w:val="18"/>
              </w:rPr>
              <w:lastRenderedPageBreak/>
              <w:t>(třicátníci)</w:t>
            </w:r>
          </w:p>
          <w:p w:rsidR="00EE38E0" w:rsidRDefault="00EE38E0">
            <w:pPr>
              <w:numPr>
                <w:ilvl w:val="0"/>
                <w:numId w:val="18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Zpomalení růstu dopravních výkonů v posledních letech a jejich pokles v roce 2010 zaznamenaný (ve formě ujetých </w:t>
            </w:r>
            <w:proofErr w:type="spellStart"/>
            <w:r>
              <w:rPr>
                <w:rFonts w:cs="Arial"/>
                <w:szCs w:val="18"/>
              </w:rPr>
              <w:t>vozokm</w:t>
            </w:r>
            <w:proofErr w:type="spellEnd"/>
            <w:r>
              <w:rPr>
                <w:rFonts w:cs="Arial"/>
                <w:szCs w:val="18"/>
              </w:rPr>
              <w:t>) na všech hlavních typech komunikací</w:t>
            </w:r>
          </w:p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EE38E0">
        <w:tc>
          <w:tcPr>
            <w:tcW w:w="1091" w:type="pct"/>
          </w:tcPr>
          <w:p w:rsidR="00EE38E0" w:rsidRDefault="00EE38E0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Hlavní protisměrně působící faktory</w:t>
            </w:r>
          </w:p>
        </w:tc>
        <w:tc>
          <w:tcPr>
            <w:tcW w:w="146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63" w:type="pct"/>
          </w:tcPr>
          <w:p w:rsidR="00EE38E0" w:rsidRDefault="00EE38E0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Mezi hlavní faktory působící na zvyšování počtu nehod lze naopak zařadit</w:t>
            </w:r>
          </w:p>
          <w:p w:rsidR="00EE38E0" w:rsidRDefault="00EE38E0">
            <w:pPr>
              <w:pStyle w:val="normalnsodrkami"/>
              <w:numPr>
                <w:ilvl w:val="0"/>
                <w:numId w:val="17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Dlouhodobý nárůst počtu vozidel, zejména osobních a toho plynoucí růst dopravních výkonů (do roku 2008)</w:t>
            </w:r>
          </w:p>
          <w:p w:rsidR="00EE38E0" w:rsidRDefault="00EE38E0">
            <w:pPr>
              <w:pStyle w:val="normalnsodrkami"/>
              <w:numPr>
                <w:ilvl w:val="0"/>
                <w:numId w:val="17"/>
              </w:num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Zvyšující se agresivita řidičů, která se zejména u začínajících řidičů může kombinovat s jejich nedostatečnými zkušenostmi při řešení hůře předvídatelných krizových situací</w:t>
            </w:r>
          </w:p>
          <w:p w:rsidR="00EE38E0" w:rsidRPr="001B5961" w:rsidRDefault="00EE38E0">
            <w:pPr>
              <w:pStyle w:val="Textpoznpodarou"/>
              <w:jc w:val="both"/>
              <w:rPr>
                <w:sz w:val="10"/>
                <w:szCs w:val="10"/>
                <w:lang w:val="cs-CZ" w:eastAsia="cs-CZ"/>
              </w:rPr>
            </w:pPr>
          </w:p>
        </w:tc>
      </w:tr>
      <w:tr w:rsidR="00EE38E0">
        <w:tc>
          <w:tcPr>
            <w:tcW w:w="1091" w:type="pct"/>
          </w:tcPr>
          <w:p w:rsidR="00EE38E0" w:rsidRDefault="00EE38E0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6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63" w:type="pct"/>
          </w:tcPr>
          <w:p w:rsidR="00EE38E0" w:rsidRPr="001B5961" w:rsidRDefault="00EE38E0" w:rsidP="001B5961">
            <w:pPr>
              <w:numPr>
                <w:ilvl w:val="0"/>
                <w:numId w:val="38"/>
              </w:numPr>
              <w:rPr>
                <w:lang/>
              </w:rPr>
            </w:pPr>
            <w:r>
              <w:rPr>
                <w:rFonts w:cs="Arial"/>
              </w:rPr>
              <w:t xml:space="preserve">Pozitivní roli při redukci vážných zranění má nejenom chování účastníků silničního provozu či stav infrastruktury, ale i úroveň zdravotní péče, vč. součinnosti všech složek integrovaného záchranného systému. Dobře to dokládá snižující se podíl zemřelých na následky nehod v období 24 hodin až 30 dnů po nehodě (viz graf 6). Zatímco </w:t>
            </w:r>
            <w:r w:rsidR="00544FF0">
              <w:rPr>
                <w:rFonts w:cs="Arial"/>
              </w:rPr>
              <w:t>v roce 1998</w:t>
            </w:r>
            <w:r>
              <w:rPr>
                <w:rFonts w:cs="Arial"/>
              </w:rPr>
              <w:t xml:space="preserve"> v tomto časovém rozmezí </w:t>
            </w:r>
            <w:r w:rsidR="00544FF0">
              <w:rPr>
                <w:lang/>
              </w:rPr>
              <w:t>zemřelo 12,8 % všech obětí silničních nehod, v roce 2010 byla jejich váha poloviční.</w:t>
            </w:r>
          </w:p>
        </w:tc>
      </w:tr>
    </w:tbl>
    <w:p w:rsidR="00EE38E0" w:rsidRDefault="00EE38E0">
      <w:pPr>
        <w:pStyle w:val="Zhlav"/>
        <w:jc w:val="both"/>
        <w:rPr>
          <w:rFonts w:ascii="Arial" w:hAnsi="Arial" w:cs="Arial"/>
          <w:sz w:val="18"/>
          <w:szCs w:val="16"/>
        </w:rPr>
      </w:pPr>
    </w:p>
    <w:tbl>
      <w:tblPr>
        <w:tblW w:w="4950" w:type="pct"/>
        <w:tblCellMar>
          <w:left w:w="28" w:type="dxa"/>
          <w:right w:w="28" w:type="dxa"/>
        </w:tblCellMar>
        <w:tblLook w:val="04A0"/>
      </w:tblPr>
      <w:tblGrid>
        <w:gridCol w:w="737"/>
        <w:gridCol w:w="8860"/>
      </w:tblGrid>
      <w:tr w:rsidR="00EE38E0" w:rsidTr="007D49C2">
        <w:trPr>
          <w:cantSplit/>
        </w:trPr>
        <w:tc>
          <w:tcPr>
            <w:tcW w:w="384" w:type="pct"/>
          </w:tcPr>
          <w:p w:rsidR="00EE38E0" w:rsidRDefault="007D49C2">
            <w:pPr>
              <w:jc w:val="left"/>
            </w:pPr>
            <w:r>
              <w:t>Graf č. 1</w:t>
            </w:r>
            <w:r w:rsidR="0086691A">
              <w:t>9</w:t>
            </w:r>
          </w:p>
        </w:tc>
        <w:tc>
          <w:tcPr>
            <w:tcW w:w="4616" w:type="pct"/>
          </w:tcPr>
          <w:p w:rsidR="00EE38E0" w:rsidRPr="007D49C2" w:rsidRDefault="00EE38E0">
            <w:pPr>
              <w:jc w:val="left"/>
              <w:rPr>
                <w:vertAlign w:val="superscript"/>
              </w:rPr>
            </w:pPr>
            <w:r>
              <w:rPr>
                <w:b/>
                <w:bCs/>
                <w:iCs/>
              </w:rPr>
              <w:t>Dlouhodobý vývoj dopravních nehod v silničním provozu v relaci k ročnímu dopravnímu výkonu automobilové dopravy v ČR</w:t>
            </w:r>
            <w:r w:rsidR="0030074E">
              <w:t>– srovnání pracovních dnů a víkendů</w:t>
            </w:r>
            <w:r>
              <w:rPr>
                <w:vertAlign w:val="superscript"/>
              </w:rPr>
              <w:t>)</w:t>
            </w:r>
          </w:p>
        </w:tc>
      </w:tr>
    </w:tbl>
    <w:p w:rsidR="00EE38E0" w:rsidRDefault="001F1F74">
      <w:r w:rsidRPr="001F1F74">
        <w:pict>
          <v:shape id="_x0000_i1028" type="#_x0000_t75" style="width:478.65pt;height:210.25pt">
            <v:imagedata r:id="rId11" o:title=""/>
          </v:shape>
        </w:pict>
      </w:r>
    </w:p>
    <w:p w:rsidR="00EE38E0" w:rsidRDefault="00EE38E0">
      <w:pPr>
        <w:rPr>
          <w:rFonts w:cs="Arial"/>
          <w:sz w:val="18"/>
        </w:rPr>
      </w:pPr>
      <w:r>
        <w:rPr>
          <w:rFonts w:cs="Arial"/>
          <w:sz w:val="18"/>
        </w:rPr>
        <w:t>*</w:t>
      </w:r>
      <w:r>
        <w:rPr>
          <w:rFonts w:cs="Arial"/>
          <w:sz w:val="18"/>
          <w:vertAlign w:val="superscript"/>
        </w:rPr>
        <w:t>)</w:t>
      </w:r>
      <w:r>
        <w:rPr>
          <w:rFonts w:cs="Arial"/>
          <w:sz w:val="18"/>
        </w:rPr>
        <w:t xml:space="preserve"> Dopravní nehody s následky na zdraví na mil. ujetých </w:t>
      </w:r>
      <w:proofErr w:type="spellStart"/>
      <w:r>
        <w:rPr>
          <w:rFonts w:cs="Arial"/>
          <w:sz w:val="18"/>
        </w:rPr>
        <w:t>vozokm</w:t>
      </w:r>
      <w:proofErr w:type="spellEnd"/>
      <w:r>
        <w:rPr>
          <w:rFonts w:cs="Arial"/>
          <w:sz w:val="18"/>
        </w:rPr>
        <w:t xml:space="preserve"> za rok (resp. pracovní den či víkend)</w:t>
      </w:r>
    </w:p>
    <w:p w:rsidR="00EE38E0" w:rsidRDefault="0030074E">
      <w:pPr>
        <w:rPr>
          <w:rFonts w:cs="Arial"/>
          <w:sz w:val="18"/>
        </w:rPr>
      </w:pPr>
      <w:r>
        <w:rPr>
          <w:rFonts w:cs="Arial"/>
          <w:sz w:val="18"/>
        </w:rPr>
        <w:t>Rok 2013 - p</w:t>
      </w:r>
      <w:r w:rsidR="00EE38E0">
        <w:rPr>
          <w:rFonts w:cs="Arial"/>
          <w:sz w:val="18"/>
        </w:rPr>
        <w:t>ředběžné údaje (dopravní intenzity)</w:t>
      </w:r>
    </w:p>
    <w:p w:rsidR="00EE38E0" w:rsidRDefault="00EE38E0">
      <w:pPr>
        <w:pStyle w:val="Zhlav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</w:rPr>
        <w:t>P</w:t>
      </w:r>
      <w:r w:rsidR="005A1F89">
        <w:rPr>
          <w:rFonts w:ascii="Arial" w:hAnsi="Arial" w:cs="Arial"/>
          <w:sz w:val="18"/>
        </w:rPr>
        <w:t>ramen: Policejní prezidium ČR, Technická správa komunikací,</w:t>
      </w:r>
      <w:r>
        <w:rPr>
          <w:rFonts w:ascii="Arial" w:hAnsi="Arial" w:cs="Arial"/>
          <w:sz w:val="18"/>
        </w:rPr>
        <w:t xml:space="preserve"> Ústav dopravního inženýrství, vlastní výpočty</w:t>
      </w:r>
    </w:p>
    <w:p w:rsidR="00EE38E0" w:rsidRDefault="00EE38E0">
      <w:pPr>
        <w:pStyle w:val="Zhlav"/>
        <w:jc w:val="both"/>
        <w:rPr>
          <w:rFonts w:ascii="Arial" w:hAnsi="Arial" w:cs="Arial"/>
          <w:sz w:val="18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115"/>
        <w:gridCol w:w="283"/>
        <w:gridCol w:w="7296"/>
      </w:tblGrid>
      <w:tr w:rsidR="00EE38E0">
        <w:tc>
          <w:tcPr>
            <w:tcW w:w="1091" w:type="pct"/>
          </w:tcPr>
          <w:p w:rsidR="00EE38E0" w:rsidRDefault="001B5961" w:rsidP="001B59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Počty evidovaných dopravních nehod ovlivnily změny týkající se skutečn</w:t>
            </w:r>
            <w:r w:rsidR="009D735E">
              <w:rPr>
                <w:sz w:val="16"/>
                <w:szCs w:val="16"/>
              </w:rPr>
              <w:t xml:space="preserve">osti, kdy dochází k povinnosti </w:t>
            </w:r>
            <w:r>
              <w:rPr>
                <w:sz w:val="16"/>
                <w:szCs w:val="16"/>
              </w:rPr>
              <w:t>nahlašovat nehody</w:t>
            </w:r>
          </w:p>
        </w:tc>
        <w:tc>
          <w:tcPr>
            <w:tcW w:w="146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63" w:type="pct"/>
          </w:tcPr>
          <w:p w:rsidR="006F5C2E" w:rsidRPr="006F5C2E" w:rsidRDefault="006F5C2E" w:rsidP="006F5C2E">
            <w:r>
              <w:rPr>
                <w:rFonts w:ascii="ArialMT" w:hAnsi="ArialMT"/>
                <w:szCs w:val="20"/>
              </w:rPr>
              <w:t>N</w:t>
            </w:r>
            <w:r w:rsidRPr="006F5C2E">
              <w:t>a výrazný pokles počtu evidovaných dopravních nehod od roku 2001 mělo vliv i ustanovení zákona</w:t>
            </w:r>
            <w:r>
              <w:t xml:space="preserve"> </w:t>
            </w:r>
            <w:r w:rsidRPr="006F5C2E">
              <w:t xml:space="preserve">č. 361/2000 Sb. o provozu na pozemních komunikacích a jeho následných novelizací, </w:t>
            </w:r>
            <w:r w:rsidR="001B5961">
              <w:t>kdy</w:t>
            </w:r>
            <w:r w:rsidRPr="006F5C2E">
              <w:t xml:space="preserve"> se</w:t>
            </w:r>
            <w:r>
              <w:t xml:space="preserve"> </w:t>
            </w:r>
            <w:r w:rsidRPr="006F5C2E">
              <w:t>několikrát měnila povinnost nahlašovat policii pouze ty dopravní nehody bez zranění a bez poškození</w:t>
            </w:r>
            <w:r>
              <w:t xml:space="preserve"> </w:t>
            </w:r>
            <w:r w:rsidRPr="006F5C2E">
              <w:t xml:space="preserve">majetku třetí osoby, při nichž došlo k hmotné škodě zřejmě převyšující </w:t>
            </w:r>
            <w:r w:rsidR="009D735E">
              <w:t>určité částky (</w:t>
            </w:r>
            <w:r w:rsidR="00D8144F">
              <w:t xml:space="preserve">20 tis. korun </w:t>
            </w:r>
            <w:r w:rsidR="009D735E">
              <w:t>od ledna 2001</w:t>
            </w:r>
            <w:r w:rsidR="00D8144F">
              <w:t>, 50 tis. korun od 1. července 2006 a 100 tis. korun od 1. ledna 2009). Na absolutní četnost nehod měla vliv zejména úprava od počátku roku 2009.</w:t>
            </w:r>
          </w:p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</w:tr>
      <w:tr w:rsidR="00EE38E0">
        <w:tc>
          <w:tcPr>
            <w:tcW w:w="1091" w:type="pct"/>
          </w:tcPr>
          <w:p w:rsidR="00EE38E0" w:rsidRDefault="001B596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Faktor rozšiřování vozového parku</w:t>
            </w:r>
          </w:p>
        </w:tc>
        <w:tc>
          <w:tcPr>
            <w:tcW w:w="146" w:type="pct"/>
          </w:tcPr>
          <w:p w:rsidR="00EE38E0" w:rsidRDefault="00EE38E0">
            <w:pPr>
              <w:pStyle w:val="Textpoznpodarou"/>
              <w:jc w:val="both"/>
              <w:rPr>
                <w:lang w:val="cs-CZ" w:eastAsia="cs-CZ"/>
              </w:rPr>
            </w:pPr>
          </w:p>
        </w:tc>
        <w:tc>
          <w:tcPr>
            <w:tcW w:w="3763" w:type="pct"/>
          </w:tcPr>
          <w:p w:rsidR="00EE38E0" w:rsidRDefault="006F5C2E" w:rsidP="001B5961">
            <w:r>
              <w:t xml:space="preserve">Jeden z klíčových faktorů ovlivňujících počet nehod (vč. těch vážných) představuje rozšiřující se kapacita vozového parku (především růst automobilizace), která generuje i vyšší dopravní výkony. Např. Počet registrovaných osobních automobilů se v ČR mezi roky 1995 </w:t>
            </w:r>
            <w:r w:rsidR="00D8144F">
              <w:t xml:space="preserve">a 2011 zvýšil o polovinu (na 4 </w:t>
            </w:r>
            <w:r>
              <w:t>5</w:t>
            </w:r>
            <w:r w:rsidR="00D8144F">
              <w:t>8</w:t>
            </w:r>
            <w:r>
              <w:t xml:space="preserve">1 tis.), téměř na trojnásobek vzrostl počet nákladních vozidel (na 585 tis.). Realizované dopravní výkony vykazovaly silný plynulý růst až do roku 2008, kdy byly oproti roku 1990 v ČR vyšší dvojnásobně, v Praze trojnásobně. Takto prudkému tempu se stačil „přizpůsobit“ počet dopravních nehod prakticky po celá devadesátá léta, u nehod s následky na zdraví pouze v jejich první polovině. Po roce 2000 již počty nehod (vč. vážných) vztažených na dopravní výkon citelně klesaly, přičemž v Praze dynamičtěji. Metropole tak v případě </w:t>
            </w:r>
            <w:r>
              <w:lastRenderedPageBreak/>
              <w:t>vážných nehod prakticky smazala odstup od ČR (viz graf 5), bylo to ale především vlivem intenzivnějšího růstu dopravních výkonu.</w:t>
            </w:r>
          </w:p>
        </w:tc>
      </w:tr>
    </w:tbl>
    <w:p w:rsidR="00EE38E0" w:rsidRDefault="00EE38E0" w:rsidP="00717F1E">
      <w:pPr>
        <w:pStyle w:val="Nadpis1"/>
        <w:numPr>
          <w:ilvl w:val="0"/>
          <w:numId w:val="0"/>
        </w:numPr>
        <w:ind w:left="426"/>
      </w:pPr>
    </w:p>
    <w:sectPr w:rsidR="00EE38E0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EBB" w:rsidRDefault="00803EBB">
      <w:r>
        <w:separator/>
      </w:r>
    </w:p>
  </w:endnote>
  <w:endnote w:type="continuationSeparator" w:id="0">
    <w:p w:rsidR="00803EBB" w:rsidRDefault="00803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94" w:rsidRDefault="00685B94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45.7pt;margin-top:-4.15pt;width:36.75pt;height:17.25pt;z-index:2">
          <v:imagedata r:id="rId1" o:title="3"/>
        </v:shape>
      </w:pict>
    </w:r>
    <w:r>
      <w:rPr>
        <w:rFonts w:ascii="Arial" w:hAnsi="Arial" w:cs="Arial"/>
        <w:sz w:val="16"/>
        <w:szCs w:val="16"/>
      </w:rPr>
      <w:tab/>
    </w:r>
    <w:r w:rsidR="0086691A">
      <w:rPr>
        <w:rFonts w:ascii="Arial" w:hAnsi="Arial" w:cs="Arial"/>
        <w:sz w:val="16"/>
        <w:szCs w:val="16"/>
      </w:rPr>
      <w:t>říjen 2014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94" w:rsidRDefault="00685B94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3pt;margin-top:7.1pt;width:39pt;height:21pt;z-index:1">
          <v:imagedata r:id="rId1" o:title="3"/>
        </v:shape>
      </w:pict>
    </w:r>
    <w:r>
      <w:tab/>
    </w:r>
    <w:r>
      <w:tab/>
    </w:r>
  </w:p>
  <w:p w:rsidR="00685B94" w:rsidRDefault="0086691A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říjen</w:t>
    </w:r>
    <w:r w:rsidR="00685B94">
      <w:rPr>
        <w:rFonts w:ascii="Arial" w:hAnsi="Arial" w:cs="Arial"/>
        <w:sz w:val="16"/>
        <w:szCs w:val="16"/>
      </w:rPr>
      <w:t xml:space="preserve"> 2014</w:t>
    </w:r>
    <w:r w:rsidR="00685B9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EBB" w:rsidRDefault="00803EBB">
      <w:r>
        <w:separator/>
      </w:r>
    </w:p>
  </w:footnote>
  <w:footnote w:type="continuationSeparator" w:id="0">
    <w:p w:rsidR="00803EBB" w:rsidRDefault="00803EBB">
      <w:r>
        <w:continuationSeparator/>
      </w:r>
    </w:p>
  </w:footnote>
  <w:footnote w:id="1">
    <w:p w:rsidR="00685B94" w:rsidRDefault="00685B94">
      <w:pPr>
        <w:rPr>
          <w:rFonts w:cs="Arial"/>
          <w:b/>
          <w:color w:val="FF0000"/>
          <w:sz w:val="16"/>
        </w:rPr>
      </w:pPr>
      <w:r>
        <w:rPr>
          <w:rStyle w:val="Znakapoznpodarou"/>
        </w:rPr>
        <w:footnoteRef/>
      </w:r>
      <w:r>
        <w:rPr>
          <w:sz w:val="16"/>
        </w:rPr>
        <w:t xml:space="preserve"> </w:t>
      </w:r>
      <w:r>
        <w:rPr>
          <w:rFonts w:cs="Arial"/>
          <w:sz w:val="16"/>
        </w:rPr>
        <w:t>Od roku 2009 došlo ke změně pravidel pro hlášení nehody Policii ČR. Nehodu je nutno hlásit v těchto případech:</w:t>
      </w:r>
    </w:p>
    <w:p w:rsidR="00685B94" w:rsidRDefault="00685B94">
      <w:pPr>
        <w:rPr>
          <w:rFonts w:cs="Arial"/>
          <w:sz w:val="16"/>
        </w:rPr>
      </w:pPr>
      <w:r>
        <w:rPr>
          <w:rFonts w:cs="Arial"/>
          <w:sz w:val="16"/>
        </w:rPr>
        <w:t>1. Pokud při nehodě dojde ke zranění (třeba i jen drobnému) nebo k usmrcení osoby.</w:t>
      </w:r>
    </w:p>
    <w:p w:rsidR="00685B94" w:rsidRDefault="00685B94">
      <w:pPr>
        <w:rPr>
          <w:rFonts w:cs="Arial"/>
          <w:sz w:val="16"/>
        </w:rPr>
      </w:pPr>
      <w:r>
        <w:rPr>
          <w:rFonts w:cs="Arial"/>
          <w:sz w:val="16"/>
        </w:rPr>
        <w:t>2. Pokud při nehodě dojde na některém z vozidel včetně přepravovaných věcí ke škodě převyšující 100 000 Kč.</w:t>
      </w:r>
    </w:p>
    <w:p w:rsidR="00685B94" w:rsidRDefault="00685B94">
      <w:pPr>
        <w:rPr>
          <w:rFonts w:cs="Arial"/>
          <w:color w:val="FF0000"/>
          <w:sz w:val="16"/>
        </w:rPr>
      </w:pPr>
      <w:r>
        <w:rPr>
          <w:rFonts w:cs="Arial"/>
          <w:sz w:val="16"/>
        </w:rPr>
        <w:t>3. Pokud při nehodě dojde ke škodě (v jakékoli výši) na majetku třetí osoby (např. k poškození zaparkovaného vozidla, přilehlé nemovitosti apod.); policie se však nebude volat v případě, kdy půjde o škodu na vozidle, které sice je v majetku třetí osoby (např. leasingové společnosti, zaměstnavatele, ale třeba i někoho z rodiny), ale jeho řidič měl na nehodě účast.</w:t>
      </w:r>
    </w:p>
    <w:p w:rsidR="00685B94" w:rsidRDefault="00685B94">
      <w:pPr>
        <w:rPr>
          <w:rFonts w:cs="Arial"/>
          <w:sz w:val="16"/>
        </w:rPr>
      </w:pPr>
      <w:r>
        <w:rPr>
          <w:rFonts w:cs="Arial"/>
          <w:sz w:val="16"/>
        </w:rPr>
        <w:t>4. Pokud při nehodě dojde k poškození pozemní komunikace či ke zničení nebo poškození její součásti nebo příslušenství (např. dopravní značky, svodidel apod.).</w:t>
      </w:r>
    </w:p>
    <w:p w:rsidR="00685B94" w:rsidRDefault="00685B94">
      <w:pPr>
        <w:rPr>
          <w:rFonts w:cs="Arial"/>
          <w:sz w:val="16"/>
        </w:rPr>
      </w:pPr>
      <w:r>
        <w:rPr>
          <w:rFonts w:cs="Arial"/>
          <w:sz w:val="16"/>
        </w:rPr>
        <w:t>5. Pokud při nehodě dojde k poškození obecně prospěšného zařízení (např. přejezdového zabezpečovacího zařízení) nebo životního prostředí (např. při úniku provozních kapalin z vozidla).</w:t>
      </w:r>
    </w:p>
    <w:p w:rsidR="00685B94" w:rsidRDefault="00685B94">
      <w:pPr>
        <w:rPr>
          <w:rFonts w:cs="Arial"/>
          <w:sz w:val="16"/>
        </w:rPr>
      </w:pPr>
      <w:r>
        <w:rPr>
          <w:rFonts w:cs="Arial"/>
          <w:sz w:val="16"/>
        </w:rPr>
        <w:t>6. Pokud po nehodě nebude účastník sám schopni (bez vynaložení nepřiměřeného úsilí) obnovit plynulost provozu.</w:t>
      </w:r>
    </w:p>
    <w:p w:rsidR="00685B94" w:rsidRDefault="00685B94">
      <w:pPr>
        <w:pStyle w:val="Textpoznpodarou"/>
      </w:pPr>
      <w:r>
        <w:rPr>
          <w:rFonts w:cs="Arial"/>
          <w:sz w:val="16"/>
        </w:rPr>
        <w:t>7. Pokud se účastníci nehody vzájemně nedohodnou na zavinění.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685B94">
      <w:tc>
        <w:tcPr>
          <w:tcW w:w="6518" w:type="dxa"/>
        </w:tcPr>
        <w:p w:rsidR="00685B94" w:rsidRDefault="00685B94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Dopravní nehodovost a její důsledky v ČR v dlouhodobém pohledu</w:t>
          </w:r>
        </w:p>
      </w:tc>
      <w:tc>
        <w:tcPr>
          <w:tcW w:w="3260" w:type="dxa"/>
        </w:tcPr>
        <w:p w:rsidR="00685B94" w:rsidRDefault="0086691A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86691A">
            <w:rPr>
              <w:rFonts w:ascii="Arial" w:hAnsi="Arial" w:cs="Arial"/>
              <w:sz w:val="16"/>
              <w:szCs w:val="16"/>
            </w:rPr>
            <w:t>kód : 320254-14</w:t>
          </w:r>
        </w:p>
      </w:tc>
    </w:tr>
  </w:tbl>
  <w:p w:rsidR="00685B94" w:rsidRDefault="00685B94">
    <w:pPr>
      <w:pStyle w:val="Zhlav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6518"/>
      <w:gridCol w:w="3260"/>
    </w:tblGrid>
    <w:tr w:rsidR="00685B94" w:rsidRPr="0086691A">
      <w:tc>
        <w:tcPr>
          <w:tcW w:w="6518" w:type="dxa"/>
        </w:tcPr>
        <w:p w:rsidR="00685B94" w:rsidRDefault="00685B94" w:rsidP="00B75BBF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Dopravní nehodovost a její důsledky v ČR v dlouhodobém pohledu</w:t>
          </w:r>
        </w:p>
      </w:tc>
      <w:tc>
        <w:tcPr>
          <w:tcW w:w="3260" w:type="dxa"/>
        </w:tcPr>
        <w:p w:rsidR="00685B94" w:rsidRDefault="0086691A">
          <w:pPr>
            <w:pStyle w:val="Zhlav"/>
            <w:tabs>
              <w:tab w:val="clear" w:pos="4536"/>
              <w:tab w:val="clear" w:pos="9072"/>
              <w:tab w:val="left" w:pos="-6379"/>
              <w:tab w:val="center" w:pos="4820"/>
              <w:tab w:val="right" w:pos="9639"/>
            </w:tabs>
            <w:jc w:val="right"/>
            <w:rPr>
              <w:rFonts w:ascii="Arial" w:hAnsi="Arial" w:cs="Arial"/>
              <w:sz w:val="16"/>
              <w:szCs w:val="16"/>
              <w:highlight w:val="yellow"/>
            </w:rPr>
          </w:pPr>
          <w:r w:rsidRPr="0086691A">
            <w:rPr>
              <w:rFonts w:ascii="Arial" w:hAnsi="Arial" w:cs="Arial"/>
              <w:sz w:val="16"/>
              <w:szCs w:val="16"/>
            </w:rPr>
            <w:t>kód : 320254-14</w:t>
          </w:r>
        </w:p>
      </w:tc>
    </w:tr>
  </w:tbl>
  <w:p w:rsidR="00685B94" w:rsidRDefault="00685B94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F6E"/>
    <w:multiLevelType w:val="multilevel"/>
    <w:tmpl w:val="37645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1854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4F43100"/>
    <w:multiLevelType w:val="hybridMultilevel"/>
    <w:tmpl w:val="A346433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4123"/>
    <w:multiLevelType w:val="hybridMultilevel"/>
    <w:tmpl w:val="F96EBE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8E4B7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F00B0"/>
    <w:multiLevelType w:val="hybridMultilevel"/>
    <w:tmpl w:val="0290A0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D4816"/>
    <w:multiLevelType w:val="multilevel"/>
    <w:tmpl w:val="0B66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12F56"/>
    <w:multiLevelType w:val="multilevel"/>
    <w:tmpl w:val="B7724A2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EB0369"/>
    <w:multiLevelType w:val="hybridMultilevel"/>
    <w:tmpl w:val="E920128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9423F"/>
    <w:multiLevelType w:val="hybridMultilevel"/>
    <w:tmpl w:val="80D04F0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F2685"/>
    <w:multiLevelType w:val="hybridMultilevel"/>
    <w:tmpl w:val="0290A026"/>
    <w:lvl w:ilvl="0" w:tplc="E3860FD4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203756"/>
    <w:multiLevelType w:val="hybridMultilevel"/>
    <w:tmpl w:val="1E04FA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67461"/>
    <w:multiLevelType w:val="hybridMultilevel"/>
    <w:tmpl w:val="61845866"/>
    <w:lvl w:ilvl="0" w:tplc="69566B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E612E"/>
    <w:multiLevelType w:val="hybridMultilevel"/>
    <w:tmpl w:val="98160A84"/>
    <w:lvl w:ilvl="0" w:tplc="F642FA9A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AC7CE2"/>
    <w:multiLevelType w:val="hybridMultilevel"/>
    <w:tmpl w:val="5DE0B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34C17"/>
    <w:multiLevelType w:val="hybridMultilevel"/>
    <w:tmpl w:val="F490C59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F6C65"/>
    <w:multiLevelType w:val="multilevel"/>
    <w:tmpl w:val="41584756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5BEF31DE"/>
    <w:multiLevelType w:val="hybridMultilevel"/>
    <w:tmpl w:val="280C96C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5A591A"/>
    <w:multiLevelType w:val="hybridMultilevel"/>
    <w:tmpl w:val="605AD6D0"/>
    <w:lvl w:ilvl="0" w:tplc="1974D26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D63AA"/>
    <w:multiLevelType w:val="hybridMultilevel"/>
    <w:tmpl w:val="EB825BD2"/>
    <w:lvl w:ilvl="0" w:tplc="DA6E6C3E">
      <w:start w:val="2"/>
      <w:numFmt w:val="decimal"/>
      <w:lvlText w:val="%1."/>
      <w:lvlJc w:val="left"/>
      <w:pPr>
        <w:ind w:left="792" w:hanging="360"/>
      </w:pPr>
      <w:rPr>
        <w:rFonts w:cs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63306567"/>
    <w:multiLevelType w:val="hybridMultilevel"/>
    <w:tmpl w:val="213C4E38"/>
    <w:lvl w:ilvl="0" w:tplc="9D96E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9636F2"/>
    <w:multiLevelType w:val="hybridMultilevel"/>
    <w:tmpl w:val="DFBCC8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50A0F"/>
    <w:multiLevelType w:val="hybridMultilevel"/>
    <w:tmpl w:val="5A76F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16"/>
  </w:num>
  <w:num w:numId="6">
    <w:abstractNumId w:val="22"/>
  </w:num>
  <w:num w:numId="7">
    <w:abstractNumId w:val="10"/>
  </w:num>
  <w:num w:numId="8">
    <w:abstractNumId w:val="13"/>
  </w:num>
  <w:num w:numId="9">
    <w:abstractNumId w:val="4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21"/>
  </w:num>
  <w:num w:numId="18">
    <w:abstractNumId w:val="2"/>
  </w:num>
  <w:num w:numId="19">
    <w:abstractNumId w:val="3"/>
  </w:num>
  <w:num w:numId="20">
    <w:abstractNumId w:val="0"/>
  </w:num>
  <w:num w:numId="21">
    <w:abstractNumId w:val="0"/>
  </w:num>
  <w:num w:numId="22">
    <w:abstractNumId w:val="0"/>
  </w:num>
  <w:num w:numId="23">
    <w:abstractNumId w:val="16"/>
  </w:num>
  <w:num w:numId="24">
    <w:abstractNumId w:val="0"/>
  </w:num>
  <w:num w:numId="25">
    <w:abstractNumId w:val="0"/>
  </w:num>
  <w:num w:numId="26">
    <w:abstractNumId w:val="0"/>
  </w:num>
  <w:num w:numId="27">
    <w:abstractNumId w:val="18"/>
  </w:num>
  <w:num w:numId="28">
    <w:abstractNumId w:val="12"/>
  </w:num>
  <w:num w:numId="29">
    <w:abstractNumId w:val="20"/>
  </w:num>
  <w:num w:numId="30">
    <w:abstractNumId w:val="7"/>
  </w:num>
  <w:num w:numId="31">
    <w:abstractNumId w:val="17"/>
  </w:num>
  <w:num w:numId="32">
    <w:abstractNumId w:val="5"/>
  </w:num>
  <w:num w:numId="33">
    <w:abstractNumId w:val="15"/>
  </w:num>
  <w:num w:numId="34">
    <w:abstractNumId w:val="1"/>
  </w:num>
  <w:num w:numId="35">
    <w:abstractNumId w:val="0"/>
  </w:num>
  <w:num w:numId="36">
    <w:abstractNumId w:val="0"/>
  </w:num>
  <w:num w:numId="37">
    <w:abstractNumId w:val="8"/>
  </w:num>
  <w:num w:numId="38">
    <w:abstractNumId w:val="14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9AB"/>
    <w:rsid w:val="00001DD7"/>
    <w:rsid w:val="0000373F"/>
    <w:rsid w:val="00005800"/>
    <w:rsid w:val="0001070A"/>
    <w:rsid w:val="000124A7"/>
    <w:rsid w:val="00014521"/>
    <w:rsid w:val="0001612E"/>
    <w:rsid w:val="000162DA"/>
    <w:rsid w:val="00016E79"/>
    <w:rsid w:val="00020310"/>
    <w:rsid w:val="00020843"/>
    <w:rsid w:val="000217A8"/>
    <w:rsid w:val="00022498"/>
    <w:rsid w:val="0002336E"/>
    <w:rsid w:val="00030A7A"/>
    <w:rsid w:val="00032F16"/>
    <w:rsid w:val="00040F48"/>
    <w:rsid w:val="000421B1"/>
    <w:rsid w:val="00043998"/>
    <w:rsid w:val="00045D51"/>
    <w:rsid w:val="00051290"/>
    <w:rsid w:val="00053458"/>
    <w:rsid w:val="00054809"/>
    <w:rsid w:val="00054B25"/>
    <w:rsid w:val="00054D5B"/>
    <w:rsid w:val="0005570C"/>
    <w:rsid w:val="00055719"/>
    <w:rsid w:val="00056F9B"/>
    <w:rsid w:val="00057357"/>
    <w:rsid w:val="00060D72"/>
    <w:rsid w:val="000616DD"/>
    <w:rsid w:val="000630F4"/>
    <w:rsid w:val="00063196"/>
    <w:rsid w:val="000705C4"/>
    <w:rsid w:val="00071465"/>
    <w:rsid w:val="00074EB7"/>
    <w:rsid w:val="00074ED6"/>
    <w:rsid w:val="00080BC0"/>
    <w:rsid w:val="00081687"/>
    <w:rsid w:val="00083E44"/>
    <w:rsid w:val="000862A6"/>
    <w:rsid w:val="00087E95"/>
    <w:rsid w:val="000905B3"/>
    <w:rsid w:val="00090E50"/>
    <w:rsid w:val="00092F94"/>
    <w:rsid w:val="00094786"/>
    <w:rsid w:val="0009665E"/>
    <w:rsid w:val="00097BAA"/>
    <w:rsid w:val="000A03AF"/>
    <w:rsid w:val="000A2679"/>
    <w:rsid w:val="000B0A1A"/>
    <w:rsid w:val="000B1272"/>
    <w:rsid w:val="000B1A54"/>
    <w:rsid w:val="000B6A1C"/>
    <w:rsid w:val="000B7F7B"/>
    <w:rsid w:val="000C126C"/>
    <w:rsid w:val="000C44D3"/>
    <w:rsid w:val="000C46AC"/>
    <w:rsid w:val="000C7133"/>
    <w:rsid w:val="000D222D"/>
    <w:rsid w:val="000D2717"/>
    <w:rsid w:val="000D3038"/>
    <w:rsid w:val="000D3A1D"/>
    <w:rsid w:val="000D56D3"/>
    <w:rsid w:val="000E0F6F"/>
    <w:rsid w:val="000E21C6"/>
    <w:rsid w:val="000E3FAF"/>
    <w:rsid w:val="000E4BA2"/>
    <w:rsid w:val="000E54EF"/>
    <w:rsid w:val="000F1280"/>
    <w:rsid w:val="000F1499"/>
    <w:rsid w:val="001000EA"/>
    <w:rsid w:val="00100E80"/>
    <w:rsid w:val="00101017"/>
    <w:rsid w:val="00103AE8"/>
    <w:rsid w:val="00106185"/>
    <w:rsid w:val="00107C20"/>
    <w:rsid w:val="0011597C"/>
    <w:rsid w:val="00116DE8"/>
    <w:rsid w:val="00120887"/>
    <w:rsid w:val="00131152"/>
    <w:rsid w:val="00131AE5"/>
    <w:rsid w:val="001324DB"/>
    <w:rsid w:val="001328B8"/>
    <w:rsid w:val="00136973"/>
    <w:rsid w:val="00140349"/>
    <w:rsid w:val="001406A6"/>
    <w:rsid w:val="00141D9C"/>
    <w:rsid w:val="001429DB"/>
    <w:rsid w:val="00142D85"/>
    <w:rsid w:val="001463C5"/>
    <w:rsid w:val="0015495A"/>
    <w:rsid w:val="001549E6"/>
    <w:rsid w:val="00160668"/>
    <w:rsid w:val="001642DB"/>
    <w:rsid w:val="001649F5"/>
    <w:rsid w:val="00164B15"/>
    <w:rsid w:val="00170306"/>
    <w:rsid w:val="00175609"/>
    <w:rsid w:val="001764CB"/>
    <w:rsid w:val="001768D4"/>
    <w:rsid w:val="001779B6"/>
    <w:rsid w:val="001843E0"/>
    <w:rsid w:val="00184967"/>
    <w:rsid w:val="00184B9C"/>
    <w:rsid w:val="00185232"/>
    <w:rsid w:val="00194858"/>
    <w:rsid w:val="001972EE"/>
    <w:rsid w:val="001A0112"/>
    <w:rsid w:val="001A0382"/>
    <w:rsid w:val="001A6A25"/>
    <w:rsid w:val="001B11BB"/>
    <w:rsid w:val="001B30E3"/>
    <w:rsid w:val="001B38C6"/>
    <w:rsid w:val="001B497C"/>
    <w:rsid w:val="001B5961"/>
    <w:rsid w:val="001B7668"/>
    <w:rsid w:val="001B7D59"/>
    <w:rsid w:val="001C6A8E"/>
    <w:rsid w:val="001D0EA9"/>
    <w:rsid w:val="001D433E"/>
    <w:rsid w:val="001D4BFC"/>
    <w:rsid w:val="001D5E35"/>
    <w:rsid w:val="001D7367"/>
    <w:rsid w:val="001E4717"/>
    <w:rsid w:val="001E5CAB"/>
    <w:rsid w:val="001F1E91"/>
    <w:rsid w:val="001F1EF2"/>
    <w:rsid w:val="001F1F74"/>
    <w:rsid w:val="001F4705"/>
    <w:rsid w:val="00203FF4"/>
    <w:rsid w:val="00205BAC"/>
    <w:rsid w:val="00205DEC"/>
    <w:rsid w:val="002062BD"/>
    <w:rsid w:val="00213FE7"/>
    <w:rsid w:val="00214A41"/>
    <w:rsid w:val="00217B11"/>
    <w:rsid w:val="00220C0E"/>
    <w:rsid w:val="00222C70"/>
    <w:rsid w:val="00224F57"/>
    <w:rsid w:val="00225892"/>
    <w:rsid w:val="00226758"/>
    <w:rsid w:val="0023076D"/>
    <w:rsid w:val="002329D5"/>
    <w:rsid w:val="00233029"/>
    <w:rsid w:val="002335A9"/>
    <w:rsid w:val="0023708F"/>
    <w:rsid w:val="0024140C"/>
    <w:rsid w:val="0024249F"/>
    <w:rsid w:val="00244340"/>
    <w:rsid w:val="00245159"/>
    <w:rsid w:val="00257C4F"/>
    <w:rsid w:val="00265D38"/>
    <w:rsid w:val="002706D0"/>
    <w:rsid w:val="002802C9"/>
    <w:rsid w:val="00281A9A"/>
    <w:rsid w:val="00284B2E"/>
    <w:rsid w:val="00286F00"/>
    <w:rsid w:val="00287D8E"/>
    <w:rsid w:val="002915E0"/>
    <w:rsid w:val="0029731D"/>
    <w:rsid w:val="002A7920"/>
    <w:rsid w:val="002B13EC"/>
    <w:rsid w:val="002B1C65"/>
    <w:rsid w:val="002B4B5F"/>
    <w:rsid w:val="002C4EA8"/>
    <w:rsid w:val="002C6ED9"/>
    <w:rsid w:val="002C75DC"/>
    <w:rsid w:val="002C7F6E"/>
    <w:rsid w:val="002D1957"/>
    <w:rsid w:val="002D1D14"/>
    <w:rsid w:val="002D1D44"/>
    <w:rsid w:val="002D32BC"/>
    <w:rsid w:val="002D5139"/>
    <w:rsid w:val="002D786E"/>
    <w:rsid w:val="002E0962"/>
    <w:rsid w:val="002E2960"/>
    <w:rsid w:val="002E2B63"/>
    <w:rsid w:val="002E5831"/>
    <w:rsid w:val="002E5F5C"/>
    <w:rsid w:val="002F2741"/>
    <w:rsid w:val="002F60B4"/>
    <w:rsid w:val="002F6845"/>
    <w:rsid w:val="002F70E5"/>
    <w:rsid w:val="0030074E"/>
    <w:rsid w:val="00300C48"/>
    <w:rsid w:val="003024D4"/>
    <w:rsid w:val="003026CD"/>
    <w:rsid w:val="00303C80"/>
    <w:rsid w:val="00304881"/>
    <w:rsid w:val="00306810"/>
    <w:rsid w:val="00311401"/>
    <w:rsid w:val="00311BF5"/>
    <w:rsid w:val="00316C37"/>
    <w:rsid w:val="003175FF"/>
    <w:rsid w:val="00322507"/>
    <w:rsid w:val="003266F3"/>
    <w:rsid w:val="00326794"/>
    <w:rsid w:val="003270C2"/>
    <w:rsid w:val="003279AA"/>
    <w:rsid w:val="003304FF"/>
    <w:rsid w:val="00331834"/>
    <w:rsid w:val="003321B5"/>
    <w:rsid w:val="00334A30"/>
    <w:rsid w:val="00334F6C"/>
    <w:rsid w:val="00336BAF"/>
    <w:rsid w:val="00337330"/>
    <w:rsid w:val="00342A90"/>
    <w:rsid w:val="00343A08"/>
    <w:rsid w:val="00346F3E"/>
    <w:rsid w:val="00350C31"/>
    <w:rsid w:val="00352B50"/>
    <w:rsid w:val="00353088"/>
    <w:rsid w:val="003557B5"/>
    <w:rsid w:val="00355DEB"/>
    <w:rsid w:val="003611E9"/>
    <w:rsid w:val="00364A29"/>
    <w:rsid w:val="00365894"/>
    <w:rsid w:val="00366A7A"/>
    <w:rsid w:val="0036731C"/>
    <w:rsid w:val="00370CCC"/>
    <w:rsid w:val="003710FC"/>
    <w:rsid w:val="00371BEE"/>
    <w:rsid w:val="003722A4"/>
    <w:rsid w:val="00372502"/>
    <w:rsid w:val="00375009"/>
    <w:rsid w:val="00376262"/>
    <w:rsid w:val="00380CDD"/>
    <w:rsid w:val="0038416B"/>
    <w:rsid w:val="003876A7"/>
    <w:rsid w:val="00387B5E"/>
    <w:rsid w:val="003921B0"/>
    <w:rsid w:val="0039431A"/>
    <w:rsid w:val="00394840"/>
    <w:rsid w:val="00395C0E"/>
    <w:rsid w:val="0039614C"/>
    <w:rsid w:val="003A1872"/>
    <w:rsid w:val="003A1E81"/>
    <w:rsid w:val="003A21A8"/>
    <w:rsid w:val="003A328F"/>
    <w:rsid w:val="003B2F98"/>
    <w:rsid w:val="003B3FD1"/>
    <w:rsid w:val="003B5C56"/>
    <w:rsid w:val="003C2C27"/>
    <w:rsid w:val="003C2E72"/>
    <w:rsid w:val="003C331A"/>
    <w:rsid w:val="003C5C58"/>
    <w:rsid w:val="003C648B"/>
    <w:rsid w:val="003C719F"/>
    <w:rsid w:val="003C7C62"/>
    <w:rsid w:val="003D0B76"/>
    <w:rsid w:val="003D5184"/>
    <w:rsid w:val="003D6B07"/>
    <w:rsid w:val="003E13D1"/>
    <w:rsid w:val="003E17E1"/>
    <w:rsid w:val="003E20FD"/>
    <w:rsid w:val="003E3C3B"/>
    <w:rsid w:val="003E5662"/>
    <w:rsid w:val="003E78AD"/>
    <w:rsid w:val="003F0DC6"/>
    <w:rsid w:val="003F160E"/>
    <w:rsid w:val="003F3007"/>
    <w:rsid w:val="00400252"/>
    <w:rsid w:val="00402542"/>
    <w:rsid w:val="004026AE"/>
    <w:rsid w:val="0040316B"/>
    <w:rsid w:val="00404D35"/>
    <w:rsid w:val="00411890"/>
    <w:rsid w:val="004130CC"/>
    <w:rsid w:val="00417003"/>
    <w:rsid w:val="00417553"/>
    <w:rsid w:val="004178F2"/>
    <w:rsid w:val="00421BB3"/>
    <w:rsid w:val="0042352F"/>
    <w:rsid w:val="00437986"/>
    <w:rsid w:val="004419BC"/>
    <w:rsid w:val="00447192"/>
    <w:rsid w:val="00450385"/>
    <w:rsid w:val="004519F0"/>
    <w:rsid w:val="00452EF4"/>
    <w:rsid w:val="00460619"/>
    <w:rsid w:val="0046132E"/>
    <w:rsid w:val="00461BE8"/>
    <w:rsid w:val="00465185"/>
    <w:rsid w:val="00467F46"/>
    <w:rsid w:val="00470380"/>
    <w:rsid w:val="004711BA"/>
    <w:rsid w:val="00471A7C"/>
    <w:rsid w:val="004724A0"/>
    <w:rsid w:val="00476322"/>
    <w:rsid w:val="004779D0"/>
    <w:rsid w:val="00481DC9"/>
    <w:rsid w:val="00483783"/>
    <w:rsid w:val="00486E71"/>
    <w:rsid w:val="00493E93"/>
    <w:rsid w:val="004947B9"/>
    <w:rsid w:val="004A3F65"/>
    <w:rsid w:val="004A40F8"/>
    <w:rsid w:val="004A5847"/>
    <w:rsid w:val="004A6CCA"/>
    <w:rsid w:val="004B3EFB"/>
    <w:rsid w:val="004B42B5"/>
    <w:rsid w:val="004B435A"/>
    <w:rsid w:val="004B7927"/>
    <w:rsid w:val="004C259A"/>
    <w:rsid w:val="004C313C"/>
    <w:rsid w:val="004C4BCC"/>
    <w:rsid w:val="004C526C"/>
    <w:rsid w:val="004C5C1F"/>
    <w:rsid w:val="004D03E4"/>
    <w:rsid w:val="004D39F8"/>
    <w:rsid w:val="004D560B"/>
    <w:rsid w:val="004E0E01"/>
    <w:rsid w:val="004E3CF7"/>
    <w:rsid w:val="004E64B1"/>
    <w:rsid w:val="004F08FD"/>
    <w:rsid w:val="004F1BFA"/>
    <w:rsid w:val="004F24C3"/>
    <w:rsid w:val="004F5E15"/>
    <w:rsid w:val="004F6603"/>
    <w:rsid w:val="0050158F"/>
    <w:rsid w:val="00503CD7"/>
    <w:rsid w:val="00503DE4"/>
    <w:rsid w:val="0050498C"/>
    <w:rsid w:val="00504F27"/>
    <w:rsid w:val="00506508"/>
    <w:rsid w:val="0051155F"/>
    <w:rsid w:val="00512422"/>
    <w:rsid w:val="005154B4"/>
    <w:rsid w:val="00516BF8"/>
    <w:rsid w:val="00517914"/>
    <w:rsid w:val="005208C1"/>
    <w:rsid w:val="0052140D"/>
    <w:rsid w:val="00522F6B"/>
    <w:rsid w:val="00524304"/>
    <w:rsid w:val="00524A3E"/>
    <w:rsid w:val="00535E17"/>
    <w:rsid w:val="005368B9"/>
    <w:rsid w:val="005405FF"/>
    <w:rsid w:val="0054160F"/>
    <w:rsid w:val="0054384C"/>
    <w:rsid w:val="00543C96"/>
    <w:rsid w:val="00544FF0"/>
    <w:rsid w:val="00545DD6"/>
    <w:rsid w:val="005461F2"/>
    <w:rsid w:val="00547418"/>
    <w:rsid w:val="00547B96"/>
    <w:rsid w:val="00550C2F"/>
    <w:rsid w:val="00550F22"/>
    <w:rsid w:val="00552459"/>
    <w:rsid w:val="00552C98"/>
    <w:rsid w:val="00555455"/>
    <w:rsid w:val="005573FD"/>
    <w:rsid w:val="00557ACF"/>
    <w:rsid w:val="00562C45"/>
    <w:rsid w:val="00562FE3"/>
    <w:rsid w:val="0056786E"/>
    <w:rsid w:val="00570106"/>
    <w:rsid w:val="00575C06"/>
    <w:rsid w:val="00580054"/>
    <w:rsid w:val="005811EC"/>
    <w:rsid w:val="005828A6"/>
    <w:rsid w:val="00585E3A"/>
    <w:rsid w:val="00587618"/>
    <w:rsid w:val="00591383"/>
    <w:rsid w:val="00591B2B"/>
    <w:rsid w:val="00594F0B"/>
    <w:rsid w:val="005952D0"/>
    <w:rsid w:val="005973F6"/>
    <w:rsid w:val="005A1F89"/>
    <w:rsid w:val="005A2384"/>
    <w:rsid w:val="005A2824"/>
    <w:rsid w:val="005A3E80"/>
    <w:rsid w:val="005A738A"/>
    <w:rsid w:val="005B2ADF"/>
    <w:rsid w:val="005B3B6C"/>
    <w:rsid w:val="005B5E1F"/>
    <w:rsid w:val="005C1B29"/>
    <w:rsid w:val="005C2E7E"/>
    <w:rsid w:val="005C4AB5"/>
    <w:rsid w:val="005C521B"/>
    <w:rsid w:val="005D019B"/>
    <w:rsid w:val="005D3516"/>
    <w:rsid w:val="005D5D20"/>
    <w:rsid w:val="005E0B29"/>
    <w:rsid w:val="005E1C26"/>
    <w:rsid w:val="005E1E8A"/>
    <w:rsid w:val="005E21C7"/>
    <w:rsid w:val="005E6E54"/>
    <w:rsid w:val="005F18E4"/>
    <w:rsid w:val="005F5282"/>
    <w:rsid w:val="00602D54"/>
    <w:rsid w:val="00604EA3"/>
    <w:rsid w:val="00605801"/>
    <w:rsid w:val="006059AB"/>
    <w:rsid w:val="0060740F"/>
    <w:rsid w:val="0061176D"/>
    <w:rsid w:val="00614128"/>
    <w:rsid w:val="0061755D"/>
    <w:rsid w:val="00620024"/>
    <w:rsid w:val="00625FDD"/>
    <w:rsid w:val="006266FB"/>
    <w:rsid w:val="006267A5"/>
    <w:rsid w:val="0063254B"/>
    <w:rsid w:val="006416FA"/>
    <w:rsid w:val="00645582"/>
    <w:rsid w:val="0064571A"/>
    <w:rsid w:val="00647E04"/>
    <w:rsid w:val="006512E9"/>
    <w:rsid w:val="006532F4"/>
    <w:rsid w:val="0065586C"/>
    <w:rsid w:val="006649E5"/>
    <w:rsid w:val="00666A4A"/>
    <w:rsid w:val="006700A2"/>
    <w:rsid w:val="006704BC"/>
    <w:rsid w:val="006722A1"/>
    <w:rsid w:val="00683B9E"/>
    <w:rsid w:val="00683CD2"/>
    <w:rsid w:val="00685B94"/>
    <w:rsid w:val="006873F2"/>
    <w:rsid w:val="00690C2A"/>
    <w:rsid w:val="00691B43"/>
    <w:rsid w:val="00692045"/>
    <w:rsid w:val="006921FF"/>
    <w:rsid w:val="0069221A"/>
    <w:rsid w:val="006933AC"/>
    <w:rsid w:val="00697393"/>
    <w:rsid w:val="0069784E"/>
    <w:rsid w:val="006A4820"/>
    <w:rsid w:val="006B24FC"/>
    <w:rsid w:val="006C1611"/>
    <w:rsid w:val="006C66FB"/>
    <w:rsid w:val="006D38BE"/>
    <w:rsid w:val="006D3EAA"/>
    <w:rsid w:val="006D419F"/>
    <w:rsid w:val="006D52BA"/>
    <w:rsid w:val="006E0372"/>
    <w:rsid w:val="006E0539"/>
    <w:rsid w:val="006E22F0"/>
    <w:rsid w:val="006F0A06"/>
    <w:rsid w:val="006F0FAD"/>
    <w:rsid w:val="006F1330"/>
    <w:rsid w:val="006F13C6"/>
    <w:rsid w:val="006F1942"/>
    <w:rsid w:val="006F366C"/>
    <w:rsid w:val="006F52AC"/>
    <w:rsid w:val="006F5C2E"/>
    <w:rsid w:val="006F762F"/>
    <w:rsid w:val="006F7EF0"/>
    <w:rsid w:val="0070242E"/>
    <w:rsid w:val="00704198"/>
    <w:rsid w:val="007053F7"/>
    <w:rsid w:val="00706359"/>
    <w:rsid w:val="0071217B"/>
    <w:rsid w:val="00714AEB"/>
    <w:rsid w:val="00715D94"/>
    <w:rsid w:val="00717295"/>
    <w:rsid w:val="00717F1E"/>
    <w:rsid w:val="00720C53"/>
    <w:rsid w:val="00721EBD"/>
    <w:rsid w:val="0072216C"/>
    <w:rsid w:val="00722EFB"/>
    <w:rsid w:val="007252DF"/>
    <w:rsid w:val="0072626E"/>
    <w:rsid w:val="00736072"/>
    <w:rsid w:val="00736D3F"/>
    <w:rsid w:val="00743F52"/>
    <w:rsid w:val="00744AAD"/>
    <w:rsid w:val="00745816"/>
    <w:rsid w:val="00746384"/>
    <w:rsid w:val="00750525"/>
    <w:rsid w:val="00762235"/>
    <w:rsid w:val="007649BD"/>
    <w:rsid w:val="00765B01"/>
    <w:rsid w:val="00765BCF"/>
    <w:rsid w:val="00771297"/>
    <w:rsid w:val="00771514"/>
    <w:rsid w:val="00773740"/>
    <w:rsid w:val="00773D36"/>
    <w:rsid w:val="00775A37"/>
    <w:rsid w:val="00775EB8"/>
    <w:rsid w:val="00776983"/>
    <w:rsid w:val="00780C60"/>
    <w:rsid w:val="00782697"/>
    <w:rsid w:val="00791527"/>
    <w:rsid w:val="00792DA6"/>
    <w:rsid w:val="00796D59"/>
    <w:rsid w:val="00796F09"/>
    <w:rsid w:val="007A0371"/>
    <w:rsid w:val="007A1117"/>
    <w:rsid w:val="007A11E2"/>
    <w:rsid w:val="007A72D7"/>
    <w:rsid w:val="007B304C"/>
    <w:rsid w:val="007B394C"/>
    <w:rsid w:val="007C11BE"/>
    <w:rsid w:val="007C43C0"/>
    <w:rsid w:val="007C529E"/>
    <w:rsid w:val="007D1C2C"/>
    <w:rsid w:val="007D49C2"/>
    <w:rsid w:val="007D53D8"/>
    <w:rsid w:val="007D73DF"/>
    <w:rsid w:val="007E4BCB"/>
    <w:rsid w:val="007E51AC"/>
    <w:rsid w:val="007E5C2D"/>
    <w:rsid w:val="007E6854"/>
    <w:rsid w:val="007E6BDA"/>
    <w:rsid w:val="007E7B58"/>
    <w:rsid w:val="007F2B54"/>
    <w:rsid w:val="007F2F60"/>
    <w:rsid w:val="007F6AEB"/>
    <w:rsid w:val="00803EBB"/>
    <w:rsid w:val="00813973"/>
    <w:rsid w:val="008146D3"/>
    <w:rsid w:val="00816636"/>
    <w:rsid w:val="00816A7D"/>
    <w:rsid w:val="00817BAF"/>
    <w:rsid w:val="00820D0F"/>
    <w:rsid w:val="008238A2"/>
    <w:rsid w:val="00825290"/>
    <w:rsid w:val="00827E30"/>
    <w:rsid w:val="00827E5E"/>
    <w:rsid w:val="008373CC"/>
    <w:rsid w:val="00837660"/>
    <w:rsid w:val="00837BDE"/>
    <w:rsid w:val="00837F6F"/>
    <w:rsid w:val="008421EE"/>
    <w:rsid w:val="00843397"/>
    <w:rsid w:val="008449EC"/>
    <w:rsid w:val="00845380"/>
    <w:rsid w:val="00854197"/>
    <w:rsid w:val="00855AB2"/>
    <w:rsid w:val="0085794E"/>
    <w:rsid w:val="0086085B"/>
    <w:rsid w:val="00861142"/>
    <w:rsid w:val="00861E37"/>
    <w:rsid w:val="00862AFC"/>
    <w:rsid w:val="008636B6"/>
    <w:rsid w:val="0086453F"/>
    <w:rsid w:val="0086691A"/>
    <w:rsid w:val="008701C7"/>
    <w:rsid w:val="0087031C"/>
    <w:rsid w:val="00870DB2"/>
    <w:rsid w:val="00871E2D"/>
    <w:rsid w:val="00876E08"/>
    <w:rsid w:val="00877613"/>
    <w:rsid w:val="00881E38"/>
    <w:rsid w:val="00884794"/>
    <w:rsid w:val="00884908"/>
    <w:rsid w:val="008855AD"/>
    <w:rsid w:val="00885F79"/>
    <w:rsid w:val="008912E5"/>
    <w:rsid w:val="00892ACB"/>
    <w:rsid w:val="00892BEE"/>
    <w:rsid w:val="00895F97"/>
    <w:rsid w:val="008A1905"/>
    <w:rsid w:val="008A536F"/>
    <w:rsid w:val="008A74E1"/>
    <w:rsid w:val="008B0B07"/>
    <w:rsid w:val="008B1F5C"/>
    <w:rsid w:val="008B55C7"/>
    <w:rsid w:val="008C031C"/>
    <w:rsid w:val="008C2BFE"/>
    <w:rsid w:val="008D12E0"/>
    <w:rsid w:val="008D53BC"/>
    <w:rsid w:val="008D7AE7"/>
    <w:rsid w:val="008D7CAB"/>
    <w:rsid w:val="008E12B1"/>
    <w:rsid w:val="008E43BC"/>
    <w:rsid w:val="008E4E91"/>
    <w:rsid w:val="008E64F8"/>
    <w:rsid w:val="008F14A6"/>
    <w:rsid w:val="0090254C"/>
    <w:rsid w:val="00902DB1"/>
    <w:rsid w:val="009079AE"/>
    <w:rsid w:val="00916222"/>
    <w:rsid w:val="00916CBB"/>
    <w:rsid w:val="00916ECB"/>
    <w:rsid w:val="0092001D"/>
    <w:rsid w:val="00921B55"/>
    <w:rsid w:val="009239E0"/>
    <w:rsid w:val="00924182"/>
    <w:rsid w:val="009245E2"/>
    <w:rsid w:val="009264B0"/>
    <w:rsid w:val="0092726A"/>
    <w:rsid w:val="00927836"/>
    <w:rsid w:val="009304B6"/>
    <w:rsid w:val="009324A3"/>
    <w:rsid w:val="009331C6"/>
    <w:rsid w:val="00933576"/>
    <w:rsid w:val="00934ED7"/>
    <w:rsid w:val="00940137"/>
    <w:rsid w:val="009409A3"/>
    <w:rsid w:val="009427BC"/>
    <w:rsid w:val="0094690C"/>
    <w:rsid w:val="00947700"/>
    <w:rsid w:val="0095013C"/>
    <w:rsid w:val="009513F0"/>
    <w:rsid w:val="009530DD"/>
    <w:rsid w:val="00956A39"/>
    <w:rsid w:val="00960330"/>
    <w:rsid w:val="00961BE8"/>
    <w:rsid w:val="00963403"/>
    <w:rsid w:val="00967824"/>
    <w:rsid w:val="0097040D"/>
    <w:rsid w:val="0097075F"/>
    <w:rsid w:val="009778C7"/>
    <w:rsid w:val="00981FEA"/>
    <w:rsid w:val="0098217E"/>
    <w:rsid w:val="0098243E"/>
    <w:rsid w:val="00982DE4"/>
    <w:rsid w:val="00985308"/>
    <w:rsid w:val="00991BC1"/>
    <w:rsid w:val="00991DF7"/>
    <w:rsid w:val="00996925"/>
    <w:rsid w:val="009A62AC"/>
    <w:rsid w:val="009A65CD"/>
    <w:rsid w:val="009B2451"/>
    <w:rsid w:val="009B478E"/>
    <w:rsid w:val="009D5203"/>
    <w:rsid w:val="009D5370"/>
    <w:rsid w:val="009D735E"/>
    <w:rsid w:val="009D765C"/>
    <w:rsid w:val="009E5FC0"/>
    <w:rsid w:val="009E623E"/>
    <w:rsid w:val="009F3BAE"/>
    <w:rsid w:val="009F5C2B"/>
    <w:rsid w:val="00A006E5"/>
    <w:rsid w:val="00A01751"/>
    <w:rsid w:val="00A03078"/>
    <w:rsid w:val="00A049CA"/>
    <w:rsid w:val="00A238DA"/>
    <w:rsid w:val="00A256CB"/>
    <w:rsid w:val="00A25A9E"/>
    <w:rsid w:val="00A2738E"/>
    <w:rsid w:val="00A32AC9"/>
    <w:rsid w:val="00A353EF"/>
    <w:rsid w:val="00A36231"/>
    <w:rsid w:val="00A376EE"/>
    <w:rsid w:val="00A41341"/>
    <w:rsid w:val="00A4326D"/>
    <w:rsid w:val="00A44044"/>
    <w:rsid w:val="00A45812"/>
    <w:rsid w:val="00A535DC"/>
    <w:rsid w:val="00A57BE3"/>
    <w:rsid w:val="00A64FE3"/>
    <w:rsid w:val="00A653CB"/>
    <w:rsid w:val="00A71933"/>
    <w:rsid w:val="00A7266D"/>
    <w:rsid w:val="00A77556"/>
    <w:rsid w:val="00A80FAA"/>
    <w:rsid w:val="00A82DDF"/>
    <w:rsid w:val="00A84610"/>
    <w:rsid w:val="00A847BA"/>
    <w:rsid w:val="00A851DA"/>
    <w:rsid w:val="00A87325"/>
    <w:rsid w:val="00A92C50"/>
    <w:rsid w:val="00A937FE"/>
    <w:rsid w:val="00A93871"/>
    <w:rsid w:val="00A945D6"/>
    <w:rsid w:val="00A95852"/>
    <w:rsid w:val="00A964D6"/>
    <w:rsid w:val="00A966CF"/>
    <w:rsid w:val="00AA0882"/>
    <w:rsid w:val="00AA13E4"/>
    <w:rsid w:val="00AA3E9A"/>
    <w:rsid w:val="00AA400D"/>
    <w:rsid w:val="00AA4835"/>
    <w:rsid w:val="00AA5B67"/>
    <w:rsid w:val="00AA64D1"/>
    <w:rsid w:val="00AB4406"/>
    <w:rsid w:val="00AB57A2"/>
    <w:rsid w:val="00AB5E18"/>
    <w:rsid w:val="00AC3783"/>
    <w:rsid w:val="00AC3A84"/>
    <w:rsid w:val="00AC5721"/>
    <w:rsid w:val="00AC639F"/>
    <w:rsid w:val="00AD0B0C"/>
    <w:rsid w:val="00AD308E"/>
    <w:rsid w:val="00AD42CE"/>
    <w:rsid w:val="00AD485A"/>
    <w:rsid w:val="00AD5288"/>
    <w:rsid w:val="00AD5715"/>
    <w:rsid w:val="00AD78FE"/>
    <w:rsid w:val="00AD7EE2"/>
    <w:rsid w:val="00AE3DBC"/>
    <w:rsid w:val="00AE3F7F"/>
    <w:rsid w:val="00AE7B7B"/>
    <w:rsid w:val="00AE7DA7"/>
    <w:rsid w:val="00AF1C70"/>
    <w:rsid w:val="00AF32AA"/>
    <w:rsid w:val="00AF36DA"/>
    <w:rsid w:val="00AF3B7D"/>
    <w:rsid w:val="00AF5FBF"/>
    <w:rsid w:val="00AF63C0"/>
    <w:rsid w:val="00AF683F"/>
    <w:rsid w:val="00AF7AF5"/>
    <w:rsid w:val="00B00B48"/>
    <w:rsid w:val="00B03872"/>
    <w:rsid w:val="00B041C4"/>
    <w:rsid w:val="00B05CBF"/>
    <w:rsid w:val="00B109F9"/>
    <w:rsid w:val="00B171F3"/>
    <w:rsid w:val="00B177CD"/>
    <w:rsid w:val="00B202DB"/>
    <w:rsid w:val="00B22640"/>
    <w:rsid w:val="00B23763"/>
    <w:rsid w:val="00B27BAF"/>
    <w:rsid w:val="00B3089E"/>
    <w:rsid w:val="00B320B3"/>
    <w:rsid w:val="00B3351F"/>
    <w:rsid w:val="00B361BB"/>
    <w:rsid w:val="00B40662"/>
    <w:rsid w:val="00B40861"/>
    <w:rsid w:val="00B50E03"/>
    <w:rsid w:val="00B51F46"/>
    <w:rsid w:val="00B529BE"/>
    <w:rsid w:val="00B52E36"/>
    <w:rsid w:val="00B53005"/>
    <w:rsid w:val="00B54AFA"/>
    <w:rsid w:val="00B56A51"/>
    <w:rsid w:val="00B604A7"/>
    <w:rsid w:val="00B657C2"/>
    <w:rsid w:val="00B74975"/>
    <w:rsid w:val="00B75185"/>
    <w:rsid w:val="00B75BBF"/>
    <w:rsid w:val="00B76512"/>
    <w:rsid w:val="00B817D3"/>
    <w:rsid w:val="00B81B15"/>
    <w:rsid w:val="00B8469E"/>
    <w:rsid w:val="00B85627"/>
    <w:rsid w:val="00B8657F"/>
    <w:rsid w:val="00B91650"/>
    <w:rsid w:val="00BA4771"/>
    <w:rsid w:val="00BB007D"/>
    <w:rsid w:val="00BB5CCA"/>
    <w:rsid w:val="00BB6ADE"/>
    <w:rsid w:val="00BC0071"/>
    <w:rsid w:val="00BC2CD5"/>
    <w:rsid w:val="00BC322D"/>
    <w:rsid w:val="00BC4383"/>
    <w:rsid w:val="00BC578F"/>
    <w:rsid w:val="00BD1290"/>
    <w:rsid w:val="00BE2CC0"/>
    <w:rsid w:val="00BE582F"/>
    <w:rsid w:val="00BE7EF1"/>
    <w:rsid w:val="00BF173F"/>
    <w:rsid w:val="00BF198B"/>
    <w:rsid w:val="00C04BCE"/>
    <w:rsid w:val="00C133E6"/>
    <w:rsid w:val="00C13ABB"/>
    <w:rsid w:val="00C151CD"/>
    <w:rsid w:val="00C246F0"/>
    <w:rsid w:val="00C33A45"/>
    <w:rsid w:val="00C40D0B"/>
    <w:rsid w:val="00C43AB7"/>
    <w:rsid w:val="00C45B2E"/>
    <w:rsid w:val="00C539A6"/>
    <w:rsid w:val="00C5600A"/>
    <w:rsid w:val="00C6055F"/>
    <w:rsid w:val="00C6183C"/>
    <w:rsid w:val="00C6237C"/>
    <w:rsid w:val="00C62FFA"/>
    <w:rsid w:val="00C718DA"/>
    <w:rsid w:val="00C7399D"/>
    <w:rsid w:val="00C77E52"/>
    <w:rsid w:val="00C809E8"/>
    <w:rsid w:val="00C839C1"/>
    <w:rsid w:val="00C83D48"/>
    <w:rsid w:val="00C84569"/>
    <w:rsid w:val="00C84785"/>
    <w:rsid w:val="00C9082F"/>
    <w:rsid w:val="00C92CDD"/>
    <w:rsid w:val="00C97722"/>
    <w:rsid w:val="00CA022A"/>
    <w:rsid w:val="00CA24C4"/>
    <w:rsid w:val="00CA33FE"/>
    <w:rsid w:val="00CA401B"/>
    <w:rsid w:val="00CA473A"/>
    <w:rsid w:val="00CA5ABC"/>
    <w:rsid w:val="00CA6D70"/>
    <w:rsid w:val="00CB20B5"/>
    <w:rsid w:val="00CB2ACF"/>
    <w:rsid w:val="00CB3257"/>
    <w:rsid w:val="00CB3AA8"/>
    <w:rsid w:val="00CB5878"/>
    <w:rsid w:val="00CB7FEA"/>
    <w:rsid w:val="00CD2D5C"/>
    <w:rsid w:val="00CD30C2"/>
    <w:rsid w:val="00CD33C2"/>
    <w:rsid w:val="00CD6B5E"/>
    <w:rsid w:val="00CD6D77"/>
    <w:rsid w:val="00CE059E"/>
    <w:rsid w:val="00CE1BA5"/>
    <w:rsid w:val="00CE296E"/>
    <w:rsid w:val="00CE2DAD"/>
    <w:rsid w:val="00CE2DB1"/>
    <w:rsid w:val="00CE33C0"/>
    <w:rsid w:val="00CE3E47"/>
    <w:rsid w:val="00CE504D"/>
    <w:rsid w:val="00CE56C1"/>
    <w:rsid w:val="00CF0CE5"/>
    <w:rsid w:val="00CF5C9C"/>
    <w:rsid w:val="00D00D87"/>
    <w:rsid w:val="00D02105"/>
    <w:rsid w:val="00D0275F"/>
    <w:rsid w:val="00D02FE2"/>
    <w:rsid w:val="00D10A3F"/>
    <w:rsid w:val="00D115B6"/>
    <w:rsid w:val="00D123C1"/>
    <w:rsid w:val="00D15E58"/>
    <w:rsid w:val="00D1762B"/>
    <w:rsid w:val="00D22067"/>
    <w:rsid w:val="00D2277F"/>
    <w:rsid w:val="00D254FC"/>
    <w:rsid w:val="00D26F91"/>
    <w:rsid w:val="00D27CDB"/>
    <w:rsid w:val="00D338D7"/>
    <w:rsid w:val="00D36ED0"/>
    <w:rsid w:val="00D50CB6"/>
    <w:rsid w:val="00D54271"/>
    <w:rsid w:val="00D6000C"/>
    <w:rsid w:val="00D60951"/>
    <w:rsid w:val="00D60C33"/>
    <w:rsid w:val="00D61589"/>
    <w:rsid w:val="00D6212A"/>
    <w:rsid w:val="00D63523"/>
    <w:rsid w:val="00D6376B"/>
    <w:rsid w:val="00D639FD"/>
    <w:rsid w:val="00D652F8"/>
    <w:rsid w:val="00D6563D"/>
    <w:rsid w:val="00D66335"/>
    <w:rsid w:val="00D6768E"/>
    <w:rsid w:val="00D72091"/>
    <w:rsid w:val="00D75F5B"/>
    <w:rsid w:val="00D76415"/>
    <w:rsid w:val="00D8144F"/>
    <w:rsid w:val="00D818A3"/>
    <w:rsid w:val="00D8777D"/>
    <w:rsid w:val="00D93460"/>
    <w:rsid w:val="00D93D32"/>
    <w:rsid w:val="00D95B3E"/>
    <w:rsid w:val="00DA0967"/>
    <w:rsid w:val="00DA0DD3"/>
    <w:rsid w:val="00DA1FBA"/>
    <w:rsid w:val="00DA3E19"/>
    <w:rsid w:val="00DA6281"/>
    <w:rsid w:val="00DB5179"/>
    <w:rsid w:val="00DB5798"/>
    <w:rsid w:val="00DB58DB"/>
    <w:rsid w:val="00DB7E77"/>
    <w:rsid w:val="00DC338D"/>
    <w:rsid w:val="00DD022C"/>
    <w:rsid w:val="00DD0B20"/>
    <w:rsid w:val="00DD0CEC"/>
    <w:rsid w:val="00DD1E2B"/>
    <w:rsid w:val="00DD2F40"/>
    <w:rsid w:val="00DD6077"/>
    <w:rsid w:val="00DD66B3"/>
    <w:rsid w:val="00DF08CE"/>
    <w:rsid w:val="00DF1599"/>
    <w:rsid w:val="00DF1B0C"/>
    <w:rsid w:val="00DF2DE2"/>
    <w:rsid w:val="00DF4F68"/>
    <w:rsid w:val="00E01837"/>
    <w:rsid w:val="00E04FDF"/>
    <w:rsid w:val="00E052B8"/>
    <w:rsid w:val="00E05343"/>
    <w:rsid w:val="00E068AD"/>
    <w:rsid w:val="00E10159"/>
    <w:rsid w:val="00E118A7"/>
    <w:rsid w:val="00E27382"/>
    <w:rsid w:val="00E27589"/>
    <w:rsid w:val="00E32EE9"/>
    <w:rsid w:val="00E3510D"/>
    <w:rsid w:val="00E41C0F"/>
    <w:rsid w:val="00E41E11"/>
    <w:rsid w:val="00E4391D"/>
    <w:rsid w:val="00E43CD8"/>
    <w:rsid w:val="00E46E44"/>
    <w:rsid w:val="00E473DC"/>
    <w:rsid w:val="00E51805"/>
    <w:rsid w:val="00E55A30"/>
    <w:rsid w:val="00E55E8D"/>
    <w:rsid w:val="00E56C74"/>
    <w:rsid w:val="00E57DCA"/>
    <w:rsid w:val="00E615DF"/>
    <w:rsid w:val="00E61C52"/>
    <w:rsid w:val="00E647CF"/>
    <w:rsid w:val="00E64D14"/>
    <w:rsid w:val="00E70305"/>
    <w:rsid w:val="00E71DC8"/>
    <w:rsid w:val="00E775EF"/>
    <w:rsid w:val="00E8107A"/>
    <w:rsid w:val="00E82D6F"/>
    <w:rsid w:val="00E82EC2"/>
    <w:rsid w:val="00E85786"/>
    <w:rsid w:val="00E877E4"/>
    <w:rsid w:val="00E87CEE"/>
    <w:rsid w:val="00E94247"/>
    <w:rsid w:val="00E97183"/>
    <w:rsid w:val="00EA21A6"/>
    <w:rsid w:val="00EA5BF5"/>
    <w:rsid w:val="00EA76B0"/>
    <w:rsid w:val="00EB1E28"/>
    <w:rsid w:val="00EB23A7"/>
    <w:rsid w:val="00EB53D5"/>
    <w:rsid w:val="00EB651F"/>
    <w:rsid w:val="00EC1AEE"/>
    <w:rsid w:val="00ED0BD0"/>
    <w:rsid w:val="00ED397C"/>
    <w:rsid w:val="00ED5D81"/>
    <w:rsid w:val="00ED63CA"/>
    <w:rsid w:val="00ED6D4C"/>
    <w:rsid w:val="00EE295E"/>
    <w:rsid w:val="00EE38E0"/>
    <w:rsid w:val="00EE6AAC"/>
    <w:rsid w:val="00EF2CFF"/>
    <w:rsid w:val="00EF3975"/>
    <w:rsid w:val="00EF7DE7"/>
    <w:rsid w:val="00EF7DF4"/>
    <w:rsid w:val="00F01023"/>
    <w:rsid w:val="00F03E6D"/>
    <w:rsid w:val="00F056D4"/>
    <w:rsid w:val="00F05DAC"/>
    <w:rsid w:val="00F1295F"/>
    <w:rsid w:val="00F169A6"/>
    <w:rsid w:val="00F21BE0"/>
    <w:rsid w:val="00F23A60"/>
    <w:rsid w:val="00F23DBB"/>
    <w:rsid w:val="00F2751F"/>
    <w:rsid w:val="00F32831"/>
    <w:rsid w:val="00F41529"/>
    <w:rsid w:val="00F42750"/>
    <w:rsid w:val="00F45E96"/>
    <w:rsid w:val="00F5026B"/>
    <w:rsid w:val="00F50406"/>
    <w:rsid w:val="00F50B68"/>
    <w:rsid w:val="00F52766"/>
    <w:rsid w:val="00F537CF"/>
    <w:rsid w:val="00F56770"/>
    <w:rsid w:val="00F667D7"/>
    <w:rsid w:val="00F71D4D"/>
    <w:rsid w:val="00F76F2C"/>
    <w:rsid w:val="00F773BE"/>
    <w:rsid w:val="00F77B2C"/>
    <w:rsid w:val="00F804D3"/>
    <w:rsid w:val="00F85E54"/>
    <w:rsid w:val="00F9085F"/>
    <w:rsid w:val="00F90C69"/>
    <w:rsid w:val="00F91490"/>
    <w:rsid w:val="00F925BA"/>
    <w:rsid w:val="00F937A7"/>
    <w:rsid w:val="00F947E2"/>
    <w:rsid w:val="00F97EA2"/>
    <w:rsid w:val="00FA28AE"/>
    <w:rsid w:val="00FA35A9"/>
    <w:rsid w:val="00FA5D55"/>
    <w:rsid w:val="00FA5F6A"/>
    <w:rsid w:val="00FA7710"/>
    <w:rsid w:val="00FB3A9D"/>
    <w:rsid w:val="00FB6D44"/>
    <w:rsid w:val="00FB7488"/>
    <w:rsid w:val="00FC0100"/>
    <w:rsid w:val="00FC2924"/>
    <w:rsid w:val="00FC48CD"/>
    <w:rsid w:val="00FC4DD1"/>
    <w:rsid w:val="00FC5124"/>
    <w:rsid w:val="00FC6912"/>
    <w:rsid w:val="00FC70D9"/>
    <w:rsid w:val="00FD3FE8"/>
    <w:rsid w:val="00FD6A7E"/>
    <w:rsid w:val="00FD7B8F"/>
    <w:rsid w:val="00FE1CCC"/>
    <w:rsid w:val="00FE2B3B"/>
    <w:rsid w:val="00FF19D7"/>
    <w:rsid w:val="00FF2BC9"/>
    <w:rsid w:val="00FF31B0"/>
    <w:rsid w:val="00FF711D"/>
    <w:rsid w:val="00FF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pPr>
      <w:jc w:val="both"/>
    </w:pPr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5"/>
      </w:numPr>
      <w:outlineLvl w:val="0"/>
    </w:pPr>
    <w:rPr>
      <w:b/>
      <w:bCs/>
      <w:sz w:val="28"/>
      <w:szCs w:val="28"/>
      <w:lang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4"/>
      </w:numPr>
      <w:spacing w:before="240" w:after="60"/>
      <w:outlineLvl w:val="1"/>
    </w:pPr>
    <w:rPr>
      <w:b/>
      <w:bCs/>
      <w:iCs/>
      <w:sz w:val="24"/>
      <w:lang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4"/>
      </w:numPr>
      <w:spacing w:before="240" w:after="60"/>
      <w:outlineLvl w:val="6"/>
    </w:pPr>
    <w:rPr>
      <w:rFonts w:ascii="Calibri" w:hAnsi="Calibri"/>
      <w:sz w:val="24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Styl1">
    <w:name w:val="Styl1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eastAsia="Calibri" w:hAnsi="Minion Pro" w:cs="Minion Pro"/>
      <w:color w:val="000000"/>
      <w:sz w:val="24"/>
    </w:rPr>
  </w:style>
  <w:style w:type="character" w:customStyle="1" w:styleId="Nadpis1Char">
    <w:name w:val="Nadpis 1 Char"/>
    <w:rPr>
      <w:rFonts w:ascii="Arial" w:eastAsia="Times New Roman" w:hAnsi="Arial" w:cs="Arial"/>
      <w:b/>
      <w:bCs/>
      <w:sz w:val="28"/>
      <w:szCs w:val="28"/>
    </w:rPr>
  </w:style>
  <w:style w:type="paragraph" w:styleId="Textpoznpodarou">
    <w:name w:val="footnote text"/>
    <w:aliases w:val="Text pozn. pod čarou_martin_ang"/>
    <w:basedOn w:val="Normln"/>
    <w:semiHidden/>
    <w:pPr>
      <w:jc w:val="left"/>
    </w:pPr>
    <w:rPr>
      <w:szCs w:val="20"/>
      <w:lang/>
    </w:rPr>
  </w:style>
  <w:style w:type="character" w:customStyle="1" w:styleId="TextpoznpodarouChar">
    <w:name w:val="Text pozn. pod čarou Char"/>
    <w:aliases w:val="Text pozn. pod čarou_martin_ang Char1"/>
    <w:semiHidden/>
    <w:rPr>
      <w:rFonts w:ascii="Arial" w:eastAsia="Times New Roman" w:hAnsi="Arial"/>
    </w:rPr>
  </w:style>
  <w:style w:type="character" w:styleId="Znakapoznpodarou">
    <w:name w:val="footnote reference"/>
    <w:semiHidden/>
    <w:rPr>
      <w:vertAlign w:val="superscript"/>
    </w:rPr>
  </w:style>
  <w:style w:type="paragraph" w:styleId="Odstavecseseznamem">
    <w:name w:val="List Paragraph"/>
    <w:basedOn w:val="Normln"/>
    <w:qFormat/>
    <w:pPr>
      <w:ind w:left="708"/>
      <w:jc w:val="left"/>
    </w:pPr>
    <w:rPr>
      <w:sz w:val="18"/>
      <w:szCs w:val="20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semiHidden/>
    <w:unhideWhenUsed/>
    <w:pPr>
      <w:jc w:val="left"/>
    </w:pPr>
    <w:rPr>
      <w:szCs w:val="20"/>
      <w:lang/>
    </w:rPr>
  </w:style>
  <w:style w:type="character" w:customStyle="1" w:styleId="TextkomenteChar">
    <w:name w:val="Text komentáře Char"/>
    <w:semiHidden/>
    <w:rPr>
      <w:rFonts w:ascii="Arial" w:eastAsia="Times New Roman" w:hAnsi="Arial"/>
    </w:rPr>
  </w:style>
  <w:style w:type="character" w:customStyle="1" w:styleId="Nadpis2Char">
    <w:name w:val="Nadpis 2 Char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Nadpis3Char">
    <w:name w:val="Nadpis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semiHidden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semiHidden/>
    <w:rPr>
      <w:rFonts w:ascii="Cambria" w:eastAsia="Times New Roman" w:hAnsi="Cambria" w:cs="Times New Roman"/>
      <w:sz w:val="22"/>
      <w:szCs w:val="22"/>
    </w:rPr>
  </w:style>
  <w:style w:type="paragraph" w:styleId="Nadpisobsahu">
    <w:name w:val="TOC Heading"/>
    <w:basedOn w:val="Nadpis1"/>
    <w:next w:val="Normln"/>
    <w:qFormat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Obsah2">
    <w:name w:val="toc 2"/>
    <w:basedOn w:val="Normln"/>
    <w:next w:val="Normln"/>
    <w:autoRedefine/>
    <w:semiHidden/>
    <w:unhideWhenUsed/>
    <w:qFormat/>
    <w:pPr>
      <w:tabs>
        <w:tab w:val="left" w:pos="880"/>
        <w:tab w:val="right" w:leader="dot" w:pos="9628"/>
      </w:tabs>
      <w:spacing w:after="100" w:line="276" w:lineRule="auto"/>
      <w:ind w:left="851" w:hanging="567"/>
      <w:jc w:val="left"/>
    </w:pPr>
    <w:rPr>
      <w:rFonts w:ascii="Calibri" w:hAnsi="Calibri"/>
      <w:sz w:val="22"/>
      <w:szCs w:val="22"/>
    </w:rPr>
  </w:style>
  <w:style w:type="paragraph" w:styleId="Obsah1">
    <w:name w:val="toc 1"/>
    <w:basedOn w:val="Normln"/>
    <w:next w:val="Normln"/>
    <w:autoRedefine/>
    <w:semiHidden/>
    <w:unhideWhenUsed/>
    <w:qFormat/>
    <w:pPr>
      <w:tabs>
        <w:tab w:val="left" w:pos="851"/>
        <w:tab w:val="right" w:leader="dot" w:pos="9628"/>
      </w:tabs>
      <w:spacing w:after="100" w:line="276" w:lineRule="auto"/>
      <w:jc w:val="left"/>
    </w:pPr>
    <w:rPr>
      <w:szCs w:val="22"/>
    </w:rPr>
  </w:style>
  <w:style w:type="paragraph" w:styleId="Obsah3">
    <w:name w:val="toc 3"/>
    <w:basedOn w:val="Normln"/>
    <w:next w:val="Normln"/>
    <w:autoRedefine/>
    <w:semiHidden/>
    <w:unhideWhenUsed/>
    <w:qFormat/>
    <w:pPr>
      <w:tabs>
        <w:tab w:val="right" w:leader="dot" w:pos="9638"/>
      </w:tabs>
      <w:spacing w:after="100" w:line="276" w:lineRule="auto"/>
      <w:ind w:left="446"/>
      <w:jc w:val="left"/>
    </w:pPr>
    <w:rPr>
      <w:rFonts w:ascii="Calibri" w:hAnsi="Calibri"/>
      <w:sz w:val="22"/>
      <w:szCs w:val="22"/>
    </w:rPr>
  </w:style>
  <w:style w:type="paragraph" w:styleId="Bezmezer">
    <w:name w:val="No Spacing"/>
    <w:qFormat/>
    <w:pPr>
      <w:jc w:val="both"/>
    </w:pPr>
    <w:rPr>
      <w:rFonts w:ascii="Arial" w:eastAsia="Times New Roman" w:hAnsi="Arial"/>
      <w:szCs w:val="24"/>
    </w:rPr>
  </w:style>
  <w:style w:type="paragraph" w:styleId="Obsah10">
    <w:name w:val="toc 1"/>
    <w:basedOn w:val="Normln"/>
    <w:next w:val="Normln"/>
    <w:autoRedefine/>
    <w:semiHidden/>
    <w:unhideWhenUsed/>
    <w:qFormat/>
    <w:pPr>
      <w:tabs>
        <w:tab w:val="left" w:pos="851"/>
        <w:tab w:val="right" w:leader="dot" w:pos="9498"/>
      </w:tabs>
      <w:spacing w:after="100" w:line="276" w:lineRule="auto"/>
      <w:jc w:val="left"/>
    </w:pPr>
    <w:rPr>
      <w:szCs w:val="22"/>
    </w:rPr>
  </w:style>
  <w:style w:type="paragraph" w:styleId="Zkladntext">
    <w:name w:val="Body Text"/>
    <w:basedOn w:val="Normln"/>
    <w:semiHidden/>
    <w:rPr>
      <w:color w:val="000000"/>
    </w:rPr>
  </w:style>
  <w:style w:type="paragraph" w:styleId="Zkladntext3">
    <w:name w:val="Body Text 3"/>
    <w:basedOn w:val="Normln"/>
    <w:semiHidden/>
    <w:rPr>
      <w:sz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card">
    <w:name w:val="card"/>
    <w:basedOn w:val="Standardnpsmoodstavce"/>
  </w:style>
  <w:style w:type="paragraph" w:styleId="Zkladntext2">
    <w:name w:val="Body Text 2"/>
    <w:basedOn w:val="Normln"/>
    <w:semiHidden/>
    <w:pPr>
      <w:jc w:val="left"/>
    </w:pPr>
    <w:rPr>
      <w:b/>
      <w:bCs/>
    </w:rPr>
  </w:style>
  <w:style w:type="paragraph" w:customStyle="1" w:styleId="normalnsodrkami">
    <w:name w:val="normalní s odrážkami"/>
    <w:basedOn w:val="Normln"/>
    <w:pPr>
      <w:numPr>
        <w:numId w:val="19"/>
      </w:numPr>
    </w:p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Default">
    <w:name w:val="Default"/>
    <w:rsid w:val="004D03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E13D1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E13D1"/>
    <w:rPr>
      <w:rFonts w:ascii="Arial" w:eastAsia="Times New Roman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3E13D1"/>
    <w:rPr>
      <w:vertAlign w:val="superscript"/>
    </w:rPr>
  </w:style>
  <w:style w:type="character" w:customStyle="1" w:styleId="hps">
    <w:name w:val="hps"/>
    <w:basedOn w:val="Standardnpsmoodstavce"/>
    <w:rsid w:val="00FF1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2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FA548-ECE4-40C8-AC7D-68049FF7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1055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VÍCETÉMATICKÉ INFORMACE</vt:lpstr>
    </vt:vector>
  </TitlesOfParts>
  <Company>ČSÚ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VÍCETÉMATICKÉ INFORMACE</dc:title>
  <dc:creator>SystemService</dc:creator>
  <cp:lastModifiedBy>Jiří Kamenický</cp:lastModifiedBy>
  <cp:revision>2</cp:revision>
  <cp:lastPrinted>2014-06-02T17:09:00Z</cp:lastPrinted>
  <dcterms:created xsi:type="dcterms:W3CDTF">2014-10-24T06:26:00Z</dcterms:created>
  <dcterms:modified xsi:type="dcterms:W3CDTF">2014-10-24T06:26:00Z</dcterms:modified>
</cp:coreProperties>
</file>