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  <w:r w:rsidRPr="00B82D30">
        <w:t>Shrnutí</w:t>
      </w:r>
    </w:p>
    <w:p w:rsidR="006F7329" w:rsidRPr="00B82D30" w:rsidRDefault="006F7329" w:rsidP="006F7329"/>
    <w:p w:rsidR="006F7329" w:rsidRPr="003846D5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6"/>
        </w:rPr>
      </w:pPr>
      <w:r w:rsidRPr="003846D5">
        <w:rPr>
          <w:spacing w:val="-6"/>
        </w:rPr>
        <w:t>Význam primárního sektoru, z hlediska podílu na celkovém výkonu ekonomiky v běžných cenách (</w:t>
      </w:r>
      <w:proofErr w:type="spellStart"/>
      <w:r w:rsidRPr="003846D5">
        <w:rPr>
          <w:spacing w:val="-6"/>
        </w:rPr>
        <w:t>bc</w:t>
      </w:r>
      <w:proofErr w:type="spellEnd"/>
      <w:r w:rsidRPr="003846D5">
        <w:rPr>
          <w:spacing w:val="-6"/>
        </w:rPr>
        <w:t>.), se v ČR výrazně zmenšil, stejně jako v drtivé většině zemí Evropské unie. Zatímco v roce 1993 se</w:t>
      </w:r>
      <w:r w:rsidR="0000383C" w:rsidRPr="003846D5">
        <w:rPr>
          <w:spacing w:val="-6"/>
        </w:rPr>
        <w:t> </w:t>
      </w:r>
      <w:r w:rsidRPr="003846D5">
        <w:rPr>
          <w:spacing w:val="-6"/>
        </w:rPr>
        <w:t>tuzemský primární sektor na celkové hrubé přidané hodnotě ekonomiky podílel 7,3 %, v roce 2013 jen 3,6 %. Objemově významnější odvětví zemědělství, lesnictví a rybářství ztratilo 1,9 </w:t>
      </w:r>
      <w:proofErr w:type="spellStart"/>
      <w:r w:rsidRPr="003846D5">
        <w:rPr>
          <w:spacing w:val="-6"/>
        </w:rPr>
        <w:t>pb</w:t>
      </w:r>
      <w:proofErr w:type="spellEnd"/>
      <w:r w:rsidRPr="003846D5">
        <w:rPr>
          <w:spacing w:val="-6"/>
        </w:rPr>
        <w:t>., váha odvětví těžby a dobývání se zmenšila o 1,8 </w:t>
      </w:r>
      <w:proofErr w:type="spellStart"/>
      <w:r w:rsidRPr="003846D5">
        <w:rPr>
          <w:spacing w:val="-6"/>
        </w:rPr>
        <w:t>pb</w:t>
      </w:r>
      <w:proofErr w:type="spellEnd"/>
      <w:r w:rsidRPr="003846D5">
        <w:rPr>
          <w:spacing w:val="-6"/>
        </w:rPr>
        <w:t>. Význam primárního sektoru se zmenšoval s každým rokem s výjimkou let 2004, 2008, 2011 a 2012, nejvíce ztrácel v letech 1994-2003. Pokles významu primárního sektoru z hlediska podílu na celkové hrubé přidané hodnotě ekonomiky doprovázelo i oslabování jeho postavení na trhu práce. V roce 2013 v primárním sektoru pracovalo jen 3,9 % všech zaměstnaných osob, což bylo výrazně méně než před dvěma dekádami, tedy v roce 1993, kdy v něm bylo zaměstnáno 7,5 % všech pracujících. To, co z podílu na výkonu a z podílu na zaměstnanosti ztratil primární sektor, to posílilo sektor terciární, tedy služby.</w:t>
      </w:r>
    </w:p>
    <w:p w:rsidR="006F7329" w:rsidRPr="003846D5" w:rsidRDefault="006F7329" w:rsidP="006F7329">
      <w:pPr>
        <w:pStyle w:val="Textpoznpodarou"/>
        <w:ind w:left="66"/>
        <w:jc w:val="both"/>
        <w:rPr>
          <w:rFonts w:cs="Arial"/>
          <w:sz w:val="16"/>
          <w:szCs w:val="16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B82D30">
        <w:rPr>
          <w:rFonts w:cs="Arial"/>
        </w:rPr>
        <w:t xml:space="preserve">Zatímco hrubá přidaná hodnota sekundárního a terciárního sektoru mezi roky 1993 a 2013 narostla v reálném vyjádření o 104,5 % respektive o 46,3 %, výkon primárního sektoru o 26,8 % klesl. Hrubá přidaná hodnota </w:t>
      </w:r>
      <w:r w:rsidR="009F0E10" w:rsidRPr="00B82D30">
        <w:rPr>
          <w:rFonts w:cs="Arial"/>
        </w:rPr>
        <w:t>odvětví</w:t>
      </w:r>
      <w:r w:rsidRPr="00B82D30">
        <w:rPr>
          <w:rFonts w:cs="Arial"/>
        </w:rPr>
        <w:t xml:space="preserve"> zemědělství, lesnictví a rybářství se zmenšila o 14,0 %, a to výlučně v důsledku nepříznivého vývoje v s</w:t>
      </w:r>
      <w:r w:rsidR="009F0E10" w:rsidRPr="00B82D30">
        <w:rPr>
          <w:rFonts w:cs="Arial"/>
        </w:rPr>
        <w:t>amotném zemědělství (-38,2 %). Odvětví těžby</w:t>
      </w:r>
      <w:r w:rsidRPr="00B82D30">
        <w:rPr>
          <w:rFonts w:cs="Arial"/>
        </w:rPr>
        <w:t xml:space="preserve"> a dobývání – především vlivem poklesu hrubé přidané hodnoty nejvýznamnější těžby a úpravy černého a hnědého uhlí, ale i</w:t>
      </w:r>
      <w:r w:rsidR="0000383C" w:rsidRPr="00B82D30">
        <w:rPr>
          <w:rFonts w:cs="Arial"/>
        </w:rPr>
        <w:t xml:space="preserve"> v důsledku poklesu </w:t>
      </w:r>
      <w:r w:rsidRPr="00B82D30">
        <w:rPr>
          <w:rFonts w:cs="Arial"/>
        </w:rPr>
        <w:t>výkonu dnes již málo významné těžby a úpravy rud či podpůrných činností při</w:t>
      </w:r>
      <w:r w:rsidR="0000383C" w:rsidRPr="00B82D30">
        <w:rPr>
          <w:rFonts w:cs="Arial"/>
        </w:rPr>
        <w:t> </w:t>
      </w:r>
      <w:r w:rsidR="009F0E10" w:rsidRPr="00B82D30">
        <w:rPr>
          <w:rFonts w:cs="Arial"/>
        </w:rPr>
        <w:t>těžbě – propadlo</w:t>
      </w:r>
      <w:r w:rsidRPr="00B82D30">
        <w:rPr>
          <w:rFonts w:cs="Arial"/>
        </w:rPr>
        <w:t xml:space="preserve"> o</w:t>
      </w:r>
      <w:r w:rsidR="0000383C" w:rsidRPr="00B82D30">
        <w:rPr>
          <w:rFonts w:cs="Arial"/>
        </w:rPr>
        <w:t xml:space="preserve"> rovných</w:t>
      </w:r>
      <w:r w:rsidRPr="00B82D30">
        <w:rPr>
          <w:rFonts w:cs="Arial"/>
        </w:rPr>
        <w:t> 5</w:t>
      </w:r>
      <w:r w:rsidR="0000383C" w:rsidRPr="00B82D30">
        <w:rPr>
          <w:rFonts w:cs="Arial"/>
        </w:rPr>
        <w:t>3 %. B</w:t>
      </w:r>
      <w:r w:rsidRPr="00B82D30">
        <w:rPr>
          <w:rFonts w:cs="Arial"/>
        </w:rPr>
        <w:t>yl</w:t>
      </w:r>
      <w:r w:rsidR="0000383C" w:rsidRPr="00B82D30">
        <w:rPr>
          <w:rFonts w:cs="Arial"/>
        </w:rPr>
        <w:t xml:space="preserve"> to</w:t>
      </w:r>
      <w:r w:rsidRPr="00B82D30">
        <w:rPr>
          <w:rFonts w:cs="Arial"/>
        </w:rPr>
        <w:t xml:space="preserve"> nejhorší výsledek ze všech odvětví ekonomiky.</w:t>
      </w:r>
    </w:p>
    <w:p w:rsidR="006F7329" w:rsidRPr="003846D5" w:rsidRDefault="006F7329" w:rsidP="006F7329">
      <w:pPr>
        <w:rPr>
          <w:rFonts w:cs="Arial"/>
          <w:spacing w:val="-4"/>
          <w:sz w:val="16"/>
          <w:szCs w:val="16"/>
        </w:rPr>
      </w:pPr>
    </w:p>
    <w:p w:rsidR="006F7329" w:rsidRPr="003846D5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3846D5">
        <w:rPr>
          <w:rFonts w:cs="Arial"/>
        </w:rPr>
        <w:t>2009, rok hluboké recese, byl pro sekundární a terciární sektor „odrazovým můstkem“. Do roku 2013 jejich hrubá přidaná hodnota narostla v reálném vyjádření o 6,5 % a 3,1 %. Zemědělství, lesnictví a</w:t>
      </w:r>
      <w:r w:rsidR="004E049D" w:rsidRPr="003846D5">
        <w:rPr>
          <w:rFonts w:cs="Arial"/>
        </w:rPr>
        <w:t> </w:t>
      </w:r>
      <w:r w:rsidRPr="003846D5">
        <w:rPr>
          <w:rFonts w:cs="Arial"/>
        </w:rPr>
        <w:t>rybářství, jehož výkony s fází hospodářského cyklu příliš nesouvisí, ale o 20,4 % propadlo. Těžba a</w:t>
      </w:r>
      <w:r w:rsidR="004E049D" w:rsidRPr="003846D5">
        <w:rPr>
          <w:rFonts w:cs="Arial"/>
        </w:rPr>
        <w:t> </w:t>
      </w:r>
      <w:r w:rsidRPr="003846D5">
        <w:rPr>
          <w:rFonts w:cs="Arial"/>
        </w:rPr>
        <w:t xml:space="preserve">dobývání – v posledních letech poznamenaná nízkými cenami uhlí na trhu a slabou poptávkou po uhlí v Evropě, ale přesto v roce 2013 klesající již sedmým rokem – ztratila ze svého výkonu mezi rokem 2009 a 2013 rovných devatenáct procent. Primární sektor jako celek si tak v období, ve kterém výkon sekundárního a terciárního sektoru sílil, připsal </w:t>
      </w:r>
      <w:r w:rsidR="009F0E10" w:rsidRPr="003846D5">
        <w:rPr>
          <w:rFonts w:cs="Arial"/>
        </w:rPr>
        <w:t xml:space="preserve">úhrnný </w:t>
      </w:r>
      <w:r w:rsidRPr="003846D5">
        <w:rPr>
          <w:rFonts w:cs="Arial"/>
        </w:rPr>
        <w:t>pokles o 19,6 %.</w:t>
      </w:r>
    </w:p>
    <w:p w:rsidR="006F7329" w:rsidRPr="003846D5" w:rsidRDefault="006F7329" w:rsidP="006F7329">
      <w:pPr>
        <w:rPr>
          <w:rFonts w:cs="Arial"/>
          <w:sz w:val="16"/>
          <w:szCs w:val="16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2"/>
        </w:rPr>
      </w:pPr>
      <w:r w:rsidRPr="00B82D30">
        <w:rPr>
          <w:rFonts w:cs="Arial"/>
          <w:spacing w:val="-2"/>
        </w:rPr>
        <w:t>Materiálo</w:t>
      </w:r>
      <w:r w:rsidR="004B7064" w:rsidRPr="00B82D30">
        <w:rPr>
          <w:rFonts w:cs="Arial"/>
          <w:spacing w:val="-2"/>
        </w:rPr>
        <w:t>vá náročnost primárního sektoru –</w:t>
      </w:r>
      <w:r w:rsidRPr="00B82D30">
        <w:rPr>
          <w:rFonts w:cs="Arial"/>
          <w:spacing w:val="-2"/>
        </w:rPr>
        <w:t xml:space="preserve"> daná požadavky na krmiva, hn</w:t>
      </w:r>
      <w:r w:rsidR="004B7064" w:rsidRPr="00B82D30">
        <w:rPr>
          <w:rFonts w:cs="Arial"/>
          <w:spacing w:val="-2"/>
        </w:rPr>
        <w:t>ojiva, pohonné hmoty či energie –</w:t>
      </w:r>
      <w:r w:rsidRPr="00B82D30">
        <w:rPr>
          <w:rFonts w:cs="Arial"/>
          <w:spacing w:val="-2"/>
        </w:rPr>
        <w:t xml:space="preserve"> je vyšší než náročnost terciárního sektoru, který j</w:t>
      </w:r>
      <w:r w:rsidR="005045E2" w:rsidRPr="00B82D30">
        <w:rPr>
          <w:rFonts w:cs="Arial"/>
          <w:spacing w:val="-2"/>
        </w:rPr>
        <w:t xml:space="preserve">e na vstupy relativně „skromný“. </w:t>
      </w:r>
      <w:r w:rsidR="004B7064" w:rsidRPr="00B82D30">
        <w:rPr>
          <w:rFonts w:cs="Arial"/>
          <w:spacing w:val="-2"/>
        </w:rPr>
        <w:t>Na druhou stranu j</w:t>
      </w:r>
      <w:r w:rsidR="005045E2" w:rsidRPr="00B82D30">
        <w:rPr>
          <w:rFonts w:cs="Arial"/>
          <w:spacing w:val="-2"/>
        </w:rPr>
        <w:t>e ale</w:t>
      </w:r>
      <w:r w:rsidRPr="00B82D30">
        <w:rPr>
          <w:rFonts w:cs="Arial"/>
          <w:spacing w:val="-2"/>
        </w:rPr>
        <w:t xml:space="preserve"> menší než</w:t>
      </w:r>
      <w:r w:rsidR="005045E2" w:rsidRPr="00B82D30">
        <w:rPr>
          <w:rFonts w:cs="Arial"/>
          <w:spacing w:val="-2"/>
        </w:rPr>
        <w:t xml:space="preserve"> náročnost</w:t>
      </w:r>
      <w:r w:rsidRPr="00B82D30">
        <w:rPr>
          <w:rFonts w:cs="Arial"/>
          <w:spacing w:val="-2"/>
        </w:rPr>
        <w:t xml:space="preserve"> sekundárního sektoru, jenž je typický značnými </w:t>
      </w:r>
      <w:r w:rsidR="004B7064" w:rsidRPr="00B82D30">
        <w:rPr>
          <w:rFonts w:cs="Arial"/>
          <w:spacing w:val="-2"/>
        </w:rPr>
        <w:t>nároky</w:t>
      </w:r>
      <w:r w:rsidRPr="00B82D30">
        <w:rPr>
          <w:rFonts w:cs="Arial"/>
          <w:spacing w:val="-2"/>
        </w:rPr>
        <w:t xml:space="preserve"> na energie, su</w:t>
      </w:r>
      <w:r w:rsidR="004B7064" w:rsidRPr="00B82D30">
        <w:rPr>
          <w:rFonts w:cs="Arial"/>
          <w:spacing w:val="-2"/>
        </w:rPr>
        <w:t>roviny, polotovary atd. V</w:t>
      </w:r>
      <w:r w:rsidRPr="00B82D30">
        <w:rPr>
          <w:rFonts w:cs="Arial"/>
          <w:spacing w:val="-2"/>
        </w:rPr>
        <w:t xml:space="preserve"> roce 2013 na jedno sto korun produkce primárního sektoru v </w:t>
      </w:r>
      <w:proofErr w:type="spellStart"/>
      <w:r w:rsidRPr="00B82D30">
        <w:rPr>
          <w:rFonts w:cs="Arial"/>
          <w:spacing w:val="-2"/>
        </w:rPr>
        <w:t>bc</w:t>
      </w:r>
      <w:proofErr w:type="spellEnd"/>
      <w:r w:rsidRPr="00B82D30">
        <w:rPr>
          <w:rFonts w:cs="Arial"/>
          <w:spacing w:val="-2"/>
        </w:rPr>
        <w:t xml:space="preserve">. </w:t>
      </w:r>
      <w:r w:rsidR="000D3514" w:rsidRPr="00B82D30">
        <w:rPr>
          <w:rFonts w:cs="Arial"/>
          <w:spacing w:val="-2"/>
        </w:rPr>
        <w:t xml:space="preserve">připadala </w:t>
      </w:r>
      <w:proofErr w:type="spellStart"/>
      <w:r w:rsidRPr="00B82D30">
        <w:rPr>
          <w:rFonts w:cs="Arial"/>
          <w:spacing w:val="-2"/>
        </w:rPr>
        <w:t>mez</w:t>
      </w:r>
      <w:r w:rsidR="004B7064" w:rsidRPr="00B82D30">
        <w:rPr>
          <w:rFonts w:cs="Arial"/>
          <w:spacing w:val="-2"/>
        </w:rPr>
        <w:t>ispotřeba</w:t>
      </w:r>
      <w:proofErr w:type="spellEnd"/>
      <w:r w:rsidR="004B7064" w:rsidRPr="00B82D30">
        <w:rPr>
          <w:rFonts w:cs="Arial"/>
          <w:spacing w:val="-2"/>
        </w:rPr>
        <w:t xml:space="preserve"> v hodnotě 59,7 koruny. T</w:t>
      </w:r>
      <w:r w:rsidRPr="00B82D30">
        <w:rPr>
          <w:rFonts w:cs="Arial"/>
          <w:spacing w:val="-2"/>
        </w:rPr>
        <w:t>erciární sektor potřeboval na jedno sto korun produkce vstupy v hodnotě 49,9 korun, sekundární rovných 73 korun. Efektivita přeměny vstupů na produkt byla v každém z nich horší než v roce 1993, nejvíce, a to o 3,4 koruny, svoji náročnost zvýšil primární sektor.</w:t>
      </w:r>
    </w:p>
    <w:p w:rsidR="006F7329" w:rsidRPr="003846D5" w:rsidRDefault="006F7329" w:rsidP="006F7329">
      <w:pPr>
        <w:rPr>
          <w:rFonts w:cs="Arial"/>
          <w:spacing w:val="-2"/>
          <w:sz w:val="16"/>
          <w:szCs w:val="16"/>
        </w:rPr>
      </w:pPr>
    </w:p>
    <w:p w:rsidR="006F7329" w:rsidRPr="003846D5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4"/>
        </w:rPr>
      </w:pPr>
      <w:r w:rsidRPr="003846D5">
        <w:rPr>
          <w:rFonts w:cs="Arial"/>
          <w:spacing w:val="-4"/>
        </w:rPr>
        <w:t>Materiálová náročnost českého primárního sektoru je v mezinárodním srovnání spíše vyšší. Těžba a dobývání byla</w:t>
      </w:r>
      <w:r w:rsidR="009F0E10" w:rsidRPr="003846D5">
        <w:rPr>
          <w:rFonts w:cs="Arial"/>
          <w:spacing w:val="-4"/>
        </w:rPr>
        <w:t xml:space="preserve"> při přeměně vstupů na produkt,</w:t>
      </w:r>
      <w:r w:rsidRPr="003846D5">
        <w:rPr>
          <w:rFonts w:cs="Arial"/>
          <w:spacing w:val="-4"/>
        </w:rPr>
        <w:t xml:space="preserve"> dle dostupných údajů z roku 2012</w:t>
      </w:r>
      <w:r w:rsidR="009F0E10" w:rsidRPr="003846D5">
        <w:rPr>
          <w:rFonts w:cs="Arial"/>
          <w:spacing w:val="-4"/>
        </w:rPr>
        <w:t>,</w:t>
      </w:r>
      <w:r w:rsidRPr="003846D5">
        <w:rPr>
          <w:rFonts w:cs="Arial"/>
          <w:spacing w:val="-4"/>
        </w:rPr>
        <w:t xml:space="preserve"> mezi zeměmi EU devátá nejméně efektivní, materiálová náročnost odvětví zemědělství, lesnictví a rybářství byla osmá </w:t>
      </w:r>
      <w:r w:rsidR="009F0E10" w:rsidRPr="003846D5">
        <w:rPr>
          <w:rFonts w:cs="Arial"/>
          <w:spacing w:val="-4"/>
        </w:rPr>
        <w:t>nejvyšší</w:t>
      </w:r>
      <w:r w:rsidRPr="003846D5">
        <w:rPr>
          <w:rFonts w:cs="Arial"/>
          <w:spacing w:val="-4"/>
        </w:rPr>
        <w:t xml:space="preserve">. V každém roce z období 2010-2012 potřebovalo české zemědělství, lesnictví a rybářství na jedno sto jednotek produkce v </w:t>
      </w:r>
      <w:proofErr w:type="spellStart"/>
      <w:r w:rsidRPr="003846D5">
        <w:rPr>
          <w:rFonts w:cs="Arial"/>
          <w:spacing w:val="-4"/>
        </w:rPr>
        <w:t>bc</w:t>
      </w:r>
      <w:proofErr w:type="spellEnd"/>
      <w:r w:rsidRPr="003846D5">
        <w:rPr>
          <w:rFonts w:cs="Arial"/>
          <w:spacing w:val="-4"/>
        </w:rPr>
        <w:t xml:space="preserve">. větší počet jednotek </w:t>
      </w:r>
      <w:proofErr w:type="spellStart"/>
      <w:r w:rsidRPr="003846D5">
        <w:rPr>
          <w:rFonts w:cs="Arial"/>
          <w:spacing w:val="-4"/>
        </w:rPr>
        <w:t>mezispotřeby</w:t>
      </w:r>
      <w:proofErr w:type="spellEnd"/>
      <w:r w:rsidRPr="003846D5">
        <w:rPr>
          <w:rFonts w:cs="Arial"/>
          <w:spacing w:val="-4"/>
        </w:rPr>
        <w:t xml:space="preserve"> než německé a polské. To </w:t>
      </w:r>
      <w:r w:rsidR="00D17CD5" w:rsidRPr="003846D5">
        <w:rPr>
          <w:rFonts w:cs="Arial"/>
          <w:spacing w:val="-4"/>
        </w:rPr>
        <w:t>mohlo přispívat</w:t>
      </w:r>
      <w:r w:rsidRPr="003846D5">
        <w:rPr>
          <w:rFonts w:cs="Arial"/>
          <w:spacing w:val="-4"/>
        </w:rPr>
        <w:t xml:space="preserve"> k nižší cenové konkurencesc</w:t>
      </w:r>
      <w:r w:rsidR="00D17CD5" w:rsidRPr="003846D5">
        <w:rPr>
          <w:rFonts w:cs="Arial"/>
          <w:spacing w:val="-4"/>
        </w:rPr>
        <w:t>hopnosti domácích prvovýrobců a</w:t>
      </w:r>
      <w:r w:rsidRPr="003846D5">
        <w:rPr>
          <w:rFonts w:cs="Arial"/>
          <w:spacing w:val="-4"/>
        </w:rPr>
        <w:t xml:space="preserve"> být</w:t>
      </w:r>
      <w:r w:rsidR="00D17CD5" w:rsidRPr="003846D5">
        <w:rPr>
          <w:rFonts w:cs="Arial"/>
          <w:spacing w:val="-4"/>
        </w:rPr>
        <w:t xml:space="preserve"> tak</w:t>
      </w:r>
      <w:r w:rsidRPr="003846D5">
        <w:rPr>
          <w:rFonts w:cs="Arial"/>
          <w:spacing w:val="-4"/>
        </w:rPr>
        <w:t xml:space="preserve"> jedním z důvodů pokračujícího nárůstu dovozů</w:t>
      </w:r>
      <w:r w:rsidR="00D17CD5" w:rsidRPr="003846D5">
        <w:rPr>
          <w:rFonts w:cs="Arial"/>
          <w:spacing w:val="-4"/>
        </w:rPr>
        <w:t xml:space="preserve"> levnějších</w:t>
      </w:r>
      <w:r w:rsidRPr="003846D5">
        <w:rPr>
          <w:rFonts w:cs="Arial"/>
          <w:spacing w:val="-4"/>
        </w:rPr>
        <w:t xml:space="preserve"> finálních potravin respektive polotovarů k výrobě potravin do ČR, a to právě z těchto zemí.</w:t>
      </w:r>
    </w:p>
    <w:p w:rsidR="006F7329" w:rsidRPr="003846D5" w:rsidRDefault="006F7329" w:rsidP="006F7329">
      <w:pPr>
        <w:rPr>
          <w:rFonts w:cs="Arial"/>
          <w:sz w:val="16"/>
          <w:szCs w:val="16"/>
        </w:rPr>
      </w:pPr>
    </w:p>
    <w:p w:rsidR="006F7329" w:rsidRPr="003846D5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6"/>
        </w:rPr>
      </w:pPr>
      <w:r w:rsidRPr="003846D5">
        <w:rPr>
          <w:rFonts w:cs="Arial"/>
          <w:spacing w:val="-6"/>
        </w:rPr>
        <w:t>Produktivita práce v primárním sektoru je diferencovaná. Zatímco pracovníci v zemědělství, lesnictví a</w:t>
      </w:r>
      <w:r w:rsidR="004E049D" w:rsidRPr="003846D5">
        <w:rPr>
          <w:rFonts w:cs="Arial"/>
          <w:spacing w:val="-6"/>
        </w:rPr>
        <w:t> </w:t>
      </w:r>
      <w:r w:rsidRPr="003846D5">
        <w:rPr>
          <w:rFonts w:cs="Arial"/>
          <w:spacing w:val="-6"/>
        </w:rPr>
        <w:t>rybářství, odvětví vysoce náročném na práci, vytvářeli za jednu hodinu práce v každém roce z období 1995-2013 menší hrubou přidanou hodnotu v </w:t>
      </w:r>
      <w:proofErr w:type="spellStart"/>
      <w:r w:rsidRPr="003846D5">
        <w:rPr>
          <w:rFonts w:cs="Arial"/>
          <w:spacing w:val="-6"/>
        </w:rPr>
        <w:t>bc</w:t>
      </w:r>
      <w:proofErr w:type="spellEnd"/>
      <w:r w:rsidRPr="003846D5">
        <w:rPr>
          <w:rFonts w:cs="Arial"/>
          <w:spacing w:val="-6"/>
        </w:rPr>
        <w:t>. než odpovídalo úhrnu za celou ekonomiku, osoby</w:t>
      </w:r>
      <w:r w:rsidR="009F0E10" w:rsidRPr="003846D5">
        <w:rPr>
          <w:rFonts w:cs="Arial"/>
          <w:spacing w:val="-6"/>
        </w:rPr>
        <w:t xml:space="preserve"> zaměstnané</w:t>
      </w:r>
      <w:r w:rsidRPr="003846D5">
        <w:rPr>
          <w:rFonts w:cs="Arial"/>
          <w:spacing w:val="-6"/>
        </w:rPr>
        <w:t xml:space="preserve"> v těžbě a dobývání, odvětví náročném na kapitál, vytvářely naopak vždy hodnotu výrazně vyšší. Rozdílná úroveň produktivity práce se odrážela i v odlišných úrovních průměrných mezd samotných zaměstnanců. Ty byly v těžbě a dobývání v porovnání s úhrnem za celou ekonomiku, jak</w:t>
      </w:r>
      <w:r w:rsidR="004E049D" w:rsidRPr="003846D5">
        <w:rPr>
          <w:rFonts w:cs="Arial"/>
          <w:spacing w:val="-6"/>
        </w:rPr>
        <w:t> </w:t>
      </w:r>
      <w:r w:rsidRPr="003846D5">
        <w:rPr>
          <w:rFonts w:cs="Arial"/>
          <w:spacing w:val="-6"/>
        </w:rPr>
        <w:t>plyne z údajů za roky 2000-2013, v průměru o 24,4 % vyšší, v zemědělství, lesnictví a rybářství naopak v průměru o 22,5 % nižší.</w:t>
      </w:r>
    </w:p>
    <w:p w:rsidR="006F7329" w:rsidRPr="003846D5" w:rsidRDefault="006F7329" w:rsidP="006F7329">
      <w:pPr>
        <w:rPr>
          <w:rFonts w:cs="Arial"/>
          <w:sz w:val="16"/>
          <w:szCs w:val="16"/>
        </w:rPr>
      </w:pPr>
    </w:p>
    <w:p w:rsidR="006F7329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B82D30">
        <w:rPr>
          <w:rFonts w:cs="Arial"/>
        </w:rPr>
        <w:t>Nárůst produktivity práce v reálném vyjádření v primárním sektoru zaostával za vývojem v ekonomice jako celku. Zatímco v zemědělství, lesnictví a rybářství</w:t>
      </w:r>
      <w:r w:rsidR="004B7064" w:rsidRPr="00B82D30">
        <w:rPr>
          <w:rFonts w:cs="Arial"/>
        </w:rPr>
        <w:t xml:space="preserve"> narostla</w:t>
      </w:r>
      <w:r w:rsidRPr="00B82D30">
        <w:rPr>
          <w:rFonts w:cs="Arial"/>
        </w:rPr>
        <w:t xml:space="preserve"> produktivita práce mezi rokem 1995 a</w:t>
      </w:r>
      <w:r w:rsidR="004E049D" w:rsidRPr="00B82D30">
        <w:rPr>
          <w:rFonts w:cs="Arial"/>
        </w:rPr>
        <w:t> </w:t>
      </w:r>
      <w:r w:rsidRPr="00B82D30">
        <w:rPr>
          <w:rFonts w:cs="Arial"/>
        </w:rPr>
        <w:t>2013 o 31,6 % a v těžbě a dobývání o 12,6 %, v ekonomice jako celku posílila o 59,3 %. V samotném období 2009-2013, letech zahrnujících nejhlubší i nejdelší recesi v historii ČR, produktivita práce v ekonomice narůstala v průměru jen o 0,3 % za rok, v zemědělství, lesnictví a rybářství ale o 0,5 % klesala, v těžbě a dobývání se zhoršovala o 0,4 % za rok. Obě odvětví primárního sektoru patřila mezi třináct z hlavních dvaceti, jejichž konkurenceschopnost se zhoršovala.</w:t>
      </w:r>
    </w:p>
    <w:p w:rsidR="003846D5" w:rsidRPr="003846D5" w:rsidRDefault="003846D5" w:rsidP="003846D5">
      <w:pPr>
        <w:rPr>
          <w:rFonts w:cs="Arial"/>
          <w:sz w:val="16"/>
          <w:szCs w:val="16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4"/>
        </w:rPr>
      </w:pPr>
      <w:r w:rsidRPr="00B82D30">
        <w:rPr>
          <w:rFonts w:cs="Arial"/>
          <w:spacing w:val="-4"/>
        </w:rPr>
        <w:t>V primárním sektoru se v kumulaci za roky 2012 a 2013 proinvestovalo 114,4 mld. korun v </w:t>
      </w:r>
      <w:proofErr w:type="spellStart"/>
      <w:r w:rsidRPr="00B82D30">
        <w:rPr>
          <w:rFonts w:cs="Arial"/>
          <w:spacing w:val="-4"/>
        </w:rPr>
        <w:t>bc</w:t>
      </w:r>
      <w:proofErr w:type="spellEnd"/>
      <w:r w:rsidRPr="00B82D30">
        <w:rPr>
          <w:rFonts w:cs="Arial"/>
          <w:spacing w:val="-4"/>
        </w:rPr>
        <w:t xml:space="preserve">., o rovných 30 mld. korun více než v předchozích dvou letech. Zatímco těžba a dobývání investice zvýšila jen </w:t>
      </w:r>
      <w:r w:rsidRPr="00B82D30">
        <w:rPr>
          <w:rFonts w:cs="Arial"/>
          <w:spacing w:val="-4"/>
        </w:rPr>
        <w:lastRenderedPageBreak/>
        <w:t>o 0,2 mld. korun, v zemědělství, lesnictví a rybářství se proinvestovalo o 29,8 mld. kor</w:t>
      </w:r>
      <w:r w:rsidR="009F0E10" w:rsidRPr="00B82D30">
        <w:rPr>
          <w:rFonts w:cs="Arial"/>
          <w:spacing w:val="-4"/>
        </w:rPr>
        <w:t>un více. Podnikající v z</w:t>
      </w:r>
      <w:r w:rsidRPr="00B82D30">
        <w:rPr>
          <w:rFonts w:cs="Arial"/>
          <w:spacing w:val="-4"/>
        </w:rPr>
        <w:t>emědělstv</w:t>
      </w:r>
      <w:r w:rsidR="009F0E10" w:rsidRPr="00B82D30">
        <w:rPr>
          <w:rFonts w:cs="Arial"/>
          <w:spacing w:val="-4"/>
        </w:rPr>
        <w:t>í, lesnictví a rybářství zvýšili</w:t>
      </w:r>
      <w:r w:rsidRPr="00B82D30">
        <w:rPr>
          <w:rFonts w:cs="Arial"/>
          <w:spacing w:val="-4"/>
        </w:rPr>
        <w:t xml:space="preserve"> zejména investice do budov a staveb (+20,3 mld. korun), do strojů a zařízení – kam spadají i dopravní prostředky – se</w:t>
      </w:r>
      <w:r w:rsidR="009F0E10" w:rsidRPr="00B82D30">
        <w:rPr>
          <w:rFonts w:cs="Arial"/>
          <w:spacing w:val="-4"/>
        </w:rPr>
        <w:t xml:space="preserve"> v porovnání s úhrnem za roky 2010 a 2011</w:t>
      </w:r>
      <w:r w:rsidRPr="00B82D30">
        <w:rPr>
          <w:rFonts w:cs="Arial"/>
          <w:spacing w:val="-4"/>
        </w:rPr>
        <w:t xml:space="preserve"> investovala částka o 11,0 mld. korun vyšší. Nominální přírůstek </w:t>
      </w:r>
      <w:r w:rsidR="004E049D" w:rsidRPr="00B82D30">
        <w:rPr>
          <w:rFonts w:cs="Arial"/>
          <w:spacing w:val="-4"/>
        </w:rPr>
        <w:t>investic do budov a staveb a strojů a zařízení</w:t>
      </w:r>
      <w:r w:rsidRPr="00B82D30">
        <w:rPr>
          <w:rFonts w:cs="Arial"/>
          <w:spacing w:val="-4"/>
        </w:rPr>
        <w:t>  v odvětví zemědělství, lesnictví a rybářství byl</w:t>
      </w:r>
      <w:r w:rsidR="009F0E10" w:rsidRPr="00B82D30">
        <w:rPr>
          <w:rFonts w:cs="Arial"/>
          <w:spacing w:val="-4"/>
        </w:rPr>
        <w:t xml:space="preserve"> v kumulaci</w:t>
      </w:r>
      <w:r w:rsidRPr="00B82D30">
        <w:rPr>
          <w:rFonts w:cs="Arial"/>
          <w:spacing w:val="-4"/>
        </w:rPr>
        <w:t xml:space="preserve"> za roky 2012 a 2013 historicky nejvyšší.</w:t>
      </w:r>
    </w:p>
    <w:p w:rsidR="006F7329" w:rsidRPr="003846D5" w:rsidRDefault="006F7329" w:rsidP="006F7329">
      <w:pPr>
        <w:rPr>
          <w:rFonts w:cs="Arial"/>
          <w:spacing w:val="-6"/>
          <w:sz w:val="16"/>
          <w:szCs w:val="16"/>
        </w:rPr>
      </w:pPr>
    </w:p>
    <w:p w:rsidR="006F7329" w:rsidRPr="00886F9A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886F9A">
        <w:rPr>
          <w:rFonts w:cs="Arial"/>
        </w:rPr>
        <w:t>Pozice tuzemského zemědělství, lesnictví a rybářství z hlediska míry investic v </w:t>
      </w:r>
      <w:proofErr w:type="spellStart"/>
      <w:r w:rsidRPr="00886F9A">
        <w:rPr>
          <w:rFonts w:cs="Arial"/>
        </w:rPr>
        <w:t>bc</w:t>
      </w:r>
      <w:proofErr w:type="spellEnd"/>
      <w:r w:rsidRPr="00886F9A">
        <w:rPr>
          <w:rFonts w:cs="Arial"/>
        </w:rPr>
        <w:t>. (tvorba hrubého fixního kapitálu/hrubá přidaná hodnota) se mezi zeměmi EU, jak plyne z dostupných údajů, výrazně zlepšovala. Jestliže ještě v roce 2009 byla míra investic českého zemědělství, lesnictví a rybářství mezi unijními zeměmi až osmnáctá nejvyšší, v letech 2010 a 2011 už sedmá respektive devátá nejvyšší a</w:t>
      </w:r>
      <w:r w:rsidR="004E049D" w:rsidRPr="00886F9A">
        <w:rPr>
          <w:rFonts w:cs="Arial"/>
        </w:rPr>
        <w:t> </w:t>
      </w:r>
      <w:r w:rsidRPr="00886F9A">
        <w:rPr>
          <w:rFonts w:cs="Arial"/>
        </w:rPr>
        <w:t>v roce 2012 dokonce třetí nejvyšší.</w:t>
      </w:r>
    </w:p>
    <w:p w:rsidR="006F7329" w:rsidRPr="00B82D30" w:rsidRDefault="006F7329" w:rsidP="006F7329">
      <w:pPr>
        <w:rPr>
          <w:rFonts w:cs="Arial"/>
          <w:sz w:val="18"/>
          <w:szCs w:val="18"/>
        </w:rPr>
      </w:pPr>
    </w:p>
    <w:p w:rsidR="00A44083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6"/>
        </w:rPr>
      </w:pPr>
      <w:r w:rsidRPr="00B82D30">
        <w:rPr>
          <w:rFonts w:cs="Arial"/>
          <w:spacing w:val="-6"/>
        </w:rPr>
        <w:t xml:space="preserve">Počet zaměstnaných v zemědělství, lesnictví a rybářství klesl mezi rokem 1993 a 2013 o 114,7 tisíce osob, těžbu a dobývání opustilo 60,3 tisíce pracujících. Zaměstnanost v primárním sektoru jako celku se zmenšovala s výjimkou let 2004, 2011 a 2012 neustále, v roce 2013 byla v porovnání s rokem 1993 skoro poloviční. </w:t>
      </w:r>
    </w:p>
    <w:p w:rsidR="00A44083" w:rsidRPr="003846D5" w:rsidRDefault="00A44083" w:rsidP="00B6087B">
      <w:pPr>
        <w:rPr>
          <w:rFonts w:cs="Arial"/>
          <w:spacing w:val="-6"/>
          <w:sz w:val="16"/>
          <w:szCs w:val="16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6"/>
        </w:rPr>
      </w:pPr>
      <w:r w:rsidRPr="00B82D30">
        <w:rPr>
          <w:rFonts w:cs="Arial"/>
          <w:spacing w:val="-6"/>
        </w:rPr>
        <w:t xml:space="preserve">Struktura pracujících v primárním sektoru se změnila. Ještě v roce 1993 tvořil podíl </w:t>
      </w:r>
      <w:proofErr w:type="spellStart"/>
      <w:r w:rsidRPr="00B82D30">
        <w:rPr>
          <w:rFonts w:cs="Arial"/>
          <w:spacing w:val="-6"/>
        </w:rPr>
        <w:t>sebezaměstnaných</w:t>
      </w:r>
      <w:proofErr w:type="spellEnd"/>
      <w:r w:rsidRPr="00B82D30">
        <w:rPr>
          <w:rFonts w:cs="Arial"/>
          <w:spacing w:val="-6"/>
        </w:rPr>
        <w:t xml:space="preserve"> na všech zaměstnaných osobách v zemědělství, lesnictví a rybářství 10,3 %, do roku 2013 jejich proporce posílila – zejména vlivem rychle se rozvíjejícího malého zemědělství</w:t>
      </w:r>
      <w:r w:rsidR="009F0E10" w:rsidRPr="00B82D30">
        <w:rPr>
          <w:rFonts w:cs="Arial"/>
          <w:spacing w:val="-6"/>
        </w:rPr>
        <w:t xml:space="preserve"> </w:t>
      </w:r>
      <w:r w:rsidR="000D3514" w:rsidRPr="00B82D30">
        <w:rPr>
          <w:rFonts w:cs="Arial"/>
          <w:spacing w:val="-6"/>
        </w:rPr>
        <w:t>při postupném</w:t>
      </w:r>
      <w:r w:rsidR="009F0E10" w:rsidRPr="00B82D30">
        <w:rPr>
          <w:rFonts w:cs="Arial"/>
          <w:spacing w:val="-6"/>
        </w:rPr>
        <w:t xml:space="preserve"> ubývání počtu zaměstnanců</w:t>
      </w:r>
      <w:r w:rsidRPr="00B82D30">
        <w:rPr>
          <w:rFonts w:cs="Arial"/>
          <w:spacing w:val="-6"/>
        </w:rPr>
        <w:t xml:space="preserve"> – na</w:t>
      </w:r>
      <w:r w:rsidR="004E049D" w:rsidRPr="00B82D30">
        <w:rPr>
          <w:rFonts w:cs="Arial"/>
          <w:spacing w:val="-6"/>
        </w:rPr>
        <w:t> </w:t>
      </w:r>
      <w:r w:rsidR="009F0E10" w:rsidRPr="00B82D30">
        <w:rPr>
          <w:rFonts w:cs="Arial"/>
          <w:spacing w:val="-6"/>
        </w:rPr>
        <w:t xml:space="preserve">28,2 %. Zastoupení </w:t>
      </w:r>
      <w:proofErr w:type="spellStart"/>
      <w:r w:rsidR="009F0E10" w:rsidRPr="00B82D30">
        <w:rPr>
          <w:rFonts w:cs="Arial"/>
          <w:spacing w:val="-6"/>
        </w:rPr>
        <w:t>sebezaměstnaných</w:t>
      </w:r>
      <w:proofErr w:type="spellEnd"/>
      <w:r w:rsidR="009F0E10" w:rsidRPr="00B82D30">
        <w:rPr>
          <w:rFonts w:cs="Arial"/>
          <w:spacing w:val="-6"/>
        </w:rPr>
        <w:t xml:space="preserve"> v zemědělství, lesnictví a rybářství narostlo s</w:t>
      </w:r>
      <w:r w:rsidRPr="00B82D30">
        <w:rPr>
          <w:rFonts w:cs="Arial"/>
          <w:spacing w:val="-6"/>
        </w:rPr>
        <w:t> výjimkou stavebnictví nejvíce ze všech odvětví. Těžbu a dobývání, tj. odvětví, které je pro malé živnostníky téměř nedostupné, ale tento trend – který byl patrný i v úhrnu za celou ekonomiku – v podstatě minul.</w:t>
      </w:r>
    </w:p>
    <w:p w:rsidR="006F7329" w:rsidRPr="003846D5" w:rsidRDefault="006F7329" w:rsidP="006F7329">
      <w:pPr>
        <w:rPr>
          <w:rFonts w:cs="Arial"/>
          <w:spacing w:val="-2"/>
          <w:sz w:val="16"/>
          <w:szCs w:val="16"/>
        </w:rPr>
      </w:pPr>
    </w:p>
    <w:p w:rsidR="006F7329" w:rsidRPr="003A0E4D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2"/>
        </w:rPr>
      </w:pPr>
      <w:r w:rsidRPr="003A0E4D">
        <w:rPr>
          <w:rFonts w:cs="Arial"/>
          <w:spacing w:val="-2"/>
        </w:rPr>
        <w:t>Osevní plochy zemědělských plodin</w:t>
      </w:r>
      <w:r w:rsidR="00FE646B">
        <w:rPr>
          <w:rFonts w:cs="Arial"/>
          <w:spacing w:val="-2"/>
        </w:rPr>
        <w:t xml:space="preserve"> </w:t>
      </w:r>
      <w:r w:rsidRPr="003A0E4D">
        <w:rPr>
          <w:rFonts w:cs="Arial"/>
          <w:spacing w:val="-2"/>
        </w:rPr>
        <w:t>se</w:t>
      </w:r>
      <w:r w:rsidR="00C17B6C">
        <w:rPr>
          <w:rFonts w:cs="Arial"/>
          <w:spacing w:val="-2"/>
        </w:rPr>
        <w:t xml:space="preserve"> dlouhodobě</w:t>
      </w:r>
      <w:r w:rsidRPr="003A0E4D">
        <w:rPr>
          <w:rFonts w:cs="Arial"/>
          <w:spacing w:val="-2"/>
        </w:rPr>
        <w:t xml:space="preserve"> zmenšují. V roce 1920 bylo oseto 48,4 % území tehdy ještě neexistující ČR, v roce 2014 ale už jen 31,3 %. Zemědělské plodiny</w:t>
      </w:r>
      <w:r w:rsidR="003A0E4D" w:rsidRPr="003A0E4D">
        <w:rPr>
          <w:rFonts w:cs="Arial"/>
          <w:spacing w:val="-2"/>
        </w:rPr>
        <w:t xml:space="preserve"> bez trvalých kultur</w:t>
      </w:r>
      <w:r w:rsidRPr="003A0E4D">
        <w:rPr>
          <w:rFonts w:cs="Arial"/>
          <w:spacing w:val="-2"/>
        </w:rPr>
        <w:t xml:space="preserve"> se v roce 2014 pěstovaly na půdě o rozloze 2 468,7 tis. ha, v porovnání s rokem předchozím bylo oseto o 8,2 tis. ha méně. Naposledy se</w:t>
      </w:r>
      <w:r w:rsidR="004E049D" w:rsidRPr="003A0E4D">
        <w:rPr>
          <w:rFonts w:cs="Arial"/>
          <w:spacing w:val="-2"/>
        </w:rPr>
        <w:t> </w:t>
      </w:r>
      <w:r w:rsidRPr="003A0E4D">
        <w:rPr>
          <w:rFonts w:cs="Arial"/>
          <w:spacing w:val="-2"/>
        </w:rPr>
        <w:t>osevní plochy rozrostly v roce 2007, v alespoň dvou po sobě jdoucích letech v první polovině osmdesátých let. V porovnání s rokem 1993 se zmenšily osevní plochy všech hlavních zemědělských plodin, výjimkou byla jen řepka. Plochy oseté obilovinami byly o 12,2 % menší, území, na kterém se pěstují brambory, se zmenšilo o 77,1 %. Pole osetá řepkou se naproti tomu rozrostla o 132,5 %. Skoro</w:t>
      </w:r>
      <w:r w:rsidR="00285E8A" w:rsidRPr="003A0E4D">
        <w:rPr>
          <w:rFonts w:cs="Arial"/>
          <w:spacing w:val="-2"/>
        </w:rPr>
        <w:t> </w:t>
      </w:r>
      <w:r w:rsidRPr="003A0E4D">
        <w:rPr>
          <w:rFonts w:cs="Arial"/>
          <w:spacing w:val="-2"/>
        </w:rPr>
        <w:t>každý šestý ha půdy osetý v roce 2014 připadal právě na tuto plodinu.</w:t>
      </w:r>
    </w:p>
    <w:p w:rsidR="006F7329" w:rsidRPr="003846D5" w:rsidRDefault="006F7329" w:rsidP="003846D5">
      <w:pPr>
        <w:pStyle w:val="Textpoznpodarou"/>
        <w:ind w:left="66"/>
        <w:jc w:val="both"/>
        <w:rPr>
          <w:rFonts w:cs="Arial"/>
          <w:sz w:val="16"/>
          <w:szCs w:val="16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B82D30">
        <w:rPr>
          <w:rFonts w:cs="Arial"/>
        </w:rPr>
        <w:t>Výnosy ze sk</w:t>
      </w:r>
      <w:r w:rsidR="00CE61AB">
        <w:rPr>
          <w:rFonts w:cs="Arial"/>
        </w:rPr>
        <w:t xml:space="preserve">lizně zemědělských plodin – v důsledku intenzivnějšího používání postřiků, šlechtění plodin, ale i díky </w:t>
      </w:r>
      <w:r w:rsidRPr="00B82D30">
        <w:rPr>
          <w:rFonts w:cs="Arial"/>
        </w:rPr>
        <w:t>modernizaci strojního arsenálu – rostly. Obilovin bylo z jednoho ha oseté půdy v letech 2004-2013, v porovnání s dekádou 1948-1957, sklizeno v průměru o 158,6 % více. Výnosy technické cukrovky narostly v průměru o 124,4 %, hmotnost brambor sklizených z jednoho ha půdy narostla o</w:t>
      </w:r>
      <w:r w:rsidR="004E049D" w:rsidRPr="00B82D30">
        <w:rPr>
          <w:rFonts w:cs="Arial"/>
        </w:rPr>
        <w:t> </w:t>
      </w:r>
      <w:r w:rsidRPr="00B82D30">
        <w:rPr>
          <w:rFonts w:cs="Arial"/>
        </w:rPr>
        <w:t>92,7</w:t>
      </w:r>
      <w:r w:rsidR="004E049D" w:rsidRPr="00B82D30">
        <w:rPr>
          <w:rFonts w:cs="Arial"/>
        </w:rPr>
        <w:t> </w:t>
      </w:r>
      <w:r w:rsidRPr="00B82D30">
        <w:rPr>
          <w:rFonts w:cs="Arial"/>
        </w:rPr>
        <w:t>%. Výnosy řepky se zvýšily skoro na trojnásobek (+194,8 %).</w:t>
      </w:r>
    </w:p>
    <w:p w:rsidR="006F7329" w:rsidRPr="00B82D30" w:rsidRDefault="006F7329" w:rsidP="006F7329">
      <w:pPr>
        <w:rPr>
          <w:rFonts w:cs="Arial"/>
          <w:sz w:val="18"/>
          <w:szCs w:val="18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B82D30">
        <w:rPr>
          <w:rFonts w:cs="Arial"/>
        </w:rPr>
        <w:t xml:space="preserve">Dlouhodobý pokles stavů hospodářských zvířat v ČR se negativně projevil i v produkci jatečných kusů. V roce 2013 </w:t>
      </w:r>
      <w:r w:rsidR="00C17B6C">
        <w:rPr>
          <w:rFonts w:cs="Arial"/>
        </w:rPr>
        <w:t>bylo v Česku vyprodukováno</w:t>
      </w:r>
      <w:r w:rsidRPr="00B82D30">
        <w:rPr>
          <w:rFonts w:cs="Arial"/>
        </w:rPr>
        <w:t xml:space="preserve"> 164 tis. tun živé váhy skotu, což byla v porovnání s rokem 1989 ani ne třetinová výroba. Hmotnost vyprodukovaných prasat, která dosáhla 302 tis. tun, byla zhruba o tři pětiny menší než před čtyřiadvaceti lety. Výroba drůbeže se snižovala v posledních pěti letech, v roce 2013 </w:t>
      </w:r>
      <w:r w:rsidR="00C17B6C">
        <w:rPr>
          <w:rFonts w:cs="Arial"/>
        </w:rPr>
        <w:t>bylo vyprodukováno</w:t>
      </w:r>
      <w:r w:rsidRPr="00B82D30">
        <w:rPr>
          <w:rFonts w:cs="Arial"/>
        </w:rPr>
        <w:t xml:space="preserve"> 232 tis. tun</w:t>
      </w:r>
      <w:r w:rsidR="00C17B6C">
        <w:rPr>
          <w:rFonts w:cs="Arial"/>
        </w:rPr>
        <w:t xml:space="preserve"> živé váhy</w:t>
      </w:r>
      <w:r w:rsidRPr="00B82D30">
        <w:rPr>
          <w:rFonts w:cs="Arial"/>
        </w:rPr>
        <w:t>. V porovnání s ro</w:t>
      </w:r>
      <w:r w:rsidR="009F0E10" w:rsidRPr="00B82D30">
        <w:rPr>
          <w:rFonts w:cs="Arial"/>
        </w:rPr>
        <w:t>kem 2008 byla produkce drůbeže</w:t>
      </w:r>
      <w:r w:rsidRPr="00B82D30">
        <w:rPr>
          <w:rFonts w:cs="Arial"/>
        </w:rPr>
        <w:t xml:space="preserve"> nižší skoro o třicet procent.</w:t>
      </w:r>
    </w:p>
    <w:p w:rsidR="006F7329" w:rsidRPr="003846D5" w:rsidRDefault="006F7329" w:rsidP="006F7329">
      <w:pPr>
        <w:pStyle w:val="Textpoznpodarou"/>
        <w:jc w:val="both"/>
        <w:rPr>
          <w:rFonts w:cs="Arial"/>
          <w:sz w:val="16"/>
          <w:szCs w:val="16"/>
        </w:rPr>
      </w:pPr>
    </w:p>
    <w:p w:rsidR="006F7329" w:rsidRPr="00296A93" w:rsidRDefault="004E049D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2"/>
        </w:rPr>
      </w:pPr>
      <w:r w:rsidRPr="00296A93">
        <w:rPr>
          <w:rFonts w:cs="Arial"/>
          <w:spacing w:val="-2"/>
        </w:rPr>
        <w:t>V</w:t>
      </w:r>
      <w:r w:rsidR="006F7329" w:rsidRPr="00296A93">
        <w:rPr>
          <w:rFonts w:cs="Arial"/>
          <w:spacing w:val="-2"/>
        </w:rPr>
        <w:t xml:space="preserve"> roce 2014 narostl stav skotu o 20,7 tis. kusů, více se zvýšil naposledy v roce 1990. Počty samotných krav narostly již podruhé, v kumulaci za roky 2013 a 2014 posílily nejvíce od let 1974-1975. Stavy prasat se za roky 2013 a 2014 rozrostly v úhrnu o 38,2 tis. kusů, počty</w:t>
      </w:r>
      <w:r w:rsidR="009F0E10" w:rsidRPr="00296A93">
        <w:rPr>
          <w:rFonts w:cs="Arial"/>
          <w:spacing w:val="-2"/>
        </w:rPr>
        <w:t xml:space="preserve"> samotných</w:t>
      </w:r>
      <w:r w:rsidR="006F7329" w:rsidRPr="00296A93">
        <w:rPr>
          <w:rFonts w:cs="Arial"/>
          <w:spacing w:val="-2"/>
        </w:rPr>
        <w:t xml:space="preserve"> prasnic o 2,8 tis. kusů. K</w:t>
      </w:r>
      <w:r w:rsidRPr="00296A93">
        <w:rPr>
          <w:rFonts w:cs="Arial"/>
          <w:spacing w:val="-2"/>
        </w:rPr>
        <w:t> </w:t>
      </w:r>
      <w:r w:rsidR="006F7329" w:rsidRPr="00296A93">
        <w:rPr>
          <w:rFonts w:cs="Arial"/>
          <w:spacing w:val="-2"/>
        </w:rPr>
        <w:t>tomu</w:t>
      </w:r>
      <w:r w:rsidRPr="00296A93">
        <w:rPr>
          <w:rFonts w:cs="Arial"/>
          <w:spacing w:val="-2"/>
        </w:rPr>
        <w:t> </w:t>
      </w:r>
      <w:r w:rsidR="006F7329" w:rsidRPr="00296A93">
        <w:rPr>
          <w:rFonts w:cs="Arial"/>
          <w:spacing w:val="-2"/>
        </w:rPr>
        <w:t xml:space="preserve">došlo poprvé od let 1996-1997. Poměrně pozitivně </w:t>
      </w:r>
      <w:r w:rsidR="007B3A81" w:rsidRPr="00296A93">
        <w:rPr>
          <w:rFonts w:cs="Arial"/>
          <w:spacing w:val="-2"/>
        </w:rPr>
        <w:t>se jevil i vývoj produkce mléka.</w:t>
      </w:r>
      <w:r w:rsidR="006F7329" w:rsidRPr="00296A93">
        <w:rPr>
          <w:rFonts w:cs="Arial"/>
          <w:spacing w:val="-2"/>
        </w:rPr>
        <w:t xml:space="preserve"> </w:t>
      </w:r>
      <w:r w:rsidR="007B3A81" w:rsidRPr="00296A93">
        <w:rPr>
          <w:rFonts w:cs="Arial"/>
          <w:spacing w:val="-2"/>
        </w:rPr>
        <w:t>V úhrnu z</w:t>
      </w:r>
      <w:r w:rsidR="006F7329" w:rsidRPr="00296A93">
        <w:rPr>
          <w:rFonts w:cs="Arial"/>
          <w:spacing w:val="-2"/>
        </w:rPr>
        <w:t>a roky 2011-2013 posílila</w:t>
      </w:r>
      <w:r w:rsidR="007B3A81" w:rsidRPr="00296A93">
        <w:rPr>
          <w:rFonts w:cs="Arial"/>
          <w:spacing w:val="-2"/>
        </w:rPr>
        <w:t xml:space="preserve"> o 6,2 %, v</w:t>
      </w:r>
      <w:r w:rsidR="006F7329" w:rsidRPr="00296A93">
        <w:rPr>
          <w:rFonts w:cs="Arial"/>
          <w:spacing w:val="-2"/>
        </w:rPr>
        <w:t> samotném roce 2013 bylo v Česku vyrobeno nejvíce mléka od</w:t>
      </w:r>
      <w:r w:rsidR="00285E8A" w:rsidRPr="00296A93">
        <w:rPr>
          <w:rFonts w:cs="Arial"/>
          <w:spacing w:val="-2"/>
        </w:rPr>
        <w:t> </w:t>
      </w:r>
      <w:r w:rsidR="006F7329" w:rsidRPr="00296A93">
        <w:rPr>
          <w:rFonts w:cs="Arial"/>
          <w:spacing w:val="-2"/>
        </w:rPr>
        <w:t>roku 1996.</w:t>
      </w:r>
    </w:p>
    <w:p w:rsidR="003846D5" w:rsidRPr="003846D5" w:rsidRDefault="003846D5" w:rsidP="003846D5">
      <w:pPr>
        <w:rPr>
          <w:rFonts w:cs="Arial"/>
          <w:sz w:val="16"/>
          <w:szCs w:val="16"/>
        </w:rPr>
      </w:pPr>
    </w:p>
    <w:p w:rsidR="003846D5" w:rsidRPr="00886F9A" w:rsidRDefault="003846D5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pacing w:val="-6"/>
        </w:rPr>
      </w:pPr>
      <w:r w:rsidRPr="00886F9A">
        <w:rPr>
          <w:rFonts w:cs="Arial"/>
          <w:spacing w:val="-6"/>
        </w:rPr>
        <w:t>Z dlouhodobých časových řad lze zhodnotit, že situace v</w:t>
      </w:r>
      <w:r w:rsidR="00C17B6C">
        <w:rPr>
          <w:rFonts w:cs="Arial"/>
          <w:spacing w:val="-6"/>
        </w:rPr>
        <w:t> tuzemské živočišné výrobě</w:t>
      </w:r>
      <w:r w:rsidRPr="00886F9A">
        <w:rPr>
          <w:rFonts w:cs="Arial"/>
          <w:spacing w:val="-6"/>
        </w:rPr>
        <w:t xml:space="preserve"> </w:t>
      </w:r>
      <w:r w:rsidR="00296A93" w:rsidRPr="00886F9A">
        <w:rPr>
          <w:rFonts w:cs="Arial"/>
          <w:spacing w:val="-6"/>
        </w:rPr>
        <w:t xml:space="preserve">se </w:t>
      </w:r>
      <w:r w:rsidR="00C17B6C">
        <w:rPr>
          <w:rFonts w:cs="Arial"/>
          <w:spacing w:val="-6"/>
        </w:rPr>
        <w:t>začíná stabilizovat, s</w:t>
      </w:r>
      <w:r w:rsidR="00296A93" w:rsidRPr="00886F9A">
        <w:rPr>
          <w:rFonts w:cs="Arial"/>
          <w:spacing w:val="-6"/>
        </w:rPr>
        <w:t>tavy</w:t>
      </w:r>
      <w:r w:rsidR="00C17B6C">
        <w:rPr>
          <w:rFonts w:cs="Arial"/>
          <w:spacing w:val="-6"/>
        </w:rPr>
        <w:t xml:space="preserve"> skotu a prasat pozvolna rostou. R</w:t>
      </w:r>
      <w:r w:rsidR="00296A93" w:rsidRPr="00886F9A">
        <w:rPr>
          <w:rFonts w:cs="Arial"/>
          <w:spacing w:val="-6"/>
        </w:rPr>
        <w:t xml:space="preserve">ostlinná výroba </w:t>
      </w:r>
      <w:r w:rsidR="00C17B6C">
        <w:rPr>
          <w:rFonts w:cs="Arial"/>
          <w:spacing w:val="-6"/>
        </w:rPr>
        <w:t>se orientuje ve větší míře na pěstování rentabilních plodin, například řepky</w:t>
      </w:r>
      <w:r w:rsidR="00886F9A" w:rsidRPr="00886F9A">
        <w:rPr>
          <w:rFonts w:cs="Arial"/>
          <w:spacing w:val="-6"/>
        </w:rPr>
        <w:t>. Pozitivně, co se týče výhledu do budoucnosti, se jeví výrazně posílené investice.</w:t>
      </w:r>
    </w:p>
    <w:p w:rsidR="006F7329" w:rsidRPr="003846D5" w:rsidRDefault="006F7329" w:rsidP="006F7329">
      <w:pPr>
        <w:rPr>
          <w:rFonts w:cs="Arial"/>
          <w:sz w:val="16"/>
          <w:szCs w:val="16"/>
        </w:rPr>
      </w:pPr>
    </w:p>
    <w:p w:rsidR="006F7329" w:rsidRPr="00B82D30" w:rsidRDefault="006F7329" w:rsidP="006F7329">
      <w:pPr>
        <w:pStyle w:val="Textpoznpodarou"/>
        <w:numPr>
          <w:ilvl w:val="0"/>
          <w:numId w:val="5"/>
        </w:numPr>
        <w:ind w:left="426"/>
        <w:jc w:val="both"/>
        <w:rPr>
          <w:rFonts w:cs="Arial"/>
        </w:rPr>
      </w:pPr>
      <w:r w:rsidRPr="00B82D30">
        <w:rPr>
          <w:rFonts w:cs="Arial"/>
        </w:rPr>
        <w:t>V roce 2013 bylo v ČR vytěženo 15,3 mil. m3 dřeva bez kůry</w:t>
      </w:r>
      <w:r w:rsidR="009F0E10" w:rsidRPr="00B82D30">
        <w:rPr>
          <w:rFonts w:cs="Arial"/>
        </w:rPr>
        <w:t>. To bylo zhruba srovnatelné s objemem z let</w:t>
      </w:r>
      <w:r w:rsidRPr="00B82D30">
        <w:rPr>
          <w:rFonts w:cs="Arial"/>
        </w:rPr>
        <w:t xml:space="preserve"> 2012 i 2011, avšak o 17,2 </w:t>
      </w:r>
      <w:r w:rsidR="009F0E10" w:rsidRPr="00B82D30">
        <w:rPr>
          <w:rFonts w:cs="Arial"/>
        </w:rPr>
        <w:t>% méně v porovnání s rokem 2007</w:t>
      </w:r>
      <w:r w:rsidRPr="00B82D30">
        <w:rPr>
          <w:rFonts w:cs="Arial"/>
        </w:rPr>
        <w:t>. Z celkového objemu vytěženého dřeva v roce 2013 připadalo 86,3 % na jehličnany, listnaté dřeviny tvořily 13,7 % těžby.</w:t>
      </w:r>
    </w:p>
    <w:p w:rsidR="006F7329" w:rsidRPr="003846D5" w:rsidRDefault="006F7329" w:rsidP="006F7329">
      <w:pPr>
        <w:rPr>
          <w:rFonts w:cs="Arial"/>
          <w:sz w:val="16"/>
          <w:szCs w:val="16"/>
        </w:rPr>
      </w:pPr>
    </w:p>
    <w:p w:rsidR="003846D5" w:rsidRPr="003846D5" w:rsidRDefault="006F7329" w:rsidP="003846D5">
      <w:pPr>
        <w:pStyle w:val="Textpoznpodarou"/>
        <w:numPr>
          <w:ilvl w:val="0"/>
          <w:numId w:val="5"/>
        </w:numPr>
        <w:ind w:left="426"/>
        <w:jc w:val="both"/>
        <w:rPr>
          <w:rFonts w:cs="Arial"/>
          <w:sz w:val="16"/>
          <w:szCs w:val="16"/>
        </w:rPr>
      </w:pPr>
      <w:r w:rsidRPr="003846D5">
        <w:rPr>
          <w:rFonts w:cs="Arial"/>
        </w:rPr>
        <w:t>Těžba uhlí v ČR klesá. Hmotnost vydobytého černého uhlí se snižuje od počátku osmdesátých let,</w:t>
      </w:r>
      <w:r w:rsidR="00285E8A" w:rsidRPr="003846D5">
        <w:rPr>
          <w:rFonts w:cs="Arial"/>
        </w:rPr>
        <w:t> </w:t>
      </w:r>
      <w:r w:rsidRPr="003846D5">
        <w:rPr>
          <w:rFonts w:cs="Arial"/>
        </w:rPr>
        <w:t xml:space="preserve">hnědého uhlí a lignitu od poloviny osmdesátých let. </w:t>
      </w:r>
      <w:r w:rsidR="009F0E10" w:rsidRPr="003846D5">
        <w:rPr>
          <w:rFonts w:cs="Arial"/>
        </w:rPr>
        <w:t>V úhrnu z</w:t>
      </w:r>
      <w:r w:rsidR="00A47382">
        <w:rPr>
          <w:rFonts w:cs="Arial"/>
        </w:rPr>
        <w:t>a roky 2004-2013</w:t>
      </w:r>
      <w:r w:rsidRPr="003846D5">
        <w:rPr>
          <w:rFonts w:cs="Arial"/>
        </w:rPr>
        <w:t xml:space="preserve"> víc</w:t>
      </w:r>
      <w:r w:rsidR="00A47382">
        <w:rPr>
          <w:rFonts w:cs="Arial"/>
        </w:rPr>
        <w:t>e klesla těžba černého uhlí (-37,0</w:t>
      </w:r>
      <w:r w:rsidRPr="003846D5">
        <w:rPr>
          <w:rFonts w:cs="Arial"/>
        </w:rPr>
        <w:t xml:space="preserve"> %</w:t>
      </w:r>
      <w:r w:rsidR="00A47382">
        <w:rPr>
          <w:rFonts w:cs="Arial"/>
        </w:rPr>
        <w:t>) než hnědého uhlí a lignitu (-19,7</w:t>
      </w:r>
      <w:r w:rsidRPr="003846D5">
        <w:rPr>
          <w:rFonts w:cs="Arial"/>
        </w:rPr>
        <w:t xml:space="preserve"> %), útlum tak pocítili především pracující v Moravskoslezském kraji. Budoucnost, pokud nebudou prolomeny územní limity těžby hnědého uhlí, ale patrně přinese problémy pracujícím na severozápadě Čech, v Ústeckém a Karlovarském kraji.</w:t>
      </w:r>
    </w:p>
    <w:sectPr w:rsidR="003846D5" w:rsidRPr="003846D5" w:rsidSect="00997F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3F" w:rsidRDefault="00FA173F" w:rsidP="000B7410">
      <w:r>
        <w:separator/>
      </w:r>
    </w:p>
  </w:endnote>
  <w:endnote w:type="continuationSeparator" w:id="0">
    <w:p w:rsidR="00FA173F" w:rsidRDefault="00FA173F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1A1D38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97FAF">
      <w:rPr>
        <w:rFonts w:ascii="Arial" w:hAnsi="Arial" w:cs="Arial"/>
        <w:noProof/>
        <w:sz w:val="16"/>
        <w:szCs w:val="16"/>
      </w:rPr>
      <w:t>6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1A1D38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1A1D3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A1D38" w:rsidRPr="00B6608F">
      <w:rPr>
        <w:rFonts w:ascii="Arial" w:hAnsi="Arial" w:cs="Arial"/>
        <w:sz w:val="16"/>
        <w:szCs w:val="16"/>
      </w:rPr>
      <w:fldChar w:fldCharType="separate"/>
    </w:r>
    <w:r w:rsidR="00997FAF">
      <w:rPr>
        <w:rFonts w:ascii="Arial" w:hAnsi="Arial" w:cs="Arial"/>
        <w:noProof/>
        <w:sz w:val="16"/>
        <w:szCs w:val="16"/>
      </w:rPr>
      <w:t>7</w:t>
    </w:r>
    <w:r w:rsidR="001A1D3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3F" w:rsidRDefault="00FA173F" w:rsidP="000B7410">
      <w:r>
        <w:separator/>
      </w:r>
    </w:p>
  </w:footnote>
  <w:footnote w:type="continuationSeparator" w:id="0">
    <w:p w:rsidR="00FA173F" w:rsidRDefault="00FA173F" w:rsidP="000B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58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23C1"/>
    <w:rsid w:val="0005268C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1D38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581A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1834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FD5"/>
    <w:rsid w:val="002C317E"/>
    <w:rsid w:val="002C521C"/>
    <w:rsid w:val="002C6A22"/>
    <w:rsid w:val="002C6EE3"/>
    <w:rsid w:val="002C70F3"/>
    <w:rsid w:val="002C725B"/>
    <w:rsid w:val="002C79A6"/>
    <w:rsid w:val="002D2944"/>
    <w:rsid w:val="002D2B1D"/>
    <w:rsid w:val="002D3429"/>
    <w:rsid w:val="002D6C7D"/>
    <w:rsid w:val="002D6D82"/>
    <w:rsid w:val="002E0864"/>
    <w:rsid w:val="002E1238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14F2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40D8"/>
    <w:rsid w:val="006A5AEB"/>
    <w:rsid w:val="006A5BDF"/>
    <w:rsid w:val="006A60B7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D34"/>
    <w:rsid w:val="0074629C"/>
    <w:rsid w:val="00746E96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E64"/>
    <w:rsid w:val="00761946"/>
    <w:rsid w:val="00761B9C"/>
    <w:rsid w:val="007622D6"/>
    <w:rsid w:val="00762B60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C93"/>
    <w:rsid w:val="009622C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97FAF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7A62"/>
    <w:rsid w:val="00CF7A7B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73F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D15B-4282-4276-A2D0-C1CE50C2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1545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279</cp:revision>
  <dcterms:created xsi:type="dcterms:W3CDTF">2014-10-03T12:24:00Z</dcterms:created>
  <dcterms:modified xsi:type="dcterms:W3CDTF">2014-11-28T10:03:00Z</dcterms:modified>
</cp:coreProperties>
</file>