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9C" w:rsidRPr="00B82D30" w:rsidRDefault="00036134" w:rsidP="00036134">
      <w:pPr>
        <w:pStyle w:val="Nadpis1"/>
        <w:numPr>
          <w:ilvl w:val="0"/>
          <w:numId w:val="0"/>
        </w:numPr>
        <w:ind w:left="1134" w:hanging="1134"/>
      </w:pPr>
      <w:r>
        <w:t xml:space="preserve">2. </w:t>
      </w:r>
      <w:r w:rsidR="0074629C" w:rsidRPr="00B82D30">
        <w:t>Vybrané aspekty konkurenceschopnosti</w:t>
      </w:r>
    </w:p>
    <w:p w:rsidR="0074629C" w:rsidRPr="00B82D30" w:rsidRDefault="0074629C" w:rsidP="0074629C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9694"/>
      </w:tblGrid>
      <w:tr w:rsidR="0074629C" w:rsidRPr="00B82D30" w:rsidTr="000E63FC">
        <w:tc>
          <w:tcPr>
            <w:tcW w:w="5000" w:type="pct"/>
          </w:tcPr>
          <w:p w:rsidR="0074629C" w:rsidRPr="00B82D30" w:rsidRDefault="000A60AC" w:rsidP="009B75CC">
            <w:pPr>
              <w:pStyle w:val="Textpoznpodarou"/>
              <w:jc w:val="both"/>
            </w:pPr>
            <w:r w:rsidRPr="00B82D30">
              <w:t>Konkurenceschopnost firem, odvětví a celých ekonomik ovlivňuje řada faktorů. V této kapitole se zaměřujeme na</w:t>
            </w:r>
            <w:r w:rsidR="009B75CC" w:rsidRPr="00B82D30">
              <w:t> </w:t>
            </w:r>
            <w:r w:rsidRPr="00B82D30">
              <w:t>vybrané aspekty konkurenceschopnosti</w:t>
            </w:r>
            <w:r w:rsidR="00063A52" w:rsidRPr="00B82D30">
              <w:t xml:space="preserve"> </w:t>
            </w:r>
            <w:r w:rsidRPr="00B82D30">
              <w:t>primární</w:t>
            </w:r>
            <w:r w:rsidR="009B75CC" w:rsidRPr="00B82D30">
              <w:t>ho</w:t>
            </w:r>
            <w:r w:rsidRPr="00B82D30">
              <w:t xml:space="preserve"> sekto</w:t>
            </w:r>
            <w:r w:rsidR="00063A52" w:rsidRPr="00B82D30">
              <w:t>r</w:t>
            </w:r>
            <w:r w:rsidR="009B75CC" w:rsidRPr="00B82D30">
              <w:t>u.</w:t>
            </w:r>
            <w:r w:rsidRPr="00B82D30">
              <w:t xml:space="preserve"> </w:t>
            </w:r>
            <w:r w:rsidR="00063A52" w:rsidRPr="00B82D30">
              <w:t>Konkrétně</w:t>
            </w:r>
            <w:r w:rsidRPr="00B82D30">
              <w:t xml:space="preserve"> se</w:t>
            </w:r>
            <w:r w:rsidR="009B75CC" w:rsidRPr="00B82D30">
              <w:t> </w:t>
            </w:r>
            <w:r w:rsidR="00063A52" w:rsidRPr="00B82D30">
              <w:t>jedná</w:t>
            </w:r>
            <w:r w:rsidRPr="00B82D30">
              <w:t xml:space="preserve"> o efektivitu zpracování vstupů na produkt, produktivitu práce, náklady práce a investiční aktivitu.</w:t>
            </w:r>
          </w:p>
        </w:tc>
      </w:tr>
    </w:tbl>
    <w:p w:rsidR="0074629C" w:rsidRPr="00B82D30" w:rsidRDefault="0074629C" w:rsidP="0074629C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9694"/>
      </w:tblGrid>
      <w:tr w:rsidR="0074629C" w:rsidRPr="00B82D30" w:rsidTr="00011A65">
        <w:tc>
          <w:tcPr>
            <w:tcW w:w="5000" w:type="pct"/>
          </w:tcPr>
          <w:p w:rsidR="0074629C" w:rsidRPr="00B82D30" w:rsidRDefault="0074629C" w:rsidP="0074629C">
            <w:pPr>
              <w:pStyle w:val="Textpoznpodarou"/>
              <w:jc w:val="both"/>
              <w:rPr>
                <w:sz w:val="22"/>
                <w:szCs w:val="22"/>
              </w:rPr>
            </w:pPr>
            <w:r w:rsidRPr="00B82D30">
              <w:rPr>
                <w:b/>
                <w:sz w:val="22"/>
                <w:szCs w:val="22"/>
              </w:rPr>
              <w:t>2.1. Efektivita zpracování vstupů na produkt</w:t>
            </w:r>
            <w:r w:rsidRPr="00B82D30">
              <w:rPr>
                <w:rStyle w:val="Znakapoznpodarou"/>
                <w:b/>
                <w:sz w:val="22"/>
                <w:szCs w:val="22"/>
              </w:rPr>
              <w:footnoteReference w:id="1"/>
            </w:r>
          </w:p>
        </w:tc>
      </w:tr>
    </w:tbl>
    <w:p w:rsidR="0074629C" w:rsidRPr="00B82D30" w:rsidRDefault="0074629C" w:rsidP="0074629C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74629C" w:rsidRPr="00B82D30" w:rsidTr="000E63FC">
        <w:tc>
          <w:tcPr>
            <w:tcW w:w="1054" w:type="pct"/>
          </w:tcPr>
          <w:p w:rsidR="0074629C" w:rsidRPr="00B82D30" w:rsidRDefault="009F53BD" w:rsidP="00011A6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O materiálové náročnosti svědčí podíl </w:t>
            </w:r>
            <w:proofErr w:type="spellStart"/>
            <w:r w:rsidRPr="00B82D30">
              <w:rPr>
                <w:sz w:val="16"/>
                <w:szCs w:val="16"/>
              </w:rPr>
              <w:t>mezispotřeby</w:t>
            </w:r>
            <w:proofErr w:type="spellEnd"/>
            <w:r w:rsidRPr="00B82D30">
              <w:rPr>
                <w:sz w:val="16"/>
                <w:szCs w:val="16"/>
              </w:rPr>
              <w:t xml:space="preserve"> na produkci</w:t>
            </w:r>
          </w:p>
        </w:tc>
        <w:tc>
          <w:tcPr>
            <w:tcW w:w="142" w:type="pct"/>
          </w:tcPr>
          <w:p w:rsidR="0074629C" w:rsidRPr="00B82D30" w:rsidRDefault="0074629C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4629C" w:rsidRPr="00B82D30" w:rsidRDefault="009F53BD" w:rsidP="0074629C">
            <w:pPr>
              <w:pStyle w:val="Textpoznpodarou"/>
              <w:jc w:val="both"/>
            </w:pPr>
            <w:r w:rsidRPr="00B82D30">
              <w:t xml:space="preserve">O tom, jaká je </w:t>
            </w:r>
            <w:r w:rsidR="0074629C" w:rsidRPr="00B82D30">
              <w:t xml:space="preserve">efektivita přepracování </w:t>
            </w:r>
            <w:r w:rsidR="004F7BB7" w:rsidRPr="00B82D30">
              <w:t>surovin</w:t>
            </w:r>
            <w:r w:rsidR="0074629C" w:rsidRPr="00B82D30">
              <w:t xml:space="preserve">, polotovarů, </w:t>
            </w:r>
            <w:r w:rsidR="004F7BB7" w:rsidRPr="00B82D30">
              <w:t xml:space="preserve">energií, </w:t>
            </w:r>
            <w:r w:rsidR="0074629C" w:rsidRPr="00B82D30">
              <w:t>využitých služe</w:t>
            </w:r>
            <w:r w:rsidR="00C4794B" w:rsidRPr="00B82D30">
              <w:t>b atd. na finální produkt, svědčí</w:t>
            </w:r>
            <w:r w:rsidR="0074629C" w:rsidRPr="00B82D30">
              <w:t xml:space="preserve"> podíl </w:t>
            </w:r>
            <w:proofErr w:type="spellStart"/>
            <w:r w:rsidR="0074629C" w:rsidRPr="00B82D30">
              <w:t>mezispotřeby</w:t>
            </w:r>
            <w:proofErr w:type="spellEnd"/>
            <w:r w:rsidR="00E749F2" w:rsidRPr="00B82D30">
              <w:rPr>
                <w:rStyle w:val="Znakapoznpodarou"/>
              </w:rPr>
              <w:footnoteReference w:id="2"/>
            </w:r>
            <w:r w:rsidR="00E749F2" w:rsidRPr="00B82D30">
              <w:t xml:space="preserve"> </w:t>
            </w:r>
            <w:r w:rsidR="0074629C" w:rsidRPr="00B82D30">
              <w:t>na produkci.</w:t>
            </w:r>
            <w:r w:rsidR="00273AE8" w:rsidRPr="00B82D30">
              <w:t xml:space="preserve"> Tento podíl</w:t>
            </w:r>
            <w:r w:rsidR="004C79C6" w:rsidRPr="00B82D30">
              <w:t>, vynásobený hodnotou sto,</w:t>
            </w:r>
            <w:r w:rsidR="00273AE8" w:rsidRPr="00B82D30">
              <w:t xml:space="preserve"> u</w:t>
            </w:r>
            <w:r w:rsidR="0074629C" w:rsidRPr="00B82D30">
              <w:t>kazuje, jaká hodnota vstupů je zapotřebí na</w:t>
            </w:r>
            <w:r w:rsidR="00FE4CF7" w:rsidRPr="00B82D30">
              <w:t> </w:t>
            </w:r>
            <w:r w:rsidR="0074629C" w:rsidRPr="00B82D30">
              <w:t xml:space="preserve">vyprodukování </w:t>
            </w:r>
            <w:r w:rsidR="00FE4CF7" w:rsidRPr="00B82D30">
              <w:t>zboží a služeb</w:t>
            </w:r>
            <w:r w:rsidR="004C79C6" w:rsidRPr="00B82D30">
              <w:t xml:space="preserve"> v hodnotě jedné stokoruny. L</w:t>
            </w:r>
            <w:r w:rsidR="00273AE8" w:rsidRPr="00B82D30">
              <w:t>ze jej považovat za</w:t>
            </w:r>
            <w:r w:rsidR="004C79C6" w:rsidRPr="00B82D30">
              <w:t> </w:t>
            </w:r>
            <w:r w:rsidR="00273AE8" w:rsidRPr="00B82D30">
              <w:t>ukazatel</w:t>
            </w:r>
            <w:r w:rsidR="00C4794B" w:rsidRPr="00B82D30">
              <w:t xml:space="preserve"> materiálové náročnosti.</w:t>
            </w:r>
          </w:p>
          <w:p w:rsidR="0074629C" w:rsidRPr="00B82D30" w:rsidRDefault="0074629C" w:rsidP="0074629C">
            <w:pPr>
              <w:pStyle w:val="Textpoznpodarou"/>
              <w:jc w:val="both"/>
            </w:pPr>
          </w:p>
        </w:tc>
      </w:tr>
      <w:tr w:rsidR="0074629C" w:rsidRPr="00B82D30" w:rsidTr="000E63FC">
        <w:tc>
          <w:tcPr>
            <w:tcW w:w="1054" w:type="pct"/>
          </w:tcPr>
          <w:p w:rsidR="0074629C" w:rsidRPr="00B82D30" w:rsidRDefault="00B41B64" w:rsidP="00011A6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Materiálová náročnost primárního sektoru je</w:t>
            </w:r>
            <w:r w:rsidR="006A2E9E" w:rsidRPr="00B82D30">
              <w:rPr>
                <w:sz w:val="16"/>
                <w:szCs w:val="16"/>
              </w:rPr>
              <w:t xml:space="preserve"> dlouhodobě</w:t>
            </w:r>
            <w:r w:rsidRPr="00B82D30">
              <w:rPr>
                <w:sz w:val="16"/>
                <w:szCs w:val="16"/>
              </w:rPr>
              <w:t xml:space="preserve"> vyšší než</w:t>
            </w:r>
            <w:r w:rsidR="006A2E9E" w:rsidRPr="00B82D30">
              <w:rPr>
                <w:sz w:val="16"/>
                <w:szCs w:val="16"/>
              </w:rPr>
              <w:t xml:space="preserve"> náročnost</w:t>
            </w:r>
            <w:r w:rsidRPr="00B82D30">
              <w:rPr>
                <w:sz w:val="16"/>
                <w:szCs w:val="16"/>
              </w:rPr>
              <w:t xml:space="preserve"> terciárního sektoru, ale menší než </w:t>
            </w:r>
            <w:r w:rsidR="006A2E9E" w:rsidRPr="00B82D30">
              <w:rPr>
                <w:sz w:val="16"/>
                <w:szCs w:val="16"/>
              </w:rPr>
              <w:t xml:space="preserve">náročnost </w:t>
            </w:r>
            <w:r w:rsidRPr="00B82D30">
              <w:rPr>
                <w:sz w:val="16"/>
                <w:szCs w:val="16"/>
              </w:rPr>
              <w:t>sekundárního sektoru</w:t>
            </w:r>
          </w:p>
        </w:tc>
        <w:tc>
          <w:tcPr>
            <w:tcW w:w="142" w:type="pct"/>
          </w:tcPr>
          <w:p w:rsidR="0074629C" w:rsidRPr="00B82D30" w:rsidRDefault="0074629C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2D2944" w:rsidRPr="00B82D30" w:rsidRDefault="002D2944" w:rsidP="002D2944">
            <w:pPr>
              <w:pStyle w:val="Textpoznpodarou"/>
              <w:jc w:val="both"/>
            </w:pPr>
            <w:r w:rsidRPr="00B82D30">
              <w:t>Materiálová náročnost primárního sektoru byl</w:t>
            </w:r>
            <w:r w:rsidR="006709D2" w:rsidRPr="00B82D30">
              <w:t>a v každém roce období 1993-2013</w:t>
            </w:r>
            <w:r w:rsidRPr="00B82D30">
              <w:t xml:space="preserve"> menší než</w:t>
            </w:r>
            <w:r w:rsidR="003E44E2" w:rsidRPr="00B82D30">
              <w:t xml:space="preserve"> náročnost</w:t>
            </w:r>
            <w:r w:rsidR="00C4794B" w:rsidRPr="00B82D30">
              <w:t xml:space="preserve"> sekundárního</w:t>
            </w:r>
            <w:r w:rsidR="00E749F2" w:rsidRPr="00B82D30">
              <w:t xml:space="preserve"> sektoru. To není –</w:t>
            </w:r>
            <w:r w:rsidRPr="00B82D30">
              <w:t xml:space="preserve"> pokud vezmeme v potaz </w:t>
            </w:r>
            <w:r w:rsidR="004F7BB7" w:rsidRPr="00B82D30">
              <w:t>zpracovatelský průmysl silně orientovaný</w:t>
            </w:r>
            <w:r w:rsidRPr="00B82D30">
              <w:t xml:space="preserve"> na montáže komponentů, stavebnictví</w:t>
            </w:r>
            <w:r w:rsidR="004F7BB7" w:rsidRPr="00B82D30">
              <w:t xml:space="preserve"> náročné</w:t>
            </w:r>
            <w:r w:rsidR="00A02B27" w:rsidRPr="00B82D30">
              <w:t xml:space="preserve"> na stavební materiály</w:t>
            </w:r>
            <w:r w:rsidR="00E73E66" w:rsidRPr="00B82D30">
              <w:t>, popřípadě</w:t>
            </w:r>
            <w:r w:rsidR="004F7BB7" w:rsidRPr="00B82D30">
              <w:t xml:space="preserve"> energetiku</w:t>
            </w:r>
            <w:r w:rsidR="00A02B27" w:rsidRPr="00B82D30">
              <w:t xml:space="preserve"> spotřebovávající velké objemy uhlí</w:t>
            </w:r>
            <w:r w:rsidR="00FE4CF7" w:rsidRPr="00B82D30">
              <w:t xml:space="preserve"> při produkci elektřiny</w:t>
            </w:r>
            <w:r w:rsidR="00E166B3" w:rsidRPr="00B82D30">
              <w:t xml:space="preserve"> a tepla</w:t>
            </w:r>
            <w:r w:rsidR="00E749F2" w:rsidRPr="00B82D30">
              <w:t xml:space="preserve"> –</w:t>
            </w:r>
            <w:r w:rsidRPr="00B82D30">
              <w:t xml:space="preserve"> nijak překvapivé zjištění.</w:t>
            </w:r>
            <w:r w:rsidR="00A02B27" w:rsidRPr="00B82D30">
              <w:t xml:space="preserve"> Stejné platí o</w:t>
            </w:r>
            <w:r w:rsidR="005C3A77" w:rsidRPr="00B82D30">
              <w:t> </w:t>
            </w:r>
            <w:r w:rsidR="00A02B27" w:rsidRPr="00B82D30">
              <w:t>závěru, že v každém roce</w:t>
            </w:r>
            <w:r w:rsidR="00574B7E" w:rsidRPr="00B82D30">
              <w:t xml:space="preserve"> z</w:t>
            </w:r>
            <w:r w:rsidR="00FE4CF7" w:rsidRPr="00B82D30">
              <w:t xml:space="preserve"> </w:t>
            </w:r>
            <w:r w:rsidR="00A02B27" w:rsidRPr="00B82D30">
              <w:t xml:space="preserve">období </w:t>
            </w:r>
            <w:r w:rsidR="006709D2" w:rsidRPr="00B82D30">
              <w:t>1993-2013</w:t>
            </w:r>
            <w:r w:rsidR="00A02B27" w:rsidRPr="00B82D30">
              <w:t xml:space="preserve"> byla materiálová náročnos</w:t>
            </w:r>
            <w:r w:rsidR="00C4794B" w:rsidRPr="00B82D30">
              <w:t>t primárního sektoru vyšší než terciárního</w:t>
            </w:r>
            <w:r w:rsidR="00A02B27" w:rsidRPr="00B82D30">
              <w:t xml:space="preserve"> sekt</w:t>
            </w:r>
            <w:r w:rsidR="00FE4CF7" w:rsidRPr="00B82D30">
              <w:t>oru, který je formován službami. Ty jsou</w:t>
            </w:r>
            <w:r w:rsidR="00C4794B" w:rsidRPr="00B82D30">
              <w:t xml:space="preserve"> totiž</w:t>
            </w:r>
            <w:r w:rsidR="00FE4CF7" w:rsidRPr="00B82D30">
              <w:t xml:space="preserve"> při své činnosti, co se týče náročnosti </w:t>
            </w:r>
            <w:r w:rsidR="00A02B27" w:rsidRPr="00B82D30">
              <w:t>na</w:t>
            </w:r>
            <w:r w:rsidR="00E73E66" w:rsidRPr="00B82D30">
              <w:t> </w:t>
            </w:r>
            <w:r w:rsidR="00A02B27" w:rsidRPr="00B82D30">
              <w:t>materiálové vstupy</w:t>
            </w:r>
            <w:r w:rsidR="00FE4CF7" w:rsidRPr="00B82D30">
              <w:t xml:space="preserve">, veskrze </w:t>
            </w:r>
            <w:r w:rsidR="00C34524" w:rsidRPr="00B82D30">
              <w:t>„</w:t>
            </w:r>
            <w:r w:rsidR="00FE4CF7" w:rsidRPr="00B82D30">
              <w:t>skromné</w:t>
            </w:r>
            <w:r w:rsidR="00C34524" w:rsidRPr="00B82D30">
              <w:t>“</w:t>
            </w:r>
            <w:r w:rsidR="00FE4CF7" w:rsidRPr="00B82D30">
              <w:t>.</w:t>
            </w:r>
          </w:p>
          <w:p w:rsidR="002D2944" w:rsidRPr="00B82D30" w:rsidRDefault="002D2944" w:rsidP="00A02B27">
            <w:pPr>
              <w:pStyle w:val="Textpoznpodarou"/>
              <w:jc w:val="both"/>
            </w:pPr>
          </w:p>
        </w:tc>
      </w:tr>
      <w:tr w:rsidR="002D2944" w:rsidRPr="00B82D30" w:rsidTr="000E63FC">
        <w:tc>
          <w:tcPr>
            <w:tcW w:w="1054" w:type="pct"/>
          </w:tcPr>
          <w:p w:rsidR="002D2944" w:rsidRPr="00B82D30" w:rsidRDefault="00B41B64" w:rsidP="00011A6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Primární sektor svoji </w:t>
            </w:r>
            <w:r w:rsidR="006709D2" w:rsidRPr="00B82D30">
              <w:rPr>
                <w:sz w:val="16"/>
                <w:szCs w:val="16"/>
              </w:rPr>
              <w:t>náročnost mezi rokem 1993 a 2013</w:t>
            </w:r>
            <w:r w:rsidRPr="00B82D30">
              <w:rPr>
                <w:sz w:val="16"/>
                <w:szCs w:val="16"/>
              </w:rPr>
              <w:t xml:space="preserve"> zvýšil více než sekundární a terciární sektor</w:t>
            </w:r>
          </w:p>
        </w:tc>
        <w:tc>
          <w:tcPr>
            <w:tcW w:w="142" w:type="pct"/>
          </w:tcPr>
          <w:p w:rsidR="002D2944" w:rsidRPr="00B82D30" w:rsidRDefault="002D2944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CE101F" w:rsidRPr="00B82D30" w:rsidRDefault="002D2944" w:rsidP="004C79C6">
            <w:pPr>
              <w:pStyle w:val="Textpoznpodarou"/>
              <w:jc w:val="both"/>
              <w:rPr>
                <w:spacing w:val="-4"/>
              </w:rPr>
            </w:pPr>
            <w:r w:rsidRPr="00B82D30">
              <w:rPr>
                <w:spacing w:val="-4"/>
              </w:rPr>
              <w:t>Efektivita přeměny vstupů na produkt v tuzemském primárním sektoru</w:t>
            </w:r>
            <w:r w:rsidR="00224B1F" w:rsidRPr="00B82D30">
              <w:rPr>
                <w:spacing w:val="-4"/>
              </w:rPr>
              <w:t xml:space="preserve"> se</w:t>
            </w:r>
            <w:r w:rsidRPr="00B82D30">
              <w:rPr>
                <w:spacing w:val="-4"/>
              </w:rPr>
              <w:t xml:space="preserve"> v trendu </w:t>
            </w:r>
            <w:r w:rsidR="00224B1F" w:rsidRPr="00B82D30">
              <w:rPr>
                <w:spacing w:val="-4"/>
              </w:rPr>
              <w:t>zhoršovala</w:t>
            </w:r>
            <w:r w:rsidRPr="00B82D30">
              <w:rPr>
                <w:spacing w:val="-4"/>
              </w:rPr>
              <w:t>. Pokud primární sektor potřeboval v roce 1993 na jednu stokorunu produkce vstupy v hodnotě</w:t>
            </w:r>
            <w:r w:rsidR="006709D2" w:rsidRPr="00B82D30">
              <w:rPr>
                <w:spacing w:val="-4"/>
              </w:rPr>
              <w:t xml:space="preserve"> 56,3</w:t>
            </w:r>
            <w:r w:rsidRPr="00B82D30">
              <w:rPr>
                <w:spacing w:val="-4"/>
              </w:rPr>
              <w:t xml:space="preserve"> k</w:t>
            </w:r>
            <w:r w:rsidR="00C34524" w:rsidRPr="00B82D30">
              <w:rPr>
                <w:spacing w:val="-4"/>
              </w:rPr>
              <w:t>orun</w:t>
            </w:r>
            <w:r w:rsidR="004C79C6" w:rsidRPr="00B82D30">
              <w:rPr>
                <w:spacing w:val="-4"/>
              </w:rPr>
              <w:t>y</w:t>
            </w:r>
            <w:r w:rsidR="00C34524" w:rsidRPr="00B82D30">
              <w:rPr>
                <w:spacing w:val="-4"/>
              </w:rPr>
              <w:t>, v roce 201</w:t>
            </w:r>
            <w:r w:rsidR="006709D2" w:rsidRPr="00B82D30">
              <w:rPr>
                <w:spacing w:val="-4"/>
              </w:rPr>
              <w:t>3 už 59,7</w:t>
            </w:r>
            <w:r w:rsidR="00C34524" w:rsidRPr="00B82D30">
              <w:rPr>
                <w:spacing w:val="-4"/>
              </w:rPr>
              <w:t xml:space="preserve"> korun</w:t>
            </w:r>
            <w:r w:rsidR="004C79C6" w:rsidRPr="00B82D30">
              <w:rPr>
                <w:spacing w:val="-4"/>
              </w:rPr>
              <w:t>y</w:t>
            </w:r>
            <w:r w:rsidR="00224B1F" w:rsidRPr="00B82D30">
              <w:rPr>
                <w:spacing w:val="-4"/>
              </w:rPr>
              <w:t>. Primární sektor tedy svoji náročnost</w:t>
            </w:r>
            <w:r w:rsidR="004F7BB7" w:rsidRPr="00B82D30">
              <w:rPr>
                <w:spacing w:val="-4"/>
              </w:rPr>
              <w:t xml:space="preserve"> zvýšil</w:t>
            </w:r>
            <w:r w:rsidR="006709D2" w:rsidRPr="00B82D30">
              <w:rPr>
                <w:spacing w:val="-4"/>
              </w:rPr>
              <w:t xml:space="preserve"> o 3</w:t>
            </w:r>
            <w:r w:rsidR="004F7BB7" w:rsidRPr="00B82D30">
              <w:rPr>
                <w:spacing w:val="-4"/>
              </w:rPr>
              <w:t>,4 korun</w:t>
            </w:r>
            <w:r w:rsidR="004C79C6" w:rsidRPr="00B82D30">
              <w:rPr>
                <w:spacing w:val="-4"/>
              </w:rPr>
              <w:t>y</w:t>
            </w:r>
            <w:r w:rsidR="004F7BB7" w:rsidRPr="00B82D30">
              <w:rPr>
                <w:spacing w:val="-4"/>
              </w:rPr>
              <w:t xml:space="preserve">, více než </w:t>
            </w:r>
            <w:r w:rsidR="00C34524" w:rsidRPr="00B82D30">
              <w:rPr>
                <w:spacing w:val="-4"/>
              </w:rPr>
              <w:t>sekundární sektor (o</w:t>
            </w:r>
            <w:r w:rsidR="004C79C6" w:rsidRPr="00B82D30">
              <w:rPr>
                <w:spacing w:val="-4"/>
              </w:rPr>
              <w:t> </w:t>
            </w:r>
            <w:r w:rsidR="006709D2" w:rsidRPr="00B82D30">
              <w:rPr>
                <w:spacing w:val="-4"/>
              </w:rPr>
              <w:t>2,7</w:t>
            </w:r>
            <w:r w:rsidR="004C79C6" w:rsidRPr="00B82D30">
              <w:rPr>
                <w:spacing w:val="-4"/>
              </w:rPr>
              <w:t> </w:t>
            </w:r>
            <w:r w:rsidR="00024537" w:rsidRPr="00B82D30">
              <w:rPr>
                <w:spacing w:val="-4"/>
              </w:rPr>
              <w:t>korun</w:t>
            </w:r>
            <w:r w:rsidR="004C79C6" w:rsidRPr="00B82D30">
              <w:rPr>
                <w:spacing w:val="-4"/>
              </w:rPr>
              <w:t>y</w:t>
            </w:r>
            <w:r w:rsidR="004F7BB7" w:rsidRPr="00B82D30">
              <w:rPr>
                <w:spacing w:val="-4"/>
              </w:rPr>
              <w:t>),</w:t>
            </w:r>
            <w:r w:rsidR="00C34524" w:rsidRPr="00B82D30">
              <w:rPr>
                <w:spacing w:val="-4"/>
              </w:rPr>
              <w:t xml:space="preserve"> terciární sektor</w:t>
            </w:r>
            <w:r w:rsidR="006709D2" w:rsidRPr="00B82D30">
              <w:rPr>
                <w:spacing w:val="-4"/>
              </w:rPr>
              <w:t xml:space="preserve"> (o 1,2</w:t>
            </w:r>
            <w:r w:rsidR="00C34524" w:rsidRPr="00B82D30">
              <w:rPr>
                <w:spacing w:val="-4"/>
              </w:rPr>
              <w:t> </w:t>
            </w:r>
            <w:r w:rsidR="00024537" w:rsidRPr="00B82D30">
              <w:rPr>
                <w:spacing w:val="-4"/>
              </w:rPr>
              <w:t>korun</w:t>
            </w:r>
            <w:r w:rsidR="004C79C6" w:rsidRPr="00B82D30">
              <w:rPr>
                <w:spacing w:val="-4"/>
              </w:rPr>
              <w:t>y</w:t>
            </w:r>
            <w:r w:rsidR="004F7BB7" w:rsidRPr="00B82D30">
              <w:rPr>
                <w:spacing w:val="-4"/>
              </w:rPr>
              <w:t>) nebo ekonomika jako celek (o</w:t>
            </w:r>
            <w:r w:rsidR="004C79C6" w:rsidRPr="00B82D30">
              <w:rPr>
                <w:spacing w:val="-4"/>
              </w:rPr>
              <w:t> </w:t>
            </w:r>
            <w:r w:rsidR="006709D2" w:rsidRPr="00B82D30">
              <w:rPr>
                <w:spacing w:val="-4"/>
              </w:rPr>
              <w:t>2,2</w:t>
            </w:r>
            <w:r w:rsidR="004C79C6" w:rsidRPr="00B82D30">
              <w:rPr>
                <w:spacing w:val="-4"/>
              </w:rPr>
              <w:t> </w:t>
            </w:r>
            <w:r w:rsidR="004F7BB7" w:rsidRPr="00B82D30">
              <w:rPr>
                <w:spacing w:val="-4"/>
              </w:rPr>
              <w:t>korun</w:t>
            </w:r>
            <w:r w:rsidR="004C79C6" w:rsidRPr="00B82D30">
              <w:rPr>
                <w:spacing w:val="-4"/>
              </w:rPr>
              <w:t>y</w:t>
            </w:r>
            <w:r w:rsidR="004F7BB7" w:rsidRPr="00B82D30">
              <w:rPr>
                <w:spacing w:val="-4"/>
              </w:rPr>
              <w:t>).</w:t>
            </w:r>
          </w:p>
        </w:tc>
      </w:tr>
    </w:tbl>
    <w:p w:rsidR="00CE101F" w:rsidRPr="00B82D30" w:rsidRDefault="00CE101F" w:rsidP="0074629C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95"/>
        <w:gridCol w:w="4254"/>
        <w:gridCol w:w="566"/>
        <w:gridCol w:w="4279"/>
      </w:tblGrid>
      <w:tr w:rsidR="00CE101F" w:rsidRPr="00B82D30" w:rsidTr="00487C11">
        <w:tc>
          <w:tcPr>
            <w:tcW w:w="307" w:type="pct"/>
          </w:tcPr>
          <w:p w:rsidR="00CE101F" w:rsidRPr="00B82D30" w:rsidRDefault="00CE101F" w:rsidP="00011A65">
            <w:pPr>
              <w:pStyle w:val="Textpoznpodarou"/>
            </w:pPr>
            <w:r w:rsidRPr="00B82D30">
              <w:t>Graf č. 1</w:t>
            </w:r>
            <w:r w:rsidR="00EB5CB4" w:rsidRPr="00B82D30">
              <w:t>3</w:t>
            </w:r>
          </w:p>
        </w:tc>
        <w:tc>
          <w:tcPr>
            <w:tcW w:w="2194" w:type="pct"/>
          </w:tcPr>
          <w:p w:rsidR="00CE101F" w:rsidRPr="00B82D30" w:rsidRDefault="00CE101F" w:rsidP="00CE101F">
            <w:pPr>
              <w:pStyle w:val="Textpoznpodarou"/>
              <w:rPr>
                <w:spacing w:val="-6"/>
              </w:rPr>
            </w:pPr>
            <w:r w:rsidRPr="00B82D30">
              <w:rPr>
                <w:b/>
                <w:spacing w:val="-6"/>
              </w:rPr>
              <w:t xml:space="preserve">Hodnota vstupů potřebná na jednu stokorunu produkce v jednotlivých segmentech primárního sektoru </w:t>
            </w:r>
            <w:r w:rsidRPr="00B82D30">
              <w:rPr>
                <w:spacing w:val="-6"/>
              </w:rPr>
              <w:t>(nominálně, v korunách)</w:t>
            </w:r>
          </w:p>
        </w:tc>
        <w:tc>
          <w:tcPr>
            <w:tcW w:w="292" w:type="pct"/>
          </w:tcPr>
          <w:p w:rsidR="00CE101F" w:rsidRPr="00B82D30" w:rsidRDefault="00CE101F" w:rsidP="00011A65">
            <w:pPr>
              <w:pStyle w:val="Textpoznpodarou"/>
            </w:pPr>
            <w:r w:rsidRPr="00B82D30">
              <w:t>Graf č. 1</w:t>
            </w:r>
            <w:r w:rsidR="00EB5CB4" w:rsidRPr="00B82D30">
              <w:t>4</w:t>
            </w:r>
          </w:p>
        </w:tc>
        <w:tc>
          <w:tcPr>
            <w:tcW w:w="2207" w:type="pct"/>
          </w:tcPr>
          <w:p w:rsidR="00CE101F" w:rsidRPr="00B82D30" w:rsidRDefault="00CE101F" w:rsidP="00CE101F">
            <w:pPr>
              <w:pStyle w:val="Textpoznpodarou"/>
              <w:rPr>
                <w:spacing w:val="-6"/>
              </w:rPr>
            </w:pPr>
            <w:r w:rsidRPr="00B82D30">
              <w:rPr>
                <w:b/>
                <w:spacing w:val="-6"/>
              </w:rPr>
              <w:t xml:space="preserve">Hodnota vstupů potřebná na jednu stokorunu produkce v jednotlivých segmentech ekonomiky </w:t>
            </w:r>
            <w:r w:rsidRPr="00B82D30">
              <w:rPr>
                <w:spacing w:val="-6"/>
              </w:rPr>
              <w:t>(nominálně, v</w:t>
            </w:r>
            <w:r w:rsidR="00487C11" w:rsidRPr="00B82D30">
              <w:rPr>
                <w:spacing w:val="-6"/>
              </w:rPr>
              <w:t xml:space="preserve"> </w:t>
            </w:r>
            <w:r w:rsidRPr="00B82D30">
              <w:rPr>
                <w:spacing w:val="-6"/>
              </w:rPr>
              <w:t>korunách)</w:t>
            </w:r>
          </w:p>
        </w:tc>
      </w:tr>
      <w:tr w:rsidR="00CE101F" w:rsidRPr="00B82D30" w:rsidTr="00011A65">
        <w:tc>
          <w:tcPr>
            <w:tcW w:w="2501" w:type="pct"/>
            <w:gridSpan w:val="2"/>
          </w:tcPr>
          <w:p w:rsidR="00CE101F" w:rsidRPr="00B82D30" w:rsidRDefault="009B6074" w:rsidP="00011A65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3009900" cy="2181225"/>
                  <wp:effectExtent l="19050" t="0" r="0" b="0"/>
                  <wp:docPr id="1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652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CE101F" w:rsidRPr="00B82D30" w:rsidRDefault="00780870" w:rsidP="00011A65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2992333" cy="2181225"/>
                  <wp:effectExtent l="19050" t="0" r="0" b="0"/>
                  <wp:docPr id="2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75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01F" w:rsidRPr="00B82D30" w:rsidTr="00011A65">
        <w:tc>
          <w:tcPr>
            <w:tcW w:w="5000" w:type="pct"/>
            <w:gridSpan w:val="4"/>
          </w:tcPr>
          <w:p w:rsidR="00CE101F" w:rsidRPr="00B82D30" w:rsidRDefault="00CE101F" w:rsidP="00011A65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ČSÚ, vlastní propočty</w:t>
            </w:r>
          </w:p>
        </w:tc>
      </w:tr>
    </w:tbl>
    <w:p w:rsidR="009B6074" w:rsidRPr="00B82D30" w:rsidRDefault="009B6074" w:rsidP="0074629C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CE101F" w:rsidRPr="00B82D30" w:rsidTr="000E63FC">
        <w:tc>
          <w:tcPr>
            <w:tcW w:w="1054" w:type="pct"/>
          </w:tcPr>
          <w:p w:rsidR="00CE101F" w:rsidRPr="00B82D30" w:rsidRDefault="00B41B64" w:rsidP="00E345A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Materiálová náročnost zemědělství, lesnic</w:t>
            </w:r>
            <w:r w:rsidR="002176C9" w:rsidRPr="00B82D30">
              <w:rPr>
                <w:sz w:val="16"/>
                <w:szCs w:val="16"/>
              </w:rPr>
              <w:t>tví a rybářství byla v roce 2013</w:t>
            </w:r>
            <w:r w:rsidRPr="00B82D30">
              <w:rPr>
                <w:sz w:val="16"/>
                <w:szCs w:val="16"/>
              </w:rPr>
              <w:t xml:space="preserve"> mezi tuzemskými odvětvími </w:t>
            </w:r>
            <w:r w:rsidR="002176C9" w:rsidRPr="00B82D30">
              <w:rPr>
                <w:sz w:val="16"/>
                <w:szCs w:val="16"/>
              </w:rPr>
              <w:t>sedmá</w:t>
            </w:r>
            <w:r w:rsidRPr="00B82D30">
              <w:rPr>
                <w:sz w:val="16"/>
                <w:szCs w:val="16"/>
              </w:rPr>
              <w:t xml:space="preserve"> </w:t>
            </w:r>
            <w:r w:rsidR="00E345A5" w:rsidRPr="00B82D30">
              <w:rPr>
                <w:sz w:val="16"/>
                <w:szCs w:val="16"/>
              </w:rPr>
              <w:t>největší</w:t>
            </w:r>
            <w:r w:rsidR="00262096" w:rsidRPr="00B82D30">
              <w:rPr>
                <w:sz w:val="16"/>
                <w:szCs w:val="16"/>
              </w:rPr>
              <w:t>. Odvětví t</w:t>
            </w:r>
            <w:r w:rsidR="002176C9" w:rsidRPr="00B82D30">
              <w:rPr>
                <w:sz w:val="16"/>
                <w:szCs w:val="16"/>
              </w:rPr>
              <w:t>ě</w:t>
            </w:r>
            <w:r w:rsidR="00262096" w:rsidRPr="00B82D30">
              <w:rPr>
                <w:sz w:val="16"/>
                <w:szCs w:val="16"/>
              </w:rPr>
              <w:t>žby a dobývání na tom bylo</w:t>
            </w:r>
            <w:r w:rsidR="002176C9" w:rsidRPr="00B82D30">
              <w:rPr>
                <w:sz w:val="16"/>
                <w:szCs w:val="16"/>
              </w:rPr>
              <w:t xml:space="preserve"> o tři příčky lépe</w:t>
            </w:r>
          </w:p>
        </w:tc>
        <w:tc>
          <w:tcPr>
            <w:tcW w:w="142" w:type="pct"/>
          </w:tcPr>
          <w:p w:rsidR="00CE101F" w:rsidRPr="00B82D30" w:rsidRDefault="00CE101F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3341FD" w:rsidRPr="00B82D30" w:rsidRDefault="002176C9" w:rsidP="002176C9">
            <w:pPr>
              <w:pStyle w:val="Textpoznpodarou"/>
              <w:jc w:val="both"/>
            </w:pPr>
            <w:r w:rsidRPr="00B82D30">
              <w:t>Samotné odvětví</w:t>
            </w:r>
            <w:r w:rsidR="00CE101F" w:rsidRPr="00B82D30">
              <w:t xml:space="preserve"> zemědělství, lesnictví a rybářství potřeboval</w:t>
            </w:r>
            <w:r w:rsidRPr="00B82D30">
              <w:t>o v roce 2013</w:t>
            </w:r>
            <w:r w:rsidR="00CE101F" w:rsidRPr="00B82D30">
              <w:t xml:space="preserve"> na</w:t>
            </w:r>
            <w:r w:rsidRPr="00B82D30">
              <w:t> </w:t>
            </w:r>
            <w:r w:rsidR="00CE101F" w:rsidRPr="00B82D30">
              <w:t>jednu stokorunu produkce vstupy v hodnotě</w:t>
            </w:r>
            <w:r w:rsidRPr="00B82D30">
              <w:t xml:space="preserve"> 61,1</w:t>
            </w:r>
            <w:r w:rsidR="00CE101F" w:rsidRPr="00B82D30">
              <w:t xml:space="preserve"> korun</w:t>
            </w:r>
            <w:r w:rsidR="004C79C6" w:rsidRPr="00B82D30">
              <w:t>y</w:t>
            </w:r>
            <w:r w:rsidR="00CE101F" w:rsidRPr="00B82D30">
              <w:t>. To bylo po zpracovatelském průmyslu</w:t>
            </w:r>
            <w:r w:rsidRPr="00B82D30">
              <w:t xml:space="preserve"> (74,7</w:t>
            </w:r>
            <w:r w:rsidR="00CE101F" w:rsidRPr="00B82D30">
              <w:t xml:space="preserve"> korun</w:t>
            </w:r>
            <w:r w:rsidR="004C79C6" w:rsidRPr="00B82D30">
              <w:t>y</w:t>
            </w:r>
            <w:r w:rsidR="00CE101F" w:rsidRPr="00B82D30">
              <w:t xml:space="preserve">), </w:t>
            </w:r>
            <w:r w:rsidRPr="00B82D30">
              <w:t xml:space="preserve">stavebnictví (70,4 koruny), </w:t>
            </w:r>
            <w:r w:rsidR="00CE101F" w:rsidRPr="00B82D30">
              <w:t>energetice</w:t>
            </w:r>
            <w:r w:rsidRPr="00B82D30">
              <w:t xml:space="preserve"> (66,0</w:t>
            </w:r>
            <w:r w:rsidR="00CE101F" w:rsidRPr="00B82D30">
              <w:t xml:space="preserve"> korun</w:t>
            </w:r>
            <w:r w:rsidR="004C79C6" w:rsidRPr="00B82D30">
              <w:t>y</w:t>
            </w:r>
            <w:r w:rsidRPr="00B82D30">
              <w:t>)</w:t>
            </w:r>
            <w:r w:rsidR="00CE101F" w:rsidRPr="00B82D30">
              <w:t xml:space="preserve"> a zásobování vodou</w:t>
            </w:r>
            <w:r w:rsidRPr="00B82D30">
              <w:t xml:space="preserve"> (63,9</w:t>
            </w:r>
            <w:r w:rsidR="00CE101F" w:rsidRPr="00B82D30">
              <w:t xml:space="preserve"> korun</w:t>
            </w:r>
            <w:r w:rsidR="004C79C6" w:rsidRPr="00B82D30">
              <w:t>y</w:t>
            </w:r>
            <w:r w:rsidR="00CE101F" w:rsidRPr="00B82D30">
              <w:t>), tedy kompletním výčtu odvětví spadajících do sekundárního sektoru,</w:t>
            </w:r>
            <w:r w:rsidRPr="00B82D30">
              <w:t xml:space="preserve"> a také administrativních a podpůrných činnostech (64,4 koruny) a dopravě a skladování (62,2 koruny),</w:t>
            </w:r>
            <w:r w:rsidR="00CE101F" w:rsidRPr="00B82D30">
              <w:t xml:space="preserve"> nejvíce ze všech odvětví tuzemské ekonomiky. Náročnost odvětví zemědělství, lesnictví a rybářství, daná jeho požadavky na krmiva, hnojiva, pohonné hmoty</w:t>
            </w:r>
            <w:r w:rsidR="006F7329" w:rsidRPr="00B82D30">
              <w:t> </w:t>
            </w:r>
            <w:r w:rsidR="00CE101F" w:rsidRPr="00B82D30">
              <w:t>a</w:t>
            </w:r>
            <w:r w:rsidRPr="00B82D30">
              <w:t> </w:t>
            </w:r>
            <w:r w:rsidR="00CE101F" w:rsidRPr="00B82D30">
              <w:t>další vstupy, byla</w:t>
            </w:r>
            <w:r w:rsidR="004C79C6" w:rsidRPr="00B82D30">
              <w:t xml:space="preserve"> tedy</w:t>
            </w:r>
            <w:r w:rsidR="00E166B3" w:rsidRPr="00B82D30">
              <w:t xml:space="preserve"> poměrně veliká</w:t>
            </w:r>
            <w:r w:rsidR="00CE101F" w:rsidRPr="00B82D30">
              <w:t>.  Těžba a dobývání, méně náročná</w:t>
            </w:r>
            <w:r w:rsidR="006F7329" w:rsidRPr="00B82D30">
              <w:t> </w:t>
            </w:r>
            <w:r w:rsidR="00CE101F" w:rsidRPr="00B82D30">
              <w:t>na</w:t>
            </w:r>
            <w:r w:rsidRPr="00B82D30">
              <w:t> </w:t>
            </w:r>
            <w:r w:rsidR="00CE101F" w:rsidRPr="00B82D30">
              <w:t>zdroje, potřebovala</w:t>
            </w:r>
            <w:r w:rsidRPr="00B82D30">
              <w:t xml:space="preserve"> v roce 2013</w:t>
            </w:r>
            <w:r w:rsidR="00CE101F" w:rsidRPr="00B82D30">
              <w:t xml:space="preserve"> na</w:t>
            </w:r>
            <w:r w:rsidRPr="00B82D30">
              <w:t xml:space="preserve"> jednu</w:t>
            </w:r>
            <w:r w:rsidR="00CE101F" w:rsidRPr="00B82D30">
              <w:t xml:space="preserve"> stokorunu produkce vstupy </w:t>
            </w:r>
            <w:r w:rsidR="00CE101F" w:rsidRPr="00B82D30">
              <w:lastRenderedPageBreak/>
              <w:t xml:space="preserve">v hodnotě </w:t>
            </w:r>
            <w:r w:rsidRPr="00B82D30">
              <w:t>55,1</w:t>
            </w:r>
            <w:r w:rsidR="00CE101F" w:rsidRPr="00B82D30">
              <w:t xml:space="preserve"> korun</w:t>
            </w:r>
            <w:r w:rsidR="004C79C6" w:rsidRPr="00B82D30">
              <w:t>y</w:t>
            </w:r>
            <w:r w:rsidR="005C3A77" w:rsidRPr="00B82D30">
              <w:t>. Jeho náročnost byla v meziodvětvovém srovnání desátá</w:t>
            </w:r>
            <w:r w:rsidR="006F7329" w:rsidRPr="00B82D30">
              <w:t> </w:t>
            </w:r>
            <w:r w:rsidR="005C3A77" w:rsidRPr="00B82D30">
              <w:t>největší</w:t>
            </w:r>
            <w:r w:rsidR="00CE101F" w:rsidRPr="00B82D30">
              <w:t>.</w:t>
            </w:r>
          </w:p>
          <w:p w:rsidR="002176C9" w:rsidRPr="00B82D30" w:rsidRDefault="002176C9" w:rsidP="002176C9">
            <w:pPr>
              <w:pStyle w:val="Textpoznpodarou"/>
              <w:jc w:val="both"/>
            </w:pPr>
          </w:p>
        </w:tc>
      </w:tr>
      <w:tr w:rsidR="00CE101F" w:rsidRPr="00B82D30" w:rsidTr="000E63FC">
        <w:tc>
          <w:tcPr>
            <w:tcW w:w="1054" w:type="pct"/>
          </w:tcPr>
          <w:p w:rsidR="00CE101F" w:rsidRPr="00B82D30" w:rsidRDefault="00B41B64" w:rsidP="00B41B64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lastRenderedPageBreak/>
              <w:t>Nárůst efektivity přepracování vstupů na produkt, ke kterému v tuzemské ekonomice došlo v roce 2009, se primárnímu sektoru téměř vyhnul</w:t>
            </w:r>
          </w:p>
        </w:tc>
        <w:tc>
          <w:tcPr>
            <w:tcW w:w="142" w:type="pct"/>
          </w:tcPr>
          <w:p w:rsidR="00CE101F" w:rsidRPr="00B82D30" w:rsidRDefault="00CE101F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487C11" w:rsidRPr="00B82D30" w:rsidRDefault="00CE101F" w:rsidP="001152C7">
            <w:pPr>
              <w:pStyle w:val="Textpoznpodarou"/>
              <w:jc w:val="both"/>
              <w:rPr>
                <w:sz w:val="16"/>
                <w:szCs w:val="16"/>
              </w:rPr>
            </w:pPr>
            <w:r w:rsidRPr="00B82D30">
              <w:t>Rok 2009 zasáhl ekonomiku České republiky nejhlubší recesí v historii, přinesl však i jistá pozitiva. Podniky, vyrovnávající se s výpadkem poptávky, se snažily šetřit na</w:t>
            </w:r>
            <w:r w:rsidR="00B20079" w:rsidRPr="00B82D30">
              <w:t> </w:t>
            </w:r>
            <w:r w:rsidRPr="00B82D30">
              <w:t xml:space="preserve">materiálových vstupech. Cena ropy, </w:t>
            </w:r>
            <w:r w:rsidR="00BF7AD2" w:rsidRPr="00B82D30">
              <w:t>šplhající v první polovině roku 2008 na historická maxima</w:t>
            </w:r>
            <w:r w:rsidRPr="00B82D30">
              <w:t>,</w:t>
            </w:r>
            <w:r w:rsidR="00BF7AD2" w:rsidRPr="00B82D30">
              <w:t xml:space="preserve"> ve druhém pololetí strmě spadla a v roce 2009 byla meziročně významně nižší</w:t>
            </w:r>
            <w:r w:rsidRPr="00B82D30">
              <w:t>. To mělo pozitivní dopad na efektivitu přeměny vstupů zejména v sekundárním sektoru, přílišnou výjimkou nebyl nárůst efektivity ani v jednotlivých odvětvích terciárního sektoru. Jestliže ještě v roce 2008 celá česká ekonomika potřebovala na stokorunu produkce vstupy v hodnotě</w:t>
            </w:r>
            <w:r w:rsidR="00512800" w:rsidRPr="00B82D30">
              <w:t xml:space="preserve"> 62,0</w:t>
            </w:r>
            <w:r w:rsidR="00B20079" w:rsidRPr="00B82D30">
              <w:t> </w:t>
            </w:r>
            <w:r w:rsidRPr="00B82D30">
              <w:t>korun</w:t>
            </w:r>
            <w:r w:rsidR="004C79C6" w:rsidRPr="00B82D30">
              <w:t>y</w:t>
            </w:r>
            <w:r w:rsidR="00512800" w:rsidRPr="00B82D30">
              <w:t>, v roce 2009 výrazně nižších 59,8</w:t>
            </w:r>
            <w:r w:rsidRPr="00B82D30">
              <w:t xml:space="preserve"> korun</w:t>
            </w:r>
            <w:r w:rsidR="004C79C6" w:rsidRPr="00B82D30">
              <w:t>y</w:t>
            </w:r>
            <w:r w:rsidR="00512800" w:rsidRPr="00B82D30">
              <w:t xml:space="preserve"> (-2,2</w:t>
            </w:r>
            <w:r w:rsidRPr="00B82D30">
              <w:t xml:space="preserve"> korun</w:t>
            </w:r>
            <w:r w:rsidR="004C79C6" w:rsidRPr="00B82D30">
              <w:t>y</w:t>
            </w:r>
            <w:r w:rsidRPr="00B82D30">
              <w:t>). Primárnímu sektoru se však nárůst efektivity přeměny vstupů na konečný produkt téměř vyhnul. Těžba a</w:t>
            </w:r>
            <w:r w:rsidR="00B20079" w:rsidRPr="00B82D30">
              <w:t> </w:t>
            </w:r>
            <w:r w:rsidRPr="00B82D30">
              <w:t>dobývání svoji efektivitu zlepšila jen podprůměrně</w:t>
            </w:r>
            <w:r w:rsidR="00512800" w:rsidRPr="00B82D30">
              <w:t xml:space="preserve"> (-1,1</w:t>
            </w:r>
            <w:r w:rsidRPr="00B82D30">
              <w:t xml:space="preserve"> koruny), odvětví zemědělství, lesnictví a rybářství  </w:t>
            </w:r>
            <w:r w:rsidR="000D037D" w:rsidRPr="00B82D30">
              <w:t>svoji náročnost dokonce zvýšil</w:t>
            </w:r>
            <w:r w:rsidR="00512800" w:rsidRPr="00B82D30">
              <w:t>o</w:t>
            </w:r>
            <w:r w:rsidR="000D037D" w:rsidRPr="00B82D30">
              <w:t>. N</w:t>
            </w:r>
            <w:r w:rsidRPr="00B82D30">
              <w:t>a jednu sto</w:t>
            </w:r>
            <w:r w:rsidR="00512800" w:rsidRPr="00B82D30">
              <w:t xml:space="preserve">korunu produkce potřebovalo </w:t>
            </w:r>
            <w:r w:rsidR="001152C7" w:rsidRPr="00B82D30">
              <w:t xml:space="preserve">v porovnání s rokem 2008 </w:t>
            </w:r>
            <w:r w:rsidR="00512800" w:rsidRPr="00B82D30">
              <w:t>o 1,6</w:t>
            </w:r>
            <w:r w:rsidRPr="00B82D30">
              <w:t> koruny více.</w:t>
            </w:r>
          </w:p>
        </w:tc>
      </w:tr>
    </w:tbl>
    <w:p w:rsidR="003341FD" w:rsidRPr="00B82D30" w:rsidRDefault="003341FD" w:rsidP="00487C11">
      <w:pPr>
        <w:rPr>
          <w:szCs w:val="20"/>
        </w:rPr>
      </w:pPr>
    </w:p>
    <w:p w:rsidR="003341FD" w:rsidRPr="00B82D30" w:rsidRDefault="003341FD" w:rsidP="00487C11">
      <w:pPr>
        <w:rPr>
          <w:szCs w:val="20"/>
        </w:rPr>
      </w:pPr>
      <w:r w:rsidRPr="00B82D30">
        <w:rPr>
          <w:b/>
          <w:szCs w:val="20"/>
        </w:rPr>
        <w:t>2.1.1 Efektivita zpracování vstupů na produkt – mezinárodní srovnání</w:t>
      </w:r>
      <w:r w:rsidRPr="00B82D30">
        <w:rPr>
          <w:rStyle w:val="Znakapoznpodarou"/>
          <w:b/>
          <w:szCs w:val="20"/>
        </w:rPr>
        <w:footnoteReference w:id="3"/>
      </w:r>
    </w:p>
    <w:p w:rsidR="003341FD" w:rsidRPr="00B82D30" w:rsidRDefault="003341FD" w:rsidP="00487C11">
      <w:pPr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3341FD" w:rsidRPr="00B82D30" w:rsidTr="000E63FC">
        <w:tc>
          <w:tcPr>
            <w:tcW w:w="1054" w:type="pct"/>
          </w:tcPr>
          <w:p w:rsidR="003341FD" w:rsidRPr="00B82D30" w:rsidRDefault="003341FD" w:rsidP="002811CA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Mezi zeměmi EU je </w:t>
            </w:r>
            <w:r w:rsidR="002811CA" w:rsidRPr="00B82D30">
              <w:rPr>
                <w:sz w:val="16"/>
                <w:szCs w:val="16"/>
              </w:rPr>
              <w:t xml:space="preserve">tuzemské </w:t>
            </w:r>
            <w:r w:rsidRPr="00B82D30">
              <w:rPr>
                <w:sz w:val="16"/>
                <w:szCs w:val="16"/>
              </w:rPr>
              <w:t>zemědělství, lesnictví a rybář</w:t>
            </w:r>
            <w:r w:rsidR="002811CA" w:rsidRPr="00B82D30">
              <w:rPr>
                <w:sz w:val="16"/>
                <w:szCs w:val="16"/>
              </w:rPr>
              <w:t>ství poměrně materiálově náročné</w:t>
            </w:r>
            <w:r w:rsidRPr="00B82D30">
              <w:rPr>
                <w:sz w:val="16"/>
                <w:szCs w:val="16"/>
              </w:rPr>
              <w:t xml:space="preserve">. V každém roce z období 2010-2012 byla náročnost českého zemědělství, lesnictví a rybářství </w:t>
            </w:r>
            <w:r w:rsidR="003C5612" w:rsidRPr="00B82D30">
              <w:rPr>
                <w:sz w:val="16"/>
                <w:szCs w:val="16"/>
              </w:rPr>
              <w:t xml:space="preserve">navíc </w:t>
            </w:r>
            <w:r w:rsidRPr="00B82D30">
              <w:rPr>
                <w:sz w:val="16"/>
                <w:szCs w:val="16"/>
              </w:rPr>
              <w:t>vyšší než německého a polského, …</w:t>
            </w:r>
          </w:p>
        </w:tc>
        <w:tc>
          <w:tcPr>
            <w:tcW w:w="142" w:type="pct"/>
          </w:tcPr>
          <w:p w:rsidR="003341FD" w:rsidRPr="00B82D30" w:rsidRDefault="003341FD" w:rsidP="003341FD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0D037D" w:rsidRPr="00B82D30" w:rsidRDefault="00094DF8" w:rsidP="003341FD">
            <w:pPr>
              <w:pStyle w:val="Textpoznpodarou"/>
              <w:jc w:val="both"/>
            </w:pPr>
            <w:r w:rsidRPr="00B82D30">
              <w:t>O</w:t>
            </w:r>
            <w:r w:rsidR="00C337A7" w:rsidRPr="00B82D30">
              <w:t xml:space="preserve">dvětví </w:t>
            </w:r>
            <w:r w:rsidR="003341FD" w:rsidRPr="00B82D30">
              <w:t>zemědělství, lesnictví a rybářs</w:t>
            </w:r>
            <w:r w:rsidR="000D037D" w:rsidRPr="00B82D30">
              <w:t>tví</w:t>
            </w:r>
            <w:r w:rsidRPr="00B82D30">
              <w:t xml:space="preserve"> v ČR</w:t>
            </w:r>
            <w:r w:rsidR="000D037D" w:rsidRPr="00B82D30">
              <w:t xml:space="preserve"> patřil</w:t>
            </w:r>
            <w:r w:rsidR="00C337A7" w:rsidRPr="00B82D30">
              <w:t>o</w:t>
            </w:r>
            <w:r w:rsidR="000D037D" w:rsidRPr="00B82D30">
              <w:t xml:space="preserve"> mezi zeměmi Evropské unie</w:t>
            </w:r>
            <w:r w:rsidR="006165C4" w:rsidRPr="00B82D30">
              <w:t xml:space="preserve"> k těm materiálově náročnějším. </w:t>
            </w:r>
            <w:r w:rsidR="00131A85" w:rsidRPr="00B82D30">
              <w:t xml:space="preserve">V roce 2012 potřebovalo na stokorunu produkce vstupy v hodnotě 64,4 koruny, </w:t>
            </w:r>
            <w:r w:rsidRPr="00B82D30">
              <w:t xml:space="preserve">což ho mezi zeměmi EU, </w:t>
            </w:r>
            <w:r w:rsidR="00131A85" w:rsidRPr="00B82D30">
              <w:t>z</w:t>
            </w:r>
            <w:r w:rsidR="003341FD" w:rsidRPr="00B82D30">
              <w:t xml:space="preserve"> hlediska dostup</w:t>
            </w:r>
            <w:r w:rsidRPr="00B82D30">
              <w:t>ných údajů, umisťovalo na osmou</w:t>
            </w:r>
            <w:r w:rsidR="003341FD" w:rsidRPr="00B82D30">
              <w:t xml:space="preserve"> nejhorší pozic</w:t>
            </w:r>
            <w:r w:rsidRPr="00B82D30">
              <w:t>i</w:t>
            </w:r>
            <w:r w:rsidR="003341FD" w:rsidRPr="00B82D30">
              <w:t xml:space="preserve">. </w:t>
            </w:r>
          </w:p>
          <w:p w:rsidR="000D037D" w:rsidRPr="00B82D30" w:rsidRDefault="000D037D" w:rsidP="003341FD">
            <w:pPr>
              <w:pStyle w:val="Textpoznpodarou"/>
              <w:jc w:val="both"/>
            </w:pPr>
          </w:p>
          <w:p w:rsidR="003341FD" w:rsidRPr="00B82D30" w:rsidRDefault="003341FD" w:rsidP="00E30C5A">
            <w:pPr>
              <w:pStyle w:val="Textpoznpodarou"/>
              <w:jc w:val="both"/>
              <w:rPr>
                <w:sz w:val="16"/>
                <w:szCs w:val="16"/>
              </w:rPr>
            </w:pPr>
            <w:r w:rsidRPr="00B82D30">
              <w:t>Náročnost zemědělství, lesnictví</w:t>
            </w:r>
            <w:r w:rsidR="00BC5705" w:rsidRPr="00B82D30">
              <w:t> </w:t>
            </w:r>
            <w:r w:rsidRPr="00B82D30">
              <w:t>a rybářství byla</w:t>
            </w:r>
            <w:r w:rsidR="007D69F0" w:rsidRPr="00B82D30">
              <w:t xml:space="preserve"> velmi</w:t>
            </w:r>
            <w:r w:rsidRPr="00B82D30">
              <w:t xml:space="preserve"> vysoká</w:t>
            </w:r>
            <w:r w:rsidR="009C53A0" w:rsidRPr="00B82D30">
              <w:t>, dle údajů z roku 2012,</w:t>
            </w:r>
            <w:r w:rsidRPr="00B82D30">
              <w:t xml:space="preserve"> zejména v</w:t>
            </w:r>
            <w:r w:rsidR="007D69F0" w:rsidRPr="00B82D30">
              <w:t> těch</w:t>
            </w:r>
            <w:r w:rsidRPr="00B82D30">
              <w:t> zemích</w:t>
            </w:r>
            <w:r w:rsidR="007D69F0" w:rsidRPr="00B82D30">
              <w:t>, které se specializují</w:t>
            </w:r>
            <w:r w:rsidRPr="00B82D30">
              <w:t xml:space="preserve"> na živočišnou výrobu. Jednalo se</w:t>
            </w:r>
            <w:r w:rsidR="007D69F0" w:rsidRPr="00B82D30">
              <w:t xml:space="preserve"> zejména</w:t>
            </w:r>
            <w:r w:rsidRPr="00B82D30">
              <w:t xml:space="preserve"> o</w:t>
            </w:r>
            <w:r w:rsidR="007D69F0" w:rsidRPr="00B82D30">
              <w:t> </w:t>
            </w:r>
            <w:r w:rsidRPr="00B82D30">
              <w:t>Irsko (81,9 jednotek měny na jedno sto jednotek měny produkce),</w:t>
            </w:r>
            <w:r w:rsidR="00F77203" w:rsidRPr="00B82D30">
              <w:t xml:space="preserve"> dále</w:t>
            </w:r>
            <w:r w:rsidRPr="00B82D30">
              <w:t xml:space="preserve"> Dánsko (73,3 jednotek), Belgii (70,6 jednotek), Lucembursko (6</w:t>
            </w:r>
            <w:r w:rsidR="00EC024F" w:rsidRPr="00B82D30">
              <w:t>8,6</w:t>
            </w:r>
            <w:r w:rsidR="009C53A0" w:rsidRPr="00B82D30">
              <w:t> </w:t>
            </w:r>
            <w:r w:rsidR="00EC024F" w:rsidRPr="00B82D30">
              <w:t>jednotek), o</w:t>
            </w:r>
            <w:r w:rsidRPr="00B82D30">
              <w:t>b</w:t>
            </w:r>
            <w:r w:rsidR="007D69F0" w:rsidRPr="00B82D30">
              <w:t xml:space="preserve">dobné platilo i pro Nizozemsko </w:t>
            </w:r>
            <w:r w:rsidRPr="00B82D30">
              <w:t xml:space="preserve">(67,8 jednotek). </w:t>
            </w:r>
            <w:r w:rsidR="00040D21" w:rsidRPr="00B82D30">
              <w:t>Naopak n</w:t>
            </w:r>
            <w:r w:rsidR="00EC024F" w:rsidRPr="00B82D30">
              <w:t>ízkou materiálovou náročnost vykazovalo</w:t>
            </w:r>
            <w:r w:rsidR="007D69F0" w:rsidRPr="00B82D30">
              <w:t xml:space="preserve"> odvětví</w:t>
            </w:r>
            <w:r w:rsidR="00040D21" w:rsidRPr="00B82D30">
              <w:t xml:space="preserve"> zemědělství, lesnictví a rybářství </w:t>
            </w:r>
            <w:r w:rsidRPr="00B82D30">
              <w:t>v Itálii (47</w:t>
            </w:r>
            <w:r w:rsidR="008864A9" w:rsidRPr="00B82D30">
              <w:t>,0</w:t>
            </w:r>
            <w:r w:rsidR="007D69F0" w:rsidRPr="00B82D30">
              <w:t> </w:t>
            </w:r>
            <w:r w:rsidR="008864A9" w:rsidRPr="00B82D30">
              <w:t xml:space="preserve">jednotek), </w:t>
            </w:r>
            <w:r w:rsidRPr="00B82D30">
              <w:t>na</w:t>
            </w:r>
            <w:r w:rsidR="00BC5705" w:rsidRPr="00B82D30">
              <w:t> </w:t>
            </w:r>
            <w:r w:rsidRPr="00B82D30">
              <w:t>Kypru (49,5 jednote</w:t>
            </w:r>
            <w:r w:rsidR="00040D21" w:rsidRPr="00B82D30">
              <w:t>k) a</w:t>
            </w:r>
            <w:r w:rsidRPr="00B82D30">
              <w:t xml:space="preserve"> ve Španělsku (49,9</w:t>
            </w:r>
            <w:r w:rsidR="000D037D" w:rsidRPr="00B82D30">
              <w:t> </w:t>
            </w:r>
            <w:r w:rsidR="008864A9" w:rsidRPr="00B82D30">
              <w:t>jednotek), tedy v</w:t>
            </w:r>
            <w:r w:rsidR="007D69F0" w:rsidRPr="00B82D30">
              <w:t> </w:t>
            </w:r>
            <w:r w:rsidR="008864A9" w:rsidRPr="00B82D30">
              <w:t xml:space="preserve">zemích, </w:t>
            </w:r>
            <w:r w:rsidRPr="00B82D30">
              <w:t>které</w:t>
            </w:r>
            <w:r w:rsidR="00BC5705" w:rsidRPr="00B82D30">
              <w:t> </w:t>
            </w:r>
            <w:r w:rsidR="007D69F0" w:rsidRPr="00B82D30">
              <w:t>využívají své geografické polohy</w:t>
            </w:r>
            <w:r w:rsidRPr="00B82D30">
              <w:t xml:space="preserve"> </w:t>
            </w:r>
            <w:r w:rsidR="007D69F0" w:rsidRPr="00B82D30">
              <w:t>pro</w:t>
            </w:r>
            <w:r w:rsidR="00EC024F" w:rsidRPr="00B82D30">
              <w:t xml:space="preserve"> relativně</w:t>
            </w:r>
            <w:r w:rsidRPr="00B82D30">
              <w:t xml:space="preserve"> nenáročné pěstování ovoce</w:t>
            </w:r>
            <w:r w:rsidR="00040D21" w:rsidRPr="00B82D30">
              <w:t>, ale například i ve Finsku (50,9 jednotek), kde významnou roli v zemědělství, lesnictví a rybářství hraje těžba dřeva.</w:t>
            </w:r>
          </w:p>
        </w:tc>
      </w:tr>
    </w:tbl>
    <w:p w:rsidR="003341FD" w:rsidRPr="00B82D30" w:rsidRDefault="003341FD" w:rsidP="00487C11">
      <w:pPr>
        <w:rPr>
          <w:szCs w:val="20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90"/>
        <w:gridCol w:w="4500"/>
        <w:gridCol w:w="566"/>
        <w:gridCol w:w="1276"/>
        <w:gridCol w:w="2862"/>
      </w:tblGrid>
      <w:tr w:rsidR="002176C9" w:rsidRPr="00B82D30" w:rsidTr="002176C9">
        <w:tc>
          <w:tcPr>
            <w:tcW w:w="253" w:type="pct"/>
          </w:tcPr>
          <w:p w:rsidR="002176C9" w:rsidRPr="00B82D30" w:rsidRDefault="002176C9" w:rsidP="002176C9">
            <w:pPr>
              <w:pStyle w:val="Textpoznpodarou"/>
            </w:pPr>
            <w:r w:rsidRPr="00B82D30">
              <w:t>Graf č. 15</w:t>
            </w:r>
          </w:p>
        </w:tc>
        <w:tc>
          <w:tcPr>
            <w:tcW w:w="2321" w:type="pct"/>
          </w:tcPr>
          <w:p w:rsidR="002176C9" w:rsidRPr="00B82D30" w:rsidRDefault="002176C9" w:rsidP="002176C9">
            <w:pPr>
              <w:pStyle w:val="Textpoznpodarou"/>
            </w:pPr>
            <w:r w:rsidRPr="00B82D30">
              <w:rPr>
                <w:b/>
              </w:rPr>
              <w:t xml:space="preserve">Hodnota vstupů potřebná na jedno sto jednotek produkce v zemědělství, lesnictví a rybářství v zemích EU v roce 2012 </w:t>
            </w:r>
            <w:r w:rsidRPr="00B82D30">
              <w:t>(nominálně, v jednotkách)</w:t>
            </w:r>
          </w:p>
        </w:tc>
        <w:tc>
          <w:tcPr>
            <w:tcW w:w="292" w:type="pct"/>
          </w:tcPr>
          <w:p w:rsidR="002176C9" w:rsidRPr="00B82D30" w:rsidRDefault="002176C9" w:rsidP="002176C9">
            <w:pPr>
              <w:pStyle w:val="Textpoznpodarou"/>
            </w:pPr>
            <w:r w:rsidRPr="00B82D30">
              <w:t>Graf č. 16</w:t>
            </w:r>
          </w:p>
        </w:tc>
        <w:tc>
          <w:tcPr>
            <w:tcW w:w="2134" w:type="pct"/>
            <w:gridSpan w:val="2"/>
          </w:tcPr>
          <w:p w:rsidR="002176C9" w:rsidRPr="00B82D30" w:rsidRDefault="002176C9" w:rsidP="002176C9">
            <w:pPr>
              <w:pStyle w:val="Textpoznpodarou"/>
            </w:pPr>
            <w:r w:rsidRPr="00B82D30">
              <w:rPr>
                <w:b/>
              </w:rPr>
              <w:t xml:space="preserve">Hodnota vstupů potřebná na jedno sto jednotek produkce v těžbě a dobývání v zemích EU v roce 2012 </w:t>
            </w:r>
            <w:r w:rsidRPr="00B82D30">
              <w:t>(nominálně, v jednotkách)</w:t>
            </w:r>
          </w:p>
        </w:tc>
      </w:tr>
      <w:tr w:rsidR="002176C9" w:rsidRPr="00B82D30" w:rsidTr="002176C9">
        <w:tc>
          <w:tcPr>
            <w:tcW w:w="2574" w:type="pct"/>
            <w:gridSpan w:val="2"/>
          </w:tcPr>
          <w:p w:rsidR="002176C9" w:rsidRPr="00B82D30" w:rsidRDefault="002176C9" w:rsidP="002176C9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3086100" cy="2247900"/>
                  <wp:effectExtent l="19050" t="0" r="0" b="0"/>
                  <wp:docPr id="2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416" cy="224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pct"/>
            <w:gridSpan w:val="3"/>
          </w:tcPr>
          <w:p w:rsidR="002176C9" w:rsidRPr="00B82D30" w:rsidRDefault="002176C9" w:rsidP="002176C9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2924175" cy="2247900"/>
                  <wp:effectExtent l="19050" t="0" r="9525" b="0"/>
                  <wp:docPr id="3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6C9" w:rsidRPr="00B82D30" w:rsidTr="00203DE2">
        <w:tc>
          <w:tcPr>
            <w:tcW w:w="3524" w:type="pct"/>
            <w:gridSpan w:val="4"/>
          </w:tcPr>
          <w:p w:rsidR="002176C9" w:rsidRPr="00B82D30" w:rsidRDefault="002176C9" w:rsidP="002176C9">
            <w:pPr>
              <w:pStyle w:val="Textpoznpodarou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pozn. pro rok 2012 nedostupné údaje za Řecko, Portugalsko, Švédsko, UK – byly nahrazeny údaji za rok 2011. Nedostupné údaje za Chorvatsko.</w:t>
            </w:r>
            <w:r w:rsidR="00203DE2" w:rsidRPr="00B82D30">
              <w:rPr>
                <w:sz w:val="18"/>
                <w:szCs w:val="18"/>
              </w:rPr>
              <w:t xml:space="preserve"> V metodice ESA 95.</w:t>
            </w:r>
          </w:p>
        </w:tc>
        <w:tc>
          <w:tcPr>
            <w:tcW w:w="1476" w:type="pct"/>
          </w:tcPr>
          <w:p w:rsidR="002176C9" w:rsidRPr="00B82D30" w:rsidRDefault="002176C9" w:rsidP="002176C9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 xml:space="preserve">Zdroj: </w:t>
            </w:r>
            <w:proofErr w:type="spellStart"/>
            <w:r w:rsidRPr="00B82D30">
              <w:rPr>
                <w:sz w:val="18"/>
                <w:szCs w:val="18"/>
              </w:rPr>
              <w:t>Eurostat</w:t>
            </w:r>
            <w:proofErr w:type="spellEnd"/>
            <w:r w:rsidRPr="00B82D30">
              <w:rPr>
                <w:sz w:val="18"/>
                <w:szCs w:val="18"/>
              </w:rPr>
              <w:t>, vlastní propočty</w:t>
            </w:r>
          </w:p>
        </w:tc>
      </w:tr>
    </w:tbl>
    <w:p w:rsidR="002176C9" w:rsidRPr="00B82D30" w:rsidRDefault="002176C9" w:rsidP="00487C11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2176C9" w:rsidRPr="00B82D30" w:rsidTr="002176C9">
        <w:tc>
          <w:tcPr>
            <w:tcW w:w="1054" w:type="pct"/>
          </w:tcPr>
          <w:p w:rsidR="002176C9" w:rsidRPr="00B82D30" w:rsidRDefault="002176C9" w:rsidP="00FA7F32">
            <w:pPr>
              <w:jc w:val="left"/>
              <w:rPr>
                <w:spacing w:val="-4"/>
                <w:sz w:val="16"/>
                <w:szCs w:val="16"/>
              </w:rPr>
            </w:pPr>
            <w:r w:rsidRPr="00B82D30">
              <w:rPr>
                <w:spacing w:val="-4"/>
                <w:sz w:val="16"/>
                <w:szCs w:val="16"/>
              </w:rPr>
              <w:t xml:space="preserve">… což </w:t>
            </w:r>
            <w:r w:rsidR="00FA7F32" w:rsidRPr="00B82D30">
              <w:rPr>
                <w:spacing w:val="-4"/>
                <w:sz w:val="16"/>
                <w:szCs w:val="16"/>
              </w:rPr>
              <w:t>mohlo</w:t>
            </w:r>
            <w:r w:rsidRPr="00B82D30">
              <w:rPr>
                <w:spacing w:val="-4"/>
                <w:sz w:val="16"/>
                <w:szCs w:val="16"/>
              </w:rPr>
              <w:t xml:space="preserve"> </w:t>
            </w:r>
            <w:r w:rsidR="002811CA" w:rsidRPr="00B82D30">
              <w:rPr>
                <w:spacing w:val="-4"/>
                <w:sz w:val="16"/>
                <w:szCs w:val="16"/>
              </w:rPr>
              <w:t>být jedním z důvodů nižší cenové konkurenceschopnosti domácích prvovýrobců</w:t>
            </w:r>
          </w:p>
        </w:tc>
        <w:tc>
          <w:tcPr>
            <w:tcW w:w="142" w:type="pct"/>
          </w:tcPr>
          <w:p w:rsidR="002176C9" w:rsidRPr="00B82D30" w:rsidRDefault="002176C9" w:rsidP="002176C9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04" w:type="pct"/>
          </w:tcPr>
          <w:p w:rsidR="002176C9" w:rsidRPr="00B82D30" w:rsidRDefault="002176C9" w:rsidP="002176C9">
            <w:pPr>
              <w:pStyle w:val="Textpoznpodarou"/>
              <w:jc w:val="both"/>
            </w:pPr>
            <w:r w:rsidRPr="00B82D30">
              <w:t>České zemědělství, lesnictví a rybářství je materiálově náročnější než německé a polské. Za celé období 1995-2012 byla náročnost českého zemědělství, lesnictví</w:t>
            </w:r>
            <w:r w:rsidR="007D69F0" w:rsidRPr="00B82D30">
              <w:t> </w:t>
            </w:r>
            <w:r w:rsidRPr="00B82D30">
              <w:t xml:space="preserve">a rybářství menší v porovnání s německým jen ve čtyřech letech, v porovnání s polským v devíti. </w:t>
            </w:r>
            <w:r w:rsidR="00094DF8" w:rsidRPr="00B82D30">
              <w:t>V období</w:t>
            </w:r>
            <w:r w:rsidRPr="00B82D30">
              <w:t xml:space="preserve"> 2010-2012 to neplatilo ani </w:t>
            </w:r>
            <w:r w:rsidR="00094DF8" w:rsidRPr="00B82D30">
              <w:t>jednou</w:t>
            </w:r>
            <w:r w:rsidRPr="00B82D30">
              <w:t xml:space="preserve">, </w:t>
            </w:r>
            <w:r w:rsidRPr="00B82D30">
              <w:lastRenderedPageBreak/>
              <w:t>náročnost domácího zemědělství, lesnictví a rybářství byla vyšší v</w:t>
            </w:r>
            <w:r w:rsidR="00094DF8" w:rsidRPr="00B82D30">
              <w:t> </w:t>
            </w:r>
            <w:r w:rsidRPr="00B82D30">
              <w:t>každém</w:t>
            </w:r>
            <w:r w:rsidR="00094DF8" w:rsidRPr="00B82D30">
              <w:t xml:space="preserve"> jednotlivém</w:t>
            </w:r>
            <w:r w:rsidRPr="00B82D30">
              <w:t xml:space="preserve"> roce. Tato skutečnost </w:t>
            </w:r>
            <w:r w:rsidR="00EC024F" w:rsidRPr="00B82D30">
              <w:t>m</w:t>
            </w:r>
            <w:r w:rsidR="0021266A" w:rsidRPr="00B82D30">
              <w:t>ohla</w:t>
            </w:r>
            <w:r w:rsidR="00EC024F" w:rsidRPr="00B82D30">
              <w:t xml:space="preserve"> přispívat k nižší cenové konkurenceschopnosti domácích prvovýrobců a</w:t>
            </w:r>
            <w:r w:rsidR="0098767B" w:rsidRPr="00B82D30">
              <w:t xml:space="preserve"> být tak jedním z důvodů</w:t>
            </w:r>
            <w:r w:rsidR="00EC024F" w:rsidRPr="00B82D30">
              <w:t xml:space="preserve"> </w:t>
            </w:r>
            <w:r w:rsidR="00730E8D" w:rsidRPr="00B82D30">
              <w:t>pokračujícího</w:t>
            </w:r>
            <w:r w:rsidR="00EC024F" w:rsidRPr="00B82D30">
              <w:t xml:space="preserve"> </w:t>
            </w:r>
            <w:r w:rsidR="0098767B" w:rsidRPr="00B82D30">
              <w:t>nárůstu</w:t>
            </w:r>
            <w:r w:rsidRPr="00B82D30">
              <w:t xml:space="preserve"> dovozů levnějších potravin do Česka, a to právě z Německa a z Polska.</w:t>
            </w:r>
          </w:p>
          <w:p w:rsidR="002176C9" w:rsidRPr="00B82D30" w:rsidRDefault="002176C9" w:rsidP="002176C9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3341FD" w:rsidRPr="00B82D30" w:rsidTr="000E63FC">
        <w:tc>
          <w:tcPr>
            <w:tcW w:w="1054" w:type="pct"/>
          </w:tcPr>
          <w:p w:rsidR="003341FD" w:rsidRPr="00B82D30" w:rsidRDefault="00932D01" w:rsidP="003341FD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lastRenderedPageBreak/>
              <w:t>T</w:t>
            </w:r>
            <w:r w:rsidR="003341FD" w:rsidRPr="00B82D30">
              <w:rPr>
                <w:sz w:val="16"/>
                <w:szCs w:val="16"/>
              </w:rPr>
              <w:t xml:space="preserve">ěžba a dobývání </w:t>
            </w:r>
            <w:r w:rsidRPr="00B82D30">
              <w:rPr>
                <w:sz w:val="16"/>
                <w:szCs w:val="16"/>
              </w:rPr>
              <w:t xml:space="preserve">v ČR </w:t>
            </w:r>
            <w:r w:rsidR="003341FD" w:rsidRPr="00B82D30">
              <w:rPr>
                <w:sz w:val="16"/>
                <w:szCs w:val="16"/>
              </w:rPr>
              <w:t>potřebovala v roce 2012 na jednu stokorunu produkce vstupy v hodnotě 54,2 korun</w:t>
            </w:r>
            <w:r w:rsidR="00DC41A9" w:rsidRPr="00B82D30">
              <w:rPr>
                <w:sz w:val="16"/>
                <w:szCs w:val="16"/>
              </w:rPr>
              <w:t>y</w:t>
            </w:r>
            <w:r w:rsidR="003341FD" w:rsidRPr="00B82D30">
              <w:rPr>
                <w:sz w:val="16"/>
                <w:szCs w:val="16"/>
              </w:rPr>
              <w:t>, výrazně více než</w:t>
            </w:r>
            <w:r w:rsidR="00D570B5" w:rsidRPr="00B82D30">
              <w:rPr>
                <w:sz w:val="16"/>
                <w:szCs w:val="16"/>
              </w:rPr>
              <w:t xml:space="preserve"> těžba a dobývání</w:t>
            </w:r>
            <w:r w:rsidR="003341FD" w:rsidRPr="00B82D30">
              <w:rPr>
                <w:sz w:val="16"/>
                <w:szCs w:val="16"/>
              </w:rPr>
              <w:t xml:space="preserve"> v Dánsku, avšak znatelně méně než na Maltě</w:t>
            </w:r>
          </w:p>
        </w:tc>
        <w:tc>
          <w:tcPr>
            <w:tcW w:w="142" w:type="pct"/>
          </w:tcPr>
          <w:p w:rsidR="003341FD" w:rsidRPr="00B82D30" w:rsidRDefault="003341FD" w:rsidP="003341FD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3341FD" w:rsidRPr="00B82D30" w:rsidRDefault="00094DF8" w:rsidP="00094DF8">
            <w:pPr>
              <w:pStyle w:val="Textpoznpodarou"/>
              <w:jc w:val="both"/>
            </w:pPr>
            <w:r w:rsidRPr="00B82D30">
              <w:t>Odvětví těžby</w:t>
            </w:r>
            <w:r w:rsidR="00833C11" w:rsidRPr="00B82D30">
              <w:t xml:space="preserve"> a </w:t>
            </w:r>
            <w:r w:rsidR="00131A85" w:rsidRPr="00B82D30">
              <w:t>d</w:t>
            </w:r>
            <w:r w:rsidR="00833C11" w:rsidRPr="00B82D30">
              <w:t>obývání v České republice</w:t>
            </w:r>
            <w:r w:rsidR="003341FD" w:rsidRPr="00B82D30">
              <w:t>, zaměřující se</w:t>
            </w:r>
            <w:r w:rsidR="00833C11" w:rsidRPr="00B82D30">
              <w:t xml:space="preserve"> především</w:t>
            </w:r>
            <w:r w:rsidR="003341FD" w:rsidRPr="00B82D30">
              <w:t xml:space="preserve"> na těžbu hnědého a černého uhlí, je mezi zeměmi Evropské </w:t>
            </w:r>
            <w:r w:rsidR="006C4F39" w:rsidRPr="00B82D30">
              <w:t>unie poměrně materiálově náročné</w:t>
            </w:r>
            <w:r w:rsidR="003341FD" w:rsidRPr="00B82D30">
              <w:t xml:space="preserve">. Plyne to z dat za rok 2012, kdy Česku v tomto ohledu z hlediska dostupných údajů patřila </w:t>
            </w:r>
            <w:r w:rsidR="00F158FB" w:rsidRPr="00B82D30">
              <w:t>devátá</w:t>
            </w:r>
            <w:r w:rsidR="003341FD" w:rsidRPr="00B82D30">
              <w:t xml:space="preserve"> nejhorší pozice. Jestliže v roce 2012 potřebovala česká těžba a</w:t>
            </w:r>
            <w:r w:rsidR="009C53A0" w:rsidRPr="00B82D30">
              <w:t> </w:t>
            </w:r>
            <w:r w:rsidR="003341FD" w:rsidRPr="00B82D30">
              <w:t>dobývání na jednu stokorunu produkce vstupy v hodnotě 54,2</w:t>
            </w:r>
            <w:r w:rsidRPr="00B82D30">
              <w:t> </w:t>
            </w:r>
            <w:r w:rsidR="003341FD" w:rsidRPr="00B82D30">
              <w:t>korun</w:t>
            </w:r>
            <w:r w:rsidR="00833C11" w:rsidRPr="00B82D30">
              <w:t>y, dánská a</w:t>
            </w:r>
            <w:r w:rsidR="009C53A0" w:rsidRPr="00B82D30">
              <w:t> </w:t>
            </w:r>
            <w:r w:rsidR="00833C11" w:rsidRPr="00B82D30">
              <w:t>nizozemská, zaměřená</w:t>
            </w:r>
            <w:r w:rsidR="003341FD" w:rsidRPr="00B82D30">
              <w:t xml:space="preserve"> na těžbu zemního plynu a ropy, </w:t>
            </w:r>
            <w:r w:rsidR="009C53A0" w:rsidRPr="00B82D30">
              <w:t xml:space="preserve">potřebovala </w:t>
            </w:r>
            <w:r w:rsidR="003341FD" w:rsidRPr="00B82D30">
              <w:t>na sto jednotek</w:t>
            </w:r>
            <w:r w:rsidR="009C53A0" w:rsidRPr="00B82D30">
              <w:t xml:space="preserve"> produkce</w:t>
            </w:r>
            <w:r w:rsidR="00932D01" w:rsidRPr="00B82D30">
              <w:t xml:space="preserve"> jen 14,6 jednotek respektive</w:t>
            </w:r>
            <w:r w:rsidR="003341FD" w:rsidRPr="00B82D30">
              <w:t xml:space="preserve"> 20,9 jednotek</w:t>
            </w:r>
            <w:r w:rsidR="009C53A0" w:rsidRPr="00B82D30">
              <w:t xml:space="preserve"> vstupů</w:t>
            </w:r>
            <w:r w:rsidR="003341FD" w:rsidRPr="00B82D30">
              <w:t xml:space="preserve">. Pro srovnání, </w:t>
            </w:r>
            <w:r w:rsidR="00833C11" w:rsidRPr="00B82D30">
              <w:t>na</w:t>
            </w:r>
            <w:r w:rsidR="009C53A0" w:rsidRPr="00B82D30">
              <w:t> </w:t>
            </w:r>
            <w:r w:rsidR="00833C11" w:rsidRPr="00B82D30">
              <w:t>druhé straně žebříčku se nacházela Malta</w:t>
            </w:r>
            <w:r w:rsidR="003341FD" w:rsidRPr="00B82D30">
              <w:t xml:space="preserve">, kde se těží </w:t>
            </w:r>
            <w:r w:rsidR="00833C11" w:rsidRPr="00B82D30">
              <w:t>v zásadě jen</w:t>
            </w:r>
            <w:r w:rsidR="009C53A0" w:rsidRPr="00B82D30">
              <w:t xml:space="preserve"> málo rentabilní</w:t>
            </w:r>
            <w:r w:rsidR="00833C11" w:rsidRPr="00B82D30">
              <w:t xml:space="preserve"> stavební materiály</w:t>
            </w:r>
            <w:r w:rsidR="004E1FB2" w:rsidRPr="00B82D30">
              <w:t xml:space="preserve"> (81,2 jednotek)</w:t>
            </w:r>
            <w:r w:rsidR="00833C11" w:rsidRPr="00B82D30">
              <w:t>.</w:t>
            </w:r>
          </w:p>
        </w:tc>
      </w:tr>
    </w:tbl>
    <w:p w:rsidR="003341FD" w:rsidRPr="00B82D30" w:rsidRDefault="003341FD" w:rsidP="00437826">
      <w:pPr>
        <w:rPr>
          <w:b/>
          <w:sz w:val="22"/>
          <w:szCs w:val="22"/>
        </w:rPr>
      </w:pPr>
    </w:p>
    <w:p w:rsidR="00604538" w:rsidRPr="00B82D30" w:rsidRDefault="00437826" w:rsidP="00437826">
      <w:pPr>
        <w:rPr>
          <w:szCs w:val="20"/>
        </w:rPr>
      </w:pPr>
      <w:r w:rsidRPr="00B82D30">
        <w:rPr>
          <w:b/>
          <w:sz w:val="22"/>
          <w:szCs w:val="22"/>
        </w:rPr>
        <w:t>2.2. Produktivita práce</w:t>
      </w:r>
      <w:r w:rsidR="0028680D" w:rsidRPr="00B82D30">
        <w:rPr>
          <w:rStyle w:val="Znakapoznpodarou"/>
          <w:b/>
          <w:sz w:val="22"/>
          <w:szCs w:val="22"/>
        </w:rPr>
        <w:footnoteReference w:id="4"/>
      </w:r>
    </w:p>
    <w:p w:rsidR="00604538" w:rsidRPr="00B82D30" w:rsidRDefault="00604538" w:rsidP="00604538">
      <w:pPr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7F698D" w:rsidRPr="00B82D30" w:rsidTr="0012025A">
        <w:tc>
          <w:tcPr>
            <w:tcW w:w="1054" w:type="pct"/>
          </w:tcPr>
          <w:p w:rsidR="007F698D" w:rsidRPr="00B82D30" w:rsidRDefault="007F698D" w:rsidP="005865CC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Jedním z hlavních měřítek konkurenceschopnosti je produktivita práce</w:t>
            </w:r>
          </w:p>
        </w:tc>
        <w:tc>
          <w:tcPr>
            <w:tcW w:w="142" w:type="pct"/>
          </w:tcPr>
          <w:p w:rsidR="007F698D" w:rsidRPr="00B82D30" w:rsidRDefault="007F698D" w:rsidP="005865CC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F698D" w:rsidRPr="00B82D30" w:rsidRDefault="007F698D" w:rsidP="005865CC">
            <w:pPr>
              <w:pStyle w:val="Textpoznpodarou"/>
              <w:jc w:val="both"/>
            </w:pPr>
            <w:r w:rsidRPr="00B82D30">
              <w:t>Produktivita práce vyjadřuje výkon, který vytvořila jedna zaměstnaná osoba</w:t>
            </w:r>
            <w:r w:rsidR="005A6B13" w:rsidRPr="00B82D30">
              <w:t xml:space="preserve"> za dané období</w:t>
            </w:r>
            <w:r w:rsidRPr="00B82D30">
              <w:t>, přičemž toto období může být specifikováno dle libosti. Může jím být rok, měsíc, týden, jedna hodina. V této studii vycházíme z produktivity práce, která dává do souvislosti hrubou přidanou hodnotu a počet odpracovaných hodin zaměstnaných osob.</w:t>
            </w:r>
          </w:p>
          <w:p w:rsidR="007F698D" w:rsidRPr="00B82D30" w:rsidRDefault="007F698D" w:rsidP="005865CC">
            <w:pPr>
              <w:pStyle w:val="Textpoznpodarou"/>
              <w:jc w:val="both"/>
            </w:pPr>
          </w:p>
        </w:tc>
      </w:tr>
      <w:tr w:rsidR="007F698D" w:rsidRPr="00B82D30" w:rsidTr="0012025A">
        <w:tc>
          <w:tcPr>
            <w:tcW w:w="1054" w:type="pct"/>
          </w:tcPr>
          <w:p w:rsidR="007F698D" w:rsidRPr="00B82D30" w:rsidRDefault="007F698D" w:rsidP="005865CC">
            <w:pPr>
              <w:jc w:val="left"/>
              <w:rPr>
                <w:spacing w:val="-6"/>
                <w:sz w:val="16"/>
                <w:szCs w:val="16"/>
              </w:rPr>
            </w:pPr>
            <w:r w:rsidRPr="00B82D30">
              <w:rPr>
                <w:spacing w:val="-6"/>
                <w:sz w:val="16"/>
                <w:szCs w:val="16"/>
              </w:rPr>
              <w:t>Jedna hodina práce v zemědělství, lesnictví a rybářství znamenala nižší vytvořenou hodnotu v nominálním vyjádření než v úhrnu za celou ekonomiku</w:t>
            </w:r>
            <w:r w:rsidR="0012025A" w:rsidRPr="00B82D30">
              <w:rPr>
                <w:spacing w:val="-6"/>
                <w:sz w:val="16"/>
                <w:szCs w:val="16"/>
              </w:rPr>
              <w:t xml:space="preserve"> po celé období 1995-2013</w:t>
            </w:r>
            <w:r w:rsidRPr="00B82D30">
              <w:rPr>
                <w:spacing w:val="-6"/>
                <w:sz w:val="16"/>
                <w:szCs w:val="16"/>
              </w:rPr>
              <w:t>, …</w:t>
            </w:r>
          </w:p>
        </w:tc>
        <w:tc>
          <w:tcPr>
            <w:tcW w:w="142" w:type="pct"/>
          </w:tcPr>
          <w:p w:rsidR="007F698D" w:rsidRPr="00B82D30" w:rsidRDefault="007F698D" w:rsidP="005865CC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F698D" w:rsidRPr="00B82D30" w:rsidRDefault="007F698D" w:rsidP="005865CC">
            <w:pPr>
              <w:pStyle w:val="Textpoznpodarou"/>
              <w:jc w:val="both"/>
            </w:pPr>
            <w:r w:rsidRPr="00B82D30">
              <w:t>V roce 2013 znamenala jedna odpracovaná hodina v tuzemské ekonomice vytvořenou hodnotu v nominální výši 408,9 korun. To bylo výrazně více než v odvětví zemědělství, lesnictví a rybářství, kde se za jednu hodinu vytvořila hodnota v nominální výši 297,5 korun. Produktivita práce</w:t>
            </w:r>
            <w:r w:rsidR="005A6B13" w:rsidRPr="00B82D30">
              <w:t xml:space="preserve"> v</w:t>
            </w:r>
            <w:r w:rsidRPr="00B82D30">
              <w:t xml:space="preserve"> zem</w:t>
            </w:r>
            <w:r w:rsidR="00DF2921" w:rsidRPr="00B82D30">
              <w:t>ědělství, lesnictví a rybářství – v odvětví, které je</w:t>
            </w:r>
            <w:r w:rsidRPr="00B82D30">
              <w:t xml:space="preserve"> </w:t>
            </w:r>
            <w:r w:rsidR="00DF2921" w:rsidRPr="00B82D30">
              <w:t>vysoce náročné na práci –</w:t>
            </w:r>
            <w:r w:rsidRPr="00B82D30">
              <w:t xml:space="preserve"> nezaostávala za produktivitou práce na úrovni celé ekonomiky ale jen v tomto roce, nýbrž po celé období 1995-2013.</w:t>
            </w:r>
          </w:p>
          <w:p w:rsidR="007F698D" w:rsidRPr="00B82D30" w:rsidRDefault="007F698D" w:rsidP="005865CC">
            <w:pPr>
              <w:pStyle w:val="Textpoznpodarou"/>
              <w:jc w:val="both"/>
            </w:pPr>
          </w:p>
        </w:tc>
      </w:tr>
      <w:tr w:rsidR="007F698D" w:rsidRPr="00B82D30" w:rsidTr="0012025A">
        <w:tc>
          <w:tcPr>
            <w:tcW w:w="1054" w:type="pct"/>
          </w:tcPr>
          <w:p w:rsidR="007F698D" w:rsidRPr="00B82D30" w:rsidRDefault="007F698D" w:rsidP="005865CC">
            <w:pPr>
              <w:jc w:val="left"/>
              <w:rPr>
                <w:spacing w:val="-6"/>
                <w:sz w:val="16"/>
                <w:szCs w:val="16"/>
              </w:rPr>
            </w:pPr>
          </w:p>
        </w:tc>
        <w:tc>
          <w:tcPr>
            <w:tcW w:w="142" w:type="pct"/>
          </w:tcPr>
          <w:p w:rsidR="007F698D" w:rsidRPr="00B82D30" w:rsidRDefault="007F698D" w:rsidP="005865CC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F698D" w:rsidRPr="00B82D30" w:rsidRDefault="003955DD" w:rsidP="003955DD">
            <w:pPr>
              <w:pStyle w:val="Textpoznpodarou"/>
              <w:jc w:val="both"/>
            </w:pPr>
            <w:r w:rsidRPr="00B82D30">
              <w:t>Výkon</w:t>
            </w:r>
            <w:r w:rsidR="0012025A" w:rsidRPr="00B82D30">
              <w:t xml:space="preserve"> oceněný penězi</w:t>
            </w:r>
            <w:r w:rsidRPr="00B82D30">
              <w:t>, který</w:t>
            </w:r>
            <w:r w:rsidR="007F698D" w:rsidRPr="00B82D30">
              <w:t xml:space="preserve"> </w:t>
            </w:r>
            <w:r w:rsidRPr="00B82D30">
              <w:t>byly zaměstnané osoby pracující v zemědělství, lesnictví a rybářství schopny vytvořit</w:t>
            </w:r>
            <w:r w:rsidR="007F698D" w:rsidRPr="00B82D30">
              <w:t xml:space="preserve"> za jednu opracovanou hodinu</w:t>
            </w:r>
            <w:r w:rsidRPr="00B82D30">
              <w:t>,</w:t>
            </w:r>
            <w:r w:rsidR="007F698D" w:rsidRPr="00B82D30">
              <w:t xml:space="preserve"> </w:t>
            </w:r>
            <w:r w:rsidRPr="00B82D30">
              <w:t>patřil</w:t>
            </w:r>
            <w:r w:rsidR="007F698D" w:rsidRPr="00B82D30">
              <w:t xml:space="preserve"> po</w:t>
            </w:r>
            <w:r w:rsidR="0012025A" w:rsidRPr="00B82D30">
              <w:t> </w:t>
            </w:r>
            <w:r w:rsidRPr="00B82D30">
              <w:t>dlouhou dobu</w:t>
            </w:r>
            <w:r w:rsidR="007F698D" w:rsidRPr="00B82D30">
              <w:t xml:space="preserve"> k těm nejnižším ze všech odvětví v</w:t>
            </w:r>
            <w:r w:rsidR="0012025A" w:rsidRPr="00B82D30">
              <w:t xml:space="preserve"> tuzemské</w:t>
            </w:r>
            <w:r w:rsidR="007F698D" w:rsidRPr="00B82D30">
              <w:t> ekonomice.</w:t>
            </w:r>
            <w:r w:rsidRPr="00B82D30">
              <w:t xml:space="preserve"> V letech 1998 a 2004 byly méně produktivním odvětvím jen činnosti domácností jako zaměstnavatelů a</w:t>
            </w:r>
            <w:r w:rsidR="0012025A" w:rsidRPr="00B82D30">
              <w:t> </w:t>
            </w:r>
            <w:r w:rsidRPr="00B82D30">
              <w:t>producentů pro vlastní potřebu, v letech 2009 a 2010</w:t>
            </w:r>
            <w:r w:rsidR="0012025A" w:rsidRPr="00B82D30">
              <w:t xml:space="preserve"> se za jednu hodinu práce méně </w:t>
            </w:r>
            <w:r w:rsidR="00872527" w:rsidRPr="00B82D30">
              <w:t>vy</w:t>
            </w:r>
            <w:r w:rsidR="0012025A" w:rsidRPr="00B82D30">
              <w:t>produkovalo jen v</w:t>
            </w:r>
            <w:r w:rsidRPr="00B82D30">
              <w:t xml:space="preserve"> odvětví ubytování, stravování a</w:t>
            </w:r>
            <w:r w:rsidR="0012025A" w:rsidRPr="00B82D30">
              <w:t> </w:t>
            </w:r>
            <w:r w:rsidRPr="00B82D30">
              <w:t xml:space="preserve">pohostinství. Až do roku 2011 se zemědělství, lesnictví a rybářství </w:t>
            </w:r>
            <w:r w:rsidR="00872527" w:rsidRPr="00B82D30">
              <w:t>nejlépe</w:t>
            </w:r>
            <w:r w:rsidRPr="00B82D30">
              <w:t xml:space="preserve"> umístilo, co se týče produktivity práce v nominálním vyjádření, na šestém nejhorším místě. To se ale změnilo v posl</w:t>
            </w:r>
            <w:r w:rsidR="005A6B13" w:rsidRPr="00B82D30">
              <w:t>edních dvou letech, 2012 a 2013, kdy p</w:t>
            </w:r>
            <w:r w:rsidRPr="00B82D30">
              <w:t>racovníci v zemědělství, lesnictví a</w:t>
            </w:r>
            <w:r w:rsidR="0012025A" w:rsidRPr="00B82D30">
              <w:t> </w:t>
            </w:r>
            <w:r w:rsidRPr="00B82D30">
              <w:t>rybářství dokázali za jednu hodinu práce vytvořit více než v osmi jiných odvětvích</w:t>
            </w:r>
            <w:r w:rsidR="00872527" w:rsidRPr="00B82D30">
              <w:t>.</w:t>
            </w:r>
            <w:r w:rsidRPr="00B82D30">
              <w:t xml:space="preserve"> </w:t>
            </w:r>
            <w:r w:rsidR="00872527" w:rsidRPr="00B82D30">
              <w:t>J</w:t>
            </w:r>
            <w:r w:rsidRPr="00B82D30">
              <w:t>ejich umístění bylo v těchto dvou letech zdaleka nejlepší za celé sledované období.</w:t>
            </w:r>
          </w:p>
          <w:p w:rsidR="003955DD" w:rsidRPr="00B82D30" w:rsidRDefault="003955DD" w:rsidP="003955DD">
            <w:pPr>
              <w:pStyle w:val="Textpoznpodarou"/>
              <w:jc w:val="both"/>
            </w:pPr>
          </w:p>
        </w:tc>
      </w:tr>
      <w:tr w:rsidR="007F698D" w:rsidRPr="00B82D30" w:rsidTr="0012025A">
        <w:trPr>
          <w:trHeight w:val="1575"/>
        </w:trPr>
        <w:tc>
          <w:tcPr>
            <w:tcW w:w="1054" w:type="pct"/>
          </w:tcPr>
          <w:p w:rsidR="007F698D" w:rsidRPr="00B82D30" w:rsidRDefault="007F698D" w:rsidP="005865CC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… osoby zaměstnané v odvětví kapitálově náročné těžby a dobývání …</w:t>
            </w:r>
          </w:p>
        </w:tc>
        <w:tc>
          <w:tcPr>
            <w:tcW w:w="142" w:type="pct"/>
          </w:tcPr>
          <w:p w:rsidR="007F698D" w:rsidRPr="00B82D30" w:rsidRDefault="007F698D" w:rsidP="005865CC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F698D" w:rsidRPr="00B82D30" w:rsidRDefault="007F698D" w:rsidP="005865CC">
            <w:pPr>
              <w:pStyle w:val="Textpoznpodarou"/>
              <w:jc w:val="both"/>
            </w:pPr>
            <w:r w:rsidRPr="00B82D30">
              <w:t xml:space="preserve">Produktivita práce osob zaměstnaných v odvětví těžby a dobývání byla </w:t>
            </w:r>
            <w:r w:rsidR="000F234D" w:rsidRPr="00B82D30">
              <w:t>v</w:t>
            </w:r>
            <w:r w:rsidR="00EF7813" w:rsidRPr="00B82D30">
              <w:t xml:space="preserve"> celé</w:t>
            </w:r>
            <w:r w:rsidR="000F234D" w:rsidRPr="00B82D30">
              <w:t>m</w:t>
            </w:r>
            <w:r w:rsidR="00EF7813" w:rsidRPr="00B82D30">
              <w:t xml:space="preserve"> období 1995-2013 </w:t>
            </w:r>
            <w:r w:rsidRPr="00B82D30">
              <w:t>vyšší než v úhrnu za celou ekonomiku</w:t>
            </w:r>
            <w:r w:rsidR="00EF7813" w:rsidRPr="00B82D30">
              <w:t xml:space="preserve">. Zatímco v samotném roce </w:t>
            </w:r>
            <w:r w:rsidRPr="00B82D30">
              <w:t>2013 jedna odpracovaná hodina v úhr</w:t>
            </w:r>
            <w:r w:rsidR="00EF7813" w:rsidRPr="00B82D30">
              <w:t xml:space="preserve">nu za celou ekonomiku znamenala </w:t>
            </w:r>
            <w:r w:rsidRPr="00B82D30">
              <w:t>vytvořenou hodnotu v nominální výši 408,9 korun, v těžbě</w:t>
            </w:r>
            <w:r w:rsidR="00EF7813" w:rsidRPr="00B82D30">
              <w:t xml:space="preserve"> a dobývání dokázali pracovníci </w:t>
            </w:r>
            <w:r w:rsidRPr="00B82D30">
              <w:t>za stejný čas vytvořit výkon oceněný 647,3 ko</w:t>
            </w:r>
            <w:r w:rsidR="00273882" w:rsidRPr="00B82D30">
              <w:t xml:space="preserve">runami. Těžba a dobývání se tak řadila – </w:t>
            </w:r>
            <w:r w:rsidRPr="00B82D30">
              <w:t>společně s energetikou</w:t>
            </w:r>
            <w:r w:rsidRPr="00B82D30">
              <w:rPr>
                <w:lang w:val="en-US"/>
              </w:rPr>
              <w:t>;</w:t>
            </w:r>
            <w:r w:rsidRPr="00B82D30">
              <w:t xml:space="preserve"> činnostmi v oblasti nemovitostí; peněžnictvím a pojišťovnictvím; informačními a kom</w:t>
            </w:r>
            <w:r w:rsidR="00273882" w:rsidRPr="00B82D30">
              <w:t xml:space="preserve">unikačními činnostmi – mezi pět nejproduktivnějších </w:t>
            </w:r>
            <w:r w:rsidRPr="00B82D30">
              <w:t>odvětví v ekonomice.</w:t>
            </w:r>
          </w:p>
          <w:p w:rsidR="007F698D" w:rsidRPr="00B82D30" w:rsidRDefault="007F698D" w:rsidP="005865CC">
            <w:pPr>
              <w:pStyle w:val="Textpoznpodarou"/>
              <w:jc w:val="both"/>
            </w:pPr>
          </w:p>
        </w:tc>
      </w:tr>
      <w:tr w:rsidR="007F698D" w:rsidRPr="00B82D30" w:rsidTr="0012025A">
        <w:tc>
          <w:tcPr>
            <w:tcW w:w="1054" w:type="pct"/>
          </w:tcPr>
          <w:p w:rsidR="007F698D" w:rsidRPr="00B82D30" w:rsidRDefault="007F698D" w:rsidP="005865CC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… v těchto letech naopak za jednu hodinu práce vytvářely vždy větší hodnotu, než odpovídalo úhrnu za celou ekonomiku</w:t>
            </w:r>
          </w:p>
        </w:tc>
        <w:tc>
          <w:tcPr>
            <w:tcW w:w="142" w:type="pct"/>
          </w:tcPr>
          <w:p w:rsidR="007F698D" w:rsidRPr="00B82D30" w:rsidRDefault="007F698D" w:rsidP="005865CC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F698D" w:rsidRPr="00B82D30" w:rsidRDefault="007F698D" w:rsidP="00BD481A">
            <w:pPr>
              <w:pStyle w:val="Textpoznpodarou"/>
              <w:jc w:val="both"/>
            </w:pPr>
            <w:r w:rsidRPr="00B82D30">
              <w:t xml:space="preserve">Fakt, že produktivita práce v odvětví těžby a dobývání byla vyšší než v úhrnu za celou ekonomiku po celé období 1995-2013, </w:t>
            </w:r>
            <w:r w:rsidR="00DD27D3" w:rsidRPr="00B82D30">
              <w:t>byl dán charakterem tohoto odvětví. P</w:t>
            </w:r>
            <w:r w:rsidR="00DF2921" w:rsidRPr="00B82D30">
              <w:t>odniky činné v těžbě a dobývání musely vynakládat značné prostředky</w:t>
            </w:r>
            <w:r w:rsidR="00DD27D3" w:rsidRPr="00B82D30">
              <w:t> </w:t>
            </w:r>
            <w:r w:rsidR="00DF2921" w:rsidRPr="00B82D30">
              <w:t>na nákupy</w:t>
            </w:r>
            <w:r w:rsidR="007A371A" w:rsidRPr="00B82D30">
              <w:t xml:space="preserve"> fixního kapitálu, například</w:t>
            </w:r>
            <w:r w:rsidR="00DF2921" w:rsidRPr="00B82D30">
              <w:t xml:space="preserve"> strojního vybavení</w:t>
            </w:r>
            <w:r w:rsidR="00DD27D3" w:rsidRPr="00B82D30">
              <w:t xml:space="preserve">, </w:t>
            </w:r>
            <w:r w:rsidR="00D1351E" w:rsidRPr="00B82D30">
              <w:t>k jeho</w:t>
            </w:r>
            <w:r w:rsidR="007A371A" w:rsidRPr="00B82D30">
              <w:t xml:space="preserve"> obsluze ale potřebovaly jen málo pracujících</w:t>
            </w:r>
            <w:r w:rsidRPr="00B82D30">
              <w:t>.</w:t>
            </w:r>
            <w:r w:rsidR="007A371A" w:rsidRPr="00B82D30">
              <w:t xml:space="preserve"> </w:t>
            </w:r>
            <w:r w:rsidR="00BD481A" w:rsidRPr="00B82D30">
              <w:t>N</w:t>
            </w:r>
            <w:r w:rsidR="007A371A" w:rsidRPr="00B82D30">
              <w:t>ároky</w:t>
            </w:r>
            <w:r w:rsidR="00BD481A" w:rsidRPr="00B82D30">
              <w:t xml:space="preserve"> těžby a dobývání</w:t>
            </w:r>
            <w:r w:rsidR="007A371A" w:rsidRPr="00B82D30">
              <w:t xml:space="preserve"> na </w:t>
            </w:r>
            <w:r w:rsidR="00D1351E" w:rsidRPr="00B82D30">
              <w:t>práci tedy byly relativně nízké</w:t>
            </w:r>
            <w:r w:rsidR="00BD481A" w:rsidRPr="00B82D30">
              <w:t xml:space="preserve">. To </w:t>
            </w:r>
            <w:r w:rsidR="00DD27D3" w:rsidRPr="00B82D30">
              <w:t>byla společná vlastnost všech pěti nejproduktivnějších odvětví.</w:t>
            </w:r>
          </w:p>
        </w:tc>
      </w:tr>
    </w:tbl>
    <w:p w:rsidR="003955DD" w:rsidRPr="00B82D30" w:rsidRDefault="003955DD" w:rsidP="00604538">
      <w:pPr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22"/>
        <w:gridCol w:w="8672"/>
      </w:tblGrid>
      <w:tr w:rsidR="00604538" w:rsidRPr="00B82D30" w:rsidTr="0012025A">
        <w:tc>
          <w:tcPr>
            <w:tcW w:w="527" w:type="pct"/>
          </w:tcPr>
          <w:p w:rsidR="00604538" w:rsidRPr="00B82D30" w:rsidRDefault="00604538" w:rsidP="00011A65">
            <w:pPr>
              <w:pStyle w:val="Textpoznpodarou"/>
              <w:rPr>
                <w:spacing w:val="-2"/>
              </w:rPr>
            </w:pPr>
            <w:r w:rsidRPr="00B82D30">
              <w:rPr>
                <w:spacing w:val="-2"/>
              </w:rPr>
              <w:lastRenderedPageBreak/>
              <w:t>Graf č. 1</w:t>
            </w:r>
            <w:r w:rsidR="00EB5CB4" w:rsidRPr="00B82D30">
              <w:rPr>
                <w:spacing w:val="-2"/>
              </w:rPr>
              <w:t>7</w:t>
            </w:r>
          </w:p>
        </w:tc>
        <w:tc>
          <w:tcPr>
            <w:tcW w:w="4473" w:type="pct"/>
          </w:tcPr>
          <w:p w:rsidR="00604538" w:rsidRPr="00B82D30" w:rsidRDefault="00604538" w:rsidP="00604538">
            <w:pPr>
              <w:pStyle w:val="Textpoznpodarou"/>
            </w:pPr>
            <w:r w:rsidRPr="00B82D30">
              <w:rPr>
                <w:b/>
              </w:rPr>
              <w:t>Produktivita práce v odvětvích v roce 201</w:t>
            </w:r>
            <w:r w:rsidR="0012025A" w:rsidRPr="00B82D30">
              <w:rPr>
                <w:b/>
              </w:rPr>
              <w:t>3</w:t>
            </w:r>
            <w:r w:rsidR="00D46D95" w:rsidRPr="00B82D30">
              <w:t xml:space="preserve"> (HPH/počet odpracovaných</w:t>
            </w:r>
            <w:r w:rsidRPr="00B82D30">
              <w:t xml:space="preserve"> hodin, nominálně, v korunách)</w:t>
            </w:r>
          </w:p>
        </w:tc>
      </w:tr>
    </w:tbl>
    <w:p w:rsidR="006344BA" w:rsidRPr="00B82D30" w:rsidRDefault="0012025A" w:rsidP="00604538">
      <w:pPr>
        <w:rPr>
          <w:szCs w:val="20"/>
        </w:rPr>
      </w:pPr>
      <w:r w:rsidRPr="00B82D30">
        <w:rPr>
          <w:noProof/>
          <w:szCs w:val="20"/>
        </w:rPr>
        <w:drawing>
          <wp:inline distT="0" distB="0" distL="0" distR="0">
            <wp:extent cx="6096000" cy="2542282"/>
            <wp:effectExtent l="19050" t="0" r="0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19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524" w:rsidRPr="00B82D30" w:rsidRDefault="004E4524" w:rsidP="004E4524">
      <w:pPr>
        <w:jc w:val="right"/>
        <w:rPr>
          <w:sz w:val="18"/>
          <w:szCs w:val="18"/>
        </w:rPr>
      </w:pPr>
      <w:r w:rsidRPr="00B82D30">
        <w:rPr>
          <w:sz w:val="18"/>
          <w:szCs w:val="18"/>
        </w:rPr>
        <w:t>Zdroj: ČSÚ, vlastní propočty</w:t>
      </w:r>
    </w:p>
    <w:p w:rsidR="004E4524" w:rsidRPr="00B82D30" w:rsidRDefault="004E4524" w:rsidP="00604538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19"/>
        <w:gridCol w:w="1019"/>
        <w:gridCol w:w="272"/>
        <w:gridCol w:w="2527"/>
        <w:gridCol w:w="993"/>
        <w:gridCol w:w="3864"/>
      </w:tblGrid>
      <w:tr w:rsidR="00A34D7B" w:rsidRPr="00B82D30" w:rsidTr="00A6362F">
        <w:tc>
          <w:tcPr>
            <w:tcW w:w="1054" w:type="pct"/>
            <w:gridSpan w:val="2"/>
          </w:tcPr>
          <w:p w:rsidR="00A34D7B" w:rsidRPr="00B82D30" w:rsidRDefault="0012025A" w:rsidP="0012025A">
            <w:pPr>
              <w:jc w:val="left"/>
              <w:rPr>
                <w:spacing w:val="-6"/>
                <w:sz w:val="16"/>
                <w:szCs w:val="16"/>
              </w:rPr>
            </w:pPr>
            <w:r w:rsidRPr="00B82D30">
              <w:rPr>
                <w:spacing w:val="-6"/>
                <w:sz w:val="16"/>
                <w:szCs w:val="16"/>
              </w:rPr>
              <w:t>Růst</w:t>
            </w:r>
            <w:r w:rsidR="003D6024" w:rsidRPr="00B82D30">
              <w:rPr>
                <w:spacing w:val="-6"/>
                <w:sz w:val="16"/>
                <w:szCs w:val="16"/>
              </w:rPr>
              <w:t xml:space="preserve"> konkurenceschopnosti primárního sektoru mezi rokem 1995 a 201</w:t>
            </w:r>
            <w:r w:rsidRPr="00B82D30">
              <w:rPr>
                <w:spacing w:val="-6"/>
                <w:sz w:val="16"/>
                <w:szCs w:val="16"/>
              </w:rPr>
              <w:t>3, z </w:t>
            </w:r>
            <w:r w:rsidR="003D6024" w:rsidRPr="00B82D30">
              <w:rPr>
                <w:spacing w:val="-6"/>
                <w:sz w:val="16"/>
                <w:szCs w:val="16"/>
              </w:rPr>
              <w:t xml:space="preserve">hlediska reálného </w:t>
            </w:r>
            <w:r w:rsidRPr="00B82D30">
              <w:rPr>
                <w:spacing w:val="-6"/>
                <w:sz w:val="16"/>
                <w:szCs w:val="16"/>
              </w:rPr>
              <w:t>navýšení produktivity práce, byl</w:t>
            </w:r>
            <w:r w:rsidR="003D6024" w:rsidRPr="00B82D30">
              <w:rPr>
                <w:spacing w:val="-6"/>
                <w:sz w:val="16"/>
                <w:szCs w:val="16"/>
              </w:rPr>
              <w:t xml:space="preserve"> slabší než v úhrnu za celou ekonomiku</w:t>
            </w:r>
          </w:p>
        </w:tc>
        <w:tc>
          <w:tcPr>
            <w:tcW w:w="142" w:type="pct"/>
          </w:tcPr>
          <w:p w:rsidR="00A34D7B" w:rsidRPr="00B82D30" w:rsidRDefault="00A34D7B" w:rsidP="00011A65">
            <w:pPr>
              <w:pStyle w:val="Textpoznpodarou"/>
              <w:jc w:val="both"/>
            </w:pPr>
          </w:p>
        </w:tc>
        <w:tc>
          <w:tcPr>
            <w:tcW w:w="3804" w:type="pct"/>
            <w:gridSpan w:val="3"/>
          </w:tcPr>
          <w:p w:rsidR="00A34D7B" w:rsidRPr="00B82D30" w:rsidRDefault="00495F90" w:rsidP="00011A65">
            <w:pPr>
              <w:pStyle w:val="Textpoznpodarou"/>
              <w:jc w:val="both"/>
            </w:pPr>
            <w:r w:rsidRPr="00B82D30">
              <w:t>V reálném vyjádření</w:t>
            </w:r>
            <w:r w:rsidR="00AA536B" w:rsidRPr="00B82D30">
              <w:t xml:space="preserve">, které je na rozdíl od nominálního nezkreslené </w:t>
            </w:r>
            <w:r w:rsidR="00A6362F" w:rsidRPr="00B82D30">
              <w:t>cenovými změnami</w:t>
            </w:r>
            <w:r w:rsidR="00AA536B" w:rsidRPr="00B82D30">
              <w:t>,</w:t>
            </w:r>
            <w:r w:rsidRPr="00B82D30">
              <w:t xml:space="preserve"> </w:t>
            </w:r>
            <w:r w:rsidR="00C744B6" w:rsidRPr="00B82D30">
              <w:t xml:space="preserve">se </w:t>
            </w:r>
            <w:r w:rsidRPr="00B82D30">
              <w:t>produktiv</w:t>
            </w:r>
            <w:r w:rsidR="0012025A" w:rsidRPr="00B82D30">
              <w:t>ita práce mezi rokem 1995 a 2013</w:t>
            </w:r>
            <w:r w:rsidRPr="00B82D30">
              <w:t xml:space="preserve"> v </w:t>
            </w:r>
            <w:r w:rsidR="00A6362F" w:rsidRPr="00B82D30">
              <w:t>odvětví</w:t>
            </w:r>
            <w:r w:rsidRPr="00B82D30">
              <w:t xml:space="preserve"> zemědělství, lesnictví a rybářství</w:t>
            </w:r>
            <w:r w:rsidR="00C744B6" w:rsidRPr="00B82D30">
              <w:t xml:space="preserve"> zvýšila</w:t>
            </w:r>
            <w:r w:rsidR="0012025A" w:rsidRPr="00B82D30">
              <w:t xml:space="preserve"> o 31,6</w:t>
            </w:r>
            <w:r w:rsidR="00A6362F" w:rsidRPr="00B82D30">
              <w:t xml:space="preserve"> %, v</w:t>
            </w:r>
            <w:r w:rsidRPr="00B82D30">
              <w:t> těžbě a dobývání</w:t>
            </w:r>
            <w:r w:rsidR="007E4795" w:rsidRPr="00B82D30">
              <w:t xml:space="preserve"> narostla</w:t>
            </w:r>
            <w:r w:rsidR="00EE62DD" w:rsidRPr="00B82D30">
              <w:t xml:space="preserve"> </w:t>
            </w:r>
            <w:r w:rsidRPr="00B82D30">
              <w:t>o</w:t>
            </w:r>
            <w:r w:rsidR="00AA536B" w:rsidRPr="00B82D30">
              <w:t> </w:t>
            </w:r>
            <w:r w:rsidR="0012025A" w:rsidRPr="00B82D30">
              <w:t xml:space="preserve"> 12,6</w:t>
            </w:r>
            <w:r w:rsidRPr="00B82D30">
              <w:t xml:space="preserve"> %. </w:t>
            </w:r>
            <w:r w:rsidR="000F478C" w:rsidRPr="00B82D30">
              <w:t>P</w:t>
            </w:r>
            <w:r w:rsidRPr="00B82D30">
              <w:t>roduktivita práce v</w:t>
            </w:r>
            <w:r w:rsidR="000F478C" w:rsidRPr="00B82D30">
              <w:t> úhrnu za celou ekonomiku</w:t>
            </w:r>
            <w:r w:rsidR="007E4795" w:rsidRPr="00B82D30">
              <w:t xml:space="preserve"> se</w:t>
            </w:r>
            <w:r w:rsidR="000F478C" w:rsidRPr="00B82D30">
              <w:t xml:space="preserve"> </w:t>
            </w:r>
            <w:r w:rsidR="007E4795" w:rsidRPr="00B82D30">
              <w:t>za</w:t>
            </w:r>
            <w:r w:rsidR="00312135" w:rsidRPr="00B82D30">
              <w:t xml:space="preserve"> stejné období</w:t>
            </w:r>
            <w:r w:rsidRPr="00B82D30">
              <w:t xml:space="preserve"> </w:t>
            </w:r>
            <w:r w:rsidR="007E4795" w:rsidRPr="00B82D30">
              <w:t>zvýšila</w:t>
            </w:r>
            <w:r w:rsidR="000F478C" w:rsidRPr="00B82D30">
              <w:t xml:space="preserve"> výrazně více</w:t>
            </w:r>
            <w:r w:rsidR="007E4795" w:rsidRPr="00B82D30">
              <w:t>, konkrétně</w:t>
            </w:r>
            <w:r w:rsidR="000F478C" w:rsidRPr="00B82D30">
              <w:t xml:space="preserve"> </w:t>
            </w:r>
            <w:r w:rsidR="0012025A" w:rsidRPr="00B82D30">
              <w:t>o 59,3</w:t>
            </w:r>
            <w:r w:rsidRPr="00B82D30">
              <w:t xml:space="preserve"> %</w:t>
            </w:r>
            <w:r w:rsidR="008E2CDF" w:rsidRPr="00B82D30">
              <w:t>.</w:t>
            </w:r>
            <w:r w:rsidR="00312135" w:rsidRPr="00B82D30">
              <w:t xml:space="preserve"> </w:t>
            </w:r>
            <w:r w:rsidR="00D13B3B" w:rsidRPr="00B82D30">
              <w:t>Posilování</w:t>
            </w:r>
            <w:r w:rsidR="008E2CDF" w:rsidRPr="00B82D30">
              <w:t xml:space="preserve"> konkurenceschopnosti primárního sektoru v porovnání s celou ekonomikou </w:t>
            </w:r>
            <w:r w:rsidR="000F478C" w:rsidRPr="00B82D30">
              <w:t xml:space="preserve">znatelně </w:t>
            </w:r>
            <w:r w:rsidR="005412B8" w:rsidRPr="00B82D30">
              <w:t>zaostávalo</w:t>
            </w:r>
            <w:r w:rsidR="008E2CDF" w:rsidRPr="00B82D30">
              <w:t>.</w:t>
            </w:r>
          </w:p>
          <w:p w:rsidR="00A34D7B" w:rsidRPr="00B82D30" w:rsidRDefault="00A34D7B" w:rsidP="00011A65">
            <w:pPr>
              <w:pStyle w:val="Textpoznpodarou"/>
              <w:jc w:val="both"/>
            </w:pPr>
          </w:p>
        </w:tc>
      </w:tr>
      <w:tr w:rsidR="00A34D7B" w:rsidRPr="00B82D30" w:rsidTr="00A6362F">
        <w:tc>
          <w:tcPr>
            <w:tcW w:w="1054" w:type="pct"/>
            <w:gridSpan w:val="2"/>
          </w:tcPr>
          <w:p w:rsidR="00A34D7B" w:rsidRPr="00B82D30" w:rsidRDefault="003D6024" w:rsidP="00853127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V l</w:t>
            </w:r>
            <w:r w:rsidR="00853127" w:rsidRPr="00B82D30">
              <w:rPr>
                <w:sz w:val="16"/>
                <w:szCs w:val="16"/>
              </w:rPr>
              <w:t>etech 2009-2013</w:t>
            </w:r>
            <w:r w:rsidRPr="00B82D30">
              <w:rPr>
                <w:sz w:val="16"/>
                <w:szCs w:val="16"/>
              </w:rPr>
              <w:t>, období zasaženém stagnací produktivity práce na úrovni celé ekonomiky, patřily oba segmenty primárního sektoru</w:t>
            </w:r>
            <w:r w:rsidR="00853127" w:rsidRPr="00B82D30">
              <w:rPr>
                <w:sz w:val="16"/>
                <w:szCs w:val="16"/>
              </w:rPr>
              <w:t xml:space="preserve"> k těm odvětvím</w:t>
            </w:r>
            <w:r w:rsidRPr="00B82D30">
              <w:rPr>
                <w:sz w:val="16"/>
                <w:szCs w:val="16"/>
              </w:rPr>
              <w:t>, ve kterých produktivita práce</w:t>
            </w:r>
            <w:r w:rsidR="00E10C9B" w:rsidRPr="00B82D30">
              <w:rPr>
                <w:sz w:val="16"/>
                <w:szCs w:val="16"/>
              </w:rPr>
              <w:t xml:space="preserve"> v reálném vyjádření</w:t>
            </w:r>
            <w:r w:rsidRPr="00B82D30">
              <w:rPr>
                <w:sz w:val="16"/>
                <w:szCs w:val="16"/>
              </w:rPr>
              <w:t xml:space="preserve"> </w:t>
            </w:r>
            <w:r w:rsidR="00853127" w:rsidRPr="00B82D30">
              <w:rPr>
                <w:sz w:val="16"/>
                <w:szCs w:val="16"/>
              </w:rPr>
              <w:t>kles</w:t>
            </w:r>
            <w:r w:rsidR="00A6362F" w:rsidRPr="00B82D30">
              <w:rPr>
                <w:sz w:val="16"/>
                <w:szCs w:val="16"/>
              </w:rPr>
              <w:t>a</w:t>
            </w:r>
            <w:r w:rsidR="00853127" w:rsidRPr="00B82D30">
              <w:rPr>
                <w:sz w:val="16"/>
                <w:szCs w:val="16"/>
              </w:rPr>
              <w:t>la</w:t>
            </w:r>
          </w:p>
        </w:tc>
        <w:tc>
          <w:tcPr>
            <w:tcW w:w="142" w:type="pct"/>
          </w:tcPr>
          <w:p w:rsidR="00A34D7B" w:rsidRPr="00B82D30" w:rsidRDefault="00A34D7B" w:rsidP="00011A65">
            <w:pPr>
              <w:pStyle w:val="Textpoznpodarou"/>
              <w:jc w:val="both"/>
            </w:pPr>
          </w:p>
        </w:tc>
        <w:tc>
          <w:tcPr>
            <w:tcW w:w="3804" w:type="pct"/>
            <w:gridSpan w:val="3"/>
          </w:tcPr>
          <w:p w:rsidR="00853127" w:rsidRPr="00B82D30" w:rsidRDefault="00312135" w:rsidP="000A4EAE">
            <w:pPr>
              <w:pStyle w:val="Textpoznpodarou"/>
              <w:jc w:val="both"/>
              <w:rPr>
                <w:spacing w:val="-2"/>
              </w:rPr>
            </w:pPr>
            <w:r w:rsidRPr="00B82D30">
              <w:t xml:space="preserve">Jestliže produktivita práce na úrovni celé ekonomiky v letech 1996-2008 </w:t>
            </w:r>
            <w:r w:rsidR="00292234" w:rsidRPr="00B82D30">
              <w:t xml:space="preserve">rostla </w:t>
            </w:r>
            <w:r w:rsidRPr="00B82D30">
              <w:t>v</w:t>
            </w:r>
            <w:r w:rsidR="00EE62DD" w:rsidRPr="00B82D30">
              <w:t> reálném vyjádření v</w:t>
            </w:r>
            <w:r w:rsidR="00853127" w:rsidRPr="00B82D30">
              <w:t> průměru o 3,5</w:t>
            </w:r>
            <w:r w:rsidRPr="00B82D30">
              <w:t xml:space="preserve"> % za rok</w:t>
            </w:r>
            <w:r w:rsidR="006224CB" w:rsidRPr="00B82D30">
              <w:t>, v letech 2009-2013</w:t>
            </w:r>
            <w:r w:rsidRPr="00B82D30">
              <w:t xml:space="preserve"> pouze o </w:t>
            </w:r>
            <w:r w:rsidR="00853127" w:rsidRPr="00B82D30">
              <w:t>0,3</w:t>
            </w:r>
            <w:r w:rsidR="005412B8" w:rsidRPr="00B82D30">
              <w:t xml:space="preserve"> %</w:t>
            </w:r>
            <w:r w:rsidR="00292234" w:rsidRPr="00B82D30">
              <w:t xml:space="preserve"> ročně</w:t>
            </w:r>
            <w:r w:rsidR="005412B8" w:rsidRPr="00B82D30">
              <w:t xml:space="preserve">. Z dynamického </w:t>
            </w:r>
            <w:r w:rsidR="00292234" w:rsidRPr="00B82D30">
              <w:t>růstu</w:t>
            </w:r>
            <w:r w:rsidR="0090550B" w:rsidRPr="00B82D30">
              <w:t xml:space="preserve"> přeš</w:t>
            </w:r>
            <w:r w:rsidR="005412B8" w:rsidRPr="00B82D30">
              <w:t>l</w:t>
            </w:r>
            <w:r w:rsidR="0090550B" w:rsidRPr="00B82D30">
              <w:t>a</w:t>
            </w:r>
            <w:r w:rsidR="005412B8" w:rsidRPr="00B82D30">
              <w:t xml:space="preserve"> do</w:t>
            </w:r>
            <w:r w:rsidR="00853127" w:rsidRPr="00B82D30">
              <w:t xml:space="preserve"> faktické</w:t>
            </w:r>
            <w:r w:rsidR="005412B8" w:rsidRPr="00B82D30">
              <w:t xml:space="preserve"> stagnace.</w:t>
            </w:r>
            <w:r w:rsidRPr="00B82D30">
              <w:t xml:space="preserve"> Produktivita práce</w:t>
            </w:r>
            <w:r w:rsidR="005412B8" w:rsidRPr="00B82D30">
              <w:t xml:space="preserve"> </w:t>
            </w:r>
            <w:r w:rsidR="00C97215" w:rsidRPr="00B82D30">
              <w:t>v </w:t>
            </w:r>
            <w:r w:rsidR="00A6362F" w:rsidRPr="00B82D30">
              <w:t>odvětví</w:t>
            </w:r>
            <w:r w:rsidRPr="00B82D30">
              <w:t xml:space="preserve"> zemědělství, lesnictví a rybářství v</w:t>
            </w:r>
            <w:r w:rsidR="005412B8" w:rsidRPr="00B82D30">
              <w:t xml:space="preserve"> těchto </w:t>
            </w:r>
            <w:r w:rsidR="00C97215" w:rsidRPr="00B82D30">
              <w:t>pěti</w:t>
            </w:r>
            <w:r w:rsidRPr="00B82D30">
              <w:t> letech následujících tuzemské konjunktuře</w:t>
            </w:r>
            <w:r w:rsidR="00EE62DD" w:rsidRPr="00B82D30">
              <w:t xml:space="preserve"> </w:t>
            </w:r>
            <w:r w:rsidRPr="00B82D30">
              <w:t>v průměru</w:t>
            </w:r>
            <w:r w:rsidR="00853127" w:rsidRPr="00B82D30">
              <w:t xml:space="preserve"> o 0,5</w:t>
            </w:r>
            <w:r w:rsidRPr="00B82D30">
              <w:t> % klesala, stejné platilo i</w:t>
            </w:r>
            <w:r w:rsidR="005412B8" w:rsidRPr="00B82D30">
              <w:t> </w:t>
            </w:r>
            <w:r w:rsidRPr="00B82D30">
              <w:t>pro</w:t>
            </w:r>
            <w:r w:rsidR="005412B8" w:rsidRPr="00B82D30">
              <w:t> </w:t>
            </w:r>
            <w:r w:rsidRPr="00B82D30">
              <w:t>těžbu a</w:t>
            </w:r>
            <w:r w:rsidR="005412B8" w:rsidRPr="00B82D30">
              <w:t> </w:t>
            </w:r>
            <w:r w:rsidR="0090550B" w:rsidRPr="00B82D30">
              <w:t xml:space="preserve">dobývání, kde se zhoršovala </w:t>
            </w:r>
            <w:r w:rsidRPr="00B82D30">
              <w:t>v</w:t>
            </w:r>
            <w:r w:rsidR="00292234" w:rsidRPr="00B82D30">
              <w:t> </w:t>
            </w:r>
            <w:r w:rsidRPr="00B82D30">
              <w:t>průměru</w:t>
            </w:r>
            <w:r w:rsidR="00853127" w:rsidRPr="00B82D30">
              <w:t xml:space="preserve"> o 0,4</w:t>
            </w:r>
            <w:r w:rsidRPr="00B82D30">
              <w:t xml:space="preserve"> %</w:t>
            </w:r>
            <w:r w:rsidR="00EE62DD" w:rsidRPr="00B82D30">
              <w:t xml:space="preserve"> </w:t>
            </w:r>
            <w:r w:rsidR="0090550B" w:rsidRPr="00B82D30">
              <w:t>za rok</w:t>
            </w:r>
            <w:r w:rsidRPr="00B82D30">
              <w:t>. Oba segmenty primárního sektoru</w:t>
            </w:r>
            <w:r w:rsidR="00EE62DD" w:rsidRPr="00B82D30">
              <w:t xml:space="preserve"> se tak řadily</w:t>
            </w:r>
            <w:r w:rsidRPr="00B82D30">
              <w:t xml:space="preserve"> mezi </w:t>
            </w:r>
            <w:r w:rsidR="00853127" w:rsidRPr="00B82D30">
              <w:t>třináct</w:t>
            </w:r>
            <w:r w:rsidR="0090550B" w:rsidRPr="00B82D30">
              <w:t xml:space="preserve"> tuzemských</w:t>
            </w:r>
            <w:r w:rsidRPr="00B82D30">
              <w:t xml:space="preserve"> odvětví</w:t>
            </w:r>
            <w:r w:rsidR="00853127" w:rsidRPr="00B82D30">
              <w:t xml:space="preserve"> z hlavních dvaceti</w:t>
            </w:r>
            <w:r w:rsidRPr="00B82D30">
              <w:t xml:space="preserve">, </w:t>
            </w:r>
            <w:r w:rsidR="0099053D" w:rsidRPr="00B82D30">
              <w:t>která</w:t>
            </w:r>
            <w:r w:rsidRPr="00B82D30">
              <w:t xml:space="preserve"> v letech </w:t>
            </w:r>
            <w:r w:rsidR="00853127" w:rsidRPr="00B82D30">
              <w:t>2009-2013</w:t>
            </w:r>
            <w:r w:rsidR="00273AF5" w:rsidRPr="00B82D30">
              <w:t xml:space="preserve"> </w:t>
            </w:r>
            <w:r w:rsidR="0099053D" w:rsidRPr="00B82D30">
              <w:t>evidovala</w:t>
            </w:r>
            <w:r w:rsidR="0090550B" w:rsidRPr="00B82D30">
              <w:t xml:space="preserve"> pokles produktivity práce a tedy zhorš</w:t>
            </w:r>
            <w:r w:rsidR="00A6362F" w:rsidRPr="00B82D30">
              <w:t>ování</w:t>
            </w:r>
            <w:r w:rsidR="00255F20" w:rsidRPr="00B82D30">
              <w:t xml:space="preserve"> své</w:t>
            </w:r>
            <w:r w:rsidR="000771E1" w:rsidRPr="00B82D30">
              <w:t xml:space="preserve"> </w:t>
            </w:r>
            <w:r w:rsidR="0090550B" w:rsidRPr="00B82D30">
              <w:t>konkurenceschopnosti</w:t>
            </w:r>
            <w:r w:rsidRPr="00B82D30">
              <w:t>.</w:t>
            </w:r>
          </w:p>
        </w:tc>
      </w:tr>
      <w:tr w:rsidR="00853127" w:rsidRPr="00B82D30" w:rsidTr="00A6362F">
        <w:tc>
          <w:tcPr>
            <w:tcW w:w="1054" w:type="pct"/>
            <w:gridSpan w:val="2"/>
          </w:tcPr>
          <w:p w:rsidR="00853127" w:rsidRPr="00B82D30" w:rsidRDefault="00853127" w:rsidP="0085312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2" w:type="pct"/>
          </w:tcPr>
          <w:p w:rsidR="00853127" w:rsidRPr="00B82D30" w:rsidRDefault="00853127" w:rsidP="00011A65">
            <w:pPr>
              <w:pStyle w:val="Textpoznpodarou"/>
              <w:jc w:val="both"/>
            </w:pPr>
          </w:p>
        </w:tc>
        <w:tc>
          <w:tcPr>
            <w:tcW w:w="3804" w:type="pct"/>
            <w:gridSpan w:val="3"/>
          </w:tcPr>
          <w:p w:rsidR="00853127" w:rsidRPr="00B82D30" w:rsidRDefault="00853127" w:rsidP="005600EA">
            <w:pPr>
              <w:pStyle w:val="Textpoznpodarou"/>
              <w:jc w:val="both"/>
            </w:pPr>
          </w:p>
        </w:tc>
      </w:tr>
      <w:tr w:rsidR="005905A4" w:rsidRPr="00B82D30" w:rsidTr="00AB20F6">
        <w:tc>
          <w:tcPr>
            <w:tcW w:w="527" w:type="pct"/>
          </w:tcPr>
          <w:p w:rsidR="005905A4" w:rsidRPr="00B82D30" w:rsidRDefault="005905A4" w:rsidP="00011A65">
            <w:pPr>
              <w:pStyle w:val="Textpoznpodarou"/>
            </w:pPr>
            <w:r w:rsidRPr="00B82D30">
              <w:t>Graf č. 1</w:t>
            </w:r>
            <w:r w:rsidR="00EB5CB4" w:rsidRPr="00B82D30">
              <w:t>8</w:t>
            </w:r>
          </w:p>
        </w:tc>
        <w:tc>
          <w:tcPr>
            <w:tcW w:w="1974" w:type="pct"/>
            <w:gridSpan w:val="3"/>
          </w:tcPr>
          <w:p w:rsidR="005905A4" w:rsidRPr="00B82D30" w:rsidRDefault="00AB20F6" w:rsidP="00EB7ED9">
            <w:pPr>
              <w:pStyle w:val="Textpoznpodarou"/>
            </w:pPr>
            <w:r w:rsidRPr="00B82D30">
              <w:rPr>
                <w:b/>
              </w:rPr>
              <w:t>Produktivita práce</w:t>
            </w:r>
            <w:r w:rsidR="005600EA" w:rsidRPr="00B82D30">
              <w:t xml:space="preserve"> (</w:t>
            </w:r>
            <w:r w:rsidR="00D46D95" w:rsidRPr="00B82D30">
              <w:t xml:space="preserve">HPH/počet odpracovaných hodin, </w:t>
            </w:r>
            <w:r w:rsidR="005600EA" w:rsidRPr="00B82D30">
              <w:t>ceny roku 2010</w:t>
            </w:r>
            <w:r w:rsidR="00EB7ED9" w:rsidRPr="00B82D30">
              <w:t>, v korunách</w:t>
            </w:r>
            <w:r w:rsidRPr="00B82D30">
              <w:t>)</w:t>
            </w:r>
          </w:p>
        </w:tc>
        <w:tc>
          <w:tcPr>
            <w:tcW w:w="511" w:type="pct"/>
          </w:tcPr>
          <w:p w:rsidR="005905A4" w:rsidRPr="00B82D30" w:rsidRDefault="005905A4" w:rsidP="00011A65">
            <w:pPr>
              <w:pStyle w:val="Textpoznpodarou"/>
            </w:pPr>
            <w:r w:rsidRPr="00B82D30">
              <w:t>Graf č. 1</w:t>
            </w:r>
            <w:r w:rsidR="00EB5CB4" w:rsidRPr="00B82D30">
              <w:t>9</w:t>
            </w:r>
          </w:p>
        </w:tc>
        <w:tc>
          <w:tcPr>
            <w:tcW w:w="1988" w:type="pct"/>
          </w:tcPr>
          <w:p w:rsidR="005905A4" w:rsidRPr="00B82D30" w:rsidRDefault="00AB20F6" w:rsidP="00011A65">
            <w:pPr>
              <w:pStyle w:val="Textpoznpodarou"/>
            </w:pPr>
            <w:r w:rsidRPr="00B82D30">
              <w:rPr>
                <w:b/>
              </w:rPr>
              <w:t>Nárůst produktivity práce mezi rokem 1995 a 201</w:t>
            </w:r>
            <w:r w:rsidR="00B723C5" w:rsidRPr="00B82D30">
              <w:rPr>
                <w:b/>
              </w:rPr>
              <w:t>3</w:t>
            </w:r>
            <w:r w:rsidRPr="00B82D30">
              <w:t xml:space="preserve"> (</w:t>
            </w:r>
            <w:r w:rsidR="00D46D95" w:rsidRPr="00B82D30">
              <w:t xml:space="preserve">HPH/počet odpracovaných hodin, </w:t>
            </w:r>
            <w:r w:rsidRPr="00B82D30">
              <w:t>reálně, v %)</w:t>
            </w:r>
          </w:p>
        </w:tc>
      </w:tr>
      <w:tr w:rsidR="005905A4" w:rsidRPr="00B82D30" w:rsidTr="00AB20F6">
        <w:tc>
          <w:tcPr>
            <w:tcW w:w="2501" w:type="pct"/>
            <w:gridSpan w:val="4"/>
          </w:tcPr>
          <w:p w:rsidR="005905A4" w:rsidRPr="00B82D30" w:rsidRDefault="00B723C5" w:rsidP="00011A65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2971800" cy="2181225"/>
                  <wp:effectExtent l="19050" t="0" r="0" b="0"/>
                  <wp:docPr id="17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530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5905A4" w:rsidRPr="00B82D30" w:rsidRDefault="00B723C5" w:rsidP="00011A65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3024086" cy="2181225"/>
                  <wp:effectExtent l="19050" t="0" r="4864" b="0"/>
                  <wp:docPr id="21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847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5A4" w:rsidRPr="00B82D30" w:rsidTr="00AB20F6">
        <w:tc>
          <w:tcPr>
            <w:tcW w:w="5000" w:type="pct"/>
            <w:gridSpan w:val="6"/>
          </w:tcPr>
          <w:p w:rsidR="005905A4" w:rsidRPr="00B82D30" w:rsidRDefault="005905A4" w:rsidP="00011A65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ČSÚ, vlastní propočty</w:t>
            </w:r>
          </w:p>
        </w:tc>
      </w:tr>
    </w:tbl>
    <w:p w:rsidR="000A4EAE" w:rsidRPr="00B82D30" w:rsidRDefault="000A4EAE" w:rsidP="007C6DE8">
      <w:pPr>
        <w:rPr>
          <w:b/>
          <w:sz w:val="22"/>
          <w:szCs w:val="22"/>
        </w:rPr>
      </w:pPr>
    </w:p>
    <w:p w:rsidR="000A4EAE" w:rsidRPr="00B82D30" w:rsidRDefault="000A4EAE" w:rsidP="007C6DE8">
      <w:pPr>
        <w:rPr>
          <w:b/>
          <w:sz w:val="22"/>
          <w:szCs w:val="22"/>
        </w:rPr>
      </w:pPr>
    </w:p>
    <w:p w:rsidR="000A4EAE" w:rsidRPr="00B82D30" w:rsidRDefault="000A4EAE" w:rsidP="007C6DE8">
      <w:pPr>
        <w:rPr>
          <w:b/>
          <w:sz w:val="22"/>
          <w:szCs w:val="22"/>
        </w:rPr>
      </w:pPr>
    </w:p>
    <w:p w:rsidR="007C6DE8" w:rsidRPr="00B82D30" w:rsidRDefault="007C6DE8" w:rsidP="007C6DE8">
      <w:pPr>
        <w:rPr>
          <w:szCs w:val="20"/>
        </w:rPr>
      </w:pPr>
      <w:r w:rsidRPr="00B82D30">
        <w:rPr>
          <w:b/>
          <w:sz w:val="22"/>
          <w:szCs w:val="22"/>
        </w:rPr>
        <w:lastRenderedPageBreak/>
        <w:t>2.3. Náklady práce</w:t>
      </w:r>
      <w:r w:rsidR="006351C7" w:rsidRPr="00B82D30">
        <w:rPr>
          <w:rStyle w:val="Znakapoznpodarou"/>
          <w:b/>
          <w:sz w:val="22"/>
          <w:szCs w:val="22"/>
        </w:rPr>
        <w:footnoteReference w:id="5"/>
      </w:r>
    </w:p>
    <w:p w:rsidR="00AB20F6" w:rsidRPr="00B82D30" w:rsidRDefault="00AB20F6" w:rsidP="00AB20F6">
      <w:pPr>
        <w:rPr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255F20" w:rsidRPr="00B82D30" w:rsidTr="000E63FC">
        <w:tc>
          <w:tcPr>
            <w:tcW w:w="1054" w:type="pct"/>
          </w:tcPr>
          <w:p w:rsidR="00255F20" w:rsidRPr="00B82D30" w:rsidRDefault="00111433" w:rsidP="00111433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 xml:space="preserve">Náklady práce zohledňují veškeré prostředky, které musí zaměstnavatel vynaložit na zajištění jedné hodiny práce zaměstnance, … </w:t>
            </w:r>
          </w:p>
        </w:tc>
        <w:tc>
          <w:tcPr>
            <w:tcW w:w="142" w:type="pct"/>
          </w:tcPr>
          <w:p w:rsidR="00255F20" w:rsidRPr="00B82D30" w:rsidRDefault="00255F20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255F20" w:rsidRPr="00B82D30" w:rsidRDefault="00FA338E" w:rsidP="00FA338E">
            <w:pPr>
              <w:pStyle w:val="Textpoznpodarou"/>
              <w:jc w:val="both"/>
            </w:pPr>
            <w:r w:rsidRPr="00B82D30">
              <w:t>Náklady</w:t>
            </w:r>
            <w:r w:rsidR="00A956C9" w:rsidRPr="00B82D30">
              <w:t xml:space="preserve"> práce, vyjádřené ve formě nákladů</w:t>
            </w:r>
            <w:r w:rsidRPr="00B82D30">
              <w:t xml:space="preserve"> </w:t>
            </w:r>
            <w:r w:rsidR="00A956C9" w:rsidRPr="00B82D30">
              <w:t xml:space="preserve">jedné hodiny </w:t>
            </w:r>
            <w:r w:rsidR="00F96650" w:rsidRPr="00B82D30">
              <w:t>práce zaměstnance</w:t>
            </w:r>
            <w:r w:rsidR="00A956C9" w:rsidRPr="00B82D30">
              <w:t>,</w:t>
            </w:r>
            <w:r w:rsidRPr="00B82D30">
              <w:t xml:space="preserve"> jsou dalším důležitým </w:t>
            </w:r>
            <w:r w:rsidR="00A956C9" w:rsidRPr="00B82D30">
              <w:t>faktorem</w:t>
            </w:r>
            <w:r w:rsidRPr="00B82D30">
              <w:t>,</w:t>
            </w:r>
            <w:r w:rsidR="009A06C4" w:rsidRPr="00B82D30">
              <w:t xml:space="preserve"> </w:t>
            </w:r>
            <w:r w:rsidR="00A956C9" w:rsidRPr="00B82D30">
              <w:t>jenž ovlivňuje</w:t>
            </w:r>
            <w:r w:rsidRPr="00B82D30">
              <w:t xml:space="preserve"> konkurenceschopnost </w:t>
            </w:r>
            <w:r w:rsidR="00467260" w:rsidRPr="00B82D30">
              <w:t>podniku</w:t>
            </w:r>
            <w:r w:rsidRPr="00B82D30">
              <w:t>, odvětví nebo ekonom</w:t>
            </w:r>
            <w:r w:rsidR="001E51CD" w:rsidRPr="00B82D30">
              <w:t xml:space="preserve">iky. S jejich nárůstem se </w:t>
            </w:r>
            <w:r w:rsidR="00467260" w:rsidRPr="00B82D30">
              <w:t>zaměstnavatelé</w:t>
            </w:r>
            <w:r w:rsidRPr="00B82D30">
              <w:t xml:space="preserve"> </w:t>
            </w:r>
            <w:r w:rsidR="001E51CD" w:rsidRPr="00B82D30">
              <w:t>rozhodují</w:t>
            </w:r>
            <w:r w:rsidRPr="00B82D30">
              <w:t xml:space="preserve">, </w:t>
            </w:r>
            <w:r w:rsidR="001E51CD" w:rsidRPr="00B82D30">
              <w:t>zda je</w:t>
            </w:r>
            <w:r w:rsidRPr="00B82D30">
              <w:t xml:space="preserve"> </w:t>
            </w:r>
            <w:r w:rsidR="001E51CD" w:rsidRPr="00B82D30">
              <w:t>po</w:t>
            </w:r>
            <w:r w:rsidR="00665DB5" w:rsidRPr="00B82D30">
              <w:t>nesou sami</w:t>
            </w:r>
            <w:r w:rsidRPr="00B82D30">
              <w:t>, čímž si</w:t>
            </w:r>
            <w:r w:rsidR="00B95FEF" w:rsidRPr="00B82D30">
              <w:t xml:space="preserve"> ovšem</w:t>
            </w:r>
            <w:r w:rsidRPr="00B82D30">
              <w:t xml:space="preserve"> </w:t>
            </w:r>
            <w:r w:rsidR="001E51CD" w:rsidRPr="00B82D30">
              <w:t>sníží</w:t>
            </w:r>
            <w:r w:rsidRPr="00B82D30">
              <w:t xml:space="preserve"> </w:t>
            </w:r>
            <w:r w:rsidR="00FC25B2">
              <w:t>zisky</w:t>
            </w:r>
            <w:r w:rsidRPr="00B82D30">
              <w:t xml:space="preserve">, nebo je promítnou do cen svých produktů, což </w:t>
            </w:r>
            <w:r w:rsidR="008513F5" w:rsidRPr="00B82D30">
              <w:t>může</w:t>
            </w:r>
            <w:r w:rsidR="00B95FEF" w:rsidRPr="00B82D30">
              <w:t xml:space="preserve"> na druhou stranu</w:t>
            </w:r>
            <w:r w:rsidR="008513F5" w:rsidRPr="00B82D30">
              <w:t xml:space="preserve"> vést</w:t>
            </w:r>
            <w:r w:rsidRPr="00B82D30">
              <w:t xml:space="preserve"> k poklesu jejich konkurenceschopnosti</w:t>
            </w:r>
            <w:r w:rsidR="00A956C9" w:rsidRPr="00B82D30">
              <w:t xml:space="preserve"> na trhu</w:t>
            </w:r>
            <w:r w:rsidRPr="00B82D30">
              <w:t>.</w:t>
            </w:r>
            <w:r w:rsidR="009A06C4" w:rsidRPr="00B82D30">
              <w:t xml:space="preserve"> Ať se již rozhodnou pro jakoukoli variantu, nic to nemění na tom, že nárůst nákladů práce dopadá na </w:t>
            </w:r>
            <w:r w:rsidR="00467260" w:rsidRPr="00B82D30">
              <w:t>zaměstnavatele</w:t>
            </w:r>
            <w:r w:rsidR="009A06C4" w:rsidRPr="00B82D30">
              <w:t xml:space="preserve"> negativně.</w:t>
            </w:r>
          </w:p>
          <w:p w:rsidR="00FA338E" w:rsidRPr="00B82D30" w:rsidRDefault="00FA338E" w:rsidP="00FA338E">
            <w:pPr>
              <w:pStyle w:val="Textpoznpodarou"/>
              <w:jc w:val="both"/>
            </w:pPr>
          </w:p>
        </w:tc>
      </w:tr>
      <w:tr w:rsidR="00255F20" w:rsidRPr="00B82D30" w:rsidTr="000E63FC">
        <w:tc>
          <w:tcPr>
            <w:tcW w:w="1054" w:type="pct"/>
          </w:tcPr>
          <w:p w:rsidR="00255F20" w:rsidRPr="00B82D30" w:rsidRDefault="00111433" w:rsidP="00011A6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… jednou z možností jejich výpočtu je poměr náhrad zaměstnancům k počtu odpracovaných hodin zaměstnanců</w:t>
            </w:r>
          </w:p>
        </w:tc>
        <w:tc>
          <w:tcPr>
            <w:tcW w:w="142" w:type="pct"/>
          </w:tcPr>
          <w:p w:rsidR="00255F20" w:rsidRPr="00B82D30" w:rsidRDefault="00255F20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4E4524" w:rsidRPr="00B82D30" w:rsidRDefault="00F96650" w:rsidP="00B95FEF">
            <w:pPr>
              <w:pStyle w:val="Textpoznpodarou"/>
              <w:jc w:val="both"/>
            </w:pPr>
            <w:r w:rsidRPr="00B82D30">
              <w:t xml:space="preserve">V této </w:t>
            </w:r>
            <w:r w:rsidR="001E51CD" w:rsidRPr="00B82D30">
              <w:t>analýze</w:t>
            </w:r>
            <w:r w:rsidRPr="00B82D30">
              <w:t xml:space="preserve"> měříme náklady na jednu hodinu práce zaměstnance s využitím národních účtů, </w:t>
            </w:r>
            <w:r w:rsidR="001E51CD" w:rsidRPr="00B82D30">
              <w:t>jenž</w:t>
            </w:r>
            <w:r w:rsidRPr="00B82D30">
              <w:t xml:space="preserve"> nabízí data o tzv. náhradách zaměstnancům</w:t>
            </w:r>
            <w:r w:rsidRPr="00B82D30">
              <w:rPr>
                <w:rStyle w:val="Znakapoznpodarou"/>
              </w:rPr>
              <w:footnoteReference w:id="6"/>
            </w:r>
            <w:r w:rsidR="001E51CD" w:rsidRPr="00B82D30">
              <w:t xml:space="preserve"> –</w:t>
            </w:r>
            <w:r w:rsidR="00BC4B03" w:rsidRPr="00B82D30">
              <w:t xml:space="preserve"> které lze </w:t>
            </w:r>
            <w:r w:rsidR="00737DF9" w:rsidRPr="00B82D30">
              <w:t>ztotožnit s celkovými</w:t>
            </w:r>
            <w:r w:rsidR="00BC4B03" w:rsidRPr="00B82D30">
              <w:t xml:space="preserve"> náklady </w:t>
            </w:r>
            <w:r w:rsidR="001E51CD" w:rsidRPr="00B82D30">
              <w:t>související</w:t>
            </w:r>
            <w:r w:rsidR="00737DF9" w:rsidRPr="00B82D30">
              <w:t>mi</w:t>
            </w:r>
            <w:r w:rsidR="001E51CD" w:rsidRPr="00B82D30">
              <w:t xml:space="preserve"> se zaměstnanci –,</w:t>
            </w:r>
            <w:r w:rsidRPr="00B82D30">
              <w:t xml:space="preserve"> i</w:t>
            </w:r>
            <w:r w:rsidR="00737DF9" w:rsidRPr="00B82D30">
              <w:t xml:space="preserve"> o</w:t>
            </w:r>
            <w:r w:rsidRPr="00B82D30">
              <w:t xml:space="preserve"> počtu odpracovaných hodin ze strany zaměstnanců. Vydělením těchto dvou </w:t>
            </w:r>
            <w:r w:rsidR="00E57453" w:rsidRPr="00B82D30">
              <w:t>ukazatelů</w:t>
            </w:r>
            <w:r w:rsidRPr="00B82D30">
              <w:t xml:space="preserve"> získáme přehled o tom, jakou částku v daném roce zaměstnavatel v</w:t>
            </w:r>
            <w:r w:rsidR="00BC4B03" w:rsidRPr="00B82D30">
              <w:t> </w:t>
            </w:r>
            <w:r w:rsidRPr="00B82D30">
              <w:t>průměru</w:t>
            </w:r>
            <w:r w:rsidR="00BC4B03" w:rsidRPr="00B82D30">
              <w:t> </w:t>
            </w:r>
            <w:r w:rsidRPr="00B82D30">
              <w:t>vydával za jednu hodinu práce, kterou pro něho zaměstnanec vykonal.</w:t>
            </w:r>
          </w:p>
          <w:p w:rsidR="003A7F60" w:rsidRPr="00B82D30" w:rsidRDefault="003A7F60" w:rsidP="00B95FEF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E57453" w:rsidRPr="00B82D30" w:rsidTr="000E63FC">
        <w:tc>
          <w:tcPr>
            <w:tcW w:w="1054" w:type="pct"/>
          </w:tcPr>
          <w:p w:rsidR="00E57453" w:rsidRPr="00B82D30" w:rsidRDefault="007E6CC2" w:rsidP="00011A6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Nízké náklady práce v zemědělství, lesnictví a rybářství a vysoké náklady práce v těžbě a dobývání byly odrazem diferencovaných mezd plynoucích z odlišné úrovně produktivity práce</w:t>
            </w:r>
          </w:p>
        </w:tc>
        <w:tc>
          <w:tcPr>
            <w:tcW w:w="142" w:type="pct"/>
          </w:tcPr>
          <w:p w:rsidR="00E57453" w:rsidRPr="00B82D30" w:rsidRDefault="00E57453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E57453" w:rsidRPr="00B82D30" w:rsidRDefault="005865CC" w:rsidP="005A3941">
            <w:pPr>
              <w:pStyle w:val="Textpoznpodarou"/>
              <w:jc w:val="both"/>
            </w:pPr>
            <w:r w:rsidRPr="00B82D30">
              <w:t>V roce 2013</w:t>
            </w:r>
            <w:r w:rsidR="00E57453" w:rsidRPr="00B82D30">
              <w:t xml:space="preserve"> stála zaměstnavatele </w:t>
            </w:r>
            <w:r w:rsidR="00467260" w:rsidRPr="00B82D30">
              <w:t>činného</w:t>
            </w:r>
            <w:r w:rsidR="00E57453" w:rsidRPr="00B82D30">
              <w:t xml:space="preserve"> v odvětví zemědělství, lesnictví a</w:t>
            </w:r>
            <w:r w:rsidR="00BC4B03" w:rsidRPr="00B82D30">
              <w:t> </w:t>
            </w:r>
            <w:r w:rsidR="00E57453" w:rsidRPr="00B82D30">
              <w:t>rybářství jedna hodina</w:t>
            </w:r>
            <w:r w:rsidRPr="00B82D30">
              <w:t xml:space="preserve"> práce zaměstnance 167,7</w:t>
            </w:r>
            <w:r w:rsidR="00E57453" w:rsidRPr="00B82D30">
              <w:t xml:space="preserve"> koruny, po odvětví ubytování, stra</w:t>
            </w:r>
            <w:r w:rsidRPr="00B82D30">
              <w:t>vování a pohostinství a odvětví</w:t>
            </w:r>
            <w:r w:rsidR="00E57453" w:rsidRPr="00B82D30">
              <w:t> administrativních a</w:t>
            </w:r>
            <w:r w:rsidR="00BC4B03" w:rsidRPr="00B82D30">
              <w:t> </w:t>
            </w:r>
            <w:r w:rsidR="00E57453" w:rsidRPr="00B82D30">
              <w:t xml:space="preserve">podpůrných činností nejméně ze všech odvětví </w:t>
            </w:r>
            <w:r w:rsidR="00A62D39" w:rsidRPr="00B82D30">
              <w:t>české</w:t>
            </w:r>
            <w:r w:rsidR="00E57453" w:rsidRPr="00B82D30">
              <w:t xml:space="preserve"> ekonomiky</w:t>
            </w:r>
            <w:r w:rsidR="00CC4E04" w:rsidRPr="00B82D30">
              <w:t xml:space="preserve"> (více graf</w:t>
            </w:r>
            <w:r w:rsidR="00237C0F" w:rsidRPr="00B82D30">
              <w:t> </w:t>
            </w:r>
            <w:r w:rsidR="00CC4E04" w:rsidRPr="00B82D30">
              <w:t>čísl</w:t>
            </w:r>
            <w:r w:rsidR="001F791F" w:rsidRPr="00B82D30">
              <w:t>o 20</w:t>
            </w:r>
            <w:r w:rsidR="00CC4E04" w:rsidRPr="00B82D30">
              <w:t>)</w:t>
            </w:r>
            <w:r w:rsidR="00E57453" w:rsidRPr="00B82D30">
              <w:t>. Nízké náklady práce v odvětví zemědělství, lesnictví a rybářství měly základ v relativně nízkých mzdách, které byly odrazem podprůměrné produktivity práce. Vzhledem k tomu, že produktivita práce v odvětví těžby a</w:t>
            </w:r>
            <w:r w:rsidR="00237C0F" w:rsidRPr="00B82D30">
              <w:t> </w:t>
            </w:r>
            <w:r w:rsidR="00E57453" w:rsidRPr="00B82D30">
              <w:t>dobývání byla v porovnání se</w:t>
            </w:r>
            <w:r w:rsidR="00BC4B03" w:rsidRPr="00B82D30">
              <w:t> </w:t>
            </w:r>
            <w:r w:rsidR="00E57453" w:rsidRPr="00B82D30">
              <w:t xml:space="preserve">zemědělstvím, lesnictvím a rybářstvím výrazně vyšší, </w:t>
            </w:r>
            <w:r w:rsidR="005A3941" w:rsidRPr="00B82D30">
              <w:t>pobíraly i</w:t>
            </w:r>
            <w:r w:rsidR="00CC4E04" w:rsidRPr="00B82D30">
              <w:t> </w:t>
            </w:r>
            <w:r w:rsidR="003F54E9" w:rsidRPr="00B82D30">
              <w:t>zaměstnanci</w:t>
            </w:r>
            <w:r w:rsidR="005A3941" w:rsidRPr="00B82D30">
              <w:t xml:space="preserve"> vyšší mzdy, což se</w:t>
            </w:r>
            <w:r w:rsidR="003F078F" w:rsidRPr="00B82D30">
              <w:t xml:space="preserve"> pochopitelně</w:t>
            </w:r>
            <w:r w:rsidR="005A3941" w:rsidRPr="00B82D30">
              <w:t xml:space="preserve"> projevilo i</w:t>
            </w:r>
            <w:r w:rsidR="00237C0F" w:rsidRPr="00B82D30">
              <w:t> </w:t>
            </w:r>
            <w:r w:rsidR="003F078F" w:rsidRPr="00B82D30">
              <w:t>v</w:t>
            </w:r>
            <w:r w:rsidR="00237C0F" w:rsidRPr="00B82D30">
              <w:t> </w:t>
            </w:r>
            <w:r w:rsidR="005A3941" w:rsidRPr="00B82D30">
              <w:t>nákladech práce</w:t>
            </w:r>
            <w:r w:rsidR="004D6B76" w:rsidRPr="00B82D30">
              <w:t> </w:t>
            </w:r>
            <w:r w:rsidR="005A3941" w:rsidRPr="00B82D30">
              <w:t>zaměstnavatelů. Náklady práce v</w:t>
            </w:r>
            <w:r w:rsidR="00E57453" w:rsidRPr="00B82D30">
              <w:t> odvětví těžby a dobývání</w:t>
            </w:r>
            <w:r w:rsidRPr="00B82D30">
              <w:t xml:space="preserve"> dosahovaly v roce 2013 dvojnásobných 347,5</w:t>
            </w:r>
            <w:r w:rsidR="00E57453" w:rsidRPr="00B82D30">
              <w:t xml:space="preserve"> koruny</w:t>
            </w:r>
            <w:r w:rsidR="005A3941" w:rsidRPr="00B82D30">
              <w:t xml:space="preserve">. </w:t>
            </w:r>
            <w:r w:rsidR="003F078F" w:rsidRPr="00B82D30">
              <w:t>Dražší byli zaměstnanci</w:t>
            </w:r>
            <w:r w:rsidR="004D6B76" w:rsidRPr="00B82D30">
              <w:t xml:space="preserve"> v tomto roce </w:t>
            </w:r>
            <w:r w:rsidR="005A3941" w:rsidRPr="00B82D30">
              <w:t>jen v</w:t>
            </w:r>
            <w:r w:rsidR="004D6B76" w:rsidRPr="00B82D30">
              <w:t>e třech odvětvích – v</w:t>
            </w:r>
            <w:r w:rsidRPr="00B82D30">
              <w:t> </w:t>
            </w:r>
            <w:r w:rsidR="005A3941" w:rsidRPr="00B82D30">
              <w:t>peněžnictví a</w:t>
            </w:r>
            <w:r w:rsidR="00BC4B03" w:rsidRPr="00B82D30">
              <w:t> </w:t>
            </w:r>
            <w:r w:rsidR="004D6B76" w:rsidRPr="00B82D30">
              <w:t>pojišťovnictví</w:t>
            </w:r>
            <w:r w:rsidR="004D6B76" w:rsidRPr="00B82D30">
              <w:rPr>
                <w:lang w:val="en-US"/>
              </w:rPr>
              <w:t>;</w:t>
            </w:r>
            <w:r w:rsidR="004D6B76" w:rsidRPr="00B82D30">
              <w:t xml:space="preserve"> v energetice;</w:t>
            </w:r>
            <w:r w:rsidR="005A3941" w:rsidRPr="00B82D30">
              <w:t xml:space="preserve"> </w:t>
            </w:r>
            <w:r w:rsidR="004D6B76" w:rsidRPr="00B82D30">
              <w:t>v </w:t>
            </w:r>
            <w:r w:rsidR="005A3941" w:rsidRPr="00B82D30">
              <w:t>infor</w:t>
            </w:r>
            <w:r w:rsidR="004D6B76" w:rsidRPr="00B82D30">
              <w:t>mačních a komunikačních činnostech</w:t>
            </w:r>
            <w:r w:rsidR="005A3941" w:rsidRPr="00B82D30">
              <w:t xml:space="preserve">. </w:t>
            </w:r>
          </w:p>
          <w:p w:rsidR="005A3941" w:rsidRPr="00B82D30" w:rsidRDefault="005A3941" w:rsidP="005A3941">
            <w:pPr>
              <w:pStyle w:val="Textpoznpodarou"/>
              <w:jc w:val="both"/>
            </w:pPr>
          </w:p>
        </w:tc>
      </w:tr>
      <w:tr w:rsidR="005A3941" w:rsidRPr="00B82D30" w:rsidTr="000E63FC">
        <w:tc>
          <w:tcPr>
            <w:tcW w:w="1054" w:type="pct"/>
          </w:tcPr>
          <w:p w:rsidR="005A3941" w:rsidRPr="00B82D30" w:rsidRDefault="007E6CC2" w:rsidP="00AF5850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Náklady práce</w:t>
            </w:r>
            <w:r w:rsidR="00A0011F" w:rsidRPr="00B82D30">
              <w:rPr>
                <w:sz w:val="16"/>
                <w:szCs w:val="16"/>
              </w:rPr>
              <w:t xml:space="preserve"> vzrostly mezi rokem 1995 a 2013</w:t>
            </w:r>
            <w:r w:rsidRPr="00B82D30">
              <w:rPr>
                <w:sz w:val="16"/>
                <w:szCs w:val="16"/>
              </w:rPr>
              <w:t xml:space="preserve"> ve všech odvětvích ekonomiky na více než dvojnásobek, </w:t>
            </w:r>
            <w:r w:rsidR="00AF5850" w:rsidRPr="00B82D30">
              <w:rPr>
                <w:sz w:val="16"/>
                <w:szCs w:val="16"/>
              </w:rPr>
              <w:t>v některých odvětvích na více než trojnásobek</w:t>
            </w:r>
          </w:p>
        </w:tc>
        <w:tc>
          <w:tcPr>
            <w:tcW w:w="142" w:type="pct"/>
          </w:tcPr>
          <w:p w:rsidR="005A3941" w:rsidRPr="00B82D30" w:rsidRDefault="005A3941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B06257" w:rsidRPr="00B82D30" w:rsidRDefault="005A3941" w:rsidP="001E51CD">
            <w:pPr>
              <w:pStyle w:val="Textpoznpodarou"/>
              <w:jc w:val="both"/>
            </w:pPr>
            <w:r w:rsidRPr="00B82D30">
              <w:rPr>
                <w:spacing w:val="-2"/>
              </w:rPr>
              <w:t>Náklady práce vzrostly v každém odvětví tuzemské ekonomiky mezi rokem 1995 a</w:t>
            </w:r>
            <w:r w:rsidR="00BC4B03" w:rsidRPr="00B82D30">
              <w:rPr>
                <w:spacing w:val="-2"/>
              </w:rPr>
              <w:t> </w:t>
            </w:r>
            <w:r w:rsidR="005865CC" w:rsidRPr="00B82D30">
              <w:rPr>
                <w:spacing w:val="-2"/>
              </w:rPr>
              <w:t>2013</w:t>
            </w:r>
            <w:r w:rsidRPr="00B82D30">
              <w:rPr>
                <w:spacing w:val="-2"/>
              </w:rPr>
              <w:t xml:space="preserve"> na</w:t>
            </w:r>
            <w:r w:rsidR="003F078F" w:rsidRPr="00B82D30">
              <w:rPr>
                <w:spacing w:val="-2"/>
              </w:rPr>
              <w:t> </w:t>
            </w:r>
            <w:r w:rsidRPr="00B82D30">
              <w:rPr>
                <w:spacing w:val="-2"/>
              </w:rPr>
              <w:t xml:space="preserve">více než dvojnásobek, </w:t>
            </w:r>
            <w:r w:rsidR="005865CC" w:rsidRPr="00B82D30">
              <w:rPr>
                <w:spacing w:val="-2"/>
              </w:rPr>
              <w:t>v některých</w:t>
            </w:r>
            <w:r w:rsidRPr="00B82D30">
              <w:rPr>
                <w:spacing w:val="-2"/>
              </w:rPr>
              <w:t xml:space="preserve"> odvětví</w:t>
            </w:r>
            <w:r w:rsidR="005865CC" w:rsidRPr="00B82D30">
              <w:rPr>
                <w:spacing w:val="-2"/>
              </w:rPr>
              <w:t>ch</w:t>
            </w:r>
            <w:r w:rsidRPr="00B82D30">
              <w:rPr>
                <w:spacing w:val="-2"/>
              </w:rPr>
              <w:t xml:space="preserve"> dokonce na více než</w:t>
            </w:r>
            <w:r w:rsidR="001E6BF8" w:rsidRPr="00B82D30">
              <w:rPr>
                <w:spacing w:val="-2"/>
              </w:rPr>
              <w:t> </w:t>
            </w:r>
            <w:r w:rsidRPr="00B82D30">
              <w:rPr>
                <w:spacing w:val="-2"/>
              </w:rPr>
              <w:t xml:space="preserve">trojnásobek. Pokud vezmeme v potaz, že za stejné období </w:t>
            </w:r>
            <w:r w:rsidR="00A05002" w:rsidRPr="00B82D30">
              <w:rPr>
                <w:spacing w:val="-2"/>
              </w:rPr>
              <w:t>celková cenová hladina v</w:t>
            </w:r>
            <w:r w:rsidR="00237C0F" w:rsidRPr="00B82D30">
              <w:rPr>
                <w:spacing w:val="-2"/>
              </w:rPr>
              <w:t> </w:t>
            </w:r>
            <w:r w:rsidR="00A05002" w:rsidRPr="00B82D30">
              <w:rPr>
                <w:spacing w:val="-2"/>
              </w:rPr>
              <w:t>ekonomice</w:t>
            </w:r>
            <w:r w:rsidR="00237C0F" w:rsidRPr="00B82D30">
              <w:rPr>
                <w:spacing w:val="-2"/>
              </w:rPr>
              <w:t xml:space="preserve"> (měřená implicitním deflátorem HDP)</w:t>
            </w:r>
            <w:r w:rsidR="00A05002" w:rsidRPr="00B82D30">
              <w:rPr>
                <w:spacing w:val="-2"/>
              </w:rPr>
              <w:t xml:space="preserve"> narostla</w:t>
            </w:r>
            <w:r w:rsidR="003776AF" w:rsidRPr="00B82D30">
              <w:rPr>
                <w:spacing w:val="-2"/>
              </w:rPr>
              <w:t xml:space="preserve"> ale</w:t>
            </w:r>
            <w:r w:rsidRPr="00B82D30">
              <w:rPr>
                <w:spacing w:val="-2"/>
              </w:rPr>
              <w:t xml:space="preserve"> jen o</w:t>
            </w:r>
            <w:r w:rsidR="003F078F" w:rsidRPr="00B82D30">
              <w:rPr>
                <w:spacing w:val="-2"/>
              </w:rPr>
              <w:t> </w:t>
            </w:r>
            <w:r w:rsidR="005865CC" w:rsidRPr="00B82D30">
              <w:rPr>
                <w:spacing w:val="-2"/>
              </w:rPr>
              <w:t>72,4</w:t>
            </w:r>
            <w:r w:rsidR="003776AF" w:rsidRPr="00B82D30">
              <w:rPr>
                <w:spacing w:val="-2"/>
              </w:rPr>
              <w:t> </w:t>
            </w:r>
            <w:r w:rsidR="00B06257" w:rsidRPr="00B82D30">
              <w:rPr>
                <w:spacing w:val="-2"/>
              </w:rPr>
              <w:t>%, měl tento diferencovaný vývoj na</w:t>
            </w:r>
            <w:r w:rsidR="001E6BF8" w:rsidRPr="00B82D30">
              <w:rPr>
                <w:spacing w:val="-2"/>
              </w:rPr>
              <w:t> </w:t>
            </w:r>
            <w:r w:rsidR="00F86ED5" w:rsidRPr="00B82D30">
              <w:rPr>
                <w:spacing w:val="-2"/>
              </w:rPr>
              <w:t>podniky</w:t>
            </w:r>
            <w:r w:rsidR="00A05002" w:rsidRPr="00B82D30">
              <w:rPr>
                <w:spacing w:val="-2"/>
              </w:rPr>
              <w:t xml:space="preserve"> spíše nepříznivý dopad. Indikuje, že</w:t>
            </w:r>
            <w:r w:rsidR="00665DB5" w:rsidRPr="00B82D30">
              <w:rPr>
                <w:spacing w:val="-2"/>
              </w:rPr>
              <w:t xml:space="preserve"> se</w:t>
            </w:r>
            <w:r w:rsidR="00237C0F" w:rsidRPr="00B82D30">
              <w:rPr>
                <w:spacing w:val="-2"/>
              </w:rPr>
              <w:t> </w:t>
            </w:r>
            <w:r w:rsidR="00B06257" w:rsidRPr="00B82D30">
              <w:rPr>
                <w:spacing w:val="-2"/>
              </w:rPr>
              <w:t xml:space="preserve">ceny finálních výrobků </w:t>
            </w:r>
            <w:r w:rsidR="00665DB5" w:rsidRPr="00B82D30">
              <w:rPr>
                <w:spacing w:val="-2"/>
              </w:rPr>
              <w:t>zvyšovaly</w:t>
            </w:r>
            <w:r w:rsidR="00B06257" w:rsidRPr="00B82D30">
              <w:rPr>
                <w:spacing w:val="-2"/>
              </w:rPr>
              <w:t xml:space="preserve"> méně, než</w:t>
            </w:r>
            <w:r w:rsidR="00A05002" w:rsidRPr="00B82D30">
              <w:rPr>
                <w:spacing w:val="-2"/>
              </w:rPr>
              <w:t> </w:t>
            </w:r>
            <w:r w:rsidR="00B06257" w:rsidRPr="00B82D30">
              <w:rPr>
                <w:spacing w:val="-2"/>
              </w:rPr>
              <w:t xml:space="preserve">o kolik </w:t>
            </w:r>
            <w:r w:rsidR="00F86ED5" w:rsidRPr="00B82D30">
              <w:rPr>
                <w:spacing w:val="-2"/>
              </w:rPr>
              <w:t>podnikům</w:t>
            </w:r>
            <w:r w:rsidR="00B06257" w:rsidRPr="00B82D30">
              <w:rPr>
                <w:spacing w:val="-2"/>
              </w:rPr>
              <w:t xml:space="preserve"> narůstaly náklady</w:t>
            </w:r>
            <w:r w:rsidR="00237C0F" w:rsidRPr="00B82D30">
              <w:rPr>
                <w:spacing w:val="-2"/>
              </w:rPr>
              <w:t> </w:t>
            </w:r>
            <w:r w:rsidR="00B06257" w:rsidRPr="00B82D30">
              <w:rPr>
                <w:spacing w:val="-2"/>
              </w:rPr>
              <w:t>spojené se</w:t>
            </w:r>
            <w:r w:rsidR="00BC4B03" w:rsidRPr="00B82D30">
              <w:rPr>
                <w:spacing w:val="-2"/>
              </w:rPr>
              <w:t> </w:t>
            </w:r>
            <w:r w:rsidR="00B06257" w:rsidRPr="00B82D30">
              <w:rPr>
                <w:spacing w:val="-2"/>
              </w:rPr>
              <w:t>zaměstnanci</w:t>
            </w:r>
            <w:r w:rsidR="00FB6B60" w:rsidRPr="00B82D30">
              <w:rPr>
                <w:spacing w:val="-2"/>
              </w:rPr>
              <w:t>, což</w:t>
            </w:r>
            <w:r w:rsidR="00A05002" w:rsidRPr="00B82D30">
              <w:rPr>
                <w:spacing w:val="-2"/>
              </w:rPr>
              <w:t xml:space="preserve"> </w:t>
            </w:r>
            <w:r w:rsidR="00AF5850" w:rsidRPr="00B82D30">
              <w:rPr>
                <w:spacing w:val="-2"/>
              </w:rPr>
              <w:t>samo o sobě</w:t>
            </w:r>
            <w:r w:rsidR="00A05002" w:rsidRPr="00B82D30">
              <w:rPr>
                <w:spacing w:val="-2"/>
              </w:rPr>
              <w:t xml:space="preserve"> působilo ve směru snižování</w:t>
            </w:r>
            <w:r w:rsidR="004D6B76" w:rsidRPr="00B82D30">
              <w:rPr>
                <w:spacing w:val="-2"/>
              </w:rPr>
              <w:t xml:space="preserve"> </w:t>
            </w:r>
            <w:r w:rsidR="00FC25B2">
              <w:rPr>
                <w:spacing w:val="-2"/>
              </w:rPr>
              <w:t>zisků</w:t>
            </w:r>
            <w:r w:rsidR="00FB6B60" w:rsidRPr="00B82D30">
              <w:rPr>
                <w:spacing w:val="-2"/>
              </w:rPr>
              <w:t xml:space="preserve"> napříč</w:t>
            </w:r>
            <w:r w:rsidR="00687AC3" w:rsidRPr="00B82D30">
              <w:rPr>
                <w:spacing w:val="-2"/>
              </w:rPr>
              <w:t xml:space="preserve"> </w:t>
            </w:r>
            <w:r w:rsidR="001A3369" w:rsidRPr="00B82D30">
              <w:rPr>
                <w:spacing w:val="-2"/>
              </w:rPr>
              <w:t>celou</w:t>
            </w:r>
            <w:r w:rsidR="00687AC3" w:rsidRPr="00B82D30">
              <w:rPr>
                <w:spacing w:val="-2"/>
              </w:rPr>
              <w:t xml:space="preserve"> ekonomik</w:t>
            </w:r>
            <w:r w:rsidR="001A3369" w:rsidRPr="00B82D30">
              <w:rPr>
                <w:spacing w:val="-2"/>
              </w:rPr>
              <w:t>ou</w:t>
            </w:r>
            <w:r w:rsidR="00A05002" w:rsidRPr="00B82D30">
              <w:rPr>
                <w:spacing w:val="-2"/>
              </w:rPr>
              <w:t>.</w:t>
            </w:r>
            <w:r w:rsidR="00AF5850" w:rsidRPr="00B82D30">
              <w:rPr>
                <w:spacing w:val="-2"/>
              </w:rPr>
              <w:t xml:space="preserve"> Podstatné je ale to, že tento vývoj doprovázel nárůst produktivity práce, který sám o sobě firmám </w:t>
            </w:r>
            <w:r w:rsidR="00FC25B2">
              <w:rPr>
                <w:spacing w:val="-2"/>
              </w:rPr>
              <w:t>zisky</w:t>
            </w:r>
            <w:r w:rsidR="00AF5850" w:rsidRPr="00B82D30">
              <w:rPr>
                <w:spacing w:val="-2"/>
              </w:rPr>
              <w:t xml:space="preserve"> naopak zvyšoval</w:t>
            </w:r>
            <w:r w:rsidR="00AF5850" w:rsidRPr="00B82D30">
              <w:t>.</w:t>
            </w:r>
          </w:p>
          <w:p w:rsidR="001E51CD" w:rsidRPr="00B82D30" w:rsidRDefault="001E51CD" w:rsidP="001E51CD">
            <w:pPr>
              <w:pStyle w:val="Textpoznpodarou"/>
              <w:jc w:val="both"/>
            </w:pPr>
          </w:p>
        </w:tc>
      </w:tr>
      <w:tr w:rsidR="00B06257" w:rsidRPr="00B82D30" w:rsidTr="000E63FC">
        <w:trPr>
          <w:trHeight w:val="1710"/>
        </w:trPr>
        <w:tc>
          <w:tcPr>
            <w:tcW w:w="1054" w:type="pct"/>
          </w:tcPr>
          <w:p w:rsidR="00B06257" w:rsidRPr="00B82D30" w:rsidRDefault="00B46135" w:rsidP="007E6CC2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Náklady</w:t>
            </w:r>
            <w:r w:rsidR="004C459A" w:rsidRPr="00B82D30">
              <w:rPr>
                <w:sz w:val="16"/>
                <w:szCs w:val="16"/>
              </w:rPr>
              <w:t xml:space="preserve"> práce rostly v letech 1996-2005</w:t>
            </w:r>
            <w:r w:rsidRPr="00B82D30">
              <w:rPr>
                <w:sz w:val="16"/>
                <w:szCs w:val="16"/>
              </w:rPr>
              <w:t xml:space="preserve"> v primárním sektoru pomaleji než v sekundárním a terciárním sektoru, …</w:t>
            </w:r>
          </w:p>
        </w:tc>
        <w:tc>
          <w:tcPr>
            <w:tcW w:w="142" w:type="pct"/>
          </w:tcPr>
          <w:p w:rsidR="00B06257" w:rsidRPr="00B82D30" w:rsidRDefault="00B06257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B46135" w:rsidRPr="00B82D30" w:rsidRDefault="00DB640D" w:rsidP="00B46135">
            <w:pPr>
              <w:pStyle w:val="Textpoznpodarou"/>
              <w:jc w:val="both"/>
            </w:pPr>
            <w:r w:rsidRPr="00B82D30">
              <w:t xml:space="preserve">Nárůst nákladů práce byl mezi jednotlivými sektory </w:t>
            </w:r>
            <w:r w:rsidR="004F70B1" w:rsidRPr="00B82D30">
              <w:t>odlišný</w:t>
            </w:r>
            <w:r w:rsidRPr="00B82D30">
              <w:t>. Zatímco v roce 1995</w:t>
            </w:r>
            <w:r w:rsidR="004F70B1" w:rsidRPr="00B82D30">
              <w:t> </w:t>
            </w:r>
            <w:r w:rsidRPr="00B82D30">
              <w:t>stála jedna hodina</w:t>
            </w:r>
            <w:r w:rsidR="00B46135" w:rsidRPr="00B82D30">
              <w:t xml:space="preserve"> práce</w:t>
            </w:r>
            <w:r w:rsidRPr="00B82D30">
              <w:t xml:space="preserve"> zaměstnance v primárním, sekundárním a</w:t>
            </w:r>
            <w:r w:rsidR="00B46135" w:rsidRPr="00B82D30">
              <w:t> </w:t>
            </w:r>
            <w:r w:rsidR="00A0011F" w:rsidRPr="00B82D30">
              <w:t>terciárním sektoru 79,2 korun, 77,4</w:t>
            </w:r>
            <w:r w:rsidRPr="00B82D30">
              <w:t xml:space="preserve"> koru</w:t>
            </w:r>
            <w:r w:rsidR="00A0011F" w:rsidRPr="00B82D30">
              <w:t>n a 77</w:t>
            </w:r>
            <w:r w:rsidRPr="00B82D30">
              <w:t>,7 korun, ted</w:t>
            </w:r>
            <w:r w:rsidR="00A0011F" w:rsidRPr="00B82D30">
              <w:t>y v podstatě stejně, v roce 2013</w:t>
            </w:r>
            <w:r w:rsidRPr="00B82D30">
              <w:t xml:space="preserve"> to</w:t>
            </w:r>
            <w:r w:rsidR="00B46135" w:rsidRPr="00B82D30">
              <w:t> </w:t>
            </w:r>
            <w:r w:rsidR="00A0011F" w:rsidRPr="00B82D30">
              <w:t>bylo 204,2</w:t>
            </w:r>
            <w:r w:rsidRPr="00B82D30">
              <w:t xml:space="preserve"> kor</w:t>
            </w:r>
            <w:r w:rsidR="00A0011F" w:rsidRPr="00B82D30">
              <w:t>un, 219,4 korun a 229,2</w:t>
            </w:r>
            <w:r w:rsidR="00B95FEF" w:rsidRPr="00B82D30">
              <w:t xml:space="preserve"> korun. </w:t>
            </w:r>
            <w:r w:rsidR="00A62D39" w:rsidRPr="00B82D30">
              <w:t>Plyne z toho</w:t>
            </w:r>
            <w:r w:rsidR="00B95FEF" w:rsidRPr="00B82D30">
              <w:t>, že</w:t>
            </w:r>
            <w:r w:rsidR="004F70B1" w:rsidRPr="00B82D30">
              <w:t> </w:t>
            </w:r>
            <w:r w:rsidR="00B95FEF" w:rsidRPr="00B82D30">
              <w:t>p</w:t>
            </w:r>
            <w:r w:rsidRPr="00B82D30">
              <w:t xml:space="preserve">rimární sektor byl z hlediska nárůstu nákladů práce poznamenán nejméně. </w:t>
            </w:r>
            <w:r w:rsidR="004C459A" w:rsidRPr="00B82D30">
              <w:t>Vliv na to mělo období 1996-2005</w:t>
            </w:r>
            <w:r w:rsidRPr="00B82D30">
              <w:t>, kdy se náklady práce v primárním sektoru zvyšovaly v</w:t>
            </w:r>
            <w:r w:rsidR="00B46135" w:rsidRPr="00B82D30">
              <w:t> </w:t>
            </w:r>
            <w:r w:rsidRPr="00B82D30">
              <w:t>průměru</w:t>
            </w:r>
            <w:r w:rsidR="00B46135" w:rsidRPr="00B82D30">
              <w:t xml:space="preserve"> jen</w:t>
            </w:r>
            <w:r w:rsidRPr="00B82D30">
              <w:t xml:space="preserve"> o</w:t>
            </w:r>
            <w:r w:rsidR="00B46135" w:rsidRPr="00B82D30">
              <w:t> </w:t>
            </w:r>
            <w:r w:rsidR="004C459A" w:rsidRPr="00B82D30">
              <w:t>7,1</w:t>
            </w:r>
            <w:r w:rsidRPr="00B82D30">
              <w:t xml:space="preserve"> %</w:t>
            </w:r>
            <w:r w:rsidR="00B46135" w:rsidRPr="00B82D30">
              <w:t xml:space="preserve"> za rok</w:t>
            </w:r>
            <w:r w:rsidRPr="00B82D30">
              <w:t>, zatímco v sekundárním a terciárním o</w:t>
            </w:r>
            <w:r w:rsidR="00237C0F" w:rsidRPr="00B82D30">
              <w:t> </w:t>
            </w:r>
            <w:r w:rsidR="00B95FEF" w:rsidRPr="00B82D30">
              <w:t>vyšších</w:t>
            </w:r>
            <w:r w:rsidR="004C459A" w:rsidRPr="00B82D30">
              <w:t xml:space="preserve"> 8,4 % a 9,2</w:t>
            </w:r>
            <w:r w:rsidRPr="00B82D30">
              <w:t xml:space="preserve"> %.</w:t>
            </w:r>
          </w:p>
          <w:p w:rsidR="00970324" w:rsidRPr="00B82D30" w:rsidRDefault="00970324" w:rsidP="00B46135">
            <w:pPr>
              <w:pStyle w:val="Textpoznpodarou"/>
              <w:jc w:val="both"/>
            </w:pPr>
          </w:p>
        </w:tc>
      </w:tr>
      <w:tr w:rsidR="00B46135" w:rsidRPr="00B82D30" w:rsidTr="000E63FC">
        <w:tc>
          <w:tcPr>
            <w:tcW w:w="1054" w:type="pct"/>
          </w:tcPr>
          <w:p w:rsidR="00B46135" w:rsidRPr="00B82D30" w:rsidRDefault="004C459A" w:rsidP="007E6CC2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… pro období 2006-2013</w:t>
            </w:r>
            <w:r w:rsidR="00B46135" w:rsidRPr="00B82D30">
              <w:rPr>
                <w:sz w:val="16"/>
                <w:szCs w:val="16"/>
              </w:rPr>
              <w:t xml:space="preserve"> ale platil trend opačný</w:t>
            </w:r>
          </w:p>
        </w:tc>
        <w:tc>
          <w:tcPr>
            <w:tcW w:w="142" w:type="pct"/>
          </w:tcPr>
          <w:p w:rsidR="00B46135" w:rsidRPr="00B82D30" w:rsidRDefault="00B46135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B46135" w:rsidRPr="00B82D30" w:rsidRDefault="00B46135" w:rsidP="00E40ED5">
            <w:pPr>
              <w:pStyle w:val="Textpoznpodarou"/>
              <w:jc w:val="both"/>
            </w:pPr>
            <w:r w:rsidRPr="00B82D30">
              <w:t>Nasto</w:t>
            </w:r>
            <w:r w:rsidR="004C459A" w:rsidRPr="00B82D30">
              <w:t xml:space="preserve">lený trend se </w:t>
            </w:r>
            <w:r w:rsidR="00E40ED5" w:rsidRPr="00B82D30">
              <w:t>ale</w:t>
            </w:r>
            <w:r w:rsidR="004C459A" w:rsidRPr="00B82D30">
              <w:t xml:space="preserve"> v letech 2006-2013</w:t>
            </w:r>
            <w:r w:rsidR="00A62D39" w:rsidRPr="00B82D30">
              <w:t xml:space="preserve"> –</w:t>
            </w:r>
            <w:r w:rsidR="00E40ED5" w:rsidRPr="00B82D30">
              <w:t xml:space="preserve"> zahrnující jak vrchol konjunktury, tak </w:t>
            </w:r>
            <w:r w:rsidR="00A62D39" w:rsidRPr="00B82D30">
              <w:t>hlubokou recesi z roku</w:t>
            </w:r>
            <w:r w:rsidR="00E40ED5" w:rsidRPr="00B82D30">
              <w:t xml:space="preserve"> 2009</w:t>
            </w:r>
            <w:r w:rsidR="00A62D39" w:rsidRPr="00B82D30">
              <w:t xml:space="preserve"> či</w:t>
            </w:r>
            <w:r w:rsidR="00E40ED5" w:rsidRPr="00B82D30">
              <w:t xml:space="preserve"> dlouhou recesi z let </w:t>
            </w:r>
            <w:r w:rsidR="00A62D39" w:rsidRPr="00B82D30">
              <w:t>2012 a 2013 –</w:t>
            </w:r>
            <w:r w:rsidRPr="00B82D30">
              <w:t xml:space="preserve"> </w:t>
            </w:r>
            <w:r w:rsidR="00FB6B60" w:rsidRPr="00B82D30">
              <w:t>obrátil</w:t>
            </w:r>
            <w:r w:rsidR="00014719" w:rsidRPr="00B82D30">
              <w:t>. N</w:t>
            </w:r>
            <w:r w:rsidRPr="00B82D30">
              <w:t>áklady práce v primár</w:t>
            </w:r>
            <w:r w:rsidR="004C459A" w:rsidRPr="00B82D30">
              <w:t>ním sektoru rostly v průměru o 3</w:t>
            </w:r>
            <w:r w:rsidRPr="00B82D30">
              <w:t>,4 % za rok, v </w:t>
            </w:r>
            <w:r w:rsidR="004C459A" w:rsidRPr="00B82D30">
              <w:t>sekundárním a</w:t>
            </w:r>
            <w:r w:rsidR="004F70B1" w:rsidRPr="00B82D30">
              <w:t> </w:t>
            </w:r>
            <w:r w:rsidR="004C459A" w:rsidRPr="00B82D30">
              <w:t>terciárním</w:t>
            </w:r>
            <w:r w:rsidR="00A62D39" w:rsidRPr="00B82D30">
              <w:t xml:space="preserve"> </w:t>
            </w:r>
            <w:r w:rsidR="004F70B1" w:rsidRPr="00B82D30">
              <w:t xml:space="preserve">sektoru </w:t>
            </w:r>
            <w:r w:rsidR="00A62D39" w:rsidRPr="00B82D30">
              <w:t>se zvyšovaly v průměru</w:t>
            </w:r>
            <w:r w:rsidR="004C459A" w:rsidRPr="00B82D30">
              <w:t xml:space="preserve"> jen o 3,0 % a 2,6</w:t>
            </w:r>
            <w:r w:rsidRPr="00B82D30">
              <w:t xml:space="preserve"> %</w:t>
            </w:r>
            <w:r w:rsidR="00A62D39" w:rsidRPr="00B82D30">
              <w:t xml:space="preserve"> ročně</w:t>
            </w:r>
            <w:r w:rsidRPr="00B82D30">
              <w:t>.</w:t>
            </w:r>
          </w:p>
          <w:p w:rsidR="00E40ED5" w:rsidRPr="00B82D30" w:rsidRDefault="00E40ED5" w:rsidP="00E40ED5">
            <w:pPr>
              <w:pStyle w:val="Textpoznpodarou"/>
              <w:jc w:val="both"/>
            </w:pPr>
          </w:p>
        </w:tc>
      </w:tr>
      <w:tr w:rsidR="00E40ED5" w:rsidRPr="00B82D30" w:rsidTr="000E63FC">
        <w:tc>
          <w:tcPr>
            <w:tcW w:w="1054" w:type="pct"/>
          </w:tcPr>
          <w:p w:rsidR="00E40ED5" w:rsidRPr="00B82D30" w:rsidRDefault="003C0578" w:rsidP="003C0578">
            <w:pPr>
              <w:jc w:val="left"/>
              <w:rPr>
                <w:spacing w:val="-6"/>
                <w:sz w:val="16"/>
                <w:szCs w:val="16"/>
              </w:rPr>
            </w:pPr>
            <w:r w:rsidRPr="00B82D30">
              <w:rPr>
                <w:spacing w:val="-6"/>
                <w:sz w:val="16"/>
                <w:szCs w:val="16"/>
              </w:rPr>
              <w:t xml:space="preserve">V roce 2013 se náklady práce ve všech třech sektorech ekonomiky zmenšily, nejvíce v primárním sektoru </w:t>
            </w:r>
          </w:p>
        </w:tc>
        <w:tc>
          <w:tcPr>
            <w:tcW w:w="142" w:type="pct"/>
          </w:tcPr>
          <w:p w:rsidR="00E40ED5" w:rsidRPr="00B82D30" w:rsidRDefault="00E40ED5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BE346A" w:rsidRPr="00B82D30" w:rsidRDefault="00E40ED5" w:rsidP="00BE346A">
            <w:pPr>
              <w:pStyle w:val="Textpoznpodarou"/>
              <w:jc w:val="both"/>
              <w:rPr>
                <w:spacing w:val="-2"/>
              </w:rPr>
            </w:pPr>
            <w:r w:rsidRPr="00B82D30">
              <w:rPr>
                <w:spacing w:val="-2"/>
              </w:rPr>
              <w:t>Rok 2013 byl z pohledu vývoje nákladů práce výjimečný</w:t>
            </w:r>
            <w:r w:rsidR="00BE346A" w:rsidRPr="00B82D30">
              <w:rPr>
                <w:spacing w:val="-2"/>
              </w:rPr>
              <w:t xml:space="preserve">, snížily se </w:t>
            </w:r>
            <w:r w:rsidRPr="00B82D30">
              <w:rPr>
                <w:spacing w:val="-2"/>
              </w:rPr>
              <w:t xml:space="preserve">ve všech třech sektorech najednou. </w:t>
            </w:r>
            <w:r w:rsidR="00BE346A" w:rsidRPr="00B82D30">
              <w:rPr>
                <w:spacing w:val="-2"/>
              </w:rPr>
              <w:t xml:space="preserve">To se za celé období 1996-2012 nestalo ani jednou. </w:t>
            </w:r>
            <w:r w:rsidRPr="00B82D30">
              <w:rPr>
                <w:spacing w:val="-2"/>
              </w:rPr>
              <w:t>V sekundárním a terciárním sektoru se náklady práce zmenšily</w:t>
            </w:r>
            <w:r w:rsidR="00687AC3" w:rsidRPr="00B82D30">
              <w:rPr>
                <w:spacing w:val="-2"/>
              </w:rPr>
              <w:t xml:space="preserve"> shodně</w:t>
            </w:r>
            <w:r w:rsidRPr="00B82D30">
              <w:rPr>
                <w:spacing w:val="-2"/>
              </w:rPr>
              <w:t xml:space="preserve"> o 0,2 %, v primárním sektoru</w:t>
            </w:r>
            <w:r w:rsidR="000F4BEB" w:rsidRPr="00B82D30">
              <w:rPr>
                <w:spacing w:val="-2"/>
              </w:rPr>
              <w:t xml:space="preserve"> dokonce</w:t>
            </w:r>
            <w:r w:rsidRPr="00B82D30">
              <w:rPr>
                <w:spacing w:val="-2"/>
              </w:rPr>
              <w:t xml:space="preserve"> o</w:t>
            </w:r>
            <w:r w:rsidR="003C0578" w:rsidRPr="00B82D30">
              <w:rPr>
                <w:spacing w:val="-2"/>
              </w:rPr>
              <w:t> </w:t>
            </w:r>
            <w:r w:rsidRPr="00B82D30">
              <w:rPr>
                <w:spacing w:val="-2"/>
              </w:rPr>
              <w:t>1,7 %.</w:t>
            </w:r>
          </w:p>
        </w:tc>
      </w:tr>
    </w:tbl>
    <w:p w:rsidR="00AB20F6" w:rsidRPr="00B82D30" w:rsidRDefault="00AB20F6" w:rsidP="00AB20F6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22"/>
        <w:gridCol w:w="8672"/>
      </w:tblGrid>
      <w:tr w:rsidR="00E14D45" w:rsidRPr="00B82D30" w:rsidTr="00011A65">
        <w:tc>
          <w:tcPr>
            <w:tcW w:w="527" w:type="pct"/>
          </w:tcPr>
          <w:p w:rsidR="00E14D45" w:rsidRPr="00B82D30" w:rsidRDefault="00E14D45" w:rsidP="00011A65">
            <w:pPr>
              <w:pStyle w:val="Textpoznpodarou"/>
              <w:rPr>
                <w:spacing w:val="-2"/>
              </w:rPr>
            </w:pPr>
            <w:r w:rsidRPr="00B82D30">
              <w:rPr>
                <w:spacing w:val="-2"/>
              </w:rPr>
              <w:lastRenderedPageBreak/>
              <w:t>Graf č. </w:t>
            </w:r>
            <w:r w:rsidR="00EB5CB4" w:rsidRPr="00B82D30">
              <w:rPr>
                <w:spacing w:val="-2"/>
              </w:rPr>
              <w:t>20</w:t>
            </w:r>
          </w:p>
        </w:tc>
        <w:tc>
          <w:tcPr>
            <w:tcW w:w="4473" w:type="pct"/>
          </w:tcPr>
          <w:p w:rsidR="00E14D45" w:rsidRPr="00B82D30" w:rsidRDefault="00CC4E04" w:rsidP="00011A65">
            <w:pPr>
              <w:pStyle w:val="Textpoznpodarou"/>
            </w:pPr>
            <w:r w:rsidRPr="00B82D30">
              <w:rPr>
                <w:b/>
              </w:rPr>
              <w:t>Náklady práce</w:t>
            </w:r>
            <w:r w:rsidR="00EB7ED9" w:rsidRPr="00B82D30">
              <w:rPr>
                <w:b/>
              </w:rPr>
              <w:t xml:space="preserve"> v odvětvích</w:t>
            </w:r>
            <w:r w:rsidR="004D6B76" w:rsidRPr="00B82D30">
              <w:rPr>
                <w:b/>
              </w:rPr>
              <w:t xml:space="preserve"> v roce 201</w:t>
            </w:r>
            <w:r w:rsidR="00A8448D" w:rsidRPr="00B82D30">
              <w:rPr>
                <w:b/>
              </w:rPr>
              <w:t>3</w:t>
            </w:r>
            <w:r w:rsidRPr="00B82D30">
              <w:t xml:space="preserve"> (náhrady zaměstnancům</w:t>
            </w:r>
            <w:r w:rsidR="004D6B76" w:rsidRPr="00B82D30">
              <w:t>/počet odpracovaných</w:t>
            </w:r>
            <w:r w:rsidR="00E14D45" w:rsidRPr="00B82D30">
              <w:t xml:space="preserve"> </w:t>
            </w:r>
            <w:r w:rsidRPr="00B82D30">
              <w:t>h</w:t>
            </w:r>
            <w:r w:rsidR="00E14D45" w:rsidRPr="00B82D30">
              <w:t>odin</w:t>
            </w:r>
            <w:r w:rsidR="004D6B76" w:rsidRPr="00B82D30">
              <w:t xml:space="preserve"> ze strany zaměstnanců</w:t>
            </w:r>
            <w:r w:rsidR="00E14D45" w:rsidRPr="00B82D30">
              <w:t>, nominálně, v korunách)</w:t>
            </w:r>
          </w:p>
        </w:tc>
      </w:tr>
    </w:tbl>
    <w:p w:rsidR="0053055B" w:rsidRPr="00B82D30" w:rsidRDefault="00A8448D" w:rsidP="00E14D45">
      <w:pPr>
        <w:rPr>
          <w:noProof/>
          <w:szCs w:val="20"/>
        </w:rPr>
      </w:pPr>
      <w:r w:rsidRPr="00B82D30">
        <w:rPr>
          <w:noProof/>
          <w:szCs w:val="20"/>
        </w:rPr>
        <w:drawing>
          <wp:inline distT="0" distB="0" distL="0" distR="0">
            <wp:extent cx="6120130" cy="2534650"/>
            <wp:effectExtent l="19050" t="0" r="0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3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408"/>
        <w:gridCol w:w="3286"/>
      </w:tblGrid>
      <w:tr w:rsidR="00E14D45" w:rsidRPr="00B82D30" w:rsidTr="00011A65">
        <w:tc>
          <w:tcPr>
            <w:tcW w:w="3305" w:type="pct"/>
          </w:tcPr>
          <w:p w:rsidR="00E14D45" w:rsidRPr="00B82D30" w:rsidRDefault="00E14D45" w:rsidP="00011A65">
            <w:pPr>
              <w:pStyle w:val="Textpoznpodarou"/>
            </w:pPr>
          </w:p>
        </w:tc>
        <w:tc>
          <w:tcPr>
            <w:tcW w:w="1695" w:type="pct"/>
          </w:tcPr>
          <w:p w:rsidR="00E14D45" w:rsidRPr="00B82D30" w:rsidRDefault="00E14D45" w:rsidP="00011A65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ČSÚ, vlastní propočty</w:t>
            </w:r>
          </w:p>
        </w:tc>
      </w:tr>
    </w:tbl>
    <w:p w:rsidR="00237C0F" w:rsidRPr="00B82D30" w:rsidRDefault="00237C0F" w:rsidP="001625DA">
      <w:pPr>
        <w:rPr>
          <w:b/>
          <w:sz w:val="22"/>
          <w:szCs w:val="22"/>
        </w:rPr>
      </w:pPr>
    </w:p>
    <w:p w:rsidR="001625DA" w:rsidRPr="00B82D30" w:rsidRDefault="001625DA" w:rsidP="001625DA">
      <w:pPr>
        <w:rPr>
          <w:szCs w:val="20"/>
        </w:rPr>
      </w:pPr>
      <w:r w:rsidRPr="00B82D30">
        <w:rPr>
          <w:b/>
          <w:sz w:val="22"/>
          <w:szCs w:val="22"/>
        </w:rPr>
        <w:t>2.4. Investiční aktivita</w:t>
      </w:r>
      <w:r w:rsidR="00FE0289" w:rsidRPr="00B82D30">
        <w:rPr>
          <w:rStyle w:val="Znakapoznpodarou"/>
          <w:b/>
          <w:sz w:val="22"/>
          <w:szCs w:val="22"/>
        </w:rPr>
        <w:footnoteReference w:id="7"/>
      </w:r>
    </w:p>
    <w:p w:rsidR="00CE101F" w:rsidRPr="00B82D30" w:rsidRDefault="00CE101F" w:rsidP="00F9365F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FE0289" w:rsidRPr="00B82D30" w:rsidTr="000E63FC">
        <w:tc>
          <w:tcPr>
            <w:tcW w:w="1054" w:type="pct"/>
          </w:tcPr>
          <w:p w:rsidR="00FE0289" w:rsidRPr="00B82D30" w:rsidRDefault="008D4F80" w:rsidP="00976EE8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Pod</w:t>
            </w:r>
            <w:r w:rsidR="00103913" w:rsidRPr="00B82D30">
              <w:rPr>
                <w:sz w:val="16"/>
                <w:szCs w:val="16"/>
              </w:rPr>
              <w:t>íl investic primárního sektoru na</w:t>
            </w:r>
            <w:r w:rsidR="000B04AA" w:rsidRPr="00B82D30">
              <w:rPr>
                <w:sz w:val="16"/>
                <w:szCs w:val="16"/>
              </w:rPr>
              <w:t xml:space="preserve"> celkov</w:t>
            </w:r>
            <w:r w:rsidRPr="00B82D30">
              <w:rPr>
                <w:sz w:val="16"/>
                <w:szCs w:val="16"/>
              </w:rPr>
              <w:t>ých investicích v ekonomice byl</w:t>
            </w:r>
            <w:r w:rsidR="000B04AA" w:rsidRPr="00B82D30">
              <w:rPr>
                <w:sz w:val="16"/>
                <w:szCs w:val="16"/>
              </w:rPr>
              <w:t xml:space="preserve"> v</w:t>
            </w:r>
            <w:r w:rsidR="00976EE8" w:rsidRPr="00B82D30">
              <w:rPr>
                <w:sz w:val="16"/>
                <w:szCs w:val="16"/>
              </w:rPr>
              <w:t> letech 2012 a 2013 nejvyšší od roku 1996</w:t>
            </w:r>
          </w:p>
        </w:tc>
        <w:tc>
          <w:tcPr>
            <w:tcW w:w="142" w:type="pct"/>
          </w:tcPr>
          <w:p w:rsidR="00FE0289" w:rsidRPr="00B82D30" w:rsidRDefault="00FE0289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FE0289" w:rsidRPr="00B82D30" w:rsidRDefault="008D4F80" w:rsidP="00DA265B">
            <w:pPr>
              <w:pStyle w:val="Textpoznpodarou"/>
              <w:jc w:val="both"/>
            </w:pPr>
            <w:r w:rsidRPr="00B82D30">
              <w:t>Proporce investic</w:t>
            </w:r>
            <w:r w:rsidR="00F30476" w:rsidRPr="00B82D30">
              <w:t xml:space="preserve"> </w:t>
            </w:r>
            <w:r w:rsidR="00FE0289" w:rsidRPr="00B82D30">
              <w:t xml:space="preserve">primárního sektoru </w:t>
            </w:r>
            <w:r w:rsidRPr="00B82D30">
              <w:t>v</w:t>
            </w:r>
            <w:r w:rsidR="00F30476" w:rsidRPr="00B82D30">
              <w:t> </w:t>
            </w:r>
            <w:r w:rsidR="00FE0289" w:rsidRPr="00B82D30">
              <w:t>celkových investicích v</w:t>
            </w:r>
            <w:r w:rsidR="001D17C8" w:rsidRPr="00B82D30">
              <w:t> </w:t>
            </w:r>
            <w:r w:rsidR="00FE0289" w:rsidRPr="00B82D30">
              <w:t>ekonomice</w:t>
            </w:r>
            <w:r w:rsidR="001D17C8" w:rsidRPr="00B82D30">
              <w:t>, tj. podíl tvorby hrubého fixního kapitálu primárního sektoru na celkové tvorbě hrubého fixního kapitálu v ekonomice,</w:t>
            </w:r>
            <w:r w:rsidR="00FE0289" w:rsidRPr="00B82D30">
              <w:t xml:space="preserve"> </w:t>
            </w:r>
            <w:r w:rsidR="00180448" w:rsidRPr="00B82D30">
              <w:t>byl</w:t>
            </w:r>
            <w:r w:rsidRPr="00B82D30">
              <w:t xml:space="preserve"> </w:t>
            </w:r>
            <w:r w:rsidR="007C51E2" w:rsidRPr="00B82D30">
              <w:t>poměrně</w:t>
            </w:r>
            <w:r w:rsidR="00180448" w:rsidRPr="00B82D30">
              <w:t xml:space="preserve"> vysoký</w:t>
            </w:r>
            <w:r w:rsidR="00DA265B" w:rsidRPr="00B82D30">
              <w:t xml:space="preserve"> v </w:t>
            </w:r>
            <w:r w:rsidR="00A143AA" w:rsidRPr="00B82D30">
              <w:t>období</w:t>
            </w:r>
            <w:r w:rsidR="00DA265B" w:rsidRPr="00B82D30">
              <w:t xml:space="preserve"> 1993-1996</w:t>
            </w:r>
            <w:r w:rsidR="00A81524" w:rsidRPr="00B82D30">
              <w:t xml:space="preserve">, </w:t>
            </w:r>
            <w:r w:rsidR="00794AB7" w:rsidRPr="00B82D30">
              <w:t>tedy na vrcholu</w:t>
            </w:r>
            <w:r w:rsidR="00A81524" w:rsidRPr="00B82D30">
              <w:t xml:space="preserve"> transformace české ekonomiky</w:t>
            </w:r>
            <w:r w:rsidR="00DA265B" w:rsidRPr="00B82D30">
              <w:t xml:space="preserve">. </w:t>
            </w:r>
            <w:r w:rsidR="001D17C8" w:rsidRPr="00B82D30">
              <w:t>P</w:t>
            </w:r>
            <w:r w:rsidR="007E4795" w:rsidRPr="00B82D30">
              <w:t>rimární sektor</w:t>
            </w:r>
            <w:r w:rsidR="001D17C8" w:rsidRPr="00B82D30">
              <w:t xml:space="preserve"> se</w:t>
            </w:r>
            <w:r w:rsidR="007E4795" w:rsidRPr="00B82D30">
              <w:t xml:space="preserve"> na</w:t>
            </w:r>
            <w:r w:rsidR="001D17C8" w:rsidRPr="00B82D30">
              <w:t> </w:t>
            </w:r>
            <w:r w:rsidR="007E4795" w:rsidRPr="00B82D30">
              <w:t>celkových investicích</w:t>
            </w:r>
            <w:r w:rsidR="001D17C8" w:rsidRPr="00B82D30">
              <w:t xml:space="preserve"> v těchto letech</w:t>
            </w:r>
            <w:r w:rsidR="007E4795" w:rsidRPr="00B82D30">
              <w:t xml:space="preserve"> podílel</w:t>
            </w:r>
            <w:r w:rsidR="001D17C8" w:rsidRPr="00B82D30">
              <w:t xml:space="preserve"> v průměru</w:t>
            </w:r>
            <w:r w:rsidR="007C51E2" w:rsidRPr="00B82D30">
              <w:t xml:space="preserve"> 6,5</w:t>
            </w:r>
            <w:r w:rsidRPr="00B82D30">
              <w:t xml:space="preserve"> %. </w:t>
            </w:r>
            <w:r w:rsidR="00DA265B" w:rsidRPr="00B82D30">
              <w:t>V </w:t>
            </w:r>
            <w:r w:rsidR="00A81524" w:rsidRPr="00B82D30">
              <w:t xml:space="preserve">období </w:t>
            </w:r>
            <w:r w:rsidR="007C51E2" w:rsidRPr="00B82D30">
              <w:t>1997-2011</w:t>
            </w:r>
            <w:r w:rsidR="008A4E23" w:rsidRPr="00B82D30">
              <w:t xml:space="preserve"> ale</w:t>
            </w:r>
            <w:r w:rsidR="00DA265B" w:rsidRPr="00B82D30">
              <w:t xml:space="preserve"> jejich význam</w:t>
            </w:r>
            <w:r w:rsidR="00106DB4" w:rsidRPr="00B82D30">
              <w:t>,</w:t>
            </w:r>
            <w:r w:rsidR="00DA265B" w:rsidRPr="00B82D30">
              <w:t xml:space="preserve"> </w:t>
            </w:r>
            <w:r w:rsidRPr="00B82D30">
              <w:t xml:space="preserve">i </w:t>
            </w:r>
            <w:r w:rsidR="00895A34" w:rsidRPr="00B82D30">
              <w:t>v důsledku</w:t>
            </w:r>
            <w:r w:rsidR="00A81524" w:rsidRPr="00B82D30">
              <w:t> přílivu</w:t>
            </w:r>
            <w:r w:rsidR="00DA265B" w:rsidRPr="00B82D30">
              <w:t xml:space="preserve"> přímých zahraničních investic</w:t>
            </w:r>
            <w:r w:rsidR="00794AB7" w:rsidRPr="00B82D30">
              <w:t>, které směřovaly</w:t>
            </w:r>
            <w:r w:rsidR="00A81524" w:rsidRPr="00B82D30">
              <w:t xml:space="preserve"> zejména</w:t>
            </w:r>
            <w:r w:rsidR="00DA265B" w:rsidRPr="00B82D30">
              <w:t xml:space="preserve"> do zpracovatelského průmyslu</w:t>
            </w:r>
            <w:r w:rsidR="008021F4" w:rsidRPr="00B82D30">
              <w:t xml:space="preserve"> a vedly k modernizacím výrobních závodů</w:t>
            </w:r>
            <w:r w:rsidR="00794AB7" w:rsidRPr="00B82D30">
              <w:t>, značně oslabil.</w:t>
            </w:r>
            <w:r w:rsidR="00F30476" w:rsidRPr="00B82D30">
              <w:t xml:space="preserve"> </w:t>
            </w:r>
            <w:r w:rsidR="00794AB7" w:rsidRPr="00B82D30">
              <w:t>I</w:t>
            </w:r>
            <w:r w:rsidRPr="00B82D30">
              <w:t xml:space="preserve">nvestice primárního sektoru se </w:t>
            </w:r>
            <w:r w:rsidR="00F30476" w:rsidRPr="00B82D30">
              <w:t>n</w:t>
            </w:r>
            <w:r w:rsidRPr="00B82D30">
              <w:t>a celkových investicích v</w:t>
            </w:r>
            <w:r w:rsidR="00794AB7" w:rsidRPr="00B82D30">
              <w:t> </w:t>
            </w:r>
            <w:r w:rsidRPr="00B82D30">
              <w:t>ekonomice</w:t>
            </w:r>
            <w:r w:rsidR="00794AB7" w:rsidRPr="00B82D30">
              <w:t xml:space="preserve"> v tomto období</w:t>
            </w:r>
            <w:r w:rsidR="00DA265B" w:rsidRPr="00B82D30">
              <w:t xml:space="preserve"> </w:t>
            </w:r>
            <w:r w:rsidR="002E4A46" w:rsidRPr="00B82D30">
              <w:t>podílely v</w:t>
            </w:r>
            <w:r w:rsidR="00794AB7" w:rsidRPr="00B82D30">
              <w:t> </w:t>
            </w:r>
            <w:r w:rsidR="002E4A46" w:rsidRPr="00B82D30">
              <w:t>průměru</w:t>
            </w:r>
            <w:r w:rsidR="00794AB7" w:rsidRPr="00B82D30">
              <w:t xml:space="preserve"> jen</w:t>
            </w:r>
            <w:r w:rsidR="007C51E2" w:rsidRPr="00B82D30">
              <w:t xml:space="preserve"> 3,9</w:t>
            </w:r>
            <w:r w:rsidR="002E4A46" w:rsidRPr="00B82D30">
              <w:t xml:space="preserve"> %. Významnější z</w:t>
            </w:r>
            <w:r w:rsidR="007C51E2" w:rsidRPr="00B82D30">
              <w:t xml:space="preserve">měnu přinesly až roky </w:t>
            </w:r>
            <w:r w:rsidR="00DA265B" w:rsidRPr="00B82D30">
              <w:t>2012</w:t>
            </w:r>
            <w:r w:rsidR="007C51E2" w:rsidRPr="00B82D30">
              <w:t xml:space="preserve"> a 2013</w:t>
            </w:r>
            <w:r w:rsidR="00DA265B" w:rsidRPr="00B82D30">
              <w:t xml:space="preserve">, kdy </w:t>
            </w:r>
            <w:r w:rsidR="000E0F77" w:rsidRPr="00B82D30">
              <w:t>proporce</w:t>
            </w:r>
            <w:r w:rsidR="00DA265B" w:rsidRPr="00B82D30">
              <w:t xml:space="preserve"> investic prim</w:t>
            </w:r>
            <w:r w:rsidR="00794AB7" w:rsidRPr="00B82D30">
              <w:t xml:space="preserve">árního sektoru – </w:t>
            </w:r>
            <w:r w:rsidR="00895A34" w:rsidRPr="00B82D30">
              <w:t>vlivem</w:t>
            </w:r>
            <w:r w:rsidR="00DA265B" w:rsidRPr="00B82D30">
              <w:t xml:space="preserve"> </w:t>
            </w:r>
            <w:r w:rsidR="002E4A46" w:rsidRPr="00B82D30">
              <w:t>oslabené</w:t>
            </w:r>
            <w:r w:rsidR="00DA265B" w:rsidRPr="00B82D30">
              <w:t xml:space="preserve"> investiční aktivity v </w:t>
            </w:r>
            <w:r w:rsidR="00DB3796" w:rsidRPr="00B82D30">
              <w:t>terciárním</w:t>
            </w:r>
            <w:r w:rsidR="00DA265B" w:rsidRPr="00B82D30">
              <w:t xml:space="preserve"> </w:t>
            </w:r>
            <w:r w:rsidR="003E4A5A" w:rsidRPr="00B82D30">
              <w:t>sektoru, jíž</w:t>
            </w:r>
            <w:r w:rsidR="00794AB7" w:rsidRPr="00B82D30">
              <w:t xml:space="preserve"> ale</w:t>
            </w:r>
            <w:r w:rsidR="00064085" w:rsidRPr="00B82D30">
              <w:t xml:space="preserve"> kontrastoval nárůst</w:t>
            </w:r>
            <w:r w:rsidR="00794AB7" w:rsidRPr="00B82D30">
              <w:t xml:space="preserve"> investic</w:t>
            </w:r>
            <w:r w:rsidR="003E4A5A" w:rsidRPr="00B82D30">
              <w:t> </w:t>
            </w:r>
            <w:r w:rsidR="00794AB7" w:rsidRPr="00B82D30">
              <w:t>primárního</w:t>
            </w:r>
            <w:r w:rsidR="003E4A5A" w:rsidRPr="00B82D30">
              <w:t> </w:t>
            </w:r>
            <w:r w:rsidR="00064085" w:rsidRPr="00B82D30">
              <w:t>sektoru</w:t>
            </w:r>
            <w:r w:rsidR="00794AB7" w:rsidRPr="00B82D30">
              <w:t xml:space="preserve"> –</w:t>
            </w:r>
            <w:r w:rsidR="00DA265B" w:rsidRPr="00B82D30">
              <w:t xml:space="preserve"> narostl</w:t>
            </w:r>
            <w:r w:rsidR="000E0F77" w:rsidRPr="00B82D30">
              <w:t>a</w:t>
            </w:r>
            <w:r w:rsidR="00DA265B" w:rsidRPr="00B82D30">
              <w:t xml:space="preserve"> na </w:t>
            </w:r>
            <w:r w:rsidR="007C51E2" w:rsidRPr="00B82D30">
              <w:t>5,6</w:t>
            </w:r>
            <w:r w:rsidR="00DA265B" w:rsidRPr="00B82D30">
              <w:t xml:space="preserve"> %</w:t>
            </w:r>
            <w:r w:rsidR="007C51E2" w:rsidRPr="00B82D30">
              <w:t xml:space="preserve"> a 5,4</w:t>
            </w:r>
            <w:r w:rsidR="007E4795" w:rsidRPr="00B82D30">
              <w:t xml:space="preserve"> %</w:t>
            </w:r>
            <w:r w:rsidR="00DA265B" w:rsidRPr="00B82D30">
              <w:t>. V</w:t>
            </w:r>
            <w:r w:rsidR="00794AB7" w:rsidRPr="00B82D30">
              <w:t> </w:t>
            </w:r>
            <w:r w:rsidR="000E0F77" w:rsidRPr="00B82D30">
              <w:t>samotném</w:t>
            </w:r>
            <w:r w:rsidR="00976EE8" w:rsidRPr="00B82D30">
              <w:t> roce 2012</w:t>
            </w:r>
            <w:r w:rsidR="00DA265B" w:rsidRPr="00B82D30">
              <w:t xml:space="preserve"> byl podíl investic primárního sektoru</w:t>
            </w:r>
            <w:r w:rsidR="00A143AA" w:rsidRPr="00B82D30">
              <w:t xml:space="preserve"> na celkové hodnotě investic v</w:t>
            </w:r>
            <w:r w:rsidR="00895A34" w:rsidRPr="00B82D30">
              <w:t> </w:t>
            </w:r>
            <w:r w:rsidR="00A143AA" w:rsidRPr="00B82D30">
              <w:t>ekonomice</w:t>
            </w:r>
            <w:r w:rsidR="00895A34" w:rsidRPr="00B82D30">
              <w:t xml:space="preserve"> </w:t>
            </w:r>
            <w:r w:rsidR="00794AB7" w:rsidRPr="00B82D30">
              <w:t xml:space="preserve">historicky </w:t>
            </w:r>
            <w:r w:rsidR="00976EE8" w:rsidRPr="00B82D30">
              <w:t>pátý nejvyšší, v roce 2013 šestý nejvyšší</w:t>
            </w:r>
            <w:r w:rsidR="007E4795" w:rsidRPr="00B82D30">
              <w:t>.</w:t>
            </w:r>
          </w:p>
          <w:p w:rsidR="00DA265B" w:rsidRPr="00B82D30" w:rsidRDefault="00DA265B" w:rsidP="00DA265B">
            <w:pPr>
              <w:pStyle w:val="Textpoznpodarou"/>
              <w:jc w:val="both"/>
            </w:pPr>
          </w:p>
        </w:tc>
      </w:tr>
      <w:tr w:rsidR="00FE0289" w:rsidRPr="00B82D30" w:rsidTr="000E63FC">
        <w:tc>
          <w:tcPr>
            <w:tcW w:w="1054" w:type="pct"/>
          </w:tcPr>
          <w:p w:rsidR="00FE0289" w:rsidRPr="00B82D30" w:rsidRDefault="000E0F77" w:rsidP="00A22C9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V primárním</w:t>
            </w:r>
            <w:r w:rsidR="00F706F7" w:rsidRPr="00B82D30">
              <w:rPr>
                <w:sz w:val="16"/>
                <w:szCs w:val="16"/>
              </w:rPr>
              <w:t xml:space="preserve"> sektor</w:t>
            </w:r>
            <w:r w:rsidRPr="00B82D30">
              <w:rPr>
                <w:sz w:val="16"/>
                <w:szCs w:val="16"/>
              </w:rPr>
              <w:t>u se</w:t>
            </w:r>
            <w:r w:rsidR="00F706F7" w:rsidRPr="00B82D30">
              <w:rPr>
                <w:sz w:val="16"/>
                <w:szCs w:val="16"/>
              </w:rPr>
              <w:t xml:space="preserve"> </w:t>
            </w:r>
            <w:r w:rsidR="00A22C95" w:rsidRPr="00B82D30">
              <w:rPr>
                <w:sz w:val="16"/>
                <w:szCs w:val="16"/>
              </w:rPr>
              <w:t>v roce 2013</w:t>
            </w:r>
            <w:r w:rsidRPr="00B82D30">
              <w:rPr>
                <w:sz w:val="16"/>
                <w:szCs w:val="16"/>
              </w:rPr>
              <w:t xml:space="preserve"> </w:t>
            </w:r>
            <w:r w:rsidR="00F706F7" w:rsidRPr="00B82D30">
              <w:rPr>
                <w:sz w:val="16"/>
                <w:szCs w:val="16"/>
              </w:rPr>
              <w:t>proinvestoval</w:t>
            </w:r>
            <w:r w:rsidRPr="00B82D30">
              <w:rPr>
                <w:sz w:val="16"/>
                <w:szCs w:val="16"/>
              </w:rPr>
              <w:t>a</w:t>
            </w:r>
            <w:r w:rsidR="00F706F7" w:rsidRPr="00B82D30">
              <w:rPr>
                <w:sz w:val="16"/>
                <w:szCs w:val="16"/>
              </w:rPr>
              <w:t xml:space="preserve"> </w:t>
            </w:r>
            <w:r w:rsidRPr="00B82D30">
              <w:rPr>
                <w:sz w:val="16"/>
                <w:szCs w:val="16"/>
              </w:rPr>
              <w:t>částka</w:t>
            </w:r>
            <w:r w:rsidR="00F706F7" w:rsidRPr="00B82D30">
              <w:rPr>
                <w:sz w:val="16"/>
                <w:szCs w:val="16"/>
              </w:rPr>
              <w:t xml:space="preserve"> o </w:t>
            </w:r>
            <w:r w:rsidR="00A22C95" w:rsidRPr="00B82D30">
              <w:rPr>
                <w:sz w:val="16"/>
                <w:szCs w:val="16"/>
              </w:rPr>
              <w:t>třetinu</w:t>
            </w:r>
            <w:r w:rsidR="00F706F7" w:rsidRPr="00B82D30">
              <w:rPr>
                <w:sz w:val="16"/>
                <w:szCs w:val="16"/>
              </w:rPr>
              <w:t xml:space="preserve"> vyšší než v roce 2008. </w:t>
            </w:r>
            <w:r w:rsidRPr="00B82D30">
              <w:rPr>
                <w:sz w:val="16"/>
                <w:szCs w:val="16"/>
              </w:rPr>
              <w:t xml:space="preserve">To bylo ve </w:t>
            </w:r>
            <w:r w:rsidR="003228A6" w:rsidRPr="00B82D30">
              <w:rPr>
                <w:sz w:val="16"/>
                <w:szCs w:val="16"/>
              </w:rPr>
              <w:t>značném</w:t>
            </w:r>
            <w:r w:rsidRPr="00B82D30">
              <w:rPr>
                <w:sz w:val="16"/>
                <w:szCs w:val="16"/>
              </w:rPr>
              <w:t xml:space="preserve"> kontrastu s vývojem v sekundárním a terciárním sektoru, kde se naopak investovalo výrazně méně</w:t>
            </w:r>
          </w:p>
        </w:tc>
        <w:tc>
          <w:tcPr>
            <w:tcW w:w="142" w:type="pct"/>
          </w:tcPr>
          <w:p w:rsidR="00FE0289" w:rsidRPr="00B82D30" w:rsidRDefault="00FE0289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FE0289" w:rsidRPr="00B82D30" w:rsidRDefault="00976EE8" w:rsidP="00F63A34">
            <w:pPr>
              <w:pStyle w:val="Textpoznpodarou"/>
              <w:jc w:val="both"/>
            </w:pPr>
            <w:r w:rsidRPr="00B82D30">
              <w:t>V roce 2013</w:t>
            </w:r>
            <w:r w:rsidR="00DB3796" w:rsidRPr="00B82D30">
              <w:t xml:space="preserve"> </w:t>
            </w:r>
            <w:r w:rsidR="000E0F77" w:rsidRPr="00B82D30">
              <w:t>se</w:t>
            </w:r>
            <w:r w:rsidR="00DB3796" w:rsidRPr="00B82D30">
              <w:t xml:space="preserve"> v t</w:t>
            </w:r>
            <w:r w:rsidR="000E0F77" w:rsidRPr="00B82D30">
              <w:t>uzemské ekonomice proinvestovalo</w:t>
            </w:r>
            <w:r w:rsidRPr="00B82D30">
              <w:t xml:space="preserve"> 1 019,1</w:t>
            </w:r>
            <w:r w:rsidR="00DB3796" w:rsidRPr="00B82D30">
              <w:t xml:space="preserve"> mld. korun, o</w:t>
            </w:r>
            <w:r w:rsidR="000E0F77" w:rsidRPr="00B82D30">
              <w:t> </w:t>
            </w:r>
            <w:r w:rsidRPr="00B82D30">
              <w:t>146,3</w:t>
            </w:r>
            <w:r w:rsidR="000E0F77" w:rsidRPr="00B82D30">
              <w:t> </w:t>
            </w:r>
            <w:r w:rsidR="00DB3796" w:rsidRPr="00B82D30">
              <w:t xml:space="preserve">mld. korun méně než v doposud nejsilnějším roce 2008. Investiční aktivita byla nižší </w:t>
            </w:r>
            <w:r w:rsidRPr="00B82D30">
              <w:t>ve</w:t>
            </w:r>
            <w:r w:rsidR="00F63A34" w:rsidRPr="00B82D30">
              <w:t xml:space="preserve"> většině českých odvětví</w:t>
            </w:r>
            <w:r w:rsidR="00DB3796" w:rsidRPr="00B82D30">
              <w:t xml:space="preserve">. </w:t>
            </w:r>
            <w:r w:rsidR="007F3BB5" w:rsidRPr="00B82D30">
              <w:t>Mezi světlé výjimky patřila</w:t>
            </w:r>
            <w:r w:rsidR="00DB3796" w:rsidRPr="00B82D30">
              <w:t xml:space="preserve"> jen </w:t>
            </w:r>
            <w:r w:rsidRPr="00B82D30">
              <w:t>energetika (+27,6</w:t>
            </w:r>
            <w:r w:rsidR="00DB3796" w:rsidRPr="00B82D30">
              <w:t xml:space="preserve"> %),</w:t>
            </w:r>
            <w:r w:rsidRPr="00B82D30">
              <w:t xml:space="preserve"> vzdělávání (+20</w:t>
            </w:r>
            <w:r w:rsidR="00DB3796" w:rsidRPr="00B82D30">
              <w:t xml:space="preserve">,4 %), </w:t>
            </w:r>
            <w:r w:rsidRPr="00B82D30">
              <w:t>ostatní</w:t>
            </w:r>
            <w:r w:rsidR="00A22C95" w:rsidRPr="00B82D30">
              <w:t xml:space="preserve"> činnosti</w:t>
            </w:r>
            <w:r w:rsidRPr="00B82D30">
              <w:t xml:space="preserve"> (+16,2</w:t>
            </w:r>
            <w:r w:rsidR="00F63A34" w:rsidRPr="00B82D30">
              <w:t> </w:t>
            </w:r>
            <w:r w:rsidR="00DB3796" w:rsidRPr="00B82D30">
              <w:t xml:space="preserve">%), </w:t>
            </w:r>
            <w:r w:rsidR="00A22C95" w:rsidRPr="00B82D30">
              <w:t xml:space="preserve">odvětví </w:t>
            </w:r>
            <w:r w:rsidRPr="00B82D30">
              <w:t>informační</w:t>
            </w:r>
            <w:r w:rsidR="00A22C95" w:rsidRPr="00B82D30">
              <w:t>ch</w:t>
            </w:r>
            <w:r w:rsidRPr="00B82D30">
              <w:t xml:space="preserve"> a komunikační</w:t>
            </w:r>
            <w:r w:rsidR="00A22C95" w:rsidRPr="00B82D30">
              <w:t>ch</w:t>
            </w:r>
            <w:r w:rsidRPr="00B82D30">
              <w:t xml:space="preserve"> </w:t>
            </w:r>
            <w:r w:rsidR="00A22C95" w:rsidRPr="00B82D30">
              <w:t>činností</w:t>
            </w:r>
            <w:r w:rsidRPr="00B82D30">
              <w:t xml:space="preserve"> (+3,3</w:t>
            </w:r>
            <w:r w:rsidR="00DB3796" w:rsidRPr="00B82D30">
              <w:t xml:space="preserve"> %)</w:t>
            </w:r>
            <w:r w:rsidR="00BF353E" w:rsidRPr="00B82D30">
              <w:t xml:space="preserve">, </w:t>
            </w:r>
            <w:r w:rsidR="008D4F80" w:rsidRPr="00B82D30">
              <w:t>a</w:t>
            </w:r>
            <w:r w:rsidR="00A22C95" w:rsidRPr="00B82D30">
              <w:t>le také</w:t>
            </w:r>
            <w:r w:rsidR="00DB3796" w:rsidRPr="00B82D30">
              <w:t xml:space="preserve"> o</w:t>
            </w:r>
            <w:r w:rsidR="000E0F77" w:rsidRPr="00B82D30">
              <w:t>bě odvětví primárního sektoru. V</w:t>
            </w:r>
            <w:r w:rsidR="00A22C95" w:rsidRPr="00B82D30">
              <w:t> </w:t>
            </w:r>
            <w:r w:rsidR="000E0F77" w:rsidRPr="00B82D30">
              <w:t>z</w:t>
            </w:r>
            <w:r w:rsidR="00DB3796" w:rsidRPr="00B82D30">
              <w:t>emědělství, lesnictví a rybářství</w:t>
            </w:r>
            <w:r w:rsidR="000E0F77" w:rsidRPr="00B82D30">
              <w:t xml:space="preserve"> se</w:t>
            </w:r>
            <w:r w:rsidRPr="00B82D30">
              <w:t xml:space="preserve"> proinvestovalo o 51,8</w:t>
            </w:r>
            <w:r w:rsidR="00DB3796" w:rsidRPr="00B82D30">
              <w:t xml:space="preserve"> % více,</w:t>
            </w:r>
            <w:r w:rsidR="000E0F77" w:rsidRPr="00B82D30">
              <w:t xml:space="preserve"> v </w:t>
            </w:r>
            <w:r w:rsidR="007F3BB5" w:rsidRPr="00B82D30">
              <w:t>těžb</w:t>
            </w:r>
            <w:r w:rsidR="000E0F77" w:rsidRPr="00B82D30">
              <w:t>ě</w:t>
            </w:r>
            <w:r w:rsidR="00DB3796" w:rsidRPr="00B82D30">
              <w:t xml:space="preserve"> a</w:t>
            </w:r>
            <w:r w:rsidR="00F63A34" w:rsidRPr="00B82D30">
              <w:t> </w:t>
            </w:r>
            <w:r w:rsidR="00DB3796" w:rsidRPr="00B82D30">
              <w:t>dobývání</w:t>
            </w:r>
            <w:r w:rsidR="003E4A5A" w:rsidRPr="00B82D30">
              <w:t xml:space="preserve"> </w:t>
            </w:r>
            <w:r w:rsidRPr="00B82D30">
              <w:t>o 3,5</w:t>
            </w:r>
            <w:r w:rsidR="00F63A34" w:rsidRPr="00B82D30">
              <w:t xml:space="preserve"> %</w:t>
            </w:r>
            <w:r w:rsidR="00DB3796" w:rsidRPr="00B82D30">
              <w:t>. Zatím</w:t>
            </w:r>
            <w:r w:rsidR="00F63A34" w:rsidRPr="00B82D30">
              <w:t>co</w:t>
            </w:r>
            <w:r w:rsidR="007F3BB5" w:rsidRPr="00B82D30">
              <w:t xml:space="preserve"> </w:t>
            </w:r>
            <w:r w:rsidR="00A83746" w:rsidRPr="00B82D30">
              <w:t>tvorba hrubého fixního kapitálu</w:t>
            </w:r>
            <w:r w:rsidR="007F3BB5" w:rsidRPr="00B82D30">
              <w:t xml:space="preserve"> celého primárního </w:t>
            </w:r>
            <w:r w:rsidR="003E4A5A" w:rsidRPr="00B82D30">
              <w:t>sektor</w:t>
            </w:r>
            <w:r w:rsidR="007F3BB5" w:rsidRPr="00B82D30">
              <w:t>u</w:t>
            </w:r>
            <w:r w:rsidR="003E4A5A" w:rsidRPr="00B82D30">
              <w:t xml:space="preserve"> </w:t>
            </w:r>
            <w:r w:rsidR="00A83746" w:rsidRPr="00B82D30">
              <w:t>byla</w:t>
            </w:r>
            <w:r w:rsidRPr="00B82D30">
              <w:t xml:space="preserve"> v roce 2013</w:t>
            </w:r>
            <w:r w:rsidR="00DB3796" w:rsidRPr="00B82D30">
              <w:t xml:space="preserve"> v porovnání s vrchol</w:t>
            </w:r>
            <w:r w:rsidR="003E4A5A" w:rsidRPr="00B82D30">
              <w:t xml:space="preserve">em konjunktury </w:t>
            </w:r>
            <w:r w:rsidRPr="00B82D30">
              <w:t>o 34,0</w:t>
            </w:r>
            <w:r w:rsidR="00DB3796" w:rsidRPr="00B82D30">
              <w:t xml:space="preserve"> %</w:t>
            </w:r>
            <w:r w:rsidR="007F3BB5" w:rsidRPr="00B82D30">
              <w:t xml:space="preserve"> vyšší</w:t>
            </w:r>
            <w:r w:rsidR="00F63A34" w:rsidRPr="00B82D30">
              <w:t xml:space="preserve">, </w:t>
            </w:r>
            <w:r w:rsidR="00DD45E2" w:rsidRPr="00B82D30">
              <w:t>v</w:t>
            </w:r>
            <w:r w:rsidR="00A22C95" w:rsidRPr="00B82D30">
              <w:t> </w:t>
            </w:r>
            <w:r w:rsidR="00F63A34" w:rsidRPr="00B82D30">
              <w:t>sekundární</w:t>
            </w:r>
            <w:r w:rsidR="00DD45E2" w:rsidRPr="00B82D30">
              <w:t>m</w:t>
            </w:r>
            <w:r w:rsidR="00F63A34" w:rsidRPr="00B82D30">
              <w:t xml:space="preserve"> sektor</w:t>
            </w:r>
            <w:r w:rsidR="00DD45E2" w:rsidRPr="00B82D30">
              <w:t>u došlo ke snížení investic</w:t>
            </w:r>
            <w:r w:rsidRPr="00B82D30">
              <w:t xml:space="preserve"> o 8,3 </w:t>
            </w:r>
            <w:r w:rsidR="00F63A34" w:rsidRPr="00B82D30">
              <w:t xml:space="preserve">%, </w:t>
            </w:r>
            <w:r w:rsidR="00DD45E2" w:rsidRPr="00B82D30">
              <w:t>v</w:t>
            </w:r>
            <w:r w:rsidR="00A22C95" w:rsidRPr="00B82D30">
              <w:t> </w:t>
            </w:r>
            <w:r w:rsidR="00F63A34" w:rsidRPr="00B82D30">
              <w:t>terciární</w:t>
            </w:r>
            <w:r w:rsidR="00DD45E2" w:rsidRPr="00B82D30">
              <w:t>m</w:t>
            </w:r>
            <w:r w:rsidR="00A22C95" w:rsidRPr="00B82D30">
              <w:t xml:space="preserve"> sektoru</w:t>
            </w:r>
            <w:r w:rsidRPr="00B82D30">
              <w:t xml:space="preserve"> dokonce o 17,3</w:t>
            </w:r>
            <w:r w:rsidR="00F63A34" w:rsidRPr="00B82D30">
              <w:t> %.</w:t>
            </w:r>
          </w:p>
          <w:p w:rsidR="00036435" w:rsidRPr="00B82D30" w:rsidRDefault="00036435" w:rsidP="00F63A34">
            <w:pPr>
              <w:pStyle w:val="Textpoznpodarou"/>
              <w:jc w:val="both"/>
            </w:pPr>
          </w:p>
        </w:tc>
      </w:tr>
      <w:tr w:rsidR="00FE0289" w:rsidRPr="00B82D30" w:rsidTr="000E63FC">
        <w:tc>
          <w:tcPr>
            <w:tcW w:w="1054" w:type="pct"/>
          </w:tcPr>
          <w:p w:rsidR="00FE0289" w:rsidRPr="00B82D30" w:rsidRDefault="00650D76" w:rsidP="0071184F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Kumulativní součet investic zemědělství, lesnictví a rybářství za roky</w:t>
            </w:r>
            <w:r w:rsidR="0071184F" w:rsidRPr="00B82D30">
              <w:rPr>
                <w:sz w:val="16"/>
                <w:szCs w:val="16"/>
              </w:rPr>
              <w:t xml:space="preserve"> 2012 a 2013 byl o</w:t>
            </w:r>
            <w:r w:rsidR="00C725B1" w:rsidRPr="00B82D30">
              <w:rPr>
                <w:sz w:val="16"/>
                <w:szCs w:val="16"/>
              </w:rPr>
              <w:t xml:space="preserve"> 29,8</w:t>
            </w:r>
            <w:r w:rsidRPr="00B82D30">
              <w:rPr>
                <w:sz w:val="16"/>
                <w:szCs w:val="16"/>
              </w:rPr>
              <w:t xml:space="preserve"> ml</w:t>
            </w:r>
            <w:r w:rsidR="0071184F" w:rsidRPr="00B82D30">
              <w:rPr>
                <w:sz w:val="16"/>
                <w:szCs w:val="16"/>
              </w:rPr>
              <w:t>d. korun vyšší než v letech 2010 a 2011. Zvýšila</w:t>
            </w:r>
            <w:r w:rsidRPr="00B82D30">
              <w:rPr>
                <w:sz w:val="16"/>
                <w:szCs w:val="16"/>
              </w:rPr>
              <w:t xml:space="preserve"> se zejména </w:t>
            </w:r>
            <w:r w:rsidR="0071184F" w:rsidRPr="00B82D30">
              <w:rPr>
                <w:sz w:val="16"/>
                <w:szCs w:val="16"/>
              </w:rPr>
              <w:t>výstavba</w:t>
            </w:r>
            <w:r w:rsidRPr="00B82D30">
              <w:rPr>
                <w:sz w:val="16"/>
                <w:szCs w:val="16"/>
              </w:rPr>
              <w:t xml:space="preserve"> budov a staveb</w:t>
            </w:r>
            <w:r w:rsidR="0071184F" w:rsidRPr="00B82D30">
              <w:rPr>
                <w:sz w:val="16"/>
                <w:szCs w:val="16"/>
              </w:rPr>
              <w:t xml:space="preserve"> a nákupy strojů a zařízení</w:t>
            </w:r>
          </w:p>
        </w:tc>
        <w:tc>
          <w:tcPr>
            <w:tcW w:w="142" w:type="pct"/>
          </w:tcPr>
          <w:p w:rsidR="00FE0289" w:rsidRPr="00B82D30" w:rsidRDefault="00FE0289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C20175" w:rsidRPr="00B82D30" w:rsidRDefault="00810A8A" w:rsidP="00CD7A6F">
            <w:pPr>
              <w:pStyle w:val="Textpoznpodarou"/>
              <w:jc w:val="both"/>
            </w:pPr>
            <w:r w:rsidRPr="00B82D30">
              <w:t>V p</w:t>
            </w:r>
            <w:r w:rsidR="007F3BB5" w:rsidRPr="00B82D30">
              <w:t>rimární</w:t>
            </w:r>
            <w:r w:rsidRPr="00B82D30">
              <w:t>m</w:t>
            </w:r>
            <w:r w:rsidR="00A143AA" w:rsidRPr="00B82D30">
              <w:t xml:space="preserve"> sektor</w:t>
            </w:r>
            <w:r w:rsidRPr="00B82D30">
              <w:t>u se</w:t>
            </w:r>
            <w:r w:rsidR="00B2284E" w:rsidRPr="00B82D30">
              <w:t xml:space="preserve"> v kumulaci</w:t>
            </w:r>
            <w:r w:rsidR="00A22C95" w:rsidRPr="00B82D30">
              <w:t xml:space="preserve"> za roky 2012</w:t>
            </w:r>
            <w:r w:rsidR="00A143AA" w:rsidRPr="00B82D30">
              <w:t xml:space="preserve"> a</w:t>
            </w:r>
            <w:r w:rsidR="00A22C95" w:rsidRPr="00B82D30">
              <w:t xml:space="preserve"> 2013</w:t>
            </w:r>
            <w:r w:rsidRPr="00B82D30">
              <w:t xml:space="preserve"> proinvestovalo</w:t>
            </w:r>
            <w:r w:rsidR="00B2284E" w:rsidRPr="00B82D30">
              <w:t xml:space="preserve"> celkem</w:t>
            </w:r>
            <w:r w:rsidR="00A22C95" w:rsidRPr="00B82D30">
              <w:t xml:space="preserve"> 114,4</w:t>
            </w:r>
            <w:r w:rsidR="00B2284E" w:rsidRPr="00B82D30">
              <w:t> mld.</w:t>
            </w:r>
            <w:r w:rsidR="007F3BB5" w:rsidRPr="00B82D30">
              <w:t> </w:t>
            </w:r>
            <w:r w:rsidR="00B2284E" w:rsidRPr="00B82D30">
              <w:t xml:space="preserve">korun, o </w:t>
            </w:r>
            <w:r w:rsidR="00A22C95" w:rsidRPr="00B82D30">
              <w:t>rovných 30</w:t>
            </w:r>
            <w:r w:rsidR="00B2284E" w:rsidRPr="00B82D30">
              <w:t xml:space="preserve"> mld. korun více než v</w:t>
            </w:r>
            <w:r w:rsidR="00A22C95" w:rsidRPr="00B82D30">
              <w:t> letech 2010 a 2011</w:t>
            </w:r>
            <w:r w:rsidR="00B2284E" w:rsidRPr="00B82D30">
              <w:t>. Zatímco v odvětví těžby a dobývání investice naro</w:t>
            </w:r>
            <w:r w:rsidR="003F5080" w:rsidRPr="00B82D30">
              <w:t>stly</w:t>
            </w:r>
            <w:r w:rsidR="007F3BB5" w:rsidRPr="00B82D30">
              <w:t>, zřejmě v důsledku nepříliš pozitivního očekávání dalšího vývoje cen uhlí na trhu,</w:t>
            </w:r>
            <w:r w:rsidR="003F5080" w:rsidRPr="00B82D30">
              <w:t xml:space="preserve"> jen o </w:t>
            </w:r>
            <w:r w:rsidR="00A22C95" w:rsidRPr="00B82D30">
              <w:t>0,2</w:t>
            </w:r>
            <w:r w:rsidR="003F5080" w:rsidRPr="00B82D30">
              <w:t xml:space="preserve"> mld. korun, </w:t>
            </w:r>
            <w:r w:rsidR="000E0F77" w:rsidRPr="00B82D30">
              <w:t>v</w:t>
            </w:r>
            <w:r w:rsidRPr="00B82D30">
              <w:t> </w:t>
            </w:r>
            <w:r w:rsidR="00B2284E" w:rsidRPr="00B82D30">
              <w:t>zemědělství, lesnictví a rybářství</w:t>
            </w:r>
            <w:r w:rsidR="000E0F77" w:rsidRPr="00B82D30">
              <w:t xml:space="preserve"> se</w:t>
            </w:r>
            <w:r w:rsidR="003F5080" w:rsidRPr="00B82D30">
              <w:t xml:space="preserve"> na</w:t>
            </w:r>
            <w:r w:rsidR="000E0F77" w:rsidRPr="00B82D30">
              <w:t>výšily</w:t>
            </w:r>
            <w:r w:rsidR="00B2284E" w:rsidRPr="00B82D30">
              <w:t xml:space="preserve"> </w:t>
            </w:r>
            <w:r w:rsidR="00A22C95" w:rsidRPr="00B82D30">
              <w:t>o 29,8</w:t>
            </w:r>
            <w:r w:rsidR="00B2284E" w:rsidRPr="00B82D30">
              <w:t xml:space="preserve"> mld. korun.</w:t>
            </w:r>
            <w:r w:rsidR="003F5080" w:rsidRPr="00B82D30">
              <w:t xml:space="preserve"> </w:t>
            </w:r>
            <w:r w:rsidR="002C79A6" w:rsidRPr="00B82D30">
              <w:t>Přírůstek investičních výdajů</w:t>
            </w:r>
            <w:r w:rsidR="00064085" w:rsidRPr="00B82D30">
              <w:t xml:space="preserve"> odvětví zemědělství,</w:t>
            </w:r>
            <w:r w:rsidR="00CD7A6F" w:rsidRPr="00B82D30">
              <w:t xml:space="preserve"> lesnictví a rybářství směřoval</w:t>
            </w:r>
            <w:r w:rsidR="00064085" w:rsidRPr="00B82D30">
              <w:t xml:space="preserve"> především do</w:t>
            </w:r>
            <w:r w:rsidR="002C79A6" w:rsidRPr="00B82D30">
              <w:t xml:space="preserve"> výstavby</w:t>
            </w:r>
            <w:r w:rsidR="008B465C" w:rsidRPr="00B82D30">
              <w:t xml:space="preserve"> </w:t>
            </w:r>
            <w:r w:rsidR="00A22C95" w:rsidRPr="00B82D30">
              <w:t>budov a staveb</w:t>
            </w:r>
            <w:r w:rsidR="007514D0" w:rsidRPr="00B82D30">
              <w:rPr>
                <w:rStyle w:val="Znakapoznpodarou"/>
              </w:rPr>
              <w:footnoteReference w:id="8"/>
            </w:r>
            <w:r w:rsidR="00A22C95" w:rsidRPr="00B82D30">
              <w:t xml:space="preserve"> (+20,3 mld. korun)</w:t>
            </w:r>
            <w:r w:rsidR="00C725B1" w:rsidRPr="00B82D30">
              <w:t>, v</w:t>
            </w:r>
            <w:r w:rsidR="00A22C95" w:rsidRPr="00B82D30">
              <w:t>ýrazně se zvýšily i investice do</w:t>
            </w:r>
            <w:r w:rsidR="00064085" w:rsidRPr="00B82D30">
              <w:t xml:space="preserve"> </w:t>
            </w:r>
            <w:r w:rsidR="00A22C95" w:rsidRPr="00B82D30">
              <w:t>strojů a zařízení</w:t>
            </w:r>
            <w:r w:rsidR="0071184F" w:rsidRPr="00B82D30">
              <w:t xml:space="preserve"> (+11,0</w:t>
            </w:r>
            <w:r w:rsidR="007514D0" w:rsidRPr="00B82D30">
              <w:t> </w:t>
            </w:r>
            <w:r w:rsidR="0071184F" w:rsidRPr="00B82D30">
              <w:t>mld.</w:t>
            </w:r>
            <w:r w:rsidR="007514D0" w:rsidRPr="00B82D30">
              <w:t> </w:t>
            </w:r>
            <w:r w:rsidR="0071184F" w:rsidRPr="00B82D30">
              <w:t>korun)</w:t>
            </w:r>
            <w:r w:rsidR="00456509" w:rsidRPr="00B82D30">
              <w:t>.</w:t>
            </w:r>
            <w:r w:rsidR="00A22C95" w:rsidRPr="00B82D30">
              <w:t xml:space="preserve"> </w:t>
            </w:r>
            <w:r w:rsidR="00456509" w:rsidRPr="00B82D30">
              <w:t>D</w:t>
            </w:r>
            <w:r w:rsidR="0071184F" w:rsidRPr="00B82D30">
              <w:t>o samotných</w:t>
            </w:r>
            <w:r w:rsidR="00A22C95" w:rsidRPr="00B82D30">
              <w:t xml:space="preserve"> dopravních prostředků</w:t>
            </w:r>
            <w:r w:rsidR="0071184F" w:rsidRPr="00B82D30">
              <w:t xml:space="preserve"> se v</w:t>
            </w:r>
            <w:r w:rsidR="007514D0" w:rsidRPr="00B82D30">
              <w:t> kumulaci za roky</w:t>
            </w:r>
            <w:r w:rsidR="0071184F" w:rsidRPr="00B82D30">
              <w:t xml:space="preserve"> 2012 a 2013 investovala částka o 9,6 mld. korun vyšší než v letech 2010 a 2011. </w:t>
            </w:r>
            <w:r w:rsidR="00064085" w:rsidRPr="00B82D30">
              <w:t xml:space="preserve">O </w:t>
            </w:r>
            <w:r w:rsidR="00A83746" w:rsidRPr="00B82D30">
              <w:t>tom, že se</w:t>
            </w:r>
            <w:r w:rsidRPr="00B82D30">
              <w:t xml:space="preserve"> podnikající v</w:t>
            </w:r>
            <w:r w:rsidR="0071184F" w:rsidRPr="00B82D30">
              <w:t> </w:t>
            </w:r>
            <w:r w:rsidRPr="00B82D30">
              <w:t>odvětví</w:t>
            </w:r>
            <w:r w:rsidR="00064085" w:rsidRPr="00B82D30">
              <w:t xml:space="preserve"> zemědělství, lesnictví </w:t>
            </w:r>
            <w:r w:rsidR="00064085" w:rsidRPr="00B82D30">
              <w:lastRenderedPageBreak/>
              <w:t>a</w:t>
            </w:r>
            <w:r w:rsidR="003F5080" w:rsidRPr="00B82D30">
              <w:t> </w:t>
            </w:r>
            <w:r w:rsidR="00064085" w:rsidRPr="00B82D30">
              <w:t>rybářství</w:t>
            </w:r>
            <w:r w:rsidR="00A83746" w:rsidRPr="00B82D30">
              <w:t xml:space="preserve"> </w:t>
            </w:r>
            <w:r w:rsidRPr="00B82D30">
              <w:t>snažili</w:t>
            </w:r>
            <w:r w:rsidR="00A83746" w:rsidRPr="00B82D30">
              <w:t xml:space="preserve"> </w:t>
            </w:r>
            <w:r w:rsidR="00CD7A6F" w:rsidRPr="00B82D30">
              <w:t xml:space="preserve">významně </w:t>
            </w:r>
            <w:r w:rsidR="00A83746" w:rsidRPr="00B82D30">
              <w:t xml:space="preserve">rozšiřovat </w:t>
            </w:r>
            <w:r w:rsidR="00C725B1" w:rsidRPr="00B82D30">
              <w:t xml:space="preserve">a modernizovat  </w:t>
            </w:r>
            <w:r w:rsidR="00A83746" w:rsidRPr="00B82D30">
              <w:t>své kapacity</w:t>
            </w:r>
            <w:r w:rsidR="00064085" w:rsidRPr="00B82D30">
              <w:t xml:space="preserve"> svědčil i fakt, že nominální přírůstek</w:t>
            </w:r>
            <w:r w:rsidR="00386D45" w:rsidRPr="00B82D30">
              <w:t> </w:t>
            </w:r>
            <w:r w:rsidR="00064085" w:rsidRPr="00B82D30">
              <w:t>investic do budov a</w:t>
            </w:r>
            <w:r w:rsidR="007514D0" w:rsidRPr="00B82D30">
              <w:t> </w:t>
            </w:r>
            <w:r w:rsidR="003F5080" w:rsidRPr="00B82D30">
              <w:t>staveb</w:t>
            </w:r>
            <w:r w:rsidR="0071184F" w:rsidRPr="00B82D30">
              <w:t xml:space="preserve"> a strojů a zařízení</w:t>
            </w:r>
            <w:r w:rsidR="003F5080" w:rsidRPr="00B82D30">
              <w:t xml:space="preserve"> byl</w:t>
            </w:r>
            <w:r w:rsidR="0071184F" w:rsidRPr="00B82D30">
              <w:t xml:space="preserve"> v kumulaci za roky 2012 a 2013</w:t>
            </w:r>
            <w:r w:rsidR="003F5080" w:rsidRPr="00B82D30">
              <w:t xml:space="preserve"> historicky nejvyšší.</w:t>
            </w:r>
          </w:p>
        </w:tc>
      </w:tr>
    </w:tbl>
    <w:p w:rsidR="004B3A05" w:rsidRPr="00B82D30" w:rsidRDefault="004B3A05" w:rsidP="00D55149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95"/>
        <w:gridCol w:w="4254"/>
        <w:gridCol w:w="566"/>
        <w:gridCol w:w="4279"/>
      </w:tblGrid>
      <w:tr w:rsidR="007514D0" w:rsidRPr="00B82D30" w:rsidTr="00180448">
        <w:tc>
          <w:tcPr>
            <w:tcW w:w="307" w:type="pct"/>
          </w:tcPr>
          <w:p w:rsidR="007514D0" w:rsidRPr="00B82D30" w:rsidRDefault="007514D0" w:rsidP="00180448">
            <w:pPr>
              <w:pStyle w:val="Textpoznpodarou"/>
            </w:pPr>
            <w:r w:rsidRPr="00B82D30">
              <w:t>Graf č. 21</w:t>
            </w:r>
          </w:p>
        </w:tc>
        <w:tc>
          <w:tcPr>
            <w:tcW w:w="2194" w:type="pct"/>
          </w:tcPr>
          <w:p w:rsidR="007514D0" w:rsidRPr="00B82D30" w:rsidRDefault="007514D0" w:rsidP="00180448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Stav čistého fixního kapitálu k poslednímu prosinci daného roku v zemědělství, lesnictví a rybářství</w:t>
            </w:r>
            <w:r w:rsidRPr="00B82D30">
              <w:rPr>
                <w:spacing w:val="-4"/>
              </w:rPr>
              <w:t xml:space="preserve"> (nominální hodnoty, v mld. korun)</w:t>
            </w:r>
          </w:p>
        </w:tc>
        <w:tc>
          <w:tcPr>
            <w:tcW w:w="292" w:type="pct"/>
          </w:tcPr>
          <w:p w:rsidR="007514D0" w:rsidRPr="00B82D30" w:rsidRDefault="007514D0" w:rsidP="00180448">
            <w:pPr>
              <w:pStyle w:val="Textpoznpodarou"/>
            </w:pPr>
            <w:r w:rsidRPr="00B82D30">
              <w:t>Graf č. 22</w:t>
            </w:r>
          </w:p>
        </w:tc>
        <w:tc>
          <w:tcPr>
            <w:tcW w:w="2207" w:type="pct"/>
          </w:tcPr>
          <w:p w:rsidR="007514D0" w:rsidRPr="00B82D30" w:rsidRDefault="007514D0" w:rsidP="00180448">
            <w:pPr>
              <w:pStyle w:val="Textpoznpodarou"/>
              <w:rPr>
                <w:spacing w:val="-2"/>
              </w:rPr>
            </w:pPr>
            <w:r w:rsidRPr="00B82D30">
              <w:rPr>
                <w:b/>
                <w:spacing w:val="-4"/>
              </w:rPr>
              <w:t>Stav čistého fixního kapitálu k poslednímu prosinci daného roku v těžbě a dobývání</w:t>
            </w:r>
            <w:r w:rsidRPr="00B82D30">
              <w:rPr>
                <w:spacing w:val="-4"/>
              </w:rPr>
              <w:t xml:space="preserve"> (nominální hodnoty, v mld. korun)</w:t>
            </w:r>
          </w:p>
        </w:tc>
      </w:tr>
      <w:tr w:rsidR="007514D0" w:rsidRPr="00B82D30" w:rsidTr="00180448">
        <w:tc>
          <w:tcPr>
            <w:tcW w:w="2501" w:type="pct"/>
            <w:gridSpan w:val="2"/>
          </w:tcPr>
          <w:p w:rsidR="007514D0" w:rsidRPr="00B82D30" w:rsidRDefault="007514D0" w:rsidP="00180448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3000375" cy="2143125"/>
                  <wp:effectExtent l="19050" t="0" r="9525" b="0"/>
                  <wp:docPr id="65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931" cy="214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2"/>
          </w:tcPr>
          <w:p w:rsidR="007514D0" w:rsidRPr="00B82D30" w:rsidRDefault="007514D0" w:rsidP="00180448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3009632" cy="2143125"/>
                  <wp:effectExtent l="19050" t="0" r="268" b="0"/>
                  <wp:docPr id="6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199" cy="214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4D0" w:rsidRPr="00B82D30" w:rsidTr="00180448">
        <w:tc>
          <w:tcPr>
            <w:tcW w:w="5000" w:type="pct"/>
            <w:gridSpan w:val="4"/>
          </w:tcPr>
          <w:p w:rsidR="007514D0" w:rsidRPr="00B82D30" w:rsidRDefault="007514D0" w:rsidP="00180448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Zdroj: ČSÚ</w:t>
            </w:r>
          </w:p>
        </w:tc>
      </w:tr>
    </w:tbl>
    <w:p w:rsidR="007514D0" w:rsidRPr="00B82D30" w:rsidRDefault="007514D0" w:rsidP="00D55149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44"/>
        <w:gridCol w:w="275"/>
        <w:gridCol w:w="7375"/>
      </w:tblGrid>
      <w:tr w:rsidR="007F3BB5" w:rsidRPr="00B82D30" w:rsidTr="000E63FC">
        <w:tc>
          <w:tcPr>
            <w:tcW w:w="1054" w:type="pct"/>
          </w:tcPr>
          <w:p w:rsidR="007F3BB5" w:rsidRPr="00B82D30" w:rsidRDefault="00650D76" w:rsidP="00011A65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Primární sektor vla</w:t>
            </w:r>
            <w:r w:rsidR="007514D0" w:rsidRPr="00B82D30">
              <w:rPr>
                <w:sz w:val="16"/>
                <w:szCs w:val="16"/>
              </w:rPr>
              <w:t>stnil k poslednímu prosinci 2013</w:t>
            </w:r>
            <w:r w:rsidRPr="00B82D30">
              <w:rPr>
                <w:sz w:val="16"/>
                <w:szCs w:val="16"/>
              </w:rPr>
              <w:t xml:space="preserve"> fixní aktiva v hodnotě téměř půl bilionu korun, z toho více než polovina připadala na budovy a stavby</w:t>
            </w:r>
          </w:p>
        </w:tc>
        <w:tc>
          <w:tcPr>
            <w:tcW w:w="142" w:type="pct"/>
          </w:tcPr>
          <w:p w:rsidR="007F3BB5" w:rsidRPr="00B82D30" w:rsidRDefault="007F3BB5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7F3BB5" w:rsidRPr="00B82D30" w:rsidRDefault="007F3BB5" w:rsidP="00011A65">
            <w:pPr>
              <w:pStyle w:val="Textpoznpodarou"/>
              <w:jc w:val="both"/>
            </w:pPr>
            <w:r w:rsidRPr="00B82D30">
              <w:t>Naakumulovaná hodnota fixního kapitálu primárního sektoru, jak je patrné ze stavu čistého fixního kapitálu, dosah</w:t>
            </w:r>
            <w:r w:rsidR="009F6FFD" w:rsidRPr="00B82D30">
              <w:t>ovala k poslednímu prosinci 2013</w:t>
            </w:r>
            <w:r w:rsidRPr="00B82D30">
              <w:t xml:space="preserve"> necelého půl bilionu korun</w:t>
            </w:r>
            <w:r w:rsidR="009F6FFD" w:rsidRPr="00B82D30">
              <w:t xml:space="preserve"> (477</w:t>
            </w:r>
            <w:r w:rsidRPr="00B82D30">
              <w:t xml:space="preserve">,4 mld. korun). </w:t>
            </w:r>
            <w:r w:rsidR="00794AB7" w:rsidRPr="00B82D30">
              <w:t>Jednalo se</w:t>
            </w:r>
            <w:r w:rsidR="00DA19CE" w:rsidRPr="00B82D30">
              <w:t xml:space="preserve"> o</w:t>
            </w:r>
            <w:r w:rsidR="005B4F81" w:rsidRPr="00B82D30">
              <w:t xml:space="preserve"> 2,7</w:t>
            </w:r>
            <w:r w:rsidRPr="00B82D30">
              <w:t xml:space="preserve"> %</w:t>
            </w:r>
            <w:r w:rsidR="00895A34" w:rsidRPr="00B82D30">
              <w:t xml:space="preserve"> </w:t>
            </w:r>
            <w:r w:rsidR="00414507" w:rsidRPr="00B82D30">
              <w:t xml:space="preserve">celkové </w:t>
            </w:r>
            <w:r w:rsidR="00895A34" w:rsidRPr="00B82D30">
              <w:t>hodnoty</w:t>
            </w:r>
            <w:r w:rsidRPr="00B82D30">
              <w:t xml:space="preserve"> </w:t>
            </w:r>
            <w:r w:rsidR="00895A34" w:rsidRPr="00B82D30">
              <w:t>fixních aktiv</w:t>
            </w:r>
            <w:r w:rsidRPr="00B82D30">
              <w:t xml:space="preserve"> v ekonomice</w:t>
            </w:r>
            <w:r w:rsidR="00794AB7" w:rsidRPr="00B82D30">
              <w:t>. Jak je patrné z gra</w:t>
            </w:r>
            <w:r w:rsidR="001F791F" w:rsidRPr="00B82D30">
              <w:t>fu číslo 21</w:t>
            </w:r>
            <w:r w:rsidRPr="00B82D30">
              <w:t xml:space="preserve"> </w:t>
            </w:r>
            <w:r w:rsidR="001F791F" w:rsidRPr="00B82D30">
              <w:t>a 22</w:t>
            </w:r>
            <w:r w:rsidRPr="00B82D30">
              <w:t>, největší hodnota</w:t>
            </w:r>
            <w:r w:rsidR="00895A34" w:rsidRPr="00B82D30">
              <w:t> </w:t>
            </w:r>
            <w:r w:rsidRPr="00B82D30">
              <w:t xml:space="preserve">spočívala v budovách a stavbách. Jejich význam byl pro primární sektor dokonce </w:t>
            </w:r>
            <w:r w:rsidR="00D31909" w:rsidRPr="00B82D30">
              <w:t>větší</w:t>
            </w:r>
            <w:r w:rsidRPr="00B82D30">
              <w:t xml:space="preserve"> </w:t>
            </w:r>
            <w:r w:rsidR="00106DB4" w:rsidRPr="00B82D30">
              <w:t>než</w:t>
            </w:r>
            <w:r w:rsidR="00CD7A6F" w:rsidRPr="00B82D30">
              <w:t xml:space="preserve"> pro ekonomiku jako celek </w:t>
            </w:r>
            <w:r w:rsidR="004076E8" w:rsidRPr="00B82D30">
              <w:t>– b</w:t>
            </w:r>
            <w:r w:rsidRPr="00B82D30">
              <w:t>udovy a stavby tv</w:t>
            </w:r>
            <w:r w:rsidR="005B4F81" w:rsidRPr="00B82D30">
              <w:t>ořily k poslednímu prosinci 2013 62,2</w:t>
            </w:r>
            <w:r w:rsidRPr="00B82D30">
              <w:t xml:space="preserve"> % hodnoty naakumulovaných fixních aktiv primárního sektoru, v případě celé ekonomiky se</w:t>
            </w:r>
            <w:r w:rsidR="005B05B6" w:rsidRPr="00B82D30">
              <w:t xml:space="preserve"> budovy a stavby</w:t>
            </w:r>
            <w:r w:rsidRPr="00B82D30">
              <w:t xml:space="preserve"> na fixních aktivech podílely</w:t>
            </w:r>
            <w:r w:rsidR="005B4F81" w:rsidRPr="00B82D30">
              <w:t xml:space="preserve"> 53,5</w:t>
            </w:r>
            <w:r w:rsidR="00106DB4" w:rsidRPr="00B82D30">
              <w:t> %</w:t>
            </w:r>
            <w:r w:rsidRPr="00B82D30">
              <w:t>.</w:t>
            </w:r>
          </w:p>
          <w:p w:rsidR="000A773E" w:rsidRPr="00B82D30" w:rsidRDefault="000A773E" w:rsidP="00011A65">
            <w:pPr>
              <w:pStyle w:val="Textpoznpodarou"/>
              <w:jc w:val="both"/>
            </w:pPr>
          </w:p>
        </w:tc>
      </w:tr>
      <w:tr w:rsidR="000A773E" w:rsidRPr="00B82D30" w:rsidTr="000E63FC">
        <w:tc>
          <w:tcPr>
            <w:tcW w:w="1054" w:type="pct"/>
          </w:tcPr>
          <w:p w:rsidR="000A773E" w:rsidRPr="00B82D30" w:rsidRDefault="0010595E" w:rsidP="00AC001D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Míra investic zemědělství, lesnictví a rybářství je vyšší než v úhrnu za celou ekonomiku již od roku 2007, míra investic těžby a</w:t>
            </w:r>
            <w:r w:rsidR="00AC001D" w:rsidRPr="00B82D30">
              <w:rPr>
                <w:sz w:val="16"/>
                <w:szCs w:val="16"/>
              </w:rPr>
              <w:t> </w:t>
            </w:r>
            <w:r w:rsidRPr="00B82D30">
              <w:rPr>
                <w:sz w:val="16"/>
                <w:szCs w:val="16"/>
              </w:rPr>
              <w:t>dobývání až od roku 2009</w:t>
            </w:r>
          </w:p>
        </w:tc>
        <w:tc>
          <w:tcPr>
            <w:tcW w:w="142" w:type="pct"/>
          </w:tcPr>
          <w:p w:rsidR="000A773E" w:rsidRPr="00B82D30" w:rsidRDefault="000A773E" w:rsidP="00011A65">
            <w:pPr>
              <w:pStyle w:val="Textpoznpodarou"/>
              <w:jc w:val="both"/>
            </w:pPr>
          </w:p>
        </w:tc>
        <w:tc>
          <w:tcPr>
            <w:tcW w:w="3804" w:type="pct"/>
          </w:tcPr>
          <w:p w:rsidR="00665A02" w:rsidRPr="00B82D30" w:rsidRDefault="00CD7A6F" w:rsidP="00CD7A6F">
            <w:pPr>
              <w:pStyle w:val="Textpoznpodarou"/>
              <w:jc w:val="both"/>
            </w:pPr>
            <w:r w:rsidRPr="00B82D30">
              <w:t>Tendence</w:t>
            </w:r>
            <w:r w:rsidR="000A773E" w:rsidRPr="00B82D30">
              <w:t> zemědělství, lesnictví a rybářství</w:t>
            </w:r>
            <w:r w:rsidR="00A14857" w:rsidRPr="00B82D30">
              <w:t xml:space="preserve"> pořizovat investiční statky</w:t>
            </w:r>
            <w:r w:rsidR="000A773E" w:rsidRPr="00B82D30">
              <w:t>, jak plyne z míry investic (</w:t>
            </w:r>
            <w:r w:rsidRPr="00B82D30">
              <w:t>poměr</w:t>
            </w:r>
            <w:r w:rsidR="000A773E" w:rsidRPr="00B82D30">
              <w:t xml:space="preserve"> tvorby hrubého fixního kapitálu a hrubé přidané hodnoty), je v porovnání s úhrne</w:t>
            </w:r>
            <w:r w:rsidR="00A14857" w:rsidRPr="00B82D30">
              <w:t>m za celou ekonomiku nadprůměrn</w:t>
            </w:r>
            <w:r w:rsidRPr="00B82D30">
              <w:t>á</w:t>
            </w:r>
            <w:r w:rsidR="000A773E" w:rsidRPr="00B82D30">
              <w:t>. Nebyl to ojedinělý úkaz jen roku 201</w:t>
            </w:r>
            <w:r w:rsidR="001D0F08" w:rsidRPr="00B82D30">
              <w:t>3</w:t>
            </w:r>
            <w:r w:rsidR="000A773E" w:rsidRPr="00B82D30">
              <w:t xml:space="preserve">, platilo to již </w:t>
            </w:r>
            <w:r w:rsidR="00AC001D" w:rsidRPr="00B82D30">
              <w:t>sedmým</w:t>
            </w:r>
            <w:r w:rsidR="000A773E" w:rsidRPr="00B82D30">
              <w:t xml:space="preserve"> rokem. Míra investic zemědělství, lesnictví a</w:t>
            </w:r>
            <w:r w:rsidR="00665A02" w:rsidRPr="00B82D30">
              <w:t> </w:t>
            </w:r>
            <w:r w:rsidR="000A773E" w:rsidRPr="00B82D30">
              <w:t>rybářství byla vyšší než v úhrnu za celou ekonomiku</w:t>
            </w:r>
            <w:r w:rsidR="000C4E4E" w:rsidRPr="00B82D30">
              <w:t xml:space="preserve"> tedy</w:t>
            </w:r>
            <w:r w:rsidR="000A773E" w:rsidRPr="00B82D30">
              <w:t xml:space="preserve"> i v</w:t>
            </w:r>
            <w:r w:rsidR="00BA674F" w:rsidRPr="00B82D30">
              <w:t xml:space="preserve"> silných</w:t>
            </w:r>
            <w:r w:rsidR="000A773E" w:rsidRPr="00B82D30">
              <w:t> letech 2007 a 2008, které byly charakteristické značnou</w:t>
            </w:r>
            <w:r w:rsidR="00BA674F" w:rsidRPr="00B82D30">
              <w:t xml:space="preserve"> </w:t>
            </w:r>
            <w:r w:rsidR="000A773E" w:rsidRPr="00B82D30">
              <w:t>inve</w:t>
            </w:r>
            <w:r w:rsidR="00A1512C" w:rsidRPr="00B82D30">
              <w:t>stiční aktivitou</w:t>
            </w:r>
            <w:r w:rsidR="00665A02" w:rsidRPr="00B82D30">
              <w:t xml:space="preserve"> </w:t>
            </w:r>
            <w:r w:rsidR="001D0F08" w:rsidRPr="00B82D30">
              <w:t>napříč celou ekonomikou</w:t>
            </w:r>
            <w:r w:rsidR="000A773E" w:rsidRPr="00B82D30">
              <w:t>.</w:t>
            </w:r>
            <w:r w:rsidR="00656670" w:rsidRPr="00B82D30">
              <w:t xml:space="preserve"> To ale neplatilo pro těžbu a dobývání, jejíž </w:t>
            </w:r>
            <w:r w:rsidR="00B655BD" w:rsidRPr="00B82D30">
              <w:t xml:space="preserve">míra investic </w:t>
            </w:r>
            <w:r w:rsidR="00656670" w:rsidRPr="00B82D30">
              <w:t>byla vyšší než v úhrnu za celou ekonomiku až od roku 2009</w:t>
            </w:r>
            <w:r w:rsidR="0084233E" w:rsidRPr="00B82D30">
              <w:t xml:space="preserve"> dále</w:t>
            </w:r>
            <w:r w:rsidR="00656670" w:rsidRPr="00B82D30">
              <w:t xml:space="preserve">, </w:t>
            </w:r>
            <w:r w:rsidR="00747BEF" w:rsidRPr="00B82D30">
              <w:t xml:space="preserve">tedy </w:t>
            </w:r>
            <w:r w:rsidR="00772006" w:rsidRPr="00B82D30">
              <w:t>teprve</w:t>
            </w:r>
            <w:r w:rsidR="0084233E" w:rsidRPr="00B82D30">
              <w:t xml:space="preserve"> </w:t>
            </w:r>
            <w:r w:rsidR="00747BEF" w:rsidRPr="00B82D30">
              <w:t>v období, kdy</w:t>
            </w:r>
            <w:r w:rsidR="00656670" w:rsidRPr="00B82D30">
              <w:t xml:space="preserve"> se investice v domácí ekonomice</w:t>
            </w:r>
            <w:r w:rsidR="0010595E" w:rsidRPr="00B82D30">
              <w:t xml:space="preserve"> jako celku</w:t>
            </w:r>
            <w:r w:rsidR="00656670" w:rsidRPr="00B82D30">
              <w:t xml:space="preserve"> značně propadly.</w:t>
            </w:r>
          </w:p>
        </w:tc>
      </w:tr>
    </w:tbl>
    <w:p w:rsidR="0077315D" w:rsidRPr="00B82D30" w:rsidRDefault="0077315D" w:rsidP="0077315D">
      <w:pPr>
        <w:rPr>
          <w:szCs w:val="20"/>
        </w:rPr>
      </w:pPr>
    </w:p>
    <w:p w:rsidR="0028680D" w:rsidRPr="00B82D30" w:rsidRDefault="0028680D" w:rsidP="0028680D">
      <w:pPr>
        <w:rPr>
          <w:szCs w:val="20"/>
        </w:rPr>
      </w:pPr>
      <w:r w:rsidRPr="00B82D30">
        <w:rPr>
          <w:b/>
          <w:szCs w:val="20"/>
        </w:rPr>
        <w:t>2.4.1. Investiční aktivita – mezinárodní srovnání</w:t>
      </w:r>
      <w:r w:rsidRPr="00B82D30">
        <w:rPr>
          <w:rStyle w:val="Znakapoznpodarou"/>
          <w:b/>
          <w:szCs w:val="20"/>
        </w:rPr>
        <w:footnoteReference w:id="9"/>
      </w:r>
    </w:p>
    <w:p w:rsidR="0028680D" w:rsidRPr="00B82D30" w:rsidRDefault="0028680D" w:rsidP="0077315D">
      <w:pPr>
        <w:rPr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96"/>
        <w:gridCol w:w="1448"/>
        <w:gridCol w:w="275"/>
        <w:gridCol w:w="2530"/>
        <w:gridCol w:w="566"/>
        <w:gridCol w:w="2268"/>
        <w:gridCol w:w="2011"/>
      </w:tblGrid>
      <w:tr w:rsidR="0028680D" w:rsidRPr="00B82D30" w:rsidTr="000E63FC">
        <w:tc>
          <w:tcPr>
            <w:tcW w:w="1054" w:type="pct"/>
            <w:gridSpan w:val="2"/>
          </w:tcPr>
          <w:p w:rsidR="0028680D" w:rsidRPr="00B82D30" w:rsidRDefault="0028680D" w:rsidP="0077421B">
            <w:pPr>
              <w:jc w:val="left"/>
              <w:rPr>
                <w:sz w:val="16"/>
                <w:szCs w:val="16"/>
              </w:rPr>
            </w:pPr>
            <w:r w:rsidRPr="00B82D30">
              <w:rPr>
                <w:sz w:val="16"/>
                <w:szCs w:val="16"/>
              </w:rPr>
              <w:t>České zemědělství, lesnictví a rybářství vydalo v roce 2012 na investice třetí nejvyšší díl svého výkonu mezi zeměmi E</w:t>
            </w:r>
            <w:r w:rsidR="006A0324" w:rsidRPr="00B82D30">
              <w:rPr>
                <w:sz w:val="16"/>
                <w:szCs w:val="16"/>
              </w:rPr>
              <w:t>vropské unie</w:t>
            </w:r>
          </w:p>
        </w:tc>
        <w:tc>
          <w:tcPr>
            <w:tcW w:w="142" w:type="pct"/>
          </w:tcPr>
          <w:p w:rsidR="0028680D" w:rsidRPr="00B82D30" w:rsidRDefault="0028680D" w:rsidP="00133B34">
            <w:pPr>
              <w:pStyle w:val="Textpoznpodarou"/>
              <w:jc w:val="both"/>
            </w:pPr>
          </w:p>
        </w:tc>
        <w:tc>
          <w:tcPr>
            <w:tcW w:w="3804" w:type="pct"/>
            <w:gridSpan w:val="4"/>
          </w:tcPr>
          <w:p w:rsidR="0028680D" w:rsidRPr="00B82D30" w:rsidRDefault="0028680D" w:rsidP="00133B34">
            <w:pPr>
              <w:pStyle w:val="Textpoznpodarou"/>
              <w:jc w:val="both"/>
            </w:pPr>
            <w:r w:rsidRPr="00B82D30">
              <w:t xml:space="preserve">Pozice tuzemského zemědělství, lesnictví a rybářství z hlediska </w:t>
            </w:r>
            <w:r w:rsidR="006A0324" w:rsidRPr="00B82D30">
              <w:t>míry investic</w:t>
            </w:r>
            <w:r w:rsidRPr="00B82D30">
              <w:t xml:space="preserve"> se v kontextu členských zemí Evropské unie, jak plyne z dostupných údajů, výrazně zlepšovala. Zatímco v roce hluboké recese 2009</w:t>
            </w:r>
            <w:r w:rsidR="001A5FB3" w:rsidRPr="00B82D30">
              <w:t xml:space="preserve"> byla míra investic českého</w:t>
            </w:r>
            <w:r w:rsidRPr="00B82D30">
              <w:t xml:space="preserve"> zemědělství, lesnictví a rybářství </w:t>
            </w:r>
            <w:r w:rsidR="001A5FB3" w:rsidRPr="00B82D30">
              <w:t>až osmnáctá nejvyšší</w:t>
            </w:r>
            <w:r w:rsidRPr="00B82D30">
              <w:t>, v roce 2010 a 2011 už</w:t>
            </w:r>
            <w:r w:rsidR="00A21271" w:rsidRPr="00B82D30">
              <w:t> </w:t>
            </w:r>
            <w:r w:rsidR="0077421B" w:rsidRPr="00B82D30">
              <w:t>sedmá respektive</w:t>
            </w:r>
            <w:r w:rsidR="001A5FB3" w:rsidRPr="00B82D30">
              <w:t> devátá nejvyšší</w:t>
            </w:r>
            <w:r w:rsidRPr="00B82D30">
              <w:t xml:space="preserve">. Výrazný nárůst investic v roce 2012 vedl k dalšímu zlepšení a posunu na třetí místo. Vyšší míra investic v porovnání s Českou republikou (55,6 %) v tomto roce byla patrná jen v Lucembursku (167,5 %), ve kterém se </w:t>
            </w:r>
            <w:r w:rsidR="0077421B" w:rsidRPr="00B82D30">
              <w:t>v zemědělství, lesnictví a rybářství</w:t>
            </w:r>
            <w:r w:rsidRPr="00B82D30">
              <w:t xml:space="preserve"> proinvestovalo výrazně více, než</w:t>
            </w:r>
            <w:r w:rsidR="00A21271" w:rsidRPr="00B82D30">
              <w:t> </w:t>
            </w:r>
            <w:r w:rsidRPr="00B82D30">
              <w:t>odpovídalo samotnému výkonu</w:t>
            </w:r>
            <w:r w:rsidR="008320BC" w:rsidRPr="00B82D30">
              <w:t xml:space="preserve"> odvětví</w:t>
            </w:r>
            <w:r w:rsidRPr="00B82D30">
              <w:t xml:space="preserve">, a v Rakousku (56,0 %). </w:t>
            </w:r>
          </w:p>
          <w:p w:rsidR="0028680D" w:rsidRPr="00B82D30" w:rsidRDefault="0028680D" w:rsidP="00133B34">
            <w:pPr>
              <w:pStyle w:val="Textpoznpodarou"/>
              <w:jc w:val="both"/>
            </w:pPr>
          </w:p>
          <w:p w:rsidR="0028680D" w:rsidRPr="00B82D30" w:rsidRDefault="0028680D" w:rsidP="00A21271">
            <w:pPr>
              <w:pStyle w:val="Textpoznpodarou"/>
              <w:jc w:val="both"/>
            </w:pPr>
            <w:r w:rsidRPr="00B82D30">
              <w:t>Domácí „zemědělci, lesníci a rybáři“, jak je zřejmé z ukazatele míry investic v posledních letech, a to zejména v roce 2012, vynakládali</w:t>
            </w:r>
            <w:r w:rsidR="009425FA" w:rsidRPr="00B82D30">
              <w:t xml:space="preserve"> v evropském kontextu</w:t>
            </w:r>
            <w:r w:rsidRPr="00B82D30">
              <w:t xml:space="preserve"> významné částky na další rozvoj. Tento přístup by se mohl projevit nejen v nárůstu jejich konkurenceschopnosti vůči producentům z dalších unijních zemí, ale</w:t>
            </w:r>
            <w:r w:rsidR="00A21271" w:rsidRPr="00B82D30">
              <w:t> </w:t>
            </w:r>
            <w:r w:rsidRPr="00B82D30">
              <w:t>především v lepším postavení na domácím trhu.</w:t>
            </w:r>
          </w:p>
        </w:tc>
      </w:tr>
      <w:tr w:rsidR="0077315D" w:rsidRPr="00B82D30" w:rsidTr="009E4AAF">
        <w:tc>
          <w:tcPr>
            <w:tcW w:w="307" w:type="pct"/>
          </w:tcPr>
          <w:p w:rsidR="0077315D" w:rsidRPr="00B82D30" w:rsidRDefault="0077315D" w:rsidP="00011A65">
            <w:pPr>
              <w:pStyle w:val="Textpoznpodarou"/>
            </w:pPr>
            <w:r w:rsidRPr="00B82D30">
              <w:lastRenderedPageBreak/>
              <w:t>Graf č. 2</w:t>
            </w:r>
            <w:r w:rsidR="00EB5CB4" w:rsidRPr="00B82D30">
              <w:t>3</w:t>
            </w:r>
          </w:p>
        </w:tc>
        <w:tc>
          <w:tcPr>
            <w:tcW w:w="2194" w:type="pct"/>
            <w:gridSpan w:val="3"/>
          </w:tcPr>
          <w:p w:rsidR="0077315D" w:rsidRPr="00B82D30" w:rsidRDefault="0077315D" w:rsidP="00011A65">
            <w:pPr>
              <w:pStyle w:val="Textpoznpodarou"/>
              <w:rPr>
                <w:spacing w:val="-4"/>
              </w:rPr>
            </w:pPr>
            <w:r w:rsidRPr="00B82D30">
              <w:rPr>
                <w:b/>
                <w:spacing w:val="-4"/>
              </w:rPr>
              <w:t>Míra investic zemědělství, lesnictví a rybářství v zemích EU</w:t>
            </w:r>
            <w:r w:rsidR="009E4AAF" w:rsidRPr="00B82D30">
              <w:rPr>
                <w:b/>
                <w:spacing w:val="-4"/>
              </w:rPr>
              <w:t xml:space="preserve"> v roce 2012</w:t>
            </w:r>
            <w:r w:rsidRPr="00B82D30">
              <w:rPr>
                <w:spacing w:val="-4"/>
              </w:rPr>
              <w:t xml:space="preserve"> (nominální hodnoty, tvorba hrubého fixního kapitálu/hrubá přidaná hodnota, v %)</w:t>
            </w:r>
          </w:p>
        </w:tc>
        <w:tc>
          <w:tcPr>
            <w:tcW w:w="292" w:type="pct"/>
          </w:tcPr>
          <w:p w:rsidR="0077315D" w:rsidRPr="00B82D30" w:rsidRDefault="0077315D" w:rsidP="00011A65">
            <w:pPr>
              <w:pStyle w:val="Textpoznpodarou"/>
            </w:pPr>
            <w:r w:rsidRPr="00B82D30">
              <w:t>Graf č. 2</w:t>
            </w:r>
            <w:r w:rsidR="00EB5CB4" w:rsidRPr="00B82D30">
              <w:t>4</w:t>
            </w:r>
          </w:p>
        </w:tc>
        <w:tc>
          <w:tcPr>
            <w:tcW w:w="2207" w:type="pct"/>
            <w:gridSpan w:val="2"/>
          </w:tcPr>
          <w:p w:rsidR="0077315D" w:rsidRPr="00B82D30" w:rsidRDefault="0077315D" w:rsidP="0077315D">
            <w:pPr>
              <w:pStyle w:val="Textpoznpodarou"/>
              <w:rPr>
                <w:spacing w:val="-2"/>
              </w:rPr>
            </w:pPr>
            <w:r w:rsidRPr="00B82D30">
              <w:rPr>
                <w:b/>
                <w:spacing w:val="-4"/>
              </w:rPr>
              <w:t>Míra investic těžby a dobývání v zemích EU</w:t>
            </w:r>
            <w:r w:rsidR="009E4AAF" w:rsidRPr="00B82D30">
              <w:rPr>
                <w:b/>
                <w:spacing w:val="-4"/>
              </w:rPr>
              <w:t xml:space="preserve"> v roce 2012</w:t>
            </w:r>
            <w:r w:rsidRPr="00B82D30">
              <w:rPr>
                <w:spacing w:val="-4"/>
              </w:rPr>
              <w:t xml:space="preserve"> (nominální hodnoty, tvorba hrubého fixního kapitálu/hrubá přidaná hodnota, v %)</w:t>
            </w:r>
          </w:p>
        </w:tc>
      </w:tr>
      <w:tr w:rsidR="0077315D" w:rsidRPr="00B82D30" w:rsidTr="009E4AAF">
        <w:tc>
          <w:tcPr>
            <w:tcW w:w="2501" w:type="pct"/>
            <w:gridSpan w:val="4"/>
          </w:tcPr>
          <w:p w:rsidR="0077315D" w:rsidRPr="00B82D30" w:rsidRDefault="008448FF" w:rsidP="00011A65">
            <w:pPr>
              <w:pStyle w:val="Textpoznpodarou"/>
            </w:pPr>
            <w:r w:rsidRPr="00B82D30">
              <w:rPr>
                <w:noProof/>
              </w:rPr>
              <w:drawing>
                <wp:inline distT="0" distB="0" distL="0" distR="0">
                  <wp:extent cx="3000375" cy="2181225"/>
                  <wp:effectExtent l="19050" t="0" r="9525" b="0"/>
                  <wp:docPr id="10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122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gridSpan w:val="3"/>
          </w:tcPr>
          <w:p w:rsidR="0077315D" w:rsidRPr="00B82D30" w:rsidRDefault="008448FF" w:rsidP="00011A65">
            <w:pPr>
              <w:pStyle w:val="Textpoznpodarou"/>
              <w:jc w:val="right"/>
            </w:pPr>
            <w:r w:rsidRPr="00B82D30">
              <w:rPr>
                <w:noProof/>
              </w:rPr>
              <w:drawing>
                <wp:inline distT="0" distB="0" distL="0" distR="0">
                  <wp:extent cx="3005036" cy="2181225"/>
                  <wp:effectExtent l="19050" t="0" r="4864" b="0"/>
                  <wp:docPr id="18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86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E32" w:rsidRPr="00B82D30" w:rsidTr="00D06E32">
        <w:tc>
          <w:tcPr>
            <w:tcW w:w="3963" w:type="pct"/>
            <w:gridSpan w:val="6"/>
          </w:tcPr>
          <w:p w:rsidR="009E4AAF" w:rsidRPr="00B82D30" w:rsidRDefault="009E4AAF" w:rsidP="009E4AAF">
            <w:pPr>
              <w:pStyle w:val="Textpoznpodarou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>pozn. pro rok 2012 nedostupné údaje za Nizozemsko, Bulharsko, Portugalsko, Slovinsko, Řecko, Španělsko</w:t>
            </w:r>
            <w:r w:rsidR="00A21271" w:rsidRPr="00B82D30">
              <w:rPr>
                <w:sz w:val="18"/>
                <w:szCs w:val="18"/>
              </w:rPr>
              <w:t>, Rumunsko</w:t>
            </w:r>
            <w:r w:rsidRPr="00B82D30">
              <w:rPr>
                <w:sz w:val="18"/>
                <w:szCs w:val="18"/>
              </w:rPr>
              <w:t xml:space="preserve"> a UK – byly nahrazeny údaji za rok 2011. Nedostupné údaje za Chorvatsko.</w:t>
            </w:r>
            <w:r w:rsidR="00A21271" w:rsidRPr="00B82D30">
              <w:rPr>
                <w:sz w:val="18"/>
                <w:szCs w:val="18"/>
              </w:rPr>
              <w:t xml:space="preserve"> V metodice ESA 95.</w:t>
            </w:r>
          </w:p>
        </w:tc>
        <w:tc>
          <w:tcPr>
            <w:tcW w:w="1037" w:type="pct"/>
          </w:tcPr>
          <w:p w:rsidR="009E4AAF" w:rsidRPr="00B82D30" w:rsidRDefault="009E4AAF" w:rsidP="00011A65">
            <w:pPr>
              <w:pStyle w:val="Textpoznpodarou"/>
              <w:jc w:val="right"/>
              <w:rPr>
                <w:sz w:val="18"/>
                <w:szCs w:val="18"/>
              </w:rPr>
            </w:pPr>
            <w:r w:rsidRPr="00B82D30">
              <w:rPr>
                <w:sz w:val="18"/>
                <w:szCs w:val="18"/>
              </w:rPr>
              <w:t xml:space="preserve">Zdroj: </w:t>
            </w:r>
            <w:proofErr w:type="spellStart"/>
            <w:r w:rsidR="00995FE0" w:rsidRPr="00B82D30">
              <w:rPr>
                <w:sz w:val="18"/>
                <w:szCs w:val="18"/>
              </w:rPr>
              <w:t>Eurostat</w:t>
            </w:r>
            <w:proofErr w:type="spellEnd"/>
            <w:r w:rsidR="00995FE0" w:rsidRPr="00B82D30">
              <w:rPr>
                <w:sz w:val="18"/>
                <w:szCs w:val="18"/>
              </w:rPr>
              <w:t>, vlastní propočty</w:t>
            </w:r>
          </w:p>
        </w:tc>
      </w:tr>
    </w:tbl>
    <w:p w:rsidR="0077315D" w:rsidRPr="00B82D30" w:rsidRDefault="0077315D" w:rsidP="0077315D">
      <w:pPr>
        <w:rPr>
          <w:szCs w:val="20"/>
        </w:rPr>
      </w:pPr>
    </w:p>
    <w:p w:rsidR="0077315D" w:rsidRPr="00B82D30" w:rsidRDefault="0077315D" w:rsidP="0077315D">
      <w:pPr>
        <w:rPr>
          <w:szCs w:val="20"/>
        </w:rPr>
      </w:pPr>
    </w:p>
    <w:p w:rsidR="0077315D" w:rsidRPr="00B82D30" w:rsidRDefault="0077315D" w:rsidP="0077315D">
      <w:pPr>
        <w:rPr>
          <w:szCs w:val="20"/>
        </w:rPr>
      </w:pPr>
    </w:p>
    <w:p w:rsidR="00206626" w:rsidRPr="00B82D30" w:rsidRDefault="00206626" w:rsidP="0077315D">
      <w:pPr>
        <w:rPr>
          <w:szCs w:val="20"/>
        </w:rPr>
      </w:pPr>
    </w:p>
    <w:p w:rsidR="00D06E32" w:rsidRPr="00B82D30" w:rsidRDefault="00D06E32" w:rsidP="0077315D">
      <w:pPr>
        <w:rPr>
          <w:szCs w:val="20"/>
        </w:rPr>
      </w:pPr>
    </w:p>
    <w:p w:rsidR="00206626" w:rsidRPr="00B82D30" w:rsidRDefault="00206626" w:rsidP="0077315D">
      <w:pPr>
        <w:rPr>
          <w:szCs w:val="20"/>
        </w:rPr>
      </w:pPr>
    </w:p>
    <w:p w:rsidR="00206626" w:rsidRPr="00B82D30" w:rsidRDefault="00206626" w:rsidP="0077315D">
      <w:pPr>
        <w:rPr>
          <w:szCs w:val="20"/>
        </w:rPr>
      </w:pPr>
    </w:p>
    <w:p w:rsidR="00206626" w:rsidRPr="00B82D30" w:rsidRDefault="00206626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8680D" w:rsidRPr="00B82D30" w:rsidRDefault="0028680D" w:rsidP="0077315D">
      <w:pPr>
        <w:rPr>
          <w:szCs w:val="20"/>
        </w:rPr>
      </w:pPr>
    </w:p>
    <w:p w:rsidR="00206626" w:rsidRPr="00B82D30" w:rsidRDefault="00206626" w:rsidP="0077315D">
      <w:pPr>
        <w:rPr>
          <w:szCs w:val="20"/>
        </w:rPr>
      </w:pPr>
    </w:p>
    <w:sectPr w:rsidR="00206626" w:rsidRPr="00B82D30" w:rsidSect="002C24EB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134" w:right="1134" w:bottom="1134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9E" w:rsidRDefault="009A549E" w:rsidP="000B7410">
      <w:r>
        <w:separator/>
      </w:r>
    </w:p>
  </w:endnote>
  <w:endnote w:type="continuationSeparator" w:id="0">
    <w:p w:rsidR="009A549E" w:rsidRDefault="009A549E" w:rsidP="000B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D7" w:rsidRDefault="000C63E8" w:rsidP="00011A65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45.7pt;margin-top:-4.15pt;width:36.75pt;height:17.25pt;z-index:251661312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9E48D7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036134">
      <w:rPr>
        <w:rFonts w:ascii="Arial" w:hAnsi="Arial" w:cs="Arial"/>
        <w:noProof/>
        <w:sz w:val="16"/>
        <w:szCs w:val="16"/>
      </w:rPr>
      <w:t>14</w:t>
    </w:r>
    <w:r w:rsidRPr="005A21E0">
      <w:rPr>
        <w:rFonts w:ascii="Arial" w:hAnsi="Arial" w:cs="Arial"/>
        <w:sz w:val="16"/>
        <w:szCs w:val="16"/>
      </w:rPr>
      <w:fldChar w:fldCharType="end"/>
    </w:r>
    <w:r w:rsidR="009E48D7">
      <w:rPr>
        <w:rFonts w:ascii="Arial" w:hAnsi="Arial" w:cs="Arial"/>
        <w:sz w:val="16"/>
        <w:szCs w:val="16"/>
      </w:rPr>
      <w:tab/>
      <w:t>2014</w:t>
    </w:r>
    <w:r w:rsidR="009E48D7">
      <w:tab/>
    </w:r>
    <w:r w:rsidR="009E48D7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D7" w:rsidRDefault="000C63E8" w:rsidP="00011A65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3pt;margin-top:7.1pt;width:39pt;height:21pt;z-index:251660288">
          <v:imagedata r:id="rId1" o:title="3"/>
        </v:shape>
      </w:pict>
    </w:r>
    <w:r w:rsidR="009E48D7">
      <w:tab/>
    </w:r>
    <w:r w:rsidR="009E48D7">
      <w:tab/>
    </w:r>
  </w:p>
  <w:p w:rsidR="009E48D7" w:rsidRDefault="009E48D7" w:rsidP="00011A65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tab/>
    </w:r>
    <w:r w:rsidR="000C63E8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0C63E8" w:rsidRPr="00B6608F">
      <w:rPr>
        <w:rFonts w:ascii="Arial" w:hAnsi="Arial" w:cs="Arial"/>
        <w:sz w:val="16"/>
        <w:szCs w:val="16"/>
      </w:rPr>
      <w:fldChar w:fldCharType="separate"/>
    </w:r>
    <w:r w:rsidR="00036134">
      <w:rPr>
        <w:rFonts w:ascii="Arial" w:hAnsi="Arial" w:cs="Arial"/>
        <w:noProof/>
        <w:sz w:val="16"/>
        <w:szCs w:val="16"/>
      </w:rPr>
      <w:t>21</w:t>
    </w:r>
    <w:r w:rsidR="000C63E8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9E" w:rsidRDefault="009A549E" w:rsidP="000B7410">
      <w:r>
        <w:separator/>
      </w:r>
    </w:p>
  </w:footnote>
  <w:footnote w:type="continuationSeparator" w:id="0">
    <w:p w:rsidR="009A549E" w:rsidRDefault="009A549E" w:rsidP="000B7410">
      <w:r>
        <w:continuationSeparator/>
      </w:r>
    </w:p>
  </w:footnote>
  <w:footnote w:id="1">
    <w:p w:rsidR="009E48D7" w:rsidRPr="00044157" w:rsidRDefault="009E48D7">
      <w:pPr>
        <w:pStyle w:val="Textpoznpodarou"/>
        <w:rPr>
          <w:sz w:val="18"/>
          <w:szCs w:val="18"/>
        </w:rPr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Vychází z nominálních údajů. V metodice ESA 2010.</w:t>
      </w:r>
    </w:p>
  </w:footnote>
  <w:footnote w:id="2">
    <w:p w:rsidR="009E48D7" w:rsidRPr="00044157" w:rsidRDefault="009E48D7" w:rsidP="00E749F2">
      <w:pPr>
        <w:pStyle w:val="Textpoznpodarou"/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Do </w:t>
      </w:r>
      <w:proofErr w:type="spellStart"/>
      <w:r w:rsidRPr="00044157">
        <w:rPr>
          <w:sz w:val="18"/>
          <w:szCs w:val="18"/>
        </w:rPr>
        <w:t>mezispotřeby</w:t>
      </w:r>
      <w:proofErr w:type="spellEnd"/>
      <w:r w:rsidRPr="00044157">
        <w:rPr>
          <w:sz w:val="18"/>
          <w:szCs w:val="18"/>
        </w:rPr>
        <w:t xml:space="preserve"> nespadají náklady spojené se zaměstnanci (mzdy a platy, sociální příspěvky zaměstnavatelů).</w:t>
      </w:r>
    </w:p>
  </w:footnote>
  <w:footnote w:id="3">
    <w:p w:rsidR="009E48D7" w:rsidRPr="00F31A68" w:rsidRDefault="009E48D7" w:rsidP="003341FD">
      <w:pPr>
        <w:pStyle w:val="Textpoznpodarou"/>
        <w:rPr>
          <w:sz w:val="18"/>
          <w:szCs w:val="18"/>
        </w:rPr>
      </w:pPr>
      <w:r w:rsidRPr="00F31A68">
        <w:rPr>
          <w:rStyle w:val="Znakapoznpodarou"/>
          <w:sz w:val="18"/>
          <w:szCs w:val="18"/>
        </w:rPr>
        <w:footnoteRef/>
      </w:r>
      <w:r w:rsidRPr="00F31A68">
        <w:rPr>
          <w:sz w:val="18"/>
          <w:szCs w:val="18"/>
        </w:rPr>
        <w:t xml:space="preserve"> Vychází z nominálních údajů. V metodice ESA 95.</w:t>
      </w:r>
    </w:p>
  </w:footnote>
  <w:footnote w:id="4">
    <w:p w:rsidR="009E48D7" w:rsidRPr="00044157" w:rsidRDefault="009E48D7">
      <w:pPr>
        <w:pStyle w:val="Textpoznpodarou"/>
        <w:rPr>
          <w:sz w:val="18"/>
          <w:szCs w:val="18"/>
        </w:rPr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V metodice ESA 2010.</w:t>
      </w:r>
    </w:p>
  </w:footnote>
  <w:footnote w:id="5">
    <w:p w:rsidR="009E48D7" w:rsidRPr="00044157" w:rsidRDefault="009E48D7">
      <w:pPr>
        <w:pStyle w:val="Textpoznpodarou"/>
        <w:rPr>
          <w:sz w:val="18"/>
          <w:szCs w:val="18"/>
        </w:rPr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Vychází z nominálních údajů. V metodice ESA 2010.</w:t>
      </w:r>
    </w:p>
  </w:footnote>
  <w:footnote w:id="6">
    <w:p w:rsidR="009E48D7" w:rsidRPr="00044157" w:rsidRDefault="009E48D7">
      <w:pPr>
        <w:pStyle w:val="Textpoznpodarou"/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Mzdy a platy, sociální příspěvky zaměstnavatelů.</w:t>
      </w:r>
    </w:p>
  </w:footnote>
  <w:footnote w:id="7">
    <w:p w:rsidR="009E48D7" w:rsidRPr="00044157" w:rsidRDefault="009E48D7" w:rsidP="00FE0289">
      <w:pPr>
        <w:pStyle w:val="Textpoznpodarou"/>
        <w:rPr>
          <w:sz w:val="18"/>
          <w:szCs w:val="18"/>
        </w:rPr>
      </w:pPr>
      <w:r w:rsidRPr="00044157">
        <w:rPr>
          <w:rStyle w:val="Znakapoznpodarou"/>
          <w:sz w:val="18"/>
          <w:szCs w:val="18"/>
        </w:rPr>
        <w:footnoteRef/>
      </w:r>
      <w:r w:rsidRPr="00044157">
        <w:rPr>
          <w:sz w:val="18"/>
          <w:szCs w:val="18"/>
        </w:rPr>
        <w:t xml:space="preserve"> Vychází z nominálních údajů. V metodice ESA 2010.</w:t>
      </w:r>
    </w:p>
  </w:footnote>
  <w:footnote w:id="8">
    <w:p w:rsidR="009E48D7" w:rsidRPr="00E81E1A" w:rsidRDefault="009E48D7">
      <w:pPr>
        <w:pStyle w:val="Textpoznpodarou"/>
        <w:rPr>
          <w:sz w:val="18"/>
          <w:szCs w:val="18"/>
        </w:rPr>
      </w:pPr>
      <w:r w:rsidRPr="00E81E1A">
        <w:rPr>
          <w:rStyle w:val="Znakapoznpodarou"/>
          <w:sz w:val="18"/>
          <w:szCs w:val="18"/>
        </w:rPr>
        <w:footnoteRef/>
      </w:r>
      <w:r w:rsidRPr="00E81E1A">
        <w:rPr>
          <w:sz w:val="18"/>
          <w:szCs w:val="18"/>
        </w:rPr>
        <w:t xml:space="preserve"> Tzv. ostatní budovy a stavby. Nezahrnují se do nich domy a byty, které spadají do staveb pro bydlení.</w:t>
      </w:r>
    </w:p>
  </w:footnote>
  <w:footnote w:id="9">
    <w:p w:rsidR="009E48D7" w:rsidRPr="0085252B" w:rsidRDefault="009E48D7" w:rsidP="0028680D">
      <w:pPr>
        <w:pStyle w:val="Textpoznpodarou"/>
        <w:rPr>
          <w:sz w:val="18"/>
          <w:szCs w:val="18"/>
        </w:rPr>
      </w:pPr>
      <w:r w:rsidRPr="0085252B">
        <w:rPr>
          <w:rStyle w:val="Znakapoznpodarou"/>
          <w:sz w:val="18"/>
          <w:szCs w:val="18"/>
        </w:rPr>
        <w:footnoteRef/>
      </w:r>
      <w:r w:rsidRPr="0085252B">
        <w:rPr>
          <w:sz w:val="18"/>
          <w:szCs w:val="18"/>
        </w:rPr>
        <w:t xml:space="preserve"> Vychází z nominálních údajů. V metodice ESA 95.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9E48D7" w:rsidRPr="00E53687" w:rsidTr="00011A65">
      <w:tc>
        <w:tcPr>
          <w:tcW w:w="6518" w:type="dxa"/>
        </w:tcPr>
        <w:p w:rsidR="009E48D7" w:rsidRPr="00E53687" w:rsidRDefault="009E48D7" w:rsidP="00011A65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Postavení primárního sektoru v ekonomice ČR</w:t>
          </w:r>
        </w:p>
      </w:tc>
      <w:tc>
        <w:tcPr>
          <w:tcW w:w="3260" w:type="dxa"/>
        </w:tcPr>
        <w:p w:rsidR="009E48D7" w:rsidRPr="00E53687" w:rsidRDefault="00F36223" w:rsidP="00011A65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kód 320258-14</w:t>
          </w:r>
        </w:p>
      </w:tc>
    </w:tr>
  </w:tbl>
  <w:p w:rsidR="009E48D7" w:rsidRPr="00190394" w:rsidRDefault="009E48D7" w:rsidP="00011A65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9E48D7" w:rsidRPr="00E53687" w:rsidTr="00011A65">
      <w:tc>
        <w:tcPr>
          <w:tcW w:w="6518" w:type="dxa"/>
        </w:tcPr>
        <w:p w:rsidR="009E48D7" w:rsidRPr="00E53687" w:rsidRDefault="009E48D7" w:rsidP="00F4688E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Postavení primárního sektoru v ekonomice ČR</w:t>
          </w:r>
        </w:p>
      </w:tc>
      <w:tc>
        <w:tcPr>
          <w:tcW w:w="3260" w:type="dxa"/>
        </w:tcPr>
        <w:p w:rsidR="009E48D7" w:rsidRPr="00E53687" w:rsidRDefault="00F36223" w:rsidP="0061385B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kód 320258-14</w:t>
          </w:r>
        </w:p>
      </w:tc>
    </w:tr>
  </w:tbl>
  <w:p w:rsidR="009E48D7" w:rsidRPr="00190394" w:rsidRDefault="009E48D7" w:rsidP="00011A65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FA"/>
    <w:multiLevelType w:val="hybridMultilevel"/>
    <w:tmpl w:val="8144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4C05"/>
    <w:multiLevelType w:val="hybridMultilevel"/>
    <w:tmpl w:val="64520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F4F19D3"/>
    <w:multiLevelType w:val="hybridMultilevel"/>
    <w:tmpl w:val="41BAF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60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7410"/>
    <w:rsid w:val="000013CA"/>
    <w:rsid w:val="00001ECA"/>
    <w:rsid w:val="0000383C"/>
    <w:rsid w:val="00006F9E"/>
    <w:rsid w:val="000110F2"/>
    <w:rsid w:val="0001190D"/>
    <w:rsid w:val="00011A65"/>
    <w:rsid w:val="00011EBF"/>
    <w:rsid w:val="00014719"/>
    <w:rsid w:val="0001562B"/>
    <w:rsid w:val="00016382"/>
    <w:rsid w:val="000172C6"/>
    <w:rsid w:val="00017AAC"/>
    <w:rsid w:val="000219E8"/>
    <w:rsid w:val="000220FC"/>
    <w:rsid w:val="0002335A"/>
    <w:rsid w:val="00023BC3"/>
    <w:rsid w:val="00024537"/>
    <w:rsid w:val="000255A0"/>
    <w:rsid w:val="0003029D"/>
    <w:rsid w:val="00030C7A"/>
    <w:rsid w:val="000348E2"/>
    <w:rsid w:val="00034ED0"/>
    <w:rsid w:val="000350A2"/>
    <w:rsid w:val="00036134"/>
    <w:rsid w:val="00036435"/>
    <w:rsid w:val="00036823"/>
    <w:rsid w:val="0003729F"/>
    <w:rsid w:val="00040BB2"/>
    <w:rsid w:val="00040D21"/>
    <w:rsid w:val="00041C37"/>
    <w:rsid w:val="00041CAE"/>
    <w:rsid w:val="00042A8C"/>
    <w:rsid w:val="00044157"/>
    <w:rsid w:val="00044651"/>
    <w:rsid w:val="0004470E"/>
    <w:rsid w:val="00044F12"/>
    <w:rsid w:val="0004586E"/>
    <w:rsid w:val="00050103"/>
    <w:rsid w:val="000523C1"/>
    <w:rsid w:val="0005268C"/>
    <w:rsid w:val="0005577F"/>
    <w:rsid w:val="0006357D"/>
    <w:rsid w:val="0006373C"/>
    <w:rsid w:val="00063A52"/>
    <w:rsid w:val="00063B2D"/>
    <w:rsid w:val="00064085"/>
    <w:rsid w:val="000649B7"/>
    <w:rsid w:val="0006538F"/>
    <w:rsid w:val="00066811"/>
    <w:rsid w:val="00066D1D"/>
    <w:rsid w:val="000713C2"/>
    <w:rsid w:val="0007163D"/>
    <w:rsid w:val="00071AE2"/>
    <w:rsid w:val="00071D99"/>
    <w:rsid w:val="000728D2"/>
    <w:rsid w:val="00072C11"/>
    <w:rsid w:val="00076AAD"/>
    <w:rsid w:val="000771E1"/>
    <w:rsid w:val="00083504"/>
    <w:rsid w:val="00083FCE"/>
    <w:rsid w:val="000842FF"/>
    <w:rsid w:val="00084510"/>
    <w:rsid w:val="0008626A"/>
    <w:rsid w:val="00086DE1"/>
    <w:rsid w:val="0008777D"/>
    <w:rsid w:val="00090BDB"/>
    <w:rsid w:val="00091DEA"/>
    <w:rsid w:val="00091FF5"/>
    <w:rsid w:val="00093FAF"/>
    <w:rsid w:val="00094697"/>
    <w:rsid w:val="00094DF8"/>
    <w:rsid w:val="000A1645"/>
    <w:rsid w:val="000A1816"/>
    <w:rsid w:val="000A29CD"/>
    <w:rsid w:val="000A44C9"/>
    <w:rsid w:val="000A47DD"/>
    <w:rsid w:val="000A49F5"/>
    <w:rsid w:val="000A4EAE"/>
    <w:rsid w:val="000A60AC"/>
    <w:rsid w:val="000A773E"/>
    <w:rsid w:val="000B0097"/>
    <w:rsid w:val="000B04AA"/>
    <w:rsid w:val="000B20E3"/>
    <w:rsid w:val="000B33E7"/>
    <w:rsid w:val="000B377D"/>
    <w:rsid w:val="000B426B"/>
    <w:rsid w:val="000B4BBC"/>
    <w:rsid w:val="000B5559"/>
    <w:rsid w:val="000B57F6"/>
    <w:rsid w:val="000B671B"/>
    <w:rsid w:val="000B67EB"/>
    <w:rsid w:val="000B7410"/>
    <w:rsid w:val="000B7598"/>
    <w:rsid w:val="000C07BD"/>
    <w:rsid w:val="000C1FD8"/>
    <w:rsid w:val="000C27F4"/>
    <w:rsid w:val="000C2B73"/>
    <w:rsid w:val="000C3C26"/>
    <w:rsid w:val="000C4E4E"/>
    <w:rsid w:val="000C559D"/>
    <w:rsid w:val="000C63E8"/>
    <w:rsid w:val="000C6967"/>
    <w:rsid w:val="000C6CF1"/>
    <w:rsid w:val="000C785C"/>
    <w:rsid w:val="000C7B9E"/>
    <w:rsid w:val="000D037D"/>
    <w:rsid w:val="000D0827"/>
    <w:rsid w:val="000D3514"/>
    <w:rsid w:val="000D4639"/>
    <w:rsid w:val="000D687F"/>
    <w:rsid w:val="000D74EE"/>
    <w:rsid w:val="000E0274"/>
    <w:rsid w:val="000E068E"/>
    <w:rsid w:val="000E0F77"/>
    <w:rsid w:val="000E4E05"/>
    <w:rsid w:val="000E52FF"/>
    <w:rsid w:val="000E63FC"/>
    <w:rsid w:val="000E6A79"/>
    <w:rsid w:val="000F08EC"/>
    <w:rsid w:val="000F22CC"/>
    <w:rsid w:val="000F234D"/>
    <w:rsid w:val="000F2BD5"/>
    <w:rsid w:val="000F478C"/>
    <w:rsid w:val="000F49F7"/>
    <w:rsid w:val="000F4BEB"/>
    <w:rsid w:val="001024AE"/>
    <w:rsid w:val="00103913"/>
    <w:rsid w:val="00103A88"/>
    <w:rsid w:val="00103C46"/>
    <w:rsid w:val="0010595E"/>
    <w:rsid w:val="00106DB4"/>
    <w:rsid w:val="00107DE5"/>
    <w:rsid w:val="00111433"/>
    <w:rsid w:val="0011361F"/>
    <w:rsid w:val="00114E19"/>
    <w:rsid w:val="001152C7"/>
    <w:rsid w:val="00117DC4"/>
    <w:rsid w:val="0012025A"/>
    <w:rsid w:val="0012115B"/>
    <w:rsid w:val="00124E03"/>
    <w:rsid w:val="00125AE2"/>
    <w:rsid w:val="00130C54"/>
    <w:rsid w:val="00130E74"/>
    <w:rsid w:val="00131A85"/>
    <w:rsid w:val="00132A89"/>
    <w:rsid w:val="0013346F"/>
    <w:rsid w:val="00133B34"/>
    <w:rsid w:val="0013534C"/>
    <w:rsid w:val="001368F6"/>
    <w:rsid w:val="00137B4F"/>
    <w:rsid w:val="00137DC1"/>
    <w:rsid w:val="0014188A"/>
    <w:rsid w:val="00141C0F"/>
    <w:rsid w:val="00142964"/>
    <w:rsid w:val="00145BB9"/>
    <w:rsid w:val="00150055"/>
    <w:rsid w:val="00150BE0"/>
    <w:rsid w:val="001514E8"/>
    <w:rsid w:val="001528FB"/>
    <w:rsid w:val="001534B8"/>
    <w:rsid w:val="00154411"/>
    <w:rsid w:val="00154784"/>
    <w:rsid w:val="00154C5A"/>
    <w:rsid w:val="001625DA"/>
    <w:rsid w:val="00163626"/>
    <w:rsid w:val="00163A89"/>
    <w:rsid w:val="00164A6A"/>
    <w:rsid w:val="0016675C"/>
    <w:rsid w:val="001712D8"/>
    <w:rsid w:val="00172587"/>
    <w:rsid w:val="001748F0"/>
    <w:rsid w:val="0017582B"/>
    <w:rsid w:val="00175C1A"/>
    <w:rsid w:val="00180448"/>
    <w:rsid w:val="001812F0"/>
    <w:rsid w:val="001820FA"/>
    <w:rsid w:val="00183209"/>
    <w:rsid w:val="001834C2"/>
    <w:rsid w:val="00184671"/>
    <w:rsid w:val="001854C7"/>
    <w:rsid w:val="0019177E"/>
    <w:rsid w:val="00192BF2"/>
    <w:rsid w:val="00193806"/>
    <w:rsid w:val="001957DC"/>
    <w:rsid w:val="001968A2"/>
    <w:rsid w:val="00196C31"/>
    <w:rsid w:val="001A08EE"/>
    <w:rsid w:val="001A28A0"/>
    <w:rsid w:val="001A3369"/>
    <w:rsid w:val="001A42AA"/>
    <w:rsid w:val="001A4C80"/>
    <w:rsid w:val="001A5FB3"/>
    <w:rsid w:val="001A67FD"/>
    <w:rsid w:val="001B26F3"/>
    <w:rsid w:val="001B5E62"/>
    <w:rsid w:val="001B7DEB"/>
    <w:rsid w:val="001C0B8C"/>
    <w:rsid w:val="001C3393"/>
    <w:rsid w:val="001C3DFB"/>
    <w:rsid w:val="001C4D84"/>
    <w:rsid w:val="001C5E7D"/>
    <w:rsid w:val="001C6E7C"/>
    <w:rsid w:val="001D0395"/>
    <w:rsid w:val="001D0F08"/>
    <w:rsid w:val="001D17C8"/>
    <w:rsid w:val="001D26AF"/>
    <w:rsid w:val="001D2DD1"/>
    <w:rsid w:val="001D395E"/>
    <w:rsid w:val="001D5666"/>
    <w:rsid w:val="001D5B34"/>
    <w:rsid w:val="001D5DB0"/>
    <w:rsid w:val="001D75D3"/>
    <w:rsid w:val="001E084D"/>
    <w:rsid w:val="001E0BAD"/>
    <w:rsid w:val="001E3332"/>
    <w:rsid w:val="001E399A"/>
    <w:rsid w:val="001E51CD"/>
    <w:rsid w:val="001E5B5A"/>
    <w:rsid w:val="001E6BF8"/>
    <w:rsid w:val="001E7309"/>
    <w:rsid w:val="001E7733"/>
    <w:rsid w:val="001E7DCD"/>
    <w:rsid w:val="001F0763"/>
    <w:rsid w:val="001F1357"/>
    <w:rsid w:val="001F2575"/>
    <w:rsid w:val="001F30B9"/>
    <w:rsid w:val="001F3A98"/>
    <w:rsid w:val="001F4FBF"/>
    <w:rsid w:val="001F5B8E"/>
    <w:rsid w:val="001F791F"/>
    <w:rsid w:val="001F7A25"/>
    <w:rsid w:val="00200C07"/>
    <w:rsid w:val="002021B0"/>
    <w:rsid w:val="00203129"/>
    <w:rsid w:val="002033A0"/>
    <w:rsid w:val="00203D0C"/>
    <w:rsid w:val="00203DE2"/>
    <w:rsid w:val="00204E06"/>
    <w:rsid w:val="00204EAA"/>
    <w:rsid w:val="00206626"/>
    <w:rsid w:val="00210493"/>
    <w:rsid w:val="00210E6D"/>
    <w:rsid w:val="0021266A"/>
    <w:rsid w:val="002141C7"/>
    <w:rsid w:val="00215582"/>
    <w:rsid w:val="00216009"/>
    <w:rsid w:val="002176C9"/>
    <w:rsid w:val="00220317"/>
    <w:rsid w:val="002208F4"/>
    <w:rsid w:val="00220A5E"/>
    <w:rsid w:val="00221D3D"/>
    <w:rsid w:val="00222A59"/>
    <w:rsid w:val="00224882"/>
    <w:rsid w:val="00224B1F"/>
    <w:rsid w:val="00226508"/>
    <w:rsid w:val="002266B1"/>
    <w:rsid w:val="00227058"/>
    <w:rsid w:val="002274DE"/>
    <w:rsid w:val="00230DDC"/>
    <w:rsid w:val="00232A10"/>
    <w:rsid w:val="00232D47"/>
    <w:rsid w:val="00234A46"/>
    <w:rsid w:val="0023547E"/>
    <w:rsid w:val="00236052"/>
    <w:rsid w:val="002372AA"/>
    <w:rsid w:val="00237C0F"/>
    <w:rsid w:val="00237FC7"/>
    <w:rsid w:val="00241340"/>
    <w:rsid w:val="002417B3"/>
    <w:rsid w:val="00242465"/>
    <w:rsid w:val="00242CDE"/>
    <w:rsid w:val="00242F2C"/>
    <w:rsid w:val="00244C1F"/>
    <w:rsid w:val="0024569D"/>
    <w:rsid w:val="00245BE7"/>
    <w:rsid w:val="00246155"/>
    <w:rsid w:val="002464A0"/>
    <w:rsid w:val="002505EC"/>
    <w:rsid w:val="00250AFD"/>
    <w:rsid w:val="00251226"/>
    <w:rsid w:val="00252D30"/>
    <w:rsid w:val="002541AC"/>
    <w:rsid w:val="00254945"/>
    <w:rsid w:val="00254C38"/>
    <w:rsid w:val="00255F00"/>
    <w:rsid w:val="00255F20"/>
    <w:rsid w:val="002571AF"/>
    <w:rsid w:val="00262096"/>
    <w:rsid w:val="002621D4"/>
    <w:rsid w:val="00262F49"/>
    <w:rsid w:val="00264A2C"/>
    <w:rsid w:val="00264DD6"/>
    <w:rsid w:val="0026642C"/>
    <w:rsid w:val="0027000B"/>
    <w:rsid w:val="00273074"/>
    <w:rsid w:val="00273882"/>
    <w:rsid w:val="00273AE8"/>
    <w:rsid w:val="00273AF5"/>
    <w:rsid w:val="00274665"/>
    <w:rsid w:val="002746D7"/>
    <w:rsid w:val="002770B0"/>
    <w:rsid w:val="0027773F"/>
    <w:rsid w:val="0028021B"/>
    <w:rsid w:val="00280C20"/>
    <w:rsid w:val="00280D81"/>
    <w:rsid w:val="002811CA"/>
    <w:rsid w:val="00281C5D"/>
    <w:rsid w:val="002827DB"/>
    <w:rsid w:val="00282FDF"/>
    <w:rsid w:val="00283347"/>
    <w:rsid w:val="002838CF"/>
    <w:rsid w:val="00285E8A"/>
    <w:rsid w:val="0028680D"/>
    <w:rsid w:val="00286C4B"/>
    <w:rsid w:val="00290FDB"/>
    <w:rsid w:val="00292234"/>
    <w:rsid w:val="002922CA"/>
    <w:rsid w:val="00294989"/>
    <w:rsid w:val="00294AEF"/>
    <w:rsid w:val="0029578A"/>
    <w:rsid w:val="002961D1"/>
    <w:rsid w:val="00296A93"/>
    <w:rsid w:val="002A112B"/>
    <w:rsid w:val="002A53E7"/>
    <w:rsid w:val="002A62D9"/>
    <w:rsid w:val="002B0CB3"/>
    <w:rsid w:val="002B141B"/>
    <w:rsid w:val="002B2623"/>
    <w:rsid w:val="002B3089"/>
    <w:rsid w:val="002B38DC"/>
    <w:rsid w:val="002B3E38"/>
    <w:rsid w:val="002B3F6D"/>
    <w:rsid w:val="002B3FF4"/>
    <w:rsid w:val="002B4D1B"/>
    <w:rsid w:val="002B5A83"/>
    <w:rsid w:val="002C20A7"/>
    <w:rsid w:val="002C24EB"/>
    <w:rsid w:val="002C2FD5"/>
    <w:rsid w:val="002C317E"/>
    <w:rsid w:val="002C521C"/>
    <w:rsid w:val="002C6A22"/>
    <w:rsid w:val="002C6EE3"/>
    <w:rsid w:val="002C70F3"/>
    <w:rsid w:val="002C725B"/>
    <w:rsid w:val="002C79A6"/>
    <w:rsid w:val="002D2944"/>
    <w:rsid w:val="002D2B1D"/>
    <w:rsid w:val="002D3429"/>
    <w:rsid w:val="002D6C7D"/>
    <w:rsid w:val="002D6D82"/>
    <w:rsid w:val="002E0864"/>
    <w:rsid w:val="002E1238"/>
    <w:rsid w:val="002E36FE"/>
    <w:rsid w:val="002E3BB8"/>
    <w:rsid w:val="002E4247"/>
    <w:rsid w:val="002E4A46"/>
    <w:rsid w:val="002E6D5B"/>
    <w:rsid w:val="002E6F53"/>
    <w:rsid w:val="002E79D7"/>
    <w:rsid w:val="002F089C"/>
    <w:rsid w:val="002F125E"/>
    <w:rsid w:val="002F1447"/>
    <w:rsid w:val="002F3711"/>
    <w:rsid w:val="002F46AE"/>
    <w:rsid w:val="002F507B"/>
    <w:rsid w:val="00300F07"/>
    <w:rsid w:val="00302134"/>
    <w:rsid w:val="003032CC"/>
    <w:rsid w:val="00304028"/>
    <w:rsid w:val="00305F33"/>
    <w:rsid w:val="00306C6E"/>
    <w:rsid w:val="00310BF1"/>
    <w:rsid w:val="00311844"/>
    <w:rsid w:val="00312135"/>
    <w:rsid w:val="00314F29"/>
    <w:rsid w:val="00315F45"/>
    <w:rsid w:val="0031703C"/>
    <w:rsid w:val="00317613"/>
    <w:rsid w:val="00320171"/>
    <w:rsid w:val="00321A74"/>
    <w:rsid w:val="003228A6"/>
    <w:rsid w:val="00322A11"/>
    <w:rsid w:val="0032473C"/>
    <w:rsid w:val="00324905"/>
    <w:rsid w:val="00327CB8"/>
    <w:rsid w:val="0033036A"/>
    <w:rsid w:val="00330397"/>
    <w:rsid w:val="00334073"/>
    <w:rsid w:val="003341FD"/>
    <w:rsid w:val="00334F7E"/>
    <w:rsid w:val="0034055D"/>
    <w:rsid w:val="003408EF"/>
    <w:rsid w:val="00342290"/>
    <w:rsid w:val="00342C91"/>
    <w:rsid w:val="0034304B"/>
    <w:rsid w:val="00343355"/>
    <w:rsid w:val="003447D6"/>
    <w:rsid w:val="0034621F"/>
    <w:rsid w:val="00346E0D"/>
    <w:rsid w:val="0034783C"/>
    <w:rsid w:val="00350555"/>
    <w:rsid w:val="00352866"/>
    <w:rsid w:val="003532E0"/>
    <w:rsid w:val="003542C1"/>
    <w:rsid w:val="00355BE6"/>
    <w:rsid w:val="00356342"/>
    <w:rsid w:val="00361F08"/>
    <w:rsid w:val="003622E1"/>
    <w:rsid w:val="003663F1"/>
    <w:rsid w:val="003676C4"/>
    <w:rsid w:val="00367997"/>
    <w:rsid w:val="003713FC"/>
    <w:rsid w:val="0037227E"/>
    <w:rsid w:val="0037310A"/>
    <w:rsid w:val="00373448"/>
    <w:rsid w:val="00373C67"/>
    <w:rsid w:val="00373E35"/>
    <w:rsid w:val="0037644F"/>
    <w:rsid w:val="0037709F"/>
    <w:rsid w:val="003776AF"/>
    <w:rsid w:val="0038005F"/>
    <w:rsid w:val="003811FC"/>
    <w:rsid w:val="003812F2"/>
    <w:rsid w:val="0038148B"/>
    <w:rsid w:val="00381AA2"/>
    <w:rsid w:val="00382114"/>
    <w:rsid w:val="003826D9"/>
    <w:rsid w:val="00382B9D"/>
    <w:rsid w:val="00383A9C"/>
    <w:rsid w:val="003846D5"/>
    <w:rsid w:val="0038588B"/>
    <w:rsid w:val="003869C6"/>
    <w:rsid w:val="00386BC8"/>
    <w:rsid w:val="00386D45"/>
    <w:rsid w:val="00387BB9"/>
    <w:rsid w:val="0039336F"/>
    <w:rsid w:val="00393955"/>
    <w:rsid w:val="00394952"/>
    <w:rsid w:val="003955DD"/>
    <w:rsid w:val="00396223"/>
    <w:rsid w:val="003965AB"/>
    <w:rsid w:val="00396DD9"/>
    <w:rsid w:val="00397DFD"/>
    <w:rsid w:val="003A0E4D"/>
    <w:rsid w:val="003A2E04"/>
    <w:rsid w:val="003A4369"/>
    <w:rsid w:val="003A4EC3"/>
    <w:rsid w:val="003A516C"/>
    <w:rsid w:val="003A5C55"/>
    <w:rsid w:val="003A6A75"/>
    <w:rsid w:val="003A7F60"/>
    <w:rsid w:val="003B0FCD"/>
    <w:rsid w:val="003B16D8"/>
    <w:rsid w:val="003B287E"/>
    <w:rsid w:val="003B2BE1"/>
    <w:rsid w:val="003B2E4D"/>
    <w:rsid w:val="003B3991"/>
    <w:rsid w:val="003B5002"/>
    <w:rsid w:val="003B6C82"/>
    <w:rsid w:val="003C0578"/>
    <w:rsid w:val="003C0801"/>
    <w:rsid w:val="003C0C2A"/>
    <w:rsid w:val="003C2891"/>
    <w:rsid w:val="003C28CE"/>
    <w:rsid w:val="003C2CAC"/>
    <w:rsid w:val="003C3969"/>
    <w:rsid w:val="003C5612"/>
    <w:rsid w:val="003C5879"/>
    <w:rsid w:val="003C5EF9"/>
    <w:rsid w:val="003C7C15"/>
    <w:rsid w:val="003D0EB5"/>
    <w:rsid w:val="003D209F"/>
    <w:rsid w:val="003D2B0A"/>
    <w:rsid w:val="003D344F"/>
    <w:rsid w:val="003D3727"/>
    <w:rsid w:val="003D3BC0"/>
    <w:rsid w:val="003D6024"/>
    <w:rsid w:val="003D6D37"/>
    <w:rsid w:val="003E0354"/>
    <w:rsid w:val="003E41C8"/>
    <w:rsid w:val="003E43E0"/>
    <w:rsid w:val="003E44E2"/>
    <w:rsid w:val="003E4A5A"/>
    <w:rsid w:val="003E58AA"/>
    <w:rsid w:val="003E63A7"/>
    <w:rsid w:val="003E7A6D"/>
    <w:rsid w:val="003F078F"/>
    <w:rsid w:val="003F1574"/>
    <w:rsid w:val="003F3207"/>
    <w:rsid w:val="003F3258"/>
    <w:rsid w:val="003F3357"/>
    <w:rsid w:val="003F384E"/>
    <w:rsid w:val="003F3C82"/>
    <w:rsid w:val="003F5080"/>
    <w:rsid w:val="003F54E9"/>
    <w:rsid w:val="003F6239"/>
    <w:rsid w:val="004012F8"/>
    <w:rsid w:val="004013C3"/>
    <w:rsid w:val="004013C7"/>
    <w:rsid w:val="004019FC"/>
    <w:rsid w:val="00402375"/>
    <w:rsid w:val="004076E8"/>
    <w:rsid w:val="00407B74"/>
    <w:rsid w:val="00414507"/>
    <w:rsid w:val="004146AE"/>
    <w:rsid w:val="004159D1"/>
    <w:rsid w:val="004163D8"/>
    <w:rsid w:val="00416737"/>
    <w:rsid w:val="00416B79"/>
    <w:rsid w:val="00416FB6"/>
    <w:rsid w:val="00417A0A"/>
    <w:rsid w:val="00420392"/>
    <w:rsid w:val="004207AC"/>
    <w:rsid w:val="00421DE7"/>
    <w:rsid w:val="00424FB9"/>
    <w:rsid w:val="00425758"/>
    <w:rsid w:val="0042595B"/>
    <w:rsid w:val="004270CE"/>
    <w:rsid w:val="00427761"/>
    <w:rsid w:val="00427948"/>
    <w:rsid w:val="004307C7"/>
    <w:rsid w:val="004312C5"/>
    <w:rsid w:val="00432ECA"/>
    <w:rsid w:val="0043369E"/>
    <w:rsid w:val="0043394E"/>
    <w:rsid w:val="00433A93"/>
    <w:rsid w:val="00436BC9"/>
    <w:rsid w:val="00437826"/>
    <w:rsid w:val="00437DD4"/>
    <w:rsid w:val="00441881"/>
    <w:rsid w:val="00442A39"/>
    <w:rsid w:val="00447412"/>
    <w:rsid w:val="00451ED3"/>
    <w:rsid w:val="00452A38"/>
    <w:rsid w:val="0045363D"/>
    <w:rsid w:val="00453BCC"/>
    <w:rsid w:val="00453D9A"/>
    <w:rsid w:val="00456509"/>
    <w:rsid w:val="00456523"/>
    <w:rsid w:val="0045694D"/>
    <w:rsid w:val="00457C6E"/>
    <w:rsid w:val="0046026B"/>
    <w:rsid w:val="004624B0"/>
    <w:rsid w:val="0046278B"/>
    <w:rsid w:val="00463B65"/>
    <w:rsid w:val="00464CD1"/>
    <w:rsid w:val="004652EE"/>
    <w:rsid w:val="004657CC"/>
    <w:rsid w:val="00465858"/>
    <w:rsid w:val="00467260"/>
    <w:rsid w:val="004703B8"/>
    <w:rsid w:val="00471067"/>
    <w:rsid w:val="00471669"/>
    <w:rsid w:val="0047269A"/>
    <w:rsid w:val="00472CFA"/>
    <w:rsid w:val="004745FA"/>
    <w:rsid w:val="00475F0D"/>
    <w:rsid w:val="004769D1"/>
    <w:rsid w:val="0048251A"/>
    <w:rsid w:val="00482A56"/>
    <w:rsid w:val="00482AC2"/>
    <w:rsid w:val="004834DA"/>
    <w:rsid w:val="004846B5"/>
    <w:rsid w:val="004849E3"/>
    <w:rsid w:val="00486F86"/>
    <w:rsid w:val="00487A16"/>
    <w:rsid w:val="00487B3A"/>
    <w:rsid w:val="00487B55"/>
    <w:rsid w:val="00487C11"/>
    <w:rsid w:val="004906D8"/>
    <w:rsid w:val="00490A9B"/>
    <w:rsid w:val="00491893"/>
    <w:rsid w:val="00491F82"/>
    <w:rsid w:val="004922B8"/>
    <w:rsid w:val="00492454"/>
    <w:rsid w:val="00493C40"/>
    <w:rsid w:val="00495F90"/>
    <w:rsid w:val="004A0D25"/>
    <w:rsid w:val="004A1B7B"/>
    <w:rsid w:val="004A2498"/>
    <w:rsid w:val="004A26DF"/>
    <w:rsid w:val="004A2D46"/>
    <w:rsid w:val="004A4363"/>
    <w:rsid w:val="004A5008"/>
    <w:rsid w:val="004A5264"/>
    <w:rsid w:val="004A54A8"/>
    <w:rsid w:val="004A6E87"/>
    <w:rsid w:val="004A73CA"/>
    <w:rsid w:val="004A7C40"/>
    <w:rsid w:val="004B0358"/>
    <w:rsid w:val="004B09D6"/>
    <w:rsid w:val="004B0A86"/>
    <w:rsid w:val="004B3A05"/>
    <w:rsid w:val="004B3E7E"/>
    <w:rsid w:val="004B4877"/>
    <w:rsid w:val="004B496A"/>
    <w:rsid w:val="004B4D85"/>
    <w:rsid w:val="004B54E6"/>
    <w:rsid w:val="004B6040"/>
    <w:rsid w:val="004B6127"/>
    <w:rsid w:val="004B675A"/>
    <w:rsid w:val="004B6A8C"/>
    <w:rsid w:val="004B7064"/>
    <w:rsid w:val="004B71D3"/>
    <w:rsid w:val="004B771C"/>
    <w:rsid w:val="004C1EEB"/>
    <w:rsid w:val="004C2808"/>
    <w:rsid w:val="004C459A"/>
    <w:rsid w:val="004C5332"/>
    <w:rsid w:val="004C549C"/>
    <w:rsid w:val="004C6A27"/>
    <w:rsid w:val="004C763A"/>
    <w:rsid w:val="004C79C6"/>
    <w:rsid w:val="004D2BFD"/>
    <w:rsid w:val="004D3053"/>
    <w:rsid w:val="004D3752"/>
    <w:rsid w:val="004D6B76"/>
    <w:rsid w:val="004D76B3"/>
    <w:rsid w:val="004E049D"/>
    <w:rsid w:val="004E0B2C"/>
    <w:rsid w:val="004E0DF3"/>
    <w:rsid w:val="004E1FB2"/>
    <w:rsid w:val="004E367F"/>
    <w:rsid w:val="004E4220"/>
    <w:rsid w:val="004E4524"/>
    <w:rsid w:val="004E5791"/>
    <w:rsid w:val="004E623B"/>
    <w:rsid w:val="004E6860"/>
    <w:rsid w:val="004F0270"/>
    <w:rsid w:val="004F2217"/>
    <w:rsid w:val="004F23DD"/>
    <w:rsid w:val="004F3184"/>
    <w:rsid w:val="004F3BD7"/>
    <w:rsid w:val="004F4E92"/>
    <w:rsid w:val="004F70B1"/>
    <w:rsid w:val="004F784B"/>
    <w:rsid w:val="004F7BB7"/>
    <w:rsid w:val="0050082D"/>
    <w:rsid w:val="00500CAF"/>
    <w:rsid w:val="00502269"/>
    <w:rsid w:val="00502F4E"/>
    <w:rsid w:val="00503008"/>
    <w:rsid w:val="005045E2"/>
    <w:rsid w:val="0050519C"/>
    <w:rsid w:val="005061C5"/>
    <w:rsid w:val="00506F33"/>
    <w:rsid w:val="00512800"/>
    <w:rsid w:val="00513635"/>
    <w:rsid w:val="00513C0D"/>
    <w:rsid w:val="00514C9E"/>
    <w:rsid w:val="0051571D"/>
    <w:rsid w:val="00516153"/>
    <w:rsid w:val="0051772E"/>
    <w:rsid w:val="00517F0C"/>
    <w:rsid w:val="005220C9"/>
    <w:rsid w:val="00522696"/>
    <w:rsid w:val="005234D1"/>
    <w:rsid w:val="00523D72"/>
    <w:rsid w:val="005249BD"/>
    <w:rsid w:val="00525ADE"/>
    <w:rsid w:val="0052718C"/>
    <w:rsid w:val="005300AA"/>
    <w:rsid w:val="005301EC"/>
    <w:rsid w:val="0053055B"/>
    <w:rsid w:val="00531824"/>
    <w:rsid w:val="00532592"/>
    <w:rsid w:val="00533441"/>
    <w:rsid w:val="005344B1"/>
    <w:rsid w:val="00534BBE"/>
    <w:rsid w:val="005368B2"/>
    <w:rsid w:val="0053701D"/>
    <w:rsid w:val="00537AA0"/>
    <w:rsid w:val="00541098"/>
    <w:rsid w:val="005412B8"/>
    <w:rsid w:val="00541596"/>
    <w:rsid w:val="0054314D"/>
    <w:rsid w:val="00543714"/>
    <w:rsid w:val="00543BA1"/>
    <w:rsid w:val="00544430"/>
    <w:rsid w:val="00544F69"/>
    <w:rsid w:val="00544FAA"/>
    <w:rsid w:val="005456F5"/>
    <w:rsid w:val="00545FB7"/>
    <w:rsid w:val="005475BF"/>
    <w:rsid w:val="005506FB"/>
    <w:rsid w:val="005533C6"/>
    <w:rsid w:val="00554B79"/>
    <w:rsid w:val="00554D83"/>
    <w:rsid w:val="00555513"/>
    <w:rsid w:val="00556D55"/>
    <w:rsid w:val="005600EA"/>
    <w:rsid w:val="00561320"/>
    <w:rsid w:val="0056164A"/>
    <w:rsid w:val="005620B7"/>
    <w:rsid w:val="00562529"/>
    <w:rsid w:val="00562C94"/>
    <w:rsid w:val="00563C67"/>
    <w:rsid w:val="005649B3"/>
    <w:rsid w:val="00565A50"/>
    <w:rsid w:val="00567EE5"/>
    <w:rsid w:val="00571EA2"/>
    <w:rsid w:val="00573D58"/>
    <w:rsid w:val="00574B7E"/>
    <w:rsid w:val="00574E47"/>
    <w:rsid w:val="00577010"/>
    <w:rsid w:val="005774A0"/>
    <w:rsid w:val="0058102E"/>
    <w:rsid w:val="00582445"/>
    <w:rsid w:val="00583DED"/>
    <w:rsid w:val="00584062"/>
    <w:rsid w:val="00585819"/>
    <w:rsid w:val="005865CC"/>
    <w:rsid w:val="005876C1"/>
    <w:rsid w:val="005905A4"/>
    <w:rsid w:val="00590ED8"/>
    <w:rsid w:val="00591576"/>
    <w:rsid w:val="00591C64"/>
    <w:rsid w:val="00592011"/>
    <w:rsid w:val="0059211F"/>
    <w:rsid w:val="00593D34"/>
    <w:rsid w:val="005962E6"/>
    <w:rsid w:val="00596D87"/>
    <w:rsid w:val="005972BC"/>
    <w:rsid w:val="00597808"/>
    <w:rsid w:val="005A016A"/>
    <w:rsid w:val="005A0C2E"/>
    <w:rsid w:val="005A3570"/>
    <w:rsid w:val="005A38FA"/>
    <w:rsid w:val="005A3941"/>
    <w:rsid w:val="005A6B13"/>
    <w:rsid w:val="005B0348"/>
    <w:rsid w:val="005B05B6"/>
    <w:rsid w:val="005B1D93"/>
    <w:rsid w:val="005B2438"/>
    <w:rsid w:val="005B3474"/>
    <w:rsid w:val="005B427B"/>
    <w:rsid w:val="005B4898"/>
    <w:rsid w:val="005B4F81"/>
    <w:rsid w:val="005C0280"/>
    <w:rsid w:val="005C093D"/>
    <w:rsid w:val="005C113A"/>
    <w:rsid w:val="005C13A2"/>
    <w:rsid w:val="005C31A9"/>
    <w:rsid w:val="005C3A77"/>
    <w:rsid w:val="005C4480"/>
    <w:rsid w:val="005C5C52"/>
    <w:rsid w:val="005C68EC"/>
    <w:rsid w:val="005C721F"/>
    <w:rsid w:val="005C72E4"/>
    <w:rsid w:val="005C7A5B"/>
    <w:rsid w:val="005D12F3"/>
    <w:rsid w:val="005D2FA8"/>
    <w:rsid w:val="005D35AD"/>
    <w:rsid w:val="005D4E99"/>
    <w:rsid w:val="005D790C"/>
    <w:rsid w:val="005D7AD8"/>
    <w:rsid w:val="005E08EE"/>
    <w:rsid w:val="005E0E85"/>
    <w:rsid w:val="005E2E2D"/>
    <w:rsid w:val="005E3462"/>
    <w:rsid w:val="005E4D6E"/>
    <w:rsid w:val="005E5074"/>
    <w:rsid w:val="005E5DA8"/>
    <w:rsid w:val="005E7692"/>
    <w:rsid w:val="005F1185"/>
    <w:rsid w:val="005F32C8"/>
    <w:rsid w:val="005F3A5C"/>
    <w:rsid w:val="005F43EF"/>
    <w:rsid w:val="005F473A"/>
    <w:rsid w:val="005F477C"/>
    <w:rsid w:val="005F4B5E"/>
    <w:rsid w:val="005F6328"/>
    <w:rsid w:val="00604538"/>
    <w:rsid w:val="00605743"/>
    <w:rsid w:val="00606634"/>
    <w:rsid w:val="00606B0A"/>
    <w:rsid w:val="00606ED2"/>
    <w:rsid w:val="00607C37"/>
    <w:rsid w:val="00610775"/>
    <w:rsid w:val="00610A47"/>
    <w:rsid w:val="006118DC"/>
    <w:rsid w:val="006119FB"/>
    <w:rsid w:val="00612002"/>
    <w:rsid w:val="0061320B"/>
    <w:rsid w:val="0061385B"/>
    <w:rsid w:val="00615473"/>
    <w:rsid w:val="006158EA"/>
    <w:rsid w:val="006165C4"/>
    <w:rsid w:val="006206BC"/>
    <w:rsid w:val="006220F3"/>
    <w:rsid w:val="006224CB"/>
    <w:rsid w:val="00623FFB"/>
    <w:rsid w:val="006240FB"/>
    <w:rsid w:val="00625149"/>
    <w:rsid w:val="006260E6"/>
    <w:rsid w:val="0063108B"/>
    <w:rsid w:val="00631DF5"/>
    <w:rsid w:val="00632BAB"/>
    <w:rsid w:val="006344BA"/>
    <w:rsid w:val="0063472A"/>
    <w:rsid w:val="006351C7"/>
    <w:rsid w:val="00635A90"/>
    <w:rsid w:val="00636B30"/>
    <w:rsid w:val="00637CFD"/>
    <w:rsid w:val="006403D5"/>
    <w:rsid w:val="00642034"/>
    <w:rsid w:val="00643854"/>
    <w:rsid w:val="00646500"/>
    <w:rsid w:val="00646942"/>
    <w:rsid w:val="00650D76"/>
    <w:rsid w:val="006514A5"/>
    <w:rsid w:val="0065318E"/>
    <w:rsid w:val="00656670"/>
    <w:rsid w:val="00660508"/>
    <w:rsid w:val="006627CA"/>
    <w:rsid w:val="00662D9C"/>
    <w:rsid w:val="00662FB1"/>
    <w:rsid w:val="00664EBB"/>
    <w:rsid w:val="00664F0B"/>
    <w:rsid w:val="006651A8"/>
    <w:rsid w:val="00665A02"/>
    <w:rsid w:val="00665DB5"/>
    <w:rsid w:val="00670943"/>
    <w:rsid w:val="006709D2"/>
    <w:rsid w:val="00670E66"/>
    <w:rsid w:val="006711BF"/>
    <w:rsid w:val="00672C00"/>
    <w:rsid w:val="006743AF"/>
    <w:rsid w:val="00675BCE"/>
    <w:rsid w:val="00675EBE"/>
    <w:rsid w:val="006809B4"/>
    <w:rsid w:val="0068157C"/>
    <w:rsid w:val="00683F3C"/>
    <w:rsid w:val="006846B3"/>
    <w:rsid w:val="006856D6"/>
    <w:rsid w:val="00687716"/>
    <w:rsid w:val="00687AC3"/>
    <w:rsid w:val="00696CA3"/>
    <w:rsid w:val="006977AF"/>
    <w:rsid w:val="00697E74"/>
    <w:rsid w:val="006A0324"/>
    <w:rsid w:val="006A054A"/>
    <w:rsid w:val="006A11E8"/>
    <w:rsid w:val="006A2CFD"/>
    <w:rsid w:val="006A2E9E"/>
    <w:rsid w:val="006A3959"/>
    <w:rsid w:val="006A40D8"/>
    <w:rsid w:val="006A5AEB"/>
    <w:rsid w:val="006A5BDF"/>
    <w:rsid w:val="006A60B7"/>
    <w:rsid w:val="006B00F5"/>
    <w:rsid w:val="006B083C"/>
    <w:rsid w:val="006B0CBF"/>
    <w:rsid w:val="006B10D4"/>
    <w:rsid w:val="006B111E"/>
    <w:rsid w:val="006B193E"/>
    <w:rsid w:val="006B2C6A"/>
    <w:rsid w:val="006B358A"/>
    <w:rsid w:val="006B3E6D"/>
    <w:rsid w:val="006B6005"/>
    <w:rsid w:val="006B7EB2"/>
    <w:rsid w:val="006C3090"/>
    <w:rsid w:val="006C4F0D"/>
    <w:rsid w:val="006C4F39"/>
    <w:rsid w:val="006C6A8C"/>
    <w:rsid w:val="006D05DA"/>
    <w:rsid w:val="006D0871"/>
    <w:rsid w:val="006D31B2"/>
    <w:rsid w:val="006D4218"/>
    <w:rsid w:val="006D4AFF"/>
    <w:rsid w:val="006D4CE5"/>
    <w:rsid w:val="006D53FC"/>
    <w:rsid w:val="006E1B6D"/>
    <w:rsid w:val="006E3D8D"/>
    <w:rsid w:val="006E487A"/>
    <w:rsid w:val="006E4E9C"/>
    <w:rsid w:val="006E57B7"/>
    <w:rsid w:val="006E5C26"/>
    <w:rsid w:val="006F0263"/>
    <w:rsid w:val="006F1E3F"/>
    <w:rsid w:val="006F2111"/>
    <w:rsid w:val="006F3D01"/>
    <w:rsid w:val="006F43B3"/>
    <w:rsid w:val="006F62D6"/>
    <w:rsid w:val="006F6A00"/>
    <w:rsid w:val="006F7329"/>
    <w:rsid w:val="0070030C"/>
    <w:rsid w:val="0070235D"/>
    <w:rsid w:val="00702461"/>
    <w:rsid w:val="007045A5"/>
    <w:rsid w:val="00704A89"/>
    <w:rsid w:val="00704E49"/>
    <w:rsid w:val="00706D5D"/>
    <w:rsid w:val="0071184F"/>
    <w:rsid w:val="00712A81"/>
    <w:rsid w:val="00714338"/>
    <w:rsid w:val="0071433C"/>
    <w:rsid w:val="00714891"/>
    <w:rsid w:val="007236E7"/>
    <w:rsid w:val="007260B4"/>
    <w:rsid w:val="00727DC1"/>
    <w:rsid w:val="0073018A"/>
    <w:rsid w:val="00730E8D"/>
    <w:rsid w:val="00731273"/>
    <w:rsid w:val="00731AA8"/>
    <w:rsid w:val="00732851"/>
    <w:rsid w:val="0073327A"/>
    <w:rsid w:val="00735DB7"/>
    <w:rsid w:val="00735F33"/>
    <w:rsid w:val="007364AF"/>
    <w:rsid w:val="00737DF9"/>
    <w:rsid w:val="007409F8"/>
    <w:rsid w:val="007420FC"/>
    <w:rsid w:val="007422D3"/>
    <w:rsid w:val="007431A1"/>
    <w:rsid w:val="007444F3"/>
    <w:rsid w:val="00745D34"/>
    <w:rsid w:val="0074629C"/>
    <w:rsid w:val="00746E96"/>
    <w:rsid w:val="00747763"/>
    <w:rsid w:val="00747BEF"/>
    <w:rsid w:val="00747E7B"/>
    <w:rsid w:val="00750E6C"/>
    <w:rsid w:val="007514D0"/>
    <w:rsid w:val="00751E8B"/>
    <w:rsid w:val="00753B72"/>
    <w:rsid w:val="00753C90"/>
    <w:rsid w:val="007558A3"/>
    <w:rsid w:val="00756E2A"/>
    <w:rsid w:val="00757187"/>
    <w:rsid w:val="00757CD2"/>
    <w:rsid w:val="007604F4"/>
    <w:rsid w:val="00760E64"/>
    <w:rsid w:val="00761946"/>
    <w:rsid w:val="00761B9C"/>
    <w:rsid w:val="007622D6"/>
    <w:rsid w:val="00762B60"/>
    <w:rsid w:val="007648D4"/>
    <w:rsid w:val="00764C0A"/>
    <w:rsid w:val="0076619C"/>
    <w:rsid w:val="00766711"/>
    <w:rsid w:val="0076700A"/>
    <w:rsid w:val="007701AE"/>
    <w:rsid w:val="00770835"/>
    <w:rsid w:val="00770A47"/>
    <w:rsid w:val="00771AF4"/>
    <w:rsid w:val="00772006"/>
    <w:rsid w:val="00772B0B"/>
    <w:rsid w:val="0077315D"/>
    <w:rsid w:val="0077321D"/>
    <w:rsid w:val="00773F45"/>
    <w:rsid w:val="0077421B"/>
    <w:rsid w:val="00774287"/>
    <w:rsid w:val="00780870"/>
    <w:rsid w:val="00781378"/>
    <w:rsid w:val="00783A72"/>
    <w:rsid w:val="00785FBA"/>
    <w:rsid w:val="00786D8B"/>
    <w:rsid w:val="00790646"/>
    <w:rsid w:val="007915DA"/>
    <w:rsid w:val="0079227F"/>
    <w:rsid w:val="007927F1"/>
    <w:rsid w:val="00792DFC"/>
    <w:rsid w:val="00794AB7"/>
    <w:rsid w:val="00796E4F"/>
    <w:rsid w:val="007A0938"/>
    <w:rsid w:val="007A2F15"/>
    <w:rsid w:val="007A371A"/>
    <w:rsid w:val="007A427C"/>
    <w:rsid w:val="007B0CEF"/>
    <w:rsid w:val="007B185D"/>
    <w:rsid w:val="007B3A81"/>
    <w:rsid w:val="007B65C1"/>
    <w:rsid w:val="007B7DC5"/>
    <w:rsid w:val="007C02F9"/>
    <w:rsid w:val="007C31F5"/>
    <w:rsid w:val="007C503A"/>
    <w:rsid w:val="007C51E2"/>
    <w:rsid w:val="007C6DE8"/>
    <w:rsid w:val="007D2380"/>
    <w:rsid w:val="007D25CF"/>
    <w:rsid w:val="007D2AC2"/>
    <w:rsid w:val="007D2D3B"/>
    <w:rsid w:val="007D4133"/>
    <w:rsid w:val="007D681C"/>
    <w:rsid w:val="007D69F0"/>
    <w:rsid w:val="007D71E1"/>
    <w:rsid w:val="007E034E"/>
    <w:rsid w:val="007E054A"/>
    <w:rsid w:val="007E06A6"/>
    <w:rsid w:val="007E0B59"/>
    <w:rsid w:val="007E17CC"/>
    <w:rsid w:val="007E2479"/>
    <w:rsid w:val="007E2817"/>
    <w:rsid w:val="007E3638"/>
    <w:rsid w:val="007E475E"/>
    <w:rsid w:val="007E4795"/>
    <w:rsid w:val="007E6CC2"/>
    <w:rsid w:val="007F1C55"/>
    <w:rsid w:val="007F1DB1"/>
    <w:rsid w:val="007F3BB5"/>
    <w:rsid w:val="007F6931"/>
    <w:rsid w:val="007F698D"/>
    <w:rsid w:val="007F789F"/>
    <w:rsid w:val="007F7EA8"/>
    <w:rsid w:val="00801043"/>
    <w:rsid w:val="008021F4"/>
    <w:rsid w:val="008038D9"/>
    <w:rsid w:val="00806E3F"/>
    <w:rsid w:val="00810137"/>
    <w:rsid w:val="00810A8A"/>
    <w:rsid w:val="00813A5B"/>
    <w:rsid w:val="00813C3D"/>
    <w:rsid w:val="008143B7"/>
    <w:rsid w:val="00814532"/>
    <w:rsid w:val="0081474C"/>
    <w:rsid w:val="00815097"/>
    <w:rsid w:val="0081608D"/>
    <w:rsid w:val="00816205"/>
    <w:rsid w:val="00822827"/>
    <w:rsid w:val="00823209"/>
    <w:rsid w:val="008234EF"/>
    <w:rsid w:val="008251F4"/>
    <w:rsid w:val="00825453"/>
    <w:rsid w:val="00825C53"/>
    <w:rsid w:val="008319DC"/>
    <w:rsid w:val="008320BC"/>
    <w:rsid w:val="00833138"/>
    <w:rsid w:val="0083373B"/>
    <w:rsid w:val="00833C11"/>
    <w:rsid w:val="008366FB"/>
    <w:rsid w:val="00836F06"/>
    <w:rsid w:val="00840408"/>
    <w:rsid w:val="00840C81"/>
    <w:rsid w:val="00840D9E"/>
    <w:rsid w:val="0084233E"/>
    <w:rsid w:val="00842DF5"/>
    <w:rsid w:val="008448FF"/>
    <w:rsid w:val="00844A18"/>
    <w:rsid w:val="00845238"/>
    <w:rsid w:val="00846272"/>
    <w:rsid w:val="00846828"/>
    <w:rsid w:val="008503B2"/>
    <w:rsid w:val="008503F9"/>
    <w:rsid w:val="008513F5"/>
    <w:rsid w:val="00851C18"/>
    <w:rsid w:val="008524B5"/>
    <w:rsid w:val="0085252B"/>
    <w:rsid w:val="00853127"/>
    <w:rsid w:val="00853A46"/>
    <w:rsid w:val="00853C55"/>
    <w:rsid w:val="00856AD3"/>
    <w:rsid w:val="00857725"/>
    <w:rsid w:val="00861C17"/>
    <w:rsid w:val="008620AB"/>
    <w:rsid w:val="00863140"/>
    <w:rsid w:val="008632D8"/>
    <w:rsid w:val="0086408E"/>
    <w:rsid w:val="00864378"/>
    <w:rsid w:val="00865CD1"/>
    <w:rsid w:val="008661C4"/>
    <w:rsid w:val="0086624B"/>
    <w:rsid w:val="008663D3"/>
    <w:rsid w:val="008679FD"/>
    <w:rsid w:val="00872527"/>
    <w:rsid w:val="00872BFD"/>
    <w:rsid w:val="00874015"/>
    <w:rsid w:val="0087414B"/>
    <w:rsid w:val="008745BC"/>
    <w:rsid w:val="00875C11"/>
    <w:rsid w:val="008818E0"/>
    <w:rsid w:val="00881AD7"/>
    <w:rsid w:val="0088335C"/>
    <w:rsid w:val="00883533"/>
    <w:rsid w:val="008836C3"/>
    <w:rsid w:val="008836CD"/>
    <w:rsid w:val="008841EC"/>
    <w:rsid w:val="008864A9"/>
    <w:rsid w:val="00886C7F"/>
    <w:rsid w:val="00886F9A"/>
    <w:rsid w:val="0089125A"/>
    <w:rsid w:val="00892F15"/>
    <w:rsid w:val="00892FDF"/>
    <w:rsid w:val="00893AF9"/>
    <w:rsid w:val="00893DA5"/>
    <w:rsid w:val="008950E1"/>
    <w:rsid w:val="00895A34"/>
    <w:rsid w:val="008967F5"/>
    <w:rsid w:val="00896B77"/>
    <w:rsid w:val="00896D34"/>
    <w:rsid w:val="00897FE8"/>
    <w:rsid w:val="008A12DA"/>
    <w:rsid w:val="008A3E0C"/>
    <w:rsid w:val="008A407A"/>
    <w:rsid w:val="008A4E23"/>
    <w:rsid w:val="008A52B2"/>
    <w:rsid w:val="008A73B5"/>
    <w:rsid w:val="008B08FB"/>
    <w:rsid w:val="008B1AA3"/>
    <w:rsid w:val="008B465C"/>
    <w:rsid w:val="008B56A1"/>
    <w:rsid w:val="008B7477"/>
    <w:rsid w:val="008C24DD"/>
    <w:rsid w:val="008C3AA4"/>
    <w:rsid w:val="008C62FD"/>
    <w:rsid w:val="008C6B6C"/>
    <w:rsid w:val="008C6DE2"/>
    <w:rsid w:val="008D0566"/>
    <w:rsid w:val="008D1F55"/>
    <w:rsid w:val="008D2BB2"/>
    <w:rsid w:val="008D44D0"/>
    <w:rsid w:val="008D45A7"/>
    <w:rsid w:val="008D4A75"/>
    <w:rsid w:val="008D4F80"/>
    <w:rsid w:val="008D5CCB"/>
    <w:rsid w:val="008E2017"/>
    <w:rsid w:val="008E2CDF"/>
    <w:rsid w:val="008E2DB4"/>
    <w:rsid w:val="008E4993"/>
    <w:rsid w:val="008E4CDF"/>
    <w:rsid w:val="008E6484"/>
    <w:rsid w:val="008E7D66"/>
    <w:rsid w:val="008F043B"/>
    <w:rsid w:val="008F0F3C"/>
    <w:rsid w:val="008F2465"/>
    <w:rsid w:val="008F2FE5"/>
    <w:rsid w:val="008F3425"/>
    <w:rsid w:val="008F5A14"/>
    <w:rsid w:val="008F5A24"/>
    <w:rsid w:val="008F5E09"/>
    <w:rsid w:val="008F5EF2"/>
    <w:rsid w:val="008F5F64"/>
    <w:rsid w:val="008F6AF9"/>
    <w:rsid w:val="008F7A53"/>
    <w:rsid w:val="0090094B"/>
    <w:rsid w:val="0090550B"/>
    <w:rsid w:val="00905FAD"/>
    <w:rsid w:val="00906E20"/>
    <w:rsid w:val="00907C90"/>
    <w:rsid w:val="00910CDB"/>
    <w:rsid w:val="00911725"/>
    <w:rsid w:val="009131C0"/>
    <w:rsid w:val="00913B71"/>
    <w:rsid w:val="00915911"/>
    <w:rsid w:val="00916998"/>
    <w:rsid w:val="00916DC5"/>
    <w:rsid w:val="00921096"/>
    <w:rsid w:val="00922626"/>
    <w:rsid w:val="00923BD2"/>
    <w:rsid w:val="00923F38"/>
    <w:rsid w:val="00923F63"/>
    <w:rsid w:val="009241C2"/>
    <w:rsid w:val="00924F47"/>
    <w:rsid w:val="009265D5"/>
    <w:rsid w:val="00927BD7"/>
    <w:rsid w:val="00932D01"/>
    <w:rsid w:val="009351FA"/>
    <w:rsid w:val="00936AB0"/>
    <w:rsid w:val="00937571"/>
    <w:rsid w:val="009375F5"/>
    <w:rsid w:val="0094081F"/>
    <w:rsid w:val="00942532"/>
    <w:rsid w:val="009425FA"/>
    <w:rsid w:val="00943972"/>
    <w:rsid w:val="0094459D"/>
    <w:rsid w:val="00945805"/>
    <w:rsid w:val="0094621C"/>
    <w:rsid w:val="00946CD3"/>
    <w:rsid w:val="00950BB2"/>
    <w:rsid w:val="009513CC"/>
    <w:rsid w:val="009519A2"/>
    <w:rsid w:val="00951F3D"/>
    <w:rsid w:val="009530A9"/>
    <w:rsid w:val="00953741"/>
    <w:rsid w:val="00953762"/>
    <w:rsid w:val="0095423B"/>
    <w:rsid w:val="00955336"/>
    <w:rsid w:val="009567FC"/>
    <w:rsid w:val="00957441"/>
    <w:rsid w:val="00957EA6"/>
    <w:rsid w:val="00961020"/>
    <w:rsid w:val="009619CF"/>
    <w:rsid w:val="00961C93"/>
    <w:rsid w:val="009622CF"/>
    <w:rsid w:val="009639F7"/>
    <w:rsid w:val="00963EB0"/>
    <w:rsid w:val="00964525"/>
    <w:rsid w:val="0096684E"/>
    <w:rsid w:val="00966FB5"/>
    <w:rsid w:val="00970324"/>
    <w:rsid w:val="00970837"/>
    <w:rsid w:val="00970B81"/>
    <w:rsid w:val="00971DFA"/>
    <w:rsid w:val="0097300B"/>
    <w:rsid w:val="009739AD"/>
    <w:rsid w:val="0097419D"/>
    <w:rsid w:val="009768EC"/>
    <w:rsid w:val="00976EE8"/>
    <w:rsid w:val="00976F9F"/>
    <w:rsid w:val="00977C3B"/>
    <w:rsid w:val="00977F8B"/>
    <w:rsid w:val="009804EC"/>
    <w:rsid w:val="00980D35"/>
    <w:rsid w:val="009856E9"/>
    <w:rsid w:val="009860EC"/>
    <w:rsid w:val="00986B35"/>
    <w:rsid w:val="0098767B"/>
    <w:rsid w:val="009878A6"/>
    <w:rsid w:val="00987FD7"/>
    <w:rsid w:val="0099053D"/>
    <w:rsid w:val="009910BB"/>
    <w:rsid w:val="009929CD"/>
    <w:rsid w:val="00992AE6"/>
    <w:rsid w:val="00993262"/>
    <w:rsid w:val="0099443F"/>
    <w:rsid w:val="00995FE0"/>
    <w:rsid w:val="00997717"/>
    <w:rsid w:val="009A06C4"/>
    <w:rsid w:val="009A10E3"/>
    <w:rsid w:val="009A1BCE"/>
    <w:rsid w:val="009A1D5D"/>
    <w:rsid w:val="009A2674"/>
    <w:rsid w:val="009A2FF5"/>
    <w:rsid w:val="009A4D76"/>
    <w:rsid w:val="009A4E59"/>
    <w:rsid w:val="009A50C2"/>
    <w:rsid w:val="009A549E"/>
    <w:rsid w:val="009A600D"/>
    <w:rsid w:val="009A65B9"/>
    <w:rsid w:val="009B0F7D"/>
    <w:rsid w:val="009B110F"/>
    <w:rsid w:val="009B1396"/>
    <w:rsid w:val="009B1D9D"/>
    <w:rsid w:val="009B4E40"/>
    <w:rsid w:val="009B5A1F"/>
    <w:rsid w:val="009B6074"/>
    <w:rsid w:val="009B68E9"/>
    <w:rsid w:val="009B6FD3"/>
    <w:rsid w:val="009B75CC"/>
    <w:rsid w:val="009C0128"/>
    <w:rsid w:val="009C0DAC"/>
    <w:rsid w:val="009C11F0"/>
    <w:rsid w:val="009C223B"/>
    <w:rsid w:val="009C286B"/>
    <w:rsid w:val="009C3D39"/>
    <w:rsid w:val="009C53A0"/>
    <w:rsid w:val="009C5F13"/>
    <w:rsid w:val="009C6020"/>
    <w:rsid w:val="009C7CE5"/>
    <w:rsid w:val="009D0B74"/>
    <w:rsid w:val="009D4473"/>
    <w:rsid w:val="009D5407"/>
    <w:rsid w:val="009D5E12"/>
    <w:rsid w:val="009D6D4B"/>
    <w:rsid w:val="009D769E"/>
    <w:rsid w:val="009D7BD7"/>
    <w:rsid w:val="009E0F47"/>
    <w:rsid w:val="009E1554"/>
    <w:rsid w:val="009E2F48"/>
    <w:rsid w:val="009E3BBA"/>
    <w:rsid w:val="009E48D7"/>
    <w:rsid w:val="009E4AAF"/>
    <w:rsid w:val="009E4FDF"/>
    <w:rsid w:val="009E53AA"/>
    <w:rsid w:val="009E5835"/>
    <w:rsid w:val="009E5912"/>
    <w:rsid w:val="009E6240"/>
    <w:rsid w:val="009E6AF5"/>
    <w:rsid w:val="009E6E2B"/>
    <w:rsid w:val="009F0218"/>
    <w:rsid w:val="009F0317"/>
    <w:rsid w:val="009F0E10"/>
    <w:rsid w:val="009F1C86"/>
    <w:rsid w:val="009F2937"/>
    <w:rsid w:val="009F4FE4"/>
    <w:rsid w:val="009F53BD"/>
    <w:rsid w:val="009F6FFD"/>
    <w:rsid w:val="009F7867"/>
    <w:rsid w:val="009F7975"/>
    <w:rsid w:val="00A0011F"/>
    <w:rsid w:val="00A004D1"/>
    <w:rsid w:val="00A02B27"/>
    <w:rsid w:val="00A03141"/>
    <w:rsid w:val="00A03C37"/>
    <w:rsid w:val="00A04B3A"/>
    <w:rsid w:val="00A05002"/>
    <w:rsid w:val="00A05577"/>
    <w:rsid w:val="00A05DE5"/>
    <w:rsid w:val="00A06418"/>
    <w:rsid w:val="00A064E5"/>
    <w:rsid w:val="00A06F32"/>
    <w:rsid w:val="00A0712C"/>
    <w:rsid w:val="00A1031E"/>
    <w:rsid w:val="00A1057B"/>
    <w:rsid w:val="00A10A19"/>
    <w:rsid w:val="00A11067"/>
    <w:rsid w:val="00A1128A"/>
    <w:rsid w:val="00A143AA"/>
    <w:rsid w:val="00A14857"/>
    <w:rsid w:val="00A1512C"/>
    <w:rsid w:val="00A16892"/>
    <w:rsid w:val="00A17847"/>
    <w:rsid w:val="00A17B08"/>
    <w:rsid w:val="00A201EB"/>
    <w:rsid w:val="00A20F1A"/>
    <w:rsid w:val="00A21271"/>
    <w:rsid w:val="00A21692"/>
    <w:rsid w:val="00A21B8B"/>
    <w:rsid w:val="00A221E2"/>
    <w:rsid w:val="00A22C95"/>
    <w:rsid w:val="00A24F24"/>
    <w:rsid w:val="00A25826"/>
    <w:rsid w:val="00A25EC9"/>
    <w:rsid w:val="00A26C9E"/>
    <w:rsid w:val="00A30E9C"/>
    <w:rsid w:val="00A310A9"/>
    <w:rsid w:val="00A31366"/>
    <w:rsid w:val="00A34D7B"/>
    <w:rsid w:val="00A35B0C"/>
    <w:rsid w:val="00A35D17"/>
    <w:rsid w:val="00A36C87"/>
    <w:rsid w:val="00A37681"/>
    <w:rsid w:val="00A40A43"/>
    <w:rsid w:val="00A41B48"/>
    <w:rsid w:val="00A43F30"/>
    <w:rsid w:val="00A44083"/>
    <w:rsid w:val="00A45309"/>
    <w:rsid w:val="00A454C9"/>
    <w:rsid w:val="00A4585D"/>
    <w:rsid w:val="00A46C47"/>
    <w:rsid w:val="00A47382"/>
    <w:rsid w:val="00A50456"/>
    <w:rsid w:val="00A566F2"/>
    <w:rsid w:val="00A570EC"/>
    <w:rsid w:val="00A61EB5"/>
    <w:rsid w:val="00A62A4F"/>
    <w:rsid w:val="00A62D39"/>
    <w:rsid w:val="00A6362F"/>
    <w:rsid w:val="00A63657"/>
    <w:rsid w:val="00A638BB"/>
    <w:rsid w:val="00A643EC"/>
    <w:rsid w:val="00A64C1F"/>
    <w:rsid w:val="00A6760D"/>
    <w:rsid w:val="00A7074A"/>
    <w:rsid w:val="00A708A6"/>
    <w:rsid w:val="00A7394C"/>
    <w:rsid w:val="00A74E4B"/>
    <w:rsid w:val="00A75290"/>
    <w:rsid w:val="00A75A95"/>
    <w:rsid w:val="00A77323"/>
    <w:rsid w:val="00A80358"/>
    <w:rsid w:val="00A8093B"/>
    <w:rsid w:val="00A812AF"/>
    <w:rsid w:val="00A81524"/>
    <w:rsid w:val="00A82708"/>
    <w:rsid w:val="00A82967"/>
    <w:rsid w:val="00A83746"/>
    <w:rsid w:val="00A840BD"/>
    <w:rsid w:val="00A8448D"/>
    <w:rsid w:val="00A8537B"/>
    <w:rsid w:val="00A85BCD"/>
    <w:rsid w:val="00A868EA"/>
    <w:rsid w:val="00A87C9D"/>
    <w:rsid w:val="00A92105"/>
    <w:rsid w:val="00A94965"/>
    <w:rsid w:val="00A94E43"/>
    <w:rsid w:val="00A954C2"/>
    <w:rsid w:val="00A956C9"/>
    <w:rsid w:val="00A97589"/>
    <w:rsid w:val="00A97F39"/>
    <w:rsid w:val="00AA28AF"/>
    <w:rsid w:val="00AA4EBA"/>
    <w:rsid w:val="00AA536B"/>
    <w:rsid w:val="00AA57C2"/>
    <w:rsid w:val="00AB0D97"/>
    <w:rsid w:val="00AB10DC"/>
    <w:rsid w:val="00AB1C83"/>
    <w:rsid w:val="00AB20F6"/>
    <w:rsid w:val="00AB39E3"/>
    <w:rsid w:val="00AB3B48"/>
    <w:rsid w:val="00AB4103"/>
    <w:rsid w:val="00AB4B7D"/>
    <w:rsid w:val="00AB69C0"/>
    <w:rsid w:val="00AC001D"/>
    <w:rsid w:val="00AC016A"/>
    <w:rsid w:val="00AC0472"/>
    <w:rsid w:val="00AC0AA9"/>
    <w:rsid w:val="00AC282B"/>
    <w:rsid w:val="00AC378A"/>
    <w:rsid w:val="00AC3DD3"/>
    <w:rsid w:val="00AC6AC6"/>
    <w:rsid w:val="00AC7781"/>
    <w:rsid w:val="00AC77C9"/>
    <w:rsid w:val="00AD1CAB"/>
    <w:rsid w:val="00AD2067"/>
    <w:rsid w:val="00AD2EC7"/>
    <w:rsid w:val="00AD310D"/>
    <w:rsid w:val="00AD5579"/>
    <w:rsid w:val="00AD591D"/>
    <w:rsid w:val="00AD6154"/>
    <w:rsid w:val="00AD6623"/>
    <w:rsid w:val="00AD72B2"/>
    <w:rsid w:val="00AD7877"/>
    <w:rsid w:val="00AE1DD3"/>
    <w:rsid w:val="00AE2F22"/>
    <w:rsid w:val="00AE3E63"/>
    <w:rsid w:val="00AE46E8"/>
    <w:rsid w:val="00AE4759"/>
    <w:rsid w:val="00AE4E64"/>
    <w:rsid w:val="00AE4FAA"/>
    <w:rsid w:val="00AF0A5C"/>
    <w:rsid w:val="00AF2BB3"/>
    <w:rsid w:val="00AF2DC6"/>
    <w:rsid w:val="00AF5850"/>
    <w:rsid w:val="00AF590E"/>
    <w:rsid w:val="00AF5967"/>
    <w:rsid w:val="00AF65F9"/>
    <w:rsid w:val="00AF6DAE"/>
    <w:rsid w:val="00AF7641"/>
    <w:rsid w:val="00B007C9"/>
    <w:rsid w:val="00B02739"/>
    <w:rsid w:val="00B02EFB"/>
    <w:rsid w:val="00B032B9"/>
    <w:rsid w:val="00B03FC7"/>
    <w:rsid w:val="00B06257"/>
    <w:rsid w:val="00B07690"/>
    <w:rsid w:val="00B101A4"/>
    <w:rsid w:val="00B10358"/>
    <w:rsid w:val="00B10576"/>
    <w:rsid w:val="00B12017"/>
    <w:rsid w:val="00B14013"/>
    <w:rsid w:val="00B20079"/>
    <w:rsid w:val="00B2145B"/>
    <w:rsid w:val="00B2284E"/>
    <w:rsid w:val="00B241B8"/>
    <w:rsid w:val="00B244F8"/>
    <w:rsid w:val="00B25266"/>
    <w:rsid w:val="00B2723D"/>
    <w:rsid w:val="00B33C98"/>
    <w:rsid w:val="00B3649B"/>
    <w:rsid w:val="00B37D24"/>
    <w:rsid w:val="00B41B64"/>
    <w:rsid w:val="00B42D5E"/>
    <w:rsid w:val="00B44ADF"/>
    <w:rsid w:val="00B46135"/>
    <w:rsid w:val="00B461C6"/>
    <w:rsid w:val="00B569BD"/>
    <w:rsid w:val="00B6087B"/>
    <w:rsid w:val="00B60CE2"/>
    <w:rsid w:val="00B6123C"/>
    <w:rsid w:val="00B6394F"/>
    <w:rsid w:val="00B650FE"/>
    <w:rsid w:val="00B655BD"/>
    <w:rsid w:val="00B65B19"/>
    <w:rsid w:val="00B678E8"/>
    <w:rsid w:val="00B67D51"/>
    <w:rsid w:val="00B70639"/>
    <w:rsid w:val="00B70814"/>
    <w:rsid w:val="00B7139D"/>
    <w:rsid w:val="00B723C5"/>
    <w:rsid w:val="00B724DC"/>
    <w:rsid w:val="00B7268A"/>
    <w:rsid w:val="00B7399D"/>
    <w:rsid w:val="00B740DB"/>
    <w:rsid w:val="00B75A68"/>
    <w:rsid w:val="00B80D54"/>
    <w:rsid w:val="00B813A3"/>
    <w:rsid w:val="00B82D30"/>
    <w:rsid w:val="00B84F2B"/>
    <w:rsid w:val="00B87B60"/>
    <w:rsid w:val="00B87C41"/>
    <w:rsid w:val="00B87EA7"/>
    <w:rsid w:val="00B93BD0"/>
    <w:rsid w:val="00B94ABE"/>
    <w:rsid w:val="00B95613"/>
    <w:rsid w:val="00B95FEF"/>
    <w:rsid w:val="00B96ACB"/>
    <w:rsid w:val="00BA14F0"/>
    <w:rsid w:val="00BA29D5"/>
    <w:rsid w:val="00BA42E3"/>
    <w:rsid w:val="00BA621D"/>
    <w:rsid w:val="00BA674F"/>
    <w:rsid w:val="00BB0BCB"/>
    <w:rsid w:val="00BB1FA1"/>
    <w:rsid w:val="00BB4EDE"/>
    <w:rsid w:val="00BB5144"/>
    <w:rsid w:val="00BB525F"/>
    <w:rsid w:val="00BB573A"/>
    <w:rsid w:val="00BB5EDC"/>
    <w:rsid w:val="00BB769E"/>
    <w:rsid w:val="00BB7E9A"/>
    <w:rsid w:val="00BC383A"/>
    <w:rsid w:val="00BC3899"/>
    <w:rsid w:val="00BC4B03"/>
    <w:rsid w:val="00BC5705"/>
    <w:rsid w:val="00BC6EF4"/>
    <w:rsid w:val="00BC7034"/>
    <w:rsid w:val="00BD0C2B"/>
    <w:rsid w:val="00BD1B8C"/>
    <w:rsid w:val="00BD214B"/>
    <w:rsid w:val="00BD46D2"/>
    <w:rsid w:val="00BD481A"/>
    <w:rsid w:val="00BD4AAF"/>
    <w:rsid w:val="00BD6085"/>
    <w:rsid w:val="00BD7DA9"/>
    <w:rsid w:val="00BE036B"/>
    <w:rsid w:val="00BE099A"/>
    <w:rsid w:val="00BE0EF1"/>
    <w:rsid w:val="00BE1098"/>
    <w:rsid w:val="00BE17AA"/>
    <w:rsid w:val="00BE29FF"/>
    <w:rsid w:val="00BE346A"/>
    <w:rsid w:val="00BE3ECE"/>
    <w:rsid w:val="00BE5E32"/>
    <w:rsid w:val="00BE6955"/>
    <w:rsid w:val="00BF1544"/>
    <w:rsid w:val="00BF183D"/>
    <w:rsid w:val="00BF1E10"/>
    <w:rsid w:val="00BF353E"/>
    <w:rsid w:val="00BF3CAD"/>
    <w:rsid w:val="00BF3E07"/>
    <w:rsid w:val="00BF3EAF"/>
    <w:rsid w:val="00BF5BBE"/>
    <w:rsid w:val="00BF697A"/>
    <w:rsid w:val="00BF72E2"/>
    <w:rsid w:val="00BF794E"/>
    <w:rsid w:val="00BF7AD2"/>
    <w:rsid w:val="00C006A9"/>
    <w:rsid w:val="00C02C4E"/>
    <w:rsid w:val="00C0366C"/>
    <w:rsid w:val="00C05390"/>
    <w:rsid w:val="00C06AFA"/>
    <w:rsid w:val="00C073D7"/>
    <w:rsid w:val="00C07483"/>
    <w:rsid w:val="00C07CA8"/>
    <w:rsid w:val="00C10E8B"/>
    <w:rsid w:val="00C11401"/>
    <w:rsid w:val="00C125D3"/>
    <w:rsid w:val="00C12A84"/>
    <w:rsid w:val="00C12B6D"/>
    <w:rsid w:val="00C132FB"/>
    <w:rsid w:val="00C13D1C"/>
    <w:rsid w:val="00C15451"/>
    <w:rsid w:val="00C16E30"/>
    <w:rsid w:val="00C173CD"/>
    <w:rsid w:val="00C17B6C"/>
    <w:rsid w:val="00C20175"/>
    <w:rsid w:val="00C20498"/>
    <w:rsid w:val="00C207D2"/>
    <w:rsid w:val="00C2117B"/>
    <w:rsid w:val="00C22563"/>
    <w:rsid w:val="00C23048"/>
    <w:rsid w:val="00C23210"/>
    <w:rsid w:val="00C236A9"/>
    <w:rsid w:val="00C23DE1"/>
    <w:rsid w:val="00C26B34"/>
    <w:rsid w:val="00C27F7D"/>
    <w:rsid w:val="00C32A57"/>
    <w:rsid w:val="00C337A7"/>
    <w:rsid w:val="00C34524"/>
    <w:rsid w:val="00C3538B"/>
    <w:rsid w:val="00C3670A"/>
    <w:rsid w:val="00C41395"/>
    <w:rsid w:val="00C44EA7"/>
    <w:rsid w:val="00C454CA"/>
    <w:rsid w:val="00C46697"/>
    <w:rsid w:val="00C4687D"/>
    <w:rsid w:val="00C4794B"/>
    <w:rsid w:val="00C47B3E"/>
    <w:rsid w:val="00C5004B"/>
    <w:rsid w:val="00C52766"/>
    <w:rsid w:val="00C55055"/>
    <w:rsid w:val="00C55EC6"/>
    <w:rsid w:val="00C5689C"/>
    <w:rsid w:val="00C570D6"/>
    <w:rsid w:val="00C5716B"/>
    <w:rsid w:val="00C579B3"/>
    <w:rsid w:val="00C60A11"/>
    <w:rsid w:val="00C61825"/>
    <w:rsid w:val="00C62A85"/>
    <w:rsid w:val="00C62F2E"/>
    <w:rsid w:val="00C6392B"/>
    <w:rsid w:val="00C65095"/>
    <w:rsid w:val="00C66D14"/>
    <w:rsid w:val="00C66E68"/>
    <w:rsid w:val="00C66FC1"/>
    <w:rsid w:val="00C67362"/>
    <w:rsid w:val="00C677F4"/>
    <w:rsid w:val="00C71B9B"/>
    <w:rsid w:val="00C725B1"/>
    <w:rsid w:val="00C72C91"/>
    <w:rsid w:val="00C744B6"/>
    <w:rsid w:val="00C7760C"/>
    <w:rsid w:val="00C8000E"/>
    <w:rsid w:val="00C805BE"/>
    <w:rsid w:val="00C81ECC"/>
    <w:rsid w:val="00C82443"/>
    <w:rsid w:val="00C8711C"/>
    <w:rsid w:val="00C87272"/>
    <w:rsid w:val="00C8728D"/>
    <w:rsid w:val="00C872B1"/>
    <w:rsid w:val="00C87CEB"/>
    <w:rsid w:val="00C91742"/>
    <w:rsid w:val="00C9178F"/>
    <w:rsid w:val="00C924AC"/>
    <w:rsid w:val="00C927D4"/>
    <w:rsid w:val="00C92FBC"/>
    <w:rsid w:val="00C93339"/>
    <w:rsid w:val="00C97215"/>
    <w:rsid w:val="00C97EBB"/>
    <w:rsid w:val="00CA2C91"/>
    <w:rsid w:val="00CA3A79"/>
    <w:rsid w:val="00CA6E40"/>
    <w:rsid w:val="00CB110A"/>
    <w:rsid w:val="00CB145D"/>
    <w:rsid w:val="00CB32BA"/>
    <w:rsid w:val="00CB3968"/>
    <w:rsid w:val="00CB5025"/>
    <w:rsid w:val="00CB5B27"/>
    <w:rsid w:val="00CB5E04"/>
    <w:rsid w:val="00CB5EB9"/>
    <w:rsid w:val="00CB7DCE"/>
    <w:rsid w:val="00CC20A0"/>
    <w:rsid w:val="00CC2DB6"/>
    <w:rsid w:val="00CC4E04"/>
    <w:rsid w:val="00CC56AD"/>
    <w:rsid w:val="00CD1583"/>
    <w:rsid w:val="00CD58F1"/>
    <w:rsid w:val="00CD5AB9"/>
    <w:rsid w:val="00CD6B51"/>
    <w:rsid w:val="00CD713B"/>
    <w:rsid w:val="00CD7171"/>
    <w:rsid w:val="00CD7A6F"/>
    <w:rsid w:val="00CE0978"/>
    <w:rsid w:val="00CE101F"/>
    <w:rsid w:val="00CE1FF5"/>
    <w:rsid w:val="00CE2814"/>
    <w:rsid w:val="00CE2BE4"/>
    <w:rsid w:val="00CE3B13"/>
    <w:rsid w:val="00CE3CC5"/>
    <w:rsid w:val="00CE46F7"/>
    <w:rsid w:val="00CE4B46"/>
    <w:rsid w:val="00CE588B"/>
    <w:rsid w:val="00CE61AB"/>
    <w:rsid w:val="00CF0F5B"/>
    <w:rsid w:val="00CF2EA3"/>
    <w:rsid w:val="00CF7A62"/>
    <w:rsid w:val="00CF7A7B"/>
    <w:rsid w:val="00D01ACC"/>
    <w:rsid w:val="00D02F25"/>
    <w:rsid w:val="00D0353E"/>
    <w:rsid w:val="00D0434D"/>
    <w:rsid w:val="00D04352"/>
    <w:rsid w:val="00D054B5"/>
    <w:rsid w:val="00D056AE"/>
    <w:rsid w:val="00D05B0F"/>
    <w:rsid w:val="00D06CBA"/>
    <w:rsid w:val="00D06E32"/>
    <w:rsid w:val="00D126F7"/>
    <w:rsid w:val="00D1351E"/>
    <w:rsid w:val="00D13B3B"/>
    <w:rsid w:val="00D14E48"/>
    <w:rsid w:val="00D154E7"/>
    <w:rsid w:val="00D165DB"/>
    <w:rsid w:val="00D16FA1"/>
    <w:rsid w:val="00D172D1"/>
    <w:rsid w:val="00D17CD5"/>
    <w:rsid w:val="00D17F74"/>
    <w:rsid w:val="00D20576"/>
    <w:rsid w:val="00D2092A"/>
    <w:rsid w:val="00D24B14"/>
    <w:rsid w:val="00D25D57"/>
    <w:rsid w:val="00D26268"/>
    <w:rsid w:val="00D31909"/>
    <w:rsid w:val="00D341FB"/>
    <w:rsid w:val="00D34BBF"/>
    <w:rsid w:val="00D3718E"/>
    <w:rsid w:val="00D404A5"/>
    <w:rsid w:val="00D41B61"/>
    <w:rsid w:val="00D43BD6"/>
    <w:rsid w:val="00D45043"/>
    <w:rsid w:val="00D46D95"/>
    <w:rsid w:val="00D475A8"/>
    <w:rsid w:val="00D47AD3"/>
    <w:rsid w:val="00D543EE"/>
    <w:rsid w:val="00D55149"/>
    <w:rsid w:val="00D55282"/>
    <w:rsid w:val="00D554AC"/>
    <w:rsid w:val="00D5576E"/>
    <w:rsid w:val="00D561A3"/>
    <w:rsid w:val="00D56C34"/>
    <w:rsid w:val="00D570B5"/>
    <w:rsid w:val="00D6142D"/>
    <w:rsid w:val="00D62AE5"/>
    <w:rsid w:val="00D637FE"/>
    <w:rsid w:val="00D64DE4"/>
    <w:rsid w:val="00D65A20"/>
    <w:rsid w:val="00D678E0"/>
    <w:rsid w:val="00D70DFF"/>
    <w:rsid w:val="00D72C37"/>
    <w:rsid w:val="00D73993"/>
    <w:rsid w:val="00D741A3"/>
    <w:rsid w:val="00D74DAF"/>
    <w:rsid w:val="00D80E87"/>
    <w:rsid w:val="00D8299E"/>
    <w:rsid w:val="00D82AD4"/>
    <w:rsid w:val="00D84C7B"/>
    <w:rsid w:val="00D859C4"/>
    <w:rsid w:val="00D85DF4"/>
    <w:rsid w:val="00D90F6D"/>
    <w:rsid w:val="00D93DEA"/>
    <w:rsid w:val="00D96636"/>
    <w:rsid w:val="00D9673A"/>
    <w:rsid w:val="00DA0D06"/>
    <w:rsid w:val="00DA19CE"/>
    <w:rsid w:val="00DA222E"/>
    <w:rsid w:val="00DA265B"/>
    <w:rsid w:val="00DA451C"/>
    <w:rsid w:val="00DA4608"/>
    <w:rsid w:val="00DA4BD6"/>
    <w:rsid w:val="00DA4D6B"/>
    <w:rsid w:val="00DB01F8"/>
    <w:rsid w:val="00DB02EA"/>
    <w:rsid w:val="00DB0729"/>
    <w:rsid w:val="00DB1BBE"/>
    <w:rsid w:val="00DB3796"/>
    <w:rsid w:val="00DB630D"/>
    <w:rsid w:val="00DB640D"/>
    <w:rsid w:val="00DC010C"/>
    <w:rsid w:val="00DC11F0"/>
    <w:rsid w:val="00DC41A9"/>
    <w:rsid w:val="00DC7ADC"/>
    <w:rsid w:val="00DD0D13"/>
    <w:rsid w:val="00DD27D3"/>
    <w:rsid w:val="00DD45E2"/>
    <w:rsid w:val="00DD532A"/>
    <w:rsid w:val="00DD7455"/>
    <w:rsid w:val="00DD7A95"/>
    <w:rsid w:val="00DE087B"/>
    <w:rsid w:val="00DE1959"/>
    <w:rsid w:val="00DE493D"/>
    <w:rsid w:val="00DE59D8"/>
    <w:rsid w:val="00DF140F"/>
    <w:rsid w:val="00DF28E9"/>
    <w:rsid w:val="00DF2921"/>
    <w:rsid w:val="00DF2BA9"/>
    <w:rsid w:val="00DF47F1"/>
    <w:rsid w:val="00DF4942"/>
    <w:rsid w:val="00DF6363"/>
    <w:rsid w:val="00DF6D47"/>
    <w:rsid w:val="00DF747B"/>
    <w:rsid w:val="00E00802"/>
    <w:rsid w:val="00E01C3B"/>
    <w:rsid w:val="00E032B4"/>
    <w:rsid w:val="00E03C9C"/>
    <w:rsid w:val="00E066CE"/>
    <w:rsid w:val="00E07B7A"/>
    <w:rsid w:val="00E10C9B"/>
    <w:rsid w:val="00E12014"/>
    <w:rsid w:val="00E12CF4"/>
    <w:rsid w:val="00E14D45"/>
    <w:rsid w:val="00E166B3"/>
    <w:rsid w:val="00E16744"/>
    <w:rsid w:val="00E21CAB"/>
    <w:rsid w:val="00E2247A"/>
    <w:rsid w:val="00E23856"/>
    <w:rsid w:val="00E254AE"/>
    <w:rsid w:val="00E25C12"/>
    <w:rsid w:val="00E25D67"/>
    <w:rsid w:val="00E30C5A"/>
    <w:rsid w:val="00E311E0"/>
    <w:rsid w:val="00E31BCE"/>
    <w:rsid w:val="00E31EC9"/>
    <w:rsid w:val="00E32149"/>
    <w:rsid w:val="00E3275B"/>
    <w:rsid w:val="00E32E22"/>
    <w:rsid w:val="00E345A5"/>
    <w:rsid w:val="00E37623"/>
    <w:rsid w:val="00E40047"/>
    <w:rsid w:val="00E40317"/>
    <w:rsid w:val="00E40ED5"/>
    <w:rsid w:val="00E41331"/>
    <w:rsid w:val="00E41DE7"/>
    <w:rsid w:val="00E422A9"/>
    <w:rsid w:val="00E4306D"/>
    <w:rsid w:val="00E43CF4"/>
    <w:rsid w:val="00E43F1B"/>
    <w:rsid w:val="00E44A99"/>
    <w:rsid w:val="00E44C04"/>
    <w:rsid w:val="00E5006F"/>
    <w:rsid w:val="00E52CD8"/>
    <w:rsid w:val="00E534C8"/>
    <w:rsid w:val="00E536CE"/>
    <w:rsid w:val="00E54497"/>
    <w:rsid w:val="00E54FE5"/>
    <w:rsid w:val="00E55287"/>
    <w:rsid w:val="00E56510"/>
    <w:rsid w:val="00E57103"/>
    <w:rsid w:val="00E57453"/>
    <w:rsid w:val="00E57963"/>
    <w:rsid w:val="00E57C6E"/>
    <w:rsid w:val="00E60375"/>
    <w:rsid w:val="00E64680"/>
    <w:rsid w:val="00E64F96"/>
    <w:rsid w:val="00E6605D"/>
    <w:rsid w:val="00E66710"/>
    <w:rsid w:val="00E671C3"/>
    <w:rsid w:val="00E67679"/>
    <w:rsid w:val="00E7045D"/>
    <w:rsid w:val="00E70624"/>
    <w:rsid w:val="00E71C3F"/>
    <w:rsid w:val="00E73E66"/>
    <w:rsid w:val="00E749F2"/>
    <w:rsid w:val="00E766A6"/>
    <w:rsid w:val="00E7736C"/>
    <w:rsid w:val="00E81E1A"/>
    <w:rsid w:val="00E830D6"/>
    <w:rsid w:val="00E83D9B"/>
    <w:rsid w:val="00E86277"/>
    <w:rsid w:val="00E8676F"/>
    <w:rsid w:val="00E902D9"/>
    <w:rsid w:val="00E9263D"/>
    <w:rsid w:val="00E92C64"/>
    <w:rsid w:val="00E93DE8"/>
    <w:rsid w:val="00E94694"/>
    <w:rsid w:val="00E94EF1"/>
    <w:rsid w:val="00E95C3E"/>
    <w:rsid w:val="00E96401"/>
    <w:rsid w:val="00E97FAD"/>
    <w:rsid w:val="00EA1279"/>
    <w:rsid w:val="00EA1700"/>
    <w:rsid w:val="00EA180D"/>
    <w:rsid w:val="00EA2FEA"/>
    <w:rsid w:val="00EA3233"/>
    <w:rsid w:val="00EA3DC8"/>
    <w:rsid w:val="00EA4E4E"/>
    <w:rsid w:val="00EA5D83"/>
    <w:rsid w:val="00EA66F7"/>
    <w:rsid w:val="00EB06A5"/>
    <w:rsid w:val="00EB0C26"/>
    <w:rsid w:val="00EB313C"/>
    <w:rsid w:val="00EB348E"/>
    <w:rsid w:val="00EB3A00"/>
    <w:rsid w:val="00EB4D5C"/>
    <w:rsid w:val="00EB5CB4"/>
    <w:rsid w:val="00EB6AC7"/>
    <w:rsid w:val="00EB72F3"/>
    <w:rsid w:val="00EB735C"/>
    <w:rsid w:val="00EB74A4"/>
    <w:rsid w:val="00EB7C7B"/>
    <w:rsid w:val="00EB7ED9"/>
    <w:rsid w:val="00EC024F"/>
    <w:rsid w:val="00EC0D2A"/>
    <w:rsid w:val="00EC1408"/>
    <w:rsid w:val="00EC2219"/>
    <w:rsid w:val="00EC361D"/>
    <w:rsid w:val="00EC4218"/>
    <w:rsid w:val="00EC48D2"/>
    <w:rsid w:val="00EC5B2B"/>
    <w:rsid w:val="00EC6B5D"/>
    <w:rsid w:val="00EC75D1"/>
    <w:rsid w:val="00EC766B"/>
    <w:rsid w:val="00ED08A9"/>
    <w:rsid w:val="00ED0908"/>
    <w:rsid w:val="00ED3136"/>
    <w:rsid w:val="00ED356D"/>
    <w:rsid w:val="00ED3C87"/>
    <w:rsid w:val="00ED3CD9"/>
    <w:rsid w:val="00ED5838"/>
    <w:rsid w:val="00ED7084"/>
    <w:rsid w:val="00ED71F6"/>
    <w:rsid w:val="00ED7E9C"/>
    <w:rsid w:val="00EE07CC"/>
    <w:rsid w:val="00EE08CC"/>
    <w:rsid w:val="00EE094F"/>
    <w:rsid w:val="00EE121A"/>
    <w:rsid w:val="00EE1974"/>
    <w:rsid w:val="00EE2B60"/>
    <w:rsid w:val="00EE417E"/>
    <w:rsid w:val="00EE4D50"/>
    <w:rsid w:val="00EE62DD"/>
    <w:rsid w:val="00EE7715"/>
    <w:rsid w:val="00EF1A62"/>
    <w:rsid w:val="00EF4D1A"/>
    <w:rsid w:val="00EF5131"/>
    <w:rsid w:val="00EF7813"/>
    <w:rsid w:val="00F01506"/>
    <w:rsid w:val="00F0297E"/>
    <w:rsid w:val="00F029DC"/>
    <w:rsid w:val="00F02F9A"/>
    <w:rsid w:val="00F041CA"/>
    <w:rsid w:val="00F058DA"/>
    <w:rsid w:val="00F06D8F"/>
    <w:rsid w:val="00F07D6B"/>
    <w:rsid w:val="00F11928"/>
    <w:rsid w:val="00F130DD"/>
    <w:rsid w:val="00F13BB8"/>
    <w:rsid w:val="00F151E0"/>
    <w:rsid w:val="00F15848"/>
    <w:rsid w:val="00F158FB"/>
    <w:rsid w:val="00F24172"/>
    <w:rsid w:val="00F2495D"/>
    <w:rsid w:val="00F24E76"/>
    <w:rsid w:val="00F26802"/>
    <w:rsid w:val="00F26D04"/>
    <w:rsid w:val="00F30476"/>
    <w:rsid w:val="00F316B2"/>
    <w:rsid w:val="00F31A68"/>
    <w:rsid w:val="00F3288C"/>
    <w:rsid w:val="00F34D57"/>
    <w:rsid w:val="00F36223"/>
    <w:rsid w:val="00F363DD"/>
    <w:rsid w:val="00F423FB"/>
    <w:rsid w:val="00F4384E"/>
    <w:rsid w:val="00F438CD"/>
    <w:rsid w:val="00F4545C"/>
    <w:rsid w:val="00F4591D"/>
    <w:rsid w:val="00F4688E"/>
    <w:rsid w:val="00F46DD0"/>
    <w:rsid w:val="00F46F07"/>
    <w:rsid w:val="00F5151E"/>
    <w:rsid w:val="00F51E7B"/>
    <w:rsid w:val="00F52399"/>
    <w:rsid w:val="00F52702"/>
    <w:rsid w:val="00F5352A"/>
    <w:rsid w:val="00F54B46"/>
    <w:rsid w:val="00F578E2"/>
    <w:rsid w:val="00F63A34"/>
    <w:rsid w:val="00F64BE7"/>
    <w:rsid w:val="00F64C39"/>
    <w:rsid w:val="00F7052D"/>
    <w:rsid w:val="00F706F7"/>
    <w:rsid w:val="00F75063"/>
    <w:rsid w:val="00F7573A"/>
    <w:rsid w:val="00F76277"/>
    <w:rsid w:val="00F76598"/>
    <w:rsid w:val="00F76BEA"/>
    <w:rsid w:val="00F77203"/>
    <w:rsid w:val="00F825D5"/>
    <w:rsid w:val="00F82F1A"/>
    <w:rsid w:val="00F838C1"/>
    <w:rsid w:val="00F83E3F"/>
    <w:rsid w:val="00F84FD2"/>
    <w:rsid w:val="00F854B5"/>
    <w:rsid w:val="00F85CDC"/>
    <w:rsid w:val="00F865F1"/>
    <w:rsid w:val="00F86ED5"/>
    <w:rsid w:val="00F9365F"/>
    <w:rsid w:val="00F96650"/>
    <w:rsid w:val="00FA1C8F"/>
    <w:rsid w:val="00FA2889"/>
    <w:rsid w:val="00FA2A65"/>
    <w:rsid w:val="00FA2B87"/>
    <w:rsid w:val="00FA2D81"/>
    <w:rsid w:val="00FA2EDF"/>
    <w:rsid w:val="00FA338E"/>
    <w:rsid w:val="00FA39AF"/>
    <w:rsid w:val="00FA46A9"/>
    <w:rsid w:val="00FA7F32"/>
    <w:rsid w:val="00FB2BC1"/>
    <w:rsid w:val="00FB37C3"/>
    <w:rsid w:val="00FB3DD2"/>
    <w:rsid w:val="00FB5E70"/>
    <w:rsid w:val="00FB63C5"/>
    <w:rsid w:val="00FB6B60"/>
    <w:rsid w:val="00FB7207"/>
    <w:rsid w:val="00FB7633"/>
    <w:rsid w:val="00FC18DB"/>
    <w:rsid w:val="00FC2443"/>
    <w:rsid w:val="00FC25B2"/>
    <w:rsid w:val="00FC2F6D"/>
    <w:rsid w:val="00FC5A81"/>
    <w:rsid w:val="00FC7039"/>
    <w:rsid w:val="00FD0D4C"/>
    <w:rsid w:val="00FD7FC3"/>
    <w:rsid w:val="00FE012C"/>
    <w:rsid w:val="00FE0289"/>
    <w:rsid w:val="00FE1D8B"/>
    <w:rsid w:val="00FE33A4"/>
    <w:rsid w:val="00FE4CF7"/>
    <w:rsid w:val="00FE646B"/>
    <w:rsid w:val="00FF011D"/>
    <w:rsid w:val="00FF1B81"/>
    <w:rsid w:val="00FF40B7"/>
    <w:rsid w:val="00FF46DE"/>
    <w:rsid w:val="00FF6E8D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B741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7410"/>
    <w:pPr>
      <w:keepNext/>
      <w:numPr>
        <w:numId w:val="1"/>
      </w:numPr>
      <w:ind w:left="1134" w:hanging="1134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7410"/>
    <w:rPr>
      <w:rFonts w:ascii="Arial" w:eastAsia="Times New Roman" w:hAnsi="Arial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0B741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B741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0B7410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0B7410"/>
    <w:rPr>
      <w:rFonts w:ascii="Calibri" w:eastAsia="Calibri" w:hAnsi="Calibri" w:cs="Times New Roman"/>
    </w:rPr>
  </w:style>
  <w:style w:type="paragraph" w:styleId="Textpoznpodarou">
    <w:name w:val="footnote text"/>
    <w:aliases w:val="Text pozn. pod čarou_martin_ang"/>
    <w:basedOn w:val="Normln"/>
    <w:link w:val="TextpoznpodarouChar"/>
    <w:rsid w:val="000B7410"/>
    <w:pPr>
      <w:jc w:val="left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semiHidden/>
    <w:rsid w:val="000B7410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semiHidden/>
    <w:rsid w:val="000B741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7701AE"/>
    <w:pPr>
      <w:ind w:left="720"/>
      <w:contextualSpacing/>
    </w:pPr>
  </w:style>
  <w:style w:type="paragraph" w:customStyle="1" w:styleId="Styl1">
    <w:name w:val="Styl1"/>
    <w:rsid w:val="006F7329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dpisobsahu">
    <w:name w:val="TOC Heading"/>
    <w:basedOn w:val="Nadpis1"/>
    <w:next w:val="Normln"/>
    <w:qFormat/>
    <w:rsid w:val="006F732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nhideWhenUsed/>
    <w:qFormat/>
    <w:rsid w:val="006F7329"/>
    <w:pPr>
      <w:spacing w:line="360" w:lineRule="auto"/>
      <w:jc w:val="left"/>
    </w:pPr>
    <w:rPr>
      <w:b/>
      <w:szCs w:val="22"/>
    </w:rPr>
  </w:style>
  <w:style w:type="table" w:styleId="Mkatabulky">
    <w:name w:val="Table Grid"/>
    <w:basedOn w:val="Normlntabulka"/>
    <w:uiPriority w:val="59"/>
    <w:rsid w:val="006F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843CB-7A16-45B5-ABA4-5802AB15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8</Pages>
  <Words>3590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kucera4376</dc:creator>
  <cp:lastModifiedBy>kucera4376</cp:lastModifiedBy>
  <cp:revision>280</cp:revision>
  <dcterms:created xsi:type="dcterms:W3CDTF">2014-10-03T12:24:00Z</dcterms:created>
  <dcterms:modified xsi:type="dcterms:W3CDTF">2014-11-28T10:06:00Z</dcterms:modified>
</cp:coreProperties>
</file>