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CE" w:rsidRDefault="000A657A" w:rsidP="00491A87">
      <w:pPr>
        <w:rPr>
          <w:rFonts w:asciiTheme="minorHAnsi" w:eastAsiaTheme="minorHAnsi" w:hAnsiTheme="minorHAnsi" w:cstheme="minorBidi"/>
          <w:b/>
          <w:sz w:val="24"/>
          <w:bdr w:val="none" w:sz="0" w:space="0" w:color="auto"/>
          <w:lang w:val="cs-CZ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4"/>
          <w:bdr w:val="none" w:sz="0" w:space="0" w:color="auto"/>
          <w:lang w:val="cs-CZ"/>
        </w:rPr>
        <w:t>Více než polovina obydlených bytů v Česku je v bytových domech</w:t>
      </w:r>
    </w:p>
    <w:p w:rsidR="00736ECE" w:rsidRDefault="00736ECE" w:rsidP="00491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</w:pPr>
    </w:p>
    <w:p w:rsidR="00736ECE" w:rsidRPr="000A657A" w:rsidRDefault="00C06AD1" w:rsidP="00736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</w:pPr>
      <w:r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Dosud zveřejněné ú</w:t>
      </w:r>
      <w:r w:rsidR="00736ECE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daje 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o domech a bytech ze Sčítání 2021 byly </w:t>
      </w:r>
      <w:r w:rsidR="00810A07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nově 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doplněny o údaje o počtu nadzemních podlaží domu a poloze bytu v </w:t>
      </w:r>
      <w:r w:rsidR="00D24A06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domě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. Publikován</w:t>
      </w:r>
      <w:r w:rsidR="00C1475E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a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</w:t>
      </w:r>
      <w:r w:rsidR="00810A07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byla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také </w:t>
      </w:r>
      <w:r w:rsidR="00C1475E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data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za obydlené </w:t>
      </w:r>
      <w:r w:rsidR="003F2D4A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byty podle charakteristik domu, j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ako je druh domu, </w:t>
      </w:r>
      <w:r w:rsidR="005E43C5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vlastník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domu, období výstavby nebo rekonstrukce</w:t>
      </w:r>
      <w:r w:rsidR="005E43C5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, materiál nosných zdí,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připojení na kanalizaci</w:t>
      </w:r>
      <w:r w:rsidR="005E43C5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a</w:t>
      </w:r>
      <w:r w:rsidR="00196051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vybave</w:t>
      </w:r>
      <w:r w:rsidR="005E43C5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ní výtahem.</w:t>
      </w:r>
      <w:r w:rsidR="00D24A06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Počty obydlených domů a </w:t>
      </w:r>
      <w:r w:rsidR="00FA548A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obydlených </w:t>
      </w:r>
      <w:r w:rsidR="00D24A06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>bytů</w:t>
      </w:r>
      <w:r w:rsidR="00FA548A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podle druhu domu</w:t>
      </w:r>
      <w:r w:rsidR="00D24A06" w:rsidRPr="000A657A"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  <w:lang w:val="cs-CZ"/>
        </w:rPr>
        <w:t xml:space="preserve"> jsou k dispozici i za nejmenší územní jednotky.</w:t>
      </w:r>
    </w:p>
    <w:p w:rsidR="00FA548A" w:rsidRDefault="00FA548A" w:rsidP="00736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</w:pPr>
      <w:r w:rsidRPr="00FA548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Obydlené domy v Česku měly podle Sčítání 2021 nejčastěji jedno </w:t>
      </w:r>
      <w:r w:rsidR="00C06AD1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nebo</w:t>
      </w:r>
      <w:r w:rsidRPr="00FA548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dvě nadzemní podlaží </w:t>
      </w:r>
      <w:r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– 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j</w:t>
      </w:r>
      <w:r w:rsidRPr="00FA548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ednopodlažních domů byla více než třetina a dvoupodlažních domů dokonce více než polovina ze všech obydlených domů se zjištěným </w:t>
      </w:r>
      <w:r w:rsidR="00C1475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údajem</w:t>
      </w:r>
      <w:r w:rsidRPr="00FA548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.</w:t>
      </w:r>
      <w:r w:rsid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Tři nebo více nadzemních podlaží měl jen každý osmý obydlený dům</w:t>
      </w:r>
      <w:r w:rsid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.</w:t>
      </w:r>
      <w:r w:rsidR="00C06AD1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Výjimečné postavení </w:t>
      </w:r>
      <w:r w:rsidR="00C06AD1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mezi kraji díky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nadprůměrnému zastoupení bytových domů </w:t>
      </w:r>
      <w:r w:rsidR="00C06AD1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v domovním</w:t>
      </w:r>
      <w:r w:rsidR="00C06AD1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fondu 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zaujímá </w:t>
      </w:r>
      <w:r w:rsidR="00810A0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h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lavní město Praha, kde </w:t>
      </w:r>
      <w:r w:rsidR="009353F3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bylo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domů se třemi a více podlažími </w:t>
      </w:r>
      <w:r w:rsidR="009353F3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nejvíce </w:t>
      </w:r>
      <w:r w:rsidR="006716CF" w:rsidRPr="006716CF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(43,5 %).</w:t>
      </w:r>
      <w:r w:rsidR="009353F3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Naopak v krajích s vysokým podílem rodinných domů – kraje Středočeský, Zlínský a Vysočina – tvoří tří a vícepodlažní domy jen 6-8 % obydlených domů.</w:t>
      </w:r>
    </w:p>
    <w:p w:rsidR="00F37BF5" w:rsidRDefault="00F37BF5" w:rsidP="00736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Více než 2,4 milionu obydlených bytů se nachází v bytových domech, z celkového počtu téměř 4,5 milionu obydlených bytů v Česku je to více než polovina (54,3 %). </w:t>
      </w:r>
      <w:r w:rsidR="00AE35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Z počtu obydlených domů přitom bytové domy tvoří jen desetinu. </w:t>
      </w:r>
      <w:r w:rsidR="000A657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B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yty v rodinných domech v počtu necelých 2 milionů představují 44,1 %</w:t>
      </w:r>
      <w:r w:rsidR="000A657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obydlených bytů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. Pouze 1,6 % obydlených bytů je umístěno v ostatních typech budov.</w:t>
      </w:r>
    </w:p>
    <w:p w:rsidR="00736ECE" w:rsidRPr="00736ECE" w:rsidRDefault="00D75629" w:rsidP="00736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</w:pPr>
      <w:r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Zveřejněné výsledky do úrovně krajů jsou uvedeny na </w:t>
      </w:r>
      <w:r w:rsidRPr="00D75629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webu </w:t>
      </w:r>
      <w:hyperlink r:id="rId4" w:history="1">
        <w:r w:rsidRPr="00D75629">
          <w:rPr>
            <w:rStyle w:val="Hypertextovodkaz"/>
            <w:rFonts w:asciiTheme="minorHAnsi" w:eastAsiaTheme="minorHAnsi" w:hAnsiTheme="minorHAnsi" w:cstheme="minorBidi"/>
            <w:b w:val="0"/>
            <w:sz w:val="22"/>
            <w:szCs w:val="22"/>
            <w:bdr w:val="none" w:sz="0" w:space="0" w:color="auto"/>
            <w:lang w:val="cs-CZ"/>
          </w:rPr>
          <w:t>www.scitani.cz</w:t>
        </w:r>
      </w:hyperlink>
      <w:r w:rsidRPr="00D75629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Podrobné ú</w:t>
      </w:r>
      <w:r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daje 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o domech a bytech </w:t>
      </w:r>
      <w:r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za všechny územní jednotky až do úrovně obcí a městských částí, resp. obvodů jsou dostupné ve </w:t>
      </w:r>
      <w:hyperlink r:id="rId5" w:anchor="katalog=33655" w:history="1">
        <w:r w:rsidRPr="00D7562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bdr w:val="none" w:sz="0" w:space="0" w:color="auto"/>
            <w:lang w:val="cs-CZ"/>
          </w:rPr>
          <w:t>Veřejné databázi ČSÚ</w:t>
        </w:r>
      </w:hyperlink>
      <w:r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. </w:t>
      </w:r>
      <w:r w:rsidR="0042430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Zde jsou v</w:t>
      </w:r>
      <w:r w:rsidR="00736ECE"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 sekci </w:t>
      </w:r>
      <w:hyperlink r:id="rId6" w:history="1">
        <w:r w:rsidR="00736ECE" w:rsidRPr="00E016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bdr w:val="none" w:sz="0" w:space="0" w:color="auto"/>
            <w:lang w:val="cs-CZ"/>
          </w:rPr>
          <w:t>Základní údaje SLDB 2021</w:t>
        </w:r>
      </w:hyperlink>
      <w:r w:rsidR="00675F68" w:rsidRPr="00675F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zve</w:t>
      </w:r>
      <w:r w:rsidR="00675F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řejněny údaje o počtu</w:t>
      </w:r>
      <w:r w:rsidR="00675F68" w:rsidRPr="00675F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obydlených domů a obydlených bytů podle druhu domu</w:t>
      </w:r>
      <w:r w:rsidR="00736ECE"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 </w:t>
      </w:r>
      <w:r w:rsidR="00E0169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také pro nejnižší územní jednotky: </w:t>
      </w:r>
      <w:r w:rsidR="00736ECE"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 xml:space="preserve">části obce, části obce – díly, ZSJ a ZSJ – díly. Kompletní data ke stažení v otevřeném formátu CSV jsou rovněž k dispozici na stránce </w:t>
      </w:r>
      <w:hyperlink r:id="rId7" w:history="1">
        <w:r w:rsidR="00736ECE" w:rsidRPr="00736EC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bdr w:val="none" w:sz="0" w:space="0" w:color="auto"/>
            <w:lang w:val="cs-CZ"/>
          </w:rPr>
          <w:t>Výsledky sčítání 2021 – otevřená data</w:t>
        </w:r>
      </w:hyperlink>
      <w:r w:rsidR="00736ECE" w:rsidRPr="00736EC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  <w:t>.</w:t>
      </w:r>
    </w:p>
    <w:p w:rsidR="005A0645" w:rsidRPr="00736ECE" w:rsidRDefault="005A0645">
      <w:p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cs-CZ"/>
        </w:rPr>
      </w:pPr>
    </w:p>
    <w:p w:rsidR="00736ECE" w:rsidRPr="00736ECE" w:rsidRDefault="00736ECE">
      <w:pPr>
        <w:rPr>
          <w:rFonts w:asciiTheme="minorHAnsi" w:hAnsiTheme="minorHAnsi" w:cstheme="minorHAnsi"/>
          <w:sz w:val="22"/>
          <w:szCs w:val="22"/>
        </w:rPr>
      </w:pPr>
    </w:p>
    <w:sectPr w:rsidR="00736ECE" w:rsidRPr="0073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CE"/>
    <w:rsid w:val="000A657A"/>
    <w:rsid w:val="00196051"/>
    <w:rsid w:val="003F2D4A"/>
    <w:rsid w:val="00424307"/>
    <w:rsid w:val="00491A87"/>
    <w:rsid w:val="005A0645"/>
    <w:rsid w:val="005E43C5"/>
    <w:rsid w:val="00645379"/>
    <w:rsid w:val="006716CF"/>
    <w:rsid w:val="00675F68"/>
    <w:rsid w:val="00736ECE"/>
    <w:rsid w:val="00810A07"/>
    <w:rsid w:val="009353F3"/>
    <w:rsid w:val="00AE3568"/>
    <w:rsid w:val="00C06AD1"/>
    <w:rsid w:val="00C1475E"/>
    <w:rsid w:val="00C85FDB"/>
    <w:rsid w:val="00D24A06"/>
    <w:rsid w:val="00D75629"/>
    <w:rsid w:val="00E01692"/>
    <w:rsid w:val="00E151B0"/>
    <w:rsid w:val="00EB5331"/>
    <w:rsid w:val="00F37BF5"/>
    <w:rsid w:val="00F85143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6F5F-6335-4110-A433-AB7D151A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6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 w:val="20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6ECE"/>
    <w:rPr>
      <w:rFonts w:ascii="Arial" w:hAnsi="Arial"/>
      <w:b/>
      <w:color w:val="000099"/>
      <w:sz w:val="2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6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vysledky-scitani-2021-otevrena-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db.czso.cz/vdbvo2/faces/cs/index.jsf?page=statistiky&amp;katalog=33475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3</cp:revision>
  <dcterms:created xsi:type="dcterms:W3CDTF">2022-12-19T14:32:00Z</dcterms:created>
  <dcterms:modified xsi:type="dcterms:W3CDTF">2022-12-20T13:15:00Z</dcterms:modified>
</cp:coreProperties>
</file>