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EDF5" w14:textId="0AE31D4E" w:rsidR="00C705E9" w:rsidRPr="00C00426" w:rsidRDefault="00C705E9" w:rsidP="00C0042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b/>
          <w:bCs/>
          <w:color w:val="0071BC"/>
        </w:rPr>
      </w:pPr>
      <w:bookmarkStart w:id="0" w:name="_GoBack"/>
      <w:bookmarkEnd w:id="0"/>
      <w:r w:rsidRPr="00C00426">
        <w:rPr>
          <w:rFonts w:ascii="Arial" w:hAnsi="Arial" w:cs="Arial"/>
          <w:b/>
          <w:bCs/>
          <w:color w:val="0071BC"/>
        </w:rPr>
        <w:t>2</w:t>
      </w:r>
      <w:r w:rsidR="008F45BE" w:rsidRPr="00C00426">
        <w:rPr>
          <w:rFonts w:ascii="Arial" w:hAnsi="Arial" w:cs="Arial"/>
          <w:b/>
          <w:bCs/>
          <w:color w:val="0071BC"/>
        </w:rPr>
        <w:t>9</w:t>
      </w:r>
      <w:r w:rsidR="00C00426">
        <w:rPr>
          <w:rFonts w:ascii="Arial" w:hAnsi="Arial" w:cs="Arial"/>
          <w:b/>
          <w:bCs/>
          <w:color w:val="0071BC"/>
        </w:rPr>
        <w:t xml:space="preserve"> </w:t>
      </w:r>
      <w:r w:rsidRPr="00C00426">
        <w:rPr>
          <w:rFonts w:ascii="Arial" w:hAnsi="Arial" w:cs="Arial"/>
          <w:b/>
          <w:bCs/>
          <w:color w:val="0071BC"/>
        </w:rPr>
        <w:t xml:space="preserve"> SOUDNICTVÍ, KRIMINALITA, NEHODY</w:t>
      </w:r>
    </w:p>
    <w:p w14:paraId="14B29338" w14:textId="30D0C824" w:rsidR="00C705E9" w:rsidRDefault="00C705E9" w:rsidP="00C0042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47BEE8F2" w14:textId="77777777" w:rsidR="009F09B4" w:rsidRPr="009F09B4" w:rsidRDefault="009F09B4" w:rsidP="009F09B4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9F09B4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49AD84E" w14:textId="77777777" w:rsidR="009F09B4" w:rsidRDefault="009F09B4" w:rsidP="00C0042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65A8B382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Tato kapitola byla zpracována z podkladů poskytnutých Ministerstvem spravedlnosti, Generálním ředitelstvím Vězeňské služby ČR, Policejním prezidiem ČR, Ministerstvem dopravy a Ministerstvem vnitra – generálním ředitelstvím Hasičského záchranného sboru ČR. Změna územního uspořádání České republiky platná od 1. ledna 2000 nebyla promítnuta do organizační struktury soudnictví a vězeňství.</w:t>
      </w:r>
    </w:p>
    <w:p w14:paraId="2FA58BB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7CEDC3B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487B4F2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</w:p>
    <w:p w14:paraId="3E5071D1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F2B23C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-1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Pohyb agendy u okresních a krajských soudů</w:t>
      </w:r>
    </w:p>
    <w:p w14:paraId="2508AD1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Trestní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věci projednávané soudem na základě obžaloby či návrhu na potrestání podané státním zástupcem, v nichž je rozhodováno o vině, případně o trestní sankci</w:t>
      </w:r>
      <w:r w:rsidRPr="00C05527" w:rsidDel="00BE3B81">
        <w:rPr>
          <w:rFonts w:ascii="Arial" w:hAnsi="Arial" w:cs="Arial"/>
          <w:color w:val="000000"/>
          <w:sz w:val="18"/>
          <w:szCs w:val="18"/>
        </w:rPr>
        <w:t xml:space="preserve"> </w:t>
      </w:r>
      <w:r w:rsidRPr="00C05527">
        <w:rPr>
          <w:rFonts w:ascii="Arial" w:hAnsi="Arial" w:cs="Arial"/>
          <w:color w:val="000000"/>
          <w:sz w:val="18"/>
          <w:szCs w:val="18"/>
        </w:rPr>
        <w:t>a náhradě škody způsobené trestnou činností. Dále sem patří též případy rozhodování soudu o návrhu na schválení dohody o vině a trestu.</w:t>
      </w:r>
    </w:p>
    <w:p w14:paraId="58E50161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Občanskoprávní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převážnou část agendy tvoří věci upravené zákonem č. 89/2012 Sb., občanský zákoník, ve znění pozdějších předpisů (dále jen „občanský zákoník“), který 1. ledna 2014 nahradil původní občanský zákoník (zákon č. 40/1964 Sb.) a zákon o rodině (zákon č. 94/1963 Sb.). Dále pak pracovní věci upravené zákoníkem práce (zákon č. 262/2006 Sb., ve znění pozdějších předpisů). Občanskoprávní agenda se řadí mezi civilní agendy soudů.</w:t>
      </w:r>
    </w:p>
    <w:p w14:paraId="6472BEA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Opatrovnická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civilní agenda, kterou tvoří zejména vybrané věci upravené občanským zákoníkem ohledně svéprávnosti a opatrovnictví člověka (zletilé fyzické osoby) a záležitosti kolem nezletilých dětí, poručenství a jiné formy péče o dítě.</w:t>
      </w:r>
    </w:p>
    <w:p w14:paraId="2108F366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Obchodní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jedna z dalších civilních agend, jejíž převážnou část tvoří spory mezi podnikateli a věci upravené zákonem č. 90/2012 Sb., o obchodních společnostech a družstvech (zákon o obchodních korporacích), ve znění pozdějších předpisů (dále jen „zákon o obchodních korporacích“), které byly dříve upraveny zákonem č. 513/1991 Sb., obchodní zákoník, ve znění pozdějších předpisů (dále jen „obchodní zákoník“), a dále věci upravené zákonem č. 182/2006 Sb., o úpadku a způsobech jeho řešení (insolvenční zákon), ve znění pozdějších předpisů (dále jen „insolvenční zákon“). Obchodní zákoník byl od 1. ledna 2014 nahrazen zákonem o obchodních korporacích a občanským zákoníkem.</w:t>
      </w:r>
    </w:p>
    <w:p w14:paraId="6F6E44A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Insolvenční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samostatná agenda vyčleněná z obchodní agendy, kterou </w:t>
      </w:r>
      <w:r w:rsidRPr="00C05527">
        <w:rPr>
          <w:rFonts w:ascii="Arial" w:hAnsi="Arial" w:cs="Arial"/>
          <w:sz w:val="18"/>
          <w:szCs w:val="18"/>
        </w:rPr>
        <w:t>tvoří věci projednávané krajskými soudy podle insolvenčního zákona. V rámci insolvenční agendy řeší soud jak insolvenční návrhy (zapisované do rejstříku INS), tak i incidenční spory vyvolané insolvenčním řízením (žaloby zapisované do rejstříku ICm), jejichž výčet je uveden v § 159 insolvenčního zákona.</w:t>
      </w:r>
    </w:p>
    <w:p w14:paraId="744CA82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Rejstříky jednotlivých agend</w:t>
      </w:r>
      <w:r w:rsidRPr="00C05527">
        <w:rPr>
          <w:rFonts w:ascii="Arial" w:hAnsi="Arial" w:cs="Arial"/>
          <w:sz w:val="18"/>
          <w:szCs w:val="18"/>
        </w:rPr>
        <w:t xml:space="preserve"> – přehled rejstříků je uveden v Instrukci Ministerstva spravedlnosti ze dne 3. prosince 2001, č. j. 505/2001–ORG, kterou se vydává vnitřní a kancelářský řád pro okresní, krajské a vrchní soudy, v platném znění. V dokumentu je rovněž uveden způsob vedení zápisů v jednotlivých rejstřících.</w:t>
      </w:r>
    </w:p>
    <w:p w14:paraId="3BDB2F1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Rejstřík T</w:t>
      </w:r>
      <w:r w:rsidRPr="00C05527">
        <w:rPr>
          <w:rFonts w:ascii="Arial" w:hAnsi="Arial" w:cs="Arial"/>
          <w:sz w:val="18"/>
          <w:szCs w:val="18"/>
        </w:rPr>
        <w:t xml:space="preserve"> – do rejstříku T se zapisují všechny trestní věci, v nichž byla státním zástupcem podána obžaloba nebo po zkráceném řízení návrh na potrestání, včetně případů rozhodování soudu o návrhu na schválení dohody o vině a trestu, s výjimkou věcí, které se týkají mladistvých.</w:t>
      </w:r>
    </w:p>
    <w:p w14:paraId="62AA603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Rejstřík C</w:t>
      </w:r>
      <w:r w:rsidRPr="00C05527">
        <w:rPr>
          <w:rFonts w:ascii="Arial" w:hAnsi="Arial" w:cs="Arial"/>
          <w:sz w:val="18"/>
          <w:szCs w:val="18"/>
        </w:rPr>
        <w:t xml:space="preserve"> – do rejstříku C se zapisují</w:t>
      </w:r>
    </w:p>
    <w:p w14:paraId="3D3B110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všechny občanskoprávní návrhy týkající se právních poměrů mezi žalobcem a žalovaným včetně určovacích žalob (§ 80 občanského soudního úřadu), žalob z rušené držby, žalob ve věcech ochrany osobnosti člověka, žalob podle zákona č. 198/2009 Sb., o rovném zacházení a o právních prostředcích ochrany před diskriminací a o změně některých zákonů (antidiskriminační zákon), žalob ve věcech, o nichž bylo rozhodnuto jiným orgánem, je-li k řízení příslušný okresní soud, a též</w:t>
      </w:r>
      <w:r w:rsidRPr="00C05527" w:rsidDel="00724F2F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žalob vyvolaných řízením o pozůstalosti;</w:t>
      </w:r>
    </w:p>
    <w:p w14:paraId="1E08FF9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rozhodnutí ve statusových věcech manželských a partnerských, návrhy ve věcech týkající se osvojení zletilého, včetně návrhů na zrušení takového osvojení, dále návrhy na určení nebo zrušení vyživovací povinnosti k plně svéprávným osobám a na určení výživného a zajištění úhrady některých nákladů neprovdané matce, dále návrhy ve věcech uznání cizího rozhodnutí dle § 16 zákona č. 91/2012 Sb., o mezinárodním právu soukromém, ve znění pozdějších předpisů;</w:t>
      </w:r>
    </w:p>
    <w:p w14:paraId="5A428A6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zrušení soudního smíru, na určení neplatnosti rozhodčí smlouvy a zrušení rozhodčích, na nařízení soudního prodeje zástavy;</w:t>
      </w:r>
    </w:p>
    <w:p w14:paraId="45C4EBA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vydání platebního rozkazu, návrhy na vydání elektronického platebního rozkazu, jestliže elektronický platební rozkaz byl zrušen, nebo nebyl vydán, a návrhy na zahájení řízení o drobných nárocích;</w:t>
      </w:r>
    </w:p>
    <w:p w14:paraId="2E9276F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žaloby na obnovu řízení a žaloby pro zmatečnost do věcí evidovaných u okresních soudů v rejstřících Ro, ERo, L, D, U, Sd, E a EXE.</w:t>
      </w:r>
    </w:p>
    <w:p w14:paraId="43EB764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 xml:space="preserve">U krajských soudů se zapisují do rejstříku C věci podle ustanovení § 9 odst. 2 písm. a) až d) a g) zákona č. 99/1963, občanský soudní řád, </w:t>
      </w:r>
      <w:r w:rsidRPr="00C05527">
        <w:rPr>
          <w:rFonts w:ascii="Arial" w:hAnsi="Arial" w:cs="Arial"/>
          <w:color w:val="000000"/>
          <w:sz w:val="18"/>
          <w:szCs w:val="18"/>
        </w:rPr>
        <w:t>ve znění pozdějších předpisů (dále jen „občanský soudní řád“),</w:t>
      </w:r>
      <w:r w:rsidRPr="00C05527">
        <w:rPr>
          <w:rFonts w:ascii="Arial" w:hAnsi="Arial" w:cs="Arial"/>
          <w:sz w:val="18"/>
          <w:szCs w:val="18"/>
        </w:rPr>
        <w:t xml:space="preserve"> žaloby na náhradu za vyvlastnění a žaloby ve věcech, o nichž bylo rozhodnuto jiným orgánem, podle § 249 odst. 2 občanského soudního řádu.</w:t>
      </w:r>
    </w:p>
    <w:p w14:paraId="3B25DF6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Rejstřík P a Nc</w:t>
      </w:r>
      <w:r w:rsidRPr="00C05527">
        <w:rPr>
          <w:rFonts w:ascii="Arial" w:hAnsi="Arial" w:cs="Arial"/>
          <w:sz w:val="18"/>
          <w:szCs w:val="18"/>
        </w:rPr>
        <w:t xml:space="preserve"> – do rejstříku P a Nc se zapisují</w:t>
      </w:r>
    </w:p>
    <w:p w14:paraId="36F9640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lastRenderedPageBreak/>
        <w:t>– věci týkající se podpůrných opatření při narušení schopnosti zletilého právně jednat a svéprávnosti člověka, prohlášení za nezvěstného, prohlášení za mrtvého či určení data smrti, 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zdraví;</w:t>
      </w:r>
    </w:p>
    <w:p w14:paraId="187FAEC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povolení uzavření manželství, věci týkající se určování a popírání rodičovství, věci péče soudu o nezletilé (§ 466 zák. č. 292/2013 Sb.), včetně výkonu rozhodnutí o péči o nezletilé děti, věci týkající se osvojení nezletilého (§ 427 zák. č. 292/2013 Sb.) a návrhy na vydání předběžného opatření upravujícího poměry dítěte.</w:t>
      </w:r>
    </w:p>
    <w:p w14:paraId="755FAA6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Rejstřík Cm</w:t>
      </w:r>
      <w:r w:rsidRPr="00C05527">
        <w:rPr>
          <w:rFonts w:ascii="Arial" w:hAnsi="Arial" w:cs="Arial"/>
          <w:sz w:val="18"/>
          <w:szCs w:val="18"/>
        </w:rPr>
        <w:t xml:space="preserve"> – rejstřík Cm se vede u krajských soudů v obchodních věcech. Dále se sem zapisují návrhy na vydání platebního rozkazu a směnečného (šekového) platebního rozkazu, návrhy na vydání elektronického platebního rozkazu, byl-li podán včas odpor, nebo jestliže platební rozkaz nebyl vydán, případně byl zrušen, a návrhy na zahájení řízení o drobných nárocích. Zapíší se sem též žaloby na obnovu řízení a žaloby pro zmatečnost do věcí evidovaných u krajských soudů v rejstřících Ro, ERo, Sm, K a KV.</w:t>
      </w:r>
    </w:p>
    <w:p w14:paraId="721A1E0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Rejstřík INS</w:t>
      </w:r>
      <w:r w:rsidRPr="00C05527">
        <w:rPr>
          <w:rFonts w:ascii="Arial" w:hAnsi="Arial" w:cs="Arial"/>
          <w:sz w:val="18"/>
          <w:szCs w:val="18"/>
        </w:rPr>
        <w:t xml:space="preserve"> – do rejstříku INS se zapisují insolvenční návrhy a návrhy na moratorium před zahájením řízení podle insolvenčního zákona.</w:t>
      </w:r>
    </w:p>
    <w:p w14:paraId="6EFE7A8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Rejstřík ICm</w:t>
      </w:r>
      <w:r w:rsidRPr="00C05527">
        <w:rPr>
          <w:rFonts w:ascii="Arial" w:hAnsi="Arial" w:cs="Arial"/>
          <w:sz w:val="18"/>
          <w:szCs w:val="18"/>
        </w:rPr>
        <w:t xml:space="preserve"> – do rejstříku ICm se zapisují incidenční spory podle insolvenčního zákona a žaloby pro zmatečnost věcí evidovaných v rejstříku INS.</w:t>
      </w:r>
    </w:p>
    <w:p w14:paraId="33B0AA9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Počet věcí</w:t>
      </w:r>
      <w:r w:rsidRPr="00C05527">
        <w:rPr>
          <w:rFonts w:ascii="Arial" w:hAnsi="Arial" w:cs="Arial"/>
          <w:sz w:val="18"/>
          <w:szCs w:val="18"/>
        </w:rPr>
        <w:t xml:space="preserve"> – označení případu projednávaného soudem, který je zapsán v příslušném rejstříku. Jedna věc se může týkat i více osob.</w:t>
      </w:r>
    </w:p>
    <w:p w14:paraId="1B8C8F2A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Obživlo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05527">
        <w:rPr>
          <w:rFonts w:ascii="Arial" w:hAnsi="Arial" w:cs="Arial"/>
          <w:color w:val="000000"/>
          <w:sz w:val="18"/>
          <w:szCs w:val="18"/>
        </w:rPr>
        <w:t>– jde o věci, u kterých</w:t>
      </w:r>
      <w:r w:rsidRPr="00C05527">
        <w:rPr>
          <w:rFonts w:ascii="Arial" w:hAnsi="Arial" w:cs="Arial"/>
          <w:sz w:val="18"/>
          <w:szCs w:val="18"/>
        </w:rPr>
        <w:t xml:space="preserve"> v důsledku rozhodnutí soudu vyššího stupně musí následovat řízení před soudem prvního stupně po úplném nebo částečném zrušení rozhodnutí nebo po nevyhovění návrhu na změnu příslušnosti či odnětí a přikázání věci.</w:t>
      </w:r>
    </w:p>
    <w:p w14:paraId="7A5CF5DA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Od roku 2009 došlo ke změnám ve vedení rejstříků ohledně zápisu žalob (návrhů) na obnovu řízení, žalob pro zmatečnost a dále případů, ve kterých v důsledku rozhodnutí dovolacího nebo Ústavního soudu, povolení obnovy nebo zrušení napadaného rozhodnutí pro zmatečnost znovu dochází k řízení u soudu prvního stupně. Nově se tyto případy nezapisují jako nový nápad, ale obživují – </w:t>
      </w: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nová obživa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dle úpravy od 1. ledna 2009.</w:t>
      </w:r>
    </w:p>
    <w:p w14:paraId="5B50A3DB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Napadlo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v trestních věcech počet podaných obžalob, návrhů na potrestání nebo návrhů na schválení dohody o vině a trestu. V občanskoprávní agendě a agendě P a Nc počet návrhů na zahájení řízení (žalob), které byly soudu doporučeny k projednání (včetně případů, kdy soud řízení zahájí bez návrhu z úřední povinnosti) a které soud zapíše do příslušného rejstříku.</w:t>
      </w:r>
    </w:p>
    <w:p w14:paraId="3FAAE58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Vyřízeno</w:t>
      </w:r>
      <w:r w:rsidRPr="00C05527">
        <w:rPr>
          <w:rFonts w:ascii="Arial" w:hAnsi="Arial" w:cs="Arial"/>
          <w:sz w:val="18"/>
          <w:szCs w:val="18"/>
        </w:rPr>
        <w:t xml:space="preserve"> – počet věcí, ve kterých soud nepravomocně rozhodl.</w:t>
      </w:r>
    </w:p>
    <w:p w14:paraId="1A34EF4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Nevyřízeno</w:t>
      </w:r>
      <w:r w:rsidRPr="00C05527">
        <w:rPr>
          <w:rFonts w:ascii="Arial" w:hAnsi="Arial" w:cs="Arial"/>
          <w:sz w:val="18"/>
          <w:szCs w:val="18"/>
        </w:rPr>
        <w:t xml:space="preserve"> – počet věcí, ve kterých soud dosud nerozhodl. Tento údaj se vztahuje vždy k 31. prosinci příslušného roku.</w:t>
      </w:r>
    </w:p>
    <w:p w14:paraId="7BCCFC5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1FA801D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0211839F" w14:textId="77777777" w:rsidR="00C05527" w:rsidRPr="00C05527" w:rsidRDefault="00C05527" w:rsidP="00C05527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-2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Pravomocná rozhodnutí soudu a průměrné délky soudního řízení</w:t>
      </w:r>
    </w:p>
    <w:p w14:paraId="74F32F3F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Pravomocné rozhodnutí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takové rozhodnutí soudu, které nabylo právní moci.</w:t>
      </w:r>
    </w:p>
    <w:p w14:paraId="3068757A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Počet věcí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počet spisových značek, pod kterými jsou vyřizovány jednotlivé soudní případy (počet spisů).</w:t>
      </w:r>
    </w:p>
    <w:p w14:paraId="326F8364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Počet práv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počet práv uplatňovaných ve věci.</w:t>
      </w:r>
    </w:p>
    <w:p w14:paraId="7B106466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 xml:space="preserve">Počet práv ve věcech nezletilých dětí </w:t>
      </w:r>
      <w:r w:rsidRPr="00C05527">
        <w:rPr>
          <w:rFonts w:ascii="Arial" w:hAnsi="Arial" w:cs="Arial"/>
          <w:color w:val="000000"/>
          <w:sz w:val="18"/>
          <w:szCs w:val="18"/>
        </w:rPr>
        <w:t>– počet dětí, o nichž soudy ve věcech nezletilých dětí v opatrovnické agendě rozhodovaly.</w:t>
      </w:r>
    </w:p>
    <w:p w14:paraId="3EE88B6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Právní moc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vlastnost konečného rozhodnutí, které je nezměnitelné a závazné.</w:t>
      </w:r>
    </w:p>
    <w:p w14:paraId="7A399D8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Od roku 2006 jsou </w:t>
      </w:r>
      <w:r w:rsidRPr="00C05527">
        <w:rPr>
          <w:rFonts w:ascii="Arial" w:hAnsi="Arial" w:cs="Arial"/>
          <w:b/>
          <w:color w:val="000000"/>
          <w:sz w:val="18"/>
          <w:szCs w:val="18"/>
        </w:rPr>
        <w:t>občanskoprávní věci a obchodní věci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spojeny do jedné civilní agendy. Obchodní věci jsou tedy součástí celé občanskoprávní (civilní) agendy.</w:t>
      </w:r>
    </w:p>
    <w:p w14:paraId="0F5C2D97" w14:textId="77777777" w:rsidR="00C05527" w:rsidRPr="00C05527" w:rsidRDefault="00C05527" w:rsidP="00C0552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E4DB785" w14:textId="77777777" w:rsidR="00C05527" w:rsidRPr="00C05527" w:rsidRDefault="00C05527" w:rsidP="00C0552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68655F6" w14:textId="77777777" w:rsidR="00C05527" w:rsidRPr="00C05527" w:rsidRDefault="00C05527" w:rsidP="00C05527">
      <w:pPr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-3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Stíhané, obžalované a odsouzené fyzické osoby</w:t>
      </w:r>
    </w:p>
    <w:p w14:paraId="4A9CA6BE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Stíháno osob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jejichž trestní stíhání vedené podle § 160 zákona č. 141/1961 Sb., o trestním řízení (trestní řád), ve znění pozdějších předpisů (dále jen „trestní řád“) bylo ve sledovaném roce ukončeno.</w:t>
      </w:r>
    </w:p>
    <w:p w14:paraId="76B5A1D5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Obžalováno osob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na něž byla podána obžaloba podle § 176 trestního řádu.</w:t>
      </w:r>
    </w:p>
    <w:p w14:paraId="310E6E4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 xml:space="preserve">Podán </w:t>
      </w: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 xml:space="preserve">návrh na schválení dohody o vině a trestu 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>– počet fyzických osob, s nimiž státní zástupce sjednal dohodu o vině a trestu a následně podal soudu návrh na schválení této dohody dle § 175a a § 175b trestního řádu.</w:t>
      </w:r>
    </w:p>
    <w:p w14:paraId="11A9640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Trestní stíhání zastaveno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u kterých došlo k zastavení trestního stíhání podle § 172 trestního řádu, podmíněné zastavení trestního stíhání podle § 307 trestního řádu.</w:t>
      </w:r>
    </w:p>
    <w:p w14:paraId="2A6FFA6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Přerušeno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Pr="00C05527">
        <w:rPr>
          <w:rFonts w:ascii="Arial" w:hAnsi="Arial" w:cs="Arial"/>
          <w:color w:val="000000"/>
          <w:sz w:val="18"/>
          <w:szCs w:val="18"/>
        </w:rPr>
        <w:t>počet fyzických osob, u kterých došlo k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05527">
        <w:rPr>
          <w:rFonts w:ascii="Arial" w:hAnsi="Arial" w:cs="Arial"/>
          <w:color w:val="000000"/>
          <w:sz w:val="18"/>
          <w:szCs w:val="18"/>
        </w:rPr>
        <w:t>přerušení trestního stíhání podle § 173 trestního řádu. Přerušení trestního řízení je rozhodnutím prozatímní povahy, věc není definitivně skončena.</w:t>
      </w:r>
    </w:p>
    <w:p w14:paraId="24E6E7D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Postoupeno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věcí, které byly postoupeny jinému orgánu podle § 171 trestního řádu.</w:t>
      </w:r>
    </w:p>
    <w:p w14:paraId="4957E39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lastRenderedPageBreak/>
        <w:t>Zkrácené přípravné řízení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u nichž zkrácené přípravné řízení vedené podle § 179a trestního řádu bylo ve sledovaném roce ukončeno.</w:t>
      </w:r>
    </w:p>
    <w:p w14:paraId="4BC2E734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Návrh na potrestání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na něž byl podán návrh na potrestání podle § 179c trestního řádu.</w:t>
      </w:r>
    </w:p>
    <w:p w14:paraId="0F2C9D72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 xml:space="preserve">Podán </w:t>
      </w: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 xml:space="preserve">návrh na schválení dohody o vině a trestu 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>– počet fyzických osob, s nimiž státní zástupce ve zkráceném přípravném řízení sjednal dohodu o vině a trestu a následně podal soudu návrh na schválení této dohody dle § 179b odst. 5 trestního řádu.</w:t>
      </w:r>
    </w:p>
    <w:p w14:paraId="3DA0D2F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Odsouzená osoba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fyzická </w:t>
      </w:r>
      <w:r w:rsidRPr="00C05527">
        <w:rPr>
          <w:rFonts w:ascii="Arial" w:hAnsi="Arial" w:cs="Arial"/>
          <w:color w:val="000000"/>
          <w:sz w:val="18"/>
          <w:szCs w:val="18"/>
        </w:rPr>
        <w:t>osoba, proti které byl vydán soudem odsuzující rozsudek, který již nabyl právní moci.</w:t>
      </w:r>
    </w:p>
    <w:p w14:paraId="5DC927B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Mladistvý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fyzická osoba, která v době spáchání trestného činu dovršila 15. rok a nepřekročila 18. rok věku.</w:t>
      </w:r>
    </w:p>
    <w:p w14:paraId="0904775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Nepodmíněný trest odnětí svobody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trest odnětí svobody, který </w:t>
      </w:r>
      <w:r w:rsidRPr="00C05527">
        <w:rPr>
          <w:rFonts w:ascii="Arial" w:hAnsi="Arial" w:cs="Arial"/>
          <w:color w:val="000000"/>
          <w:sz w:val="18"/>
          <w:szCs w:val="18"/>
        </w:rPr>
        <w:t>je vykonávaný ve věznicích Vězeňské služby České republiky.</w:t>
      </w:r>
    </w:p>
    <w:p w14:paraId="0B63D7E5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Podmíněně odložený trest odnětí svobody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trest odnětí svobody, jehož výkon soud podmíněně odložil na zkušební dobu.</w:t>
      </w:r>
    </w:p>
    <w:p w14:paraId="105E2D02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Podmíněně odložený trest odnětí svobody s dohledem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trest odnětí svobody, jehož výkon soud podmíněně odložil na zkušební dobu a současně vyslovil nad pachatelem dohled.</w:t>
      </w:r>
    </w:p>
    <w:p w14:paraId="07F15DC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Tresty uložené ve spojení s jinými tresty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uložení více trestů současně ve smyslu </w:t>
      </w:r>
      <w:r w:rsidRPr="00C05527">
        <w:rPr>
          <w:rFonts w:ascii="Arial" w:hAnsi="Arial" w:cs="Arial"/>
          <w:color w:val="000000"/>
          <w:sz w:val="18"/>
          <w:szCs w:val="18"/>
        </w:rPr>
        <w:t>§ 53 trestního zákoníku.</w:t>
      </w:r>
    </w:p>
    <w:p w14:paraId="51A749AC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Zákaz činnosti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trest spočívající v zákazu výkonu určitého zaměstnání, povolání, funkce nebo činnosti na 1 až 10 let.</w:t>
      </w:r>
    </w:p>
    <w:p w14:paraId="19C23609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Jiný trest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např. ztráta čestných titulů a vyznamenání, ztráta vojenské hodnosti, propadnutí majetku, propadnutí věci, vyhoštění, zákaz pobytu aj.</w:t>
      </w:r>
    </w:p>
    <w:p w14:paraId="4A9FB5FC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Trestní opatření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Pr="00C05527">
        <w:rPr>
          <w:rFonts w:ascii="Arial" w:hAnsi="Arial" w:cs="Arial"/>
          <w:color w:val="000000"/>
          <w:sz w:val="18"/>
          <w:szCs w:val="18"/>
        </w:rPr>
        <w:t>na rozdíl od právní úpravy pro dospělé pachatele obsažené v trestním zákoně, resp. trestním zákoníku se sankce ukládané za spáchání trestných činů mladistvých nenazývají trestem, ale trestním opatřením podle zákona č. 218/2003 Sb., o odpovědnosti mládeže za protiprávní činy a o soudnictví ve věcech mládeže a o změně některých zákonů (zákon o soudnictví ve věcech mládeže), ve znění pozdějších předpisů.</w:t>
      </w:r>
    </w:p>
    <w:p w14:paraId="6C155FA8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Upuštěno od potrestání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upuštění od potrestání podle § 46, § 47, § 48 trestního zákoníku.</w:t>
      </w:r>
    </w:p>
    <w:p w14:paraId="0B03AB71" w14:textId="77777777" w:rsidR="00C05527" w:rsidRPr="00C05527" w:rsidRDefault="00C05527" w:rsidP="00C05527">
      <w:pPr>
        <w:jc w:val="both"/>
        <w:rPr>
          <w:rFonts w:ascii="Arial" w:hAnsi="Arial" w:cs="Arial"/>
          <w:bCs/>
          <w:dstrike/>
          <w:color w:val="000000"/>
          <w:sz w:val="18"/>
          <w:szCs w:val="18"/>
        </w:rPr>
      </w:pPr>
    </w:p>
    <w:p w14:paraId="26D4C7D3" w14:textId="77777777" w:rsidR="00C05527" w:rsidRPr="00C05527" w:rsidRDefault="00C05527" w:rsidP="00C05527">
      <w:pPr>
        <w:jc w:val="both"/>
        <w:rPr>
          <w:rFonts w:ascii="Arial" w:hAnsi="Arial" w:cs="Arial"/>
          <w:bCs/>
          <w:dstrike/>
          <w:color w:val="000000"/>
          <w:sz w:val="18"/>
          <w:szCs w:val="18"/>
        </w:rPr>
      </w:pPr>
    </w:p>
    <w:p w14:paraId="4C029EDA" w14:textId="77777777" w:rsidR="00C05527" w:rsidRPr="00C05527" w:rsidRDefault="00C05527" w:rsidP="00C05527">
      <w:pPr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-4 a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-5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Odsouzené fyzické osoby a odsouzené mladistvé osoby za vybrané trestné činy</w:t>
      </w:r>
    </w:p>
    <w:p w14:paraId="1B94E9B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color w:val="000000"/>
          <w:sz w:val="18"/>
          <w:szCs w:val="18"/>
        </w:rPr>
        <w:t>Údaje v tabulkách jsou sečteny za odsouzené fyzické osoby podle trestního zákoníku, příp. trestního zákona.</w:t>
      </w:r>
    </w:p>
    <w:p w14:paraId="3AD5CC45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Trestné činy v dopravě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trestné činy spáchané v souvislosti s provozem dopravního prostředku.</w:t>
      </w:r>
    </w:p>
    <w:p w14:paraId="370A49E9" w14:textId="77777777" w:rsidR="00C05527" w:rsidRPr="00C05527" w:rsidRDefault="00C05527" w:rsidP="00C0552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0C23721" w14:textId="77777777" w:rsidR="00C05527" w:rsidRPr="00C05527" w:rsidRDefault="00C05527" w:rsidP="00C0552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5C9AB6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29-6  Osoby ve výkonu vazby, výkonu trestu odnětí svobody a výkonu zabezpečovací detence</w:t>
      </w:r>
    </w:p>
    <w:p w14:paraId="34C17406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Chovanec</w:t>
      </w:r>
      <w:r w:rsidRPr="00C05527">
        <w:rPr>
          <w:rFonts w:ascii="Arial" w:hAnsi="Arial" w:cs="Arial"/>
          <w:sz w:val="18"/>
          <w:szCs w:val="18"/>
        </w:rPr>
        <w:t xml:space="preserve"> je osoba ve výkonu zabezpečovací detence podle zákona č. 129/2008 Sb., o výkonu zabezpečovací detence a o změně některých souvisejících zákonů, </w:t>
      </w:r>
      <w:r w:rsidRPr="00C05527">
        <w:rPr>
          <w:rFonts w:ascii="Arial" w:hAnsi="Arial" w:cs="Arial"/>
          <w:color w:val="000000"/>
          <w:sz w:val="18"/>
          <w:szCs w:val="18"/>
        </w:rPr>
        <w:t>ve znění pozdějších předpisů.</w:t>
      </w:r>
    </w:p>
    <w:p w14:paraId="7C8CC95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015138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39B04E1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29-8  Státní příslušnost vězňů</w:t>
      </w:r>
    </w:p>
    <w:p w14:paraId="6D16CF4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Bývalí státní příslušníci ČSFR, u kterých není z dostupných dokladů zřejmé, zda jsou občany ČR nebo SR, jsou zahrnuti mezi cizince.</w:t>
      </w:r>
    </w:p>
    <w:p w14:paraId="1F19CE3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C084F6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DBB45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29-10  Odsouzení, kteří nastoupili do výkonu trestu odnětí svobody</w:t>
      </w:r>
    </w:p>
    <w:p w14:paraId="78A2E3E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Nástup do výkonu trestu odnětí svobody zahrnuje nástup z občanského života, dodání policií, návrat po útěku, návrat po přerušení výkonu trestu odnětí svobody dle § 325 odst. 1 trestního řádu nebo převzetí z ciziny.</w:t>
      </w:r>
    </w:p>
    <w:p w14:paraId="1C0DA40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25B7B3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A9397F2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-11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Odsouzení podle jednotlivých typů věznic</w:t>
      </w:r>
    </w:p>
    <w:p w14:paraId="2B38EF0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 xml:space="preserve">Do </w:t>
      </w:r>
      <w:r w:rsidRPr="00C05527">
        <w:rPr>
          <w:rFonts w:ascii="Arial" w:hAnsi="Arial" w:cs="Arial"/>
          <w:b/>
          <w:bCs/>
          <w:sz w:val="18"/>
          <w:szCs w:val="18"/>
        </w:rPr>
        <w:t>věznic pro mladistvé</w:t>
      </w:r>
      <w:r w:rsidRPr="00C05527">
        <w:rPr>
          <w:rFonts w:ascii="Arial" w:hAnsi="Arial" w:cs="Arial"/>
          <w:sz w:val="18"/>
          <w:szCs w:val="18"/>
        </w:rPr>
        <w:t xml:space="preserve"> jsou zařazováni odsouzení, kteří nepřekročili 19. rok svého věku a osoby starší, u kterých bylo rozhodnuto, že trest vykonají v kolektivu mladistvých i po dovršení věku 19 let.</w:t>
      </w:r>
    </w:p>
    <w:p w14:paraId="4236269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V důsledku změn, které zavedl zákon č. 58/2017 Sb. a vyhláška č. 279/2017 Sb. s účinností od 1. října 2017 se mění členění věznice podle způsobu vnějšího střežení, zajištění bezpečnosti a režimu výkonu trestu do dvou typů, a to na věznici s ostrahou a se zvýšenou ostrahou. Věznice s ostrahou se podle stupně zabezpečení člení na oddělení s nízkým stupněm zabezpečení, se středním stupněm zabezpečení a s vysokým stupněm zabezpečení.</w:t>
      </w:r>
    </w:p>
    <w:p w14:paraId="327393A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F3250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8DFAD4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29-14  Zaměstnanost, průměrná měsíční mzda a výsledky v odborném vzdělávání odsouzených</w:t>
      </w:r>
    </w:p>
    <w:p w14:paraId="080801D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Od roku 2016 se do evidence zaměstnávání zahrnují pouze odsouzení pracující za finanční odměnu.</w:t>
      </w:r>
    </w:p>
    <w:p w14:paraId="363B8F0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EA543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9AE5C16" w14:textId="77777777" w:rsidR="00C05527" w:rsidRPr="00C05527" w:rsidRDefault="00C05527" w:rsidP="00C05527">
      <w:pPr>
        <w:keepNext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lastRenderedPageBreak/>
        <w:t>Tab. 29-15  Mimořádné události</w:t>
      </w:r>
    </w:p>
    <w:p w14:paraId="210F8D1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Přerušení výkonu trestu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ředitel věznice může odsouzenému v případě úspěšného plnění programu zacházení a dosahování účelu výkonu trestu formou odměny přerušit výkon trestu až na 20 dnů během kalendářního roku. Doba přerušení se počítá do výkonu trestu.</w:t>
      </w:r>
    </w:p>
    <w:p w14:paraId="6CA55232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1D4F3F01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0430C024" w14:textId="77777777" w:rsidR="00C05527" w:rsidRPr="00C05527" w:rsidRDefault="00C05527" w:rsidP="00C05527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29-16  Odsouzení za trestné činy spáchané v souvislosti s požíváním a distribucí návykových látek</w:t>
      </w:r>
    </w:p>
    <w:p w14:paraId="5D47D016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color w:val="000000"/>
          <w:sz w:val="18"/>
          <w:szCs w:val="18"/>
        </w:rPr>
        <w:t xml:space="preserve">Údaje v tabulce jsou sečteny za odsouzené osoby podle 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>§ 187, § 187a, § 188, § 188a, § 201, § 201a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trestního zákona a podle § 283, § 284, § 286, § 287, § 274, § 360 trestního zákoníku.</w:t>
      </w:r>
    </w:p>
    <w:p w14:paraId="2706BFE0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48FBACB9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7A1DFF75" w14:textId="77777777" w:rsidR="00C05527" w:rsidRPr="00C05527" w:rsidRDefault="00C05527" w:rsidP="00C05527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29-17  Kriminalita</w:t>
      </w:r>
    </w:p>
    <w:p w14:paraId="6BDE2BEE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Kriminalita celkem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zahrnuje trestné činy podle trestního zákona, resp. trestního zákoníku; klasifikace trestných činů pro potřeby Policie České republiky je jiná než členění trestných činů v trestním zákoníku. Podrobnější informace o kriminalitě a jejím členění je možno nalézt na internetových stránkách Ministerstva vnitra.</w:t>
      </w:r>
    </w:p>
    <w:p w14:paraId="4548303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Objasněno</w:t>
      </w:r>
      <w:r w:rsidRPr="00C05527">
        <w:rPr>
          <w:rFonts w:ascii="Arial" w:hAnsi="Arial" w:cs="Arial"/>
          <w:sz w:val="18"/>
          <w:szCs w:val="18"/>
        </w:rPr>
        <w:t xml:space="preserve"> – uvedeny jsou trestné činy, které byly spáchány a objasněny ve statisticky sledovaném období. Objasněné trestné činy z minulých let jsou vedeny samostatně jako trestné činy </w:t>
      </w:r>
      <w:r w:rsidRPr="00C05527">
        <w:rPr>
          <w:rFonts w:ascii="Arial" w:hAnsi="Arial" w:cs="Arial"/>
          <w:b/>
          <w:sz w:val="18"/>
          <w:szCs w:val="18"/>
        </w:rPr>
        <w:t>dodatečně objasněné</w:t>
      </w:r>
      <w:r w:rsidRPr="00C05527">
        <w:rPr>
          <w:rFonts w:ascii="Arial" w:hAnsi="Arial" w:cs="Arial"/>
          <w:sz w:val="18"/>
          <w:szCs w:val="18"/>
        </w:rPr>
        <w:t>.</w:t>
      </w:r>
    </w:p>
    <w:p w14:paraId="7D6D7C7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C4D226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62D610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29-18 až 29-21  Dopravní nehody</w:t>
      </w:r>
    </w:p>
    <w:p w14:paraId="75EFDF0B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Nehody v železniční dopravě</w:t>
      </w:r>
      <w:r w:rsidRPr="00C05527">
        <w:rPr>
          <w:rFonts w:ascii="Arial" w:hAnsi="Arial" w:cs="Arial"/>
          <w:sz w:val="18"/>
          <w:szCs w:val="18"/>
        </w:rPr>
        <w:t xml:space="preserve"> – uvedeny pouze vážné nehody, nejsou zahrnuty sebevraždy a pokusy o sebevraždu.</w:t>
      </w:r>
    </w:p>
    <w:p w14:paraId="0E4CAE3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Nehody v silniční dopravě</w:t>
      </w:r>
      <w:r w:rsidRPr="00C05527">
        <w:rPr>
          <w:rFonts w:ascii="Arial" w:hAnsi="Arial" w:cs="Arial"/>
          <w:sz w:val="18"/>
          <w:szCs w:val="18"/>
        </w:rPr>
        <w:t xml:space="preserve"> celkem – uvedeny všechny nehody v silničním provozu, které byly dopravní policii nahlášeny.</w:t>
      </w:r>
    </w:p>
    <w:p w14:paraId="2EC472B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Účastník dopravní nehody je povinen nehodu nahlásit dopravní policii, dojde-li ke zranění nebo usmrcení, nebo ke škodě na majetku třetí osoby, nebo při škodě na některém z vozidel (včetně nákladu) převyšující částku 100 000 Kč.</w:t>
      </w:r>
    </w:p>
    <w:p w14:paraId="4170835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Údaje o</w:t>
      </w:r>
      <w:r w:rsidRPr="00C05527">
        <w:rPr>
          <w:rFonts w:ascii="Arial" w:hAnsi="Arial" w:cs="Arial"/>
          <w:b/>
          <w:bCs/>
          <w:sz w:val="18"/>
          <w:szCs w:val="18"/>
        </w:rPr>
        <w:t xml:space="preserve"> nehodách v letecké dopravě</w:t>
      </w:r>
      <w:r w:rsidRPr="00C05527">
        <w:rPr>
          <w:rFonts w:ascii="Arial" w:hAnsi="Arial" w:cs="Arial"/>
          <w:sz w:val="18"/>
          <w:szCs w:val="18"/>
        </w:rPr>
        <w:t xml:space="preserve"> jsou za všeobecné letectví.</w:t>
      </w:r>
    </w:p>
    <w:p w14:paraId="146B32F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Za usmrcenou osobu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se považuje osoba, která zemřela na místě nehody, při převozu do nemocnice nebo nejpozději do 30 dnů. (Tyto údaje jsou v souladu s doporučením Evropské hospodářské komise OSN a jsou vykazovány ve většině zemí EU.)</w:t>
      </w:r>
    </w:p>
    <w:p w14:paraId="6F8EF476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Těžké zranění, lehké zranění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klasifikaci těžkého a lehkého zranění určuje lékař.</w:t>
      </w:r>
    </w:p>
    <w:p w14:paraId="5A453EB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2D82CE7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0E376D9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29-22  Mimořádné události se zásahy jednotek požární ochrany (JPO)</w:t>
      </w:r>
    </w:p>
    <w:p w14:paraId="7F751DB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Požár</w:t>
      </w:r>
      <w:r w:rsidRPr="00C05527">
        <w:rPr>
          <w:rFonts w:ascii="Arial" w:hAnsi="Arial" w:cs="Arial"/>
          <w:sz w:val="18"/>
          <w:szCs w:val="18"/>
        </w:rPr>
        <w:t xml:space="preserve"> – každé nežádoucí hoření, při kterém došlo k usmrcení či zranění osob nebo zvířat anebo ke škodám na materiálních hodnotách nebo životním prostředí. Za požár se považuje i nežádoucí hoření, při kterém byly osoby, zvířata, materiální hodnoty nebo životní prostředí bezprostředně ohroženy.</w:t>
      </w:r>
    </w:p>
    <w:p w14:paraId="4B00DA3B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Dopravní nehoda</w:t>
      </w:r>
      <w:r w:rsidRPr="00C05527">
        <w:rPr>
          <w:rFonts w:ascii="Arial" w:hAnsi="Arial" w:cs="Arial"/>
          <w:sz w:val="18"/>
          <w:szCs w:val="18"/>
        </w:rPr>
        <w:t xml:space="preserve"> – mimořádná událost související s provozem dopravního prostředku v pohybu, při níž došlo k usmrcení nebo zranění osoby nebo ke škodě na majetku. Za dopravní nehodu je třeba považovat i případ, kdy JPO odstraňovaly pouze drobné následky nehody (očištění komunikace nebo odstranění úniků látek – provozních náplní vozidel apod.), pokud to byl následek dopravní nehody. Dopravní nehody se zatřídí podle převažujícího charakteru nehody. Pokud by v činnosti JPO převládaly jiné práce, např. z důvodu úniku nebezpečné látky do životního prostředí, klasifikuje se tento zásah podle převažujícího charakteru. Dopravní nehoda s následným požárem patří vždy do kategorie požár.</w:t>
      </w:r>
    </w:p>
    <w:p w14:paraId="7AC0D57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Únik nebezpečné chemické látky</w:t>
      </w:r>
      <w:r w:rsidRPr="00C05527">
        <w:rPr>
          <w:rFonts w:ascii="Arial" w:hAnsi="Arial" w:cs="Arial"/>
          <w:sz w:val="18"/>
          <w:szCs w:val="18"/>
        </w:rPr>
        <w:t xml:space="preserve"> – zásah u události spojený s nežádoucím uvolněním nebezpečných chemických látek včetně ropných produktů (během výroby, dopravy nebo manipulace) a ostatních látek (nebezpečné látky jsou definovány zákonem). Únik se klasifikuje podle skupenství. Zásah k omezení nebo snížení rizika nekontrolovaného úniku hořlavých, výbušných, žíravých, jedovatých, zdraví škodlivých, radioaktivních a jiných nebezpečných látek, ropných produktů případně ostatních látek do životního prostředí (zemní plyn, kyseliny a jejich soli, louhy, čpavek apod.) včetně závažných havárií dle § 2 písm. g zákona o prevenci závažných havárií.</w:t>
      </w:r>
    </w:p>
    <w:p w14:paraId="52CADDE6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Únik ropného produktu</w:t>
      </w:r>
      <w:r w:rsidRPr="00C05527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b/>
          <w:sz w:val="18"/>
          <w:szCs w:val="18"/>
        </w:rPr>
        <w:t>(olejová havárie)</w:t>
      </w:r>
      <w:r w:rsidRPr="00C05527">
        <w:rPr>
          <w:rFonts w:ascii="Arial" w:hAnsi="Arial" w:cs="Arial"/>
          <w:sz w:val="18"/>
          <w:szCs w:val="18"/>
        </w:rPr>
        <w:t xml:space="preserve"> – zásah převážně k zabránění úniku a omezení jeho rozsahu výhradně ropných produktů. Jde výhradně o únik ropných produktů (benzinů, nafty nebo oleje). Úniky těchto látek z provozních náplní vozidel následkem dopravní nehody jsou klasifikovány jako dopravní nehoda.</w:t>
      </w:r>
    </w:p>
    <w:p w14:paraId="4BAF911A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Technické havárie celkem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zásah u </w:t>
      </w:r>
      <w:r w:rsidRPr="00C05527">
        <w:rPr>
          <w:rFonts w:ascii="Arial" w:hAnsi="Arial" w:cs="Arial"/>
          <w:color w:val="000000"/>
          <w:sz w:val="18"/>
          <w:szCs w:val="18"/>
        </w:rPr>
        <w:t>mimořádné události vedoucí k odstranění nebezpečí nebo nebezpečných stavů.</w:t>
      </w:r>
    </w:p>
    <w:p w14:paraId="295E7667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Technická havárie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C05527">
        <w:rPr>
          <w:rFonts w:ascii="Arial" w:hAnsi="Arial" w:cs="Arial"/>
          <w:sz w:val="18"/>
          <w:szCs w:val="18"/>
        </w:rPr>
        <w:t>odstranění nebezpečí nebo nebezpečných stavů velkého rozsahu či značných následků na zdraví osob, zvířat či majetku (např. destrukce objektu).</w:t>
      </w:r>
    </w:p>
    <w:p w14:paraId="27F10CBC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Technická pomoc</w:t>
      </w:r>
      <w:r w:rsidRPr="00C05527">
        <w:rPr>
          <w:rFonts w:ascii="Arial" w:hAnsi="Arial" w:cs="Arial"/>
          <w:sz w:val="18"/>
          <w:szCs w:val="18"/>
        </w:rPr>
        <w:t xml:space="preserve"> – odstranění nebezpečí nebo nebezpečných stavů mimo technologický provoz závodů (mimo dopravních nehod). Jedná se o pomoc technikou JPO bez návaznosti na jakýkoliv technologický provoz resp. výrobu (např. vyproštění osob či předmětů, nouzové otevření, otevírání uzamčených prostorů, záchrana osob a zvířat; čerpání, uzavírání a navážení vody, provizorní nebo jiné opravy apod.).</w:t>
      </w:r>
    </w:p>
    <w:p w14:paraId="65824E6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lastRenderedPageBreak/>
        <w:t>Technologická pomoc</w:t>
      </w:r>
      <w:r w:rsidRPr="00C05527">
        <w:rPr>
          <w:rFonts w:ascii="Arial" w:hAnsi="Arial" w:cs="Arial"/>
          <w:sz w:val="18"/>
          <w:szCs w:val="18"/>
        </w:rPr>
        <w:t xml:space="preserve"> – odstranění nebezpečí nebo nebezpečných stavů zejména v technologii či provozu. Jedná se o  pomoc technikou JPO (např. nouzová dodávka vzduchu, vody, elektřiny; požární asistence, následné dohašování ohnisek požáru lesa apod.).</w:t>
      </w:r>
    </w:p>
    <w:p w14:paraId="5307AC66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Ostatní pomoc</w:t>
      </w:r>
      <w:r w:rsidRPr="00C05527">
        <w:rPr>
          <w:rFonts w:ascii="Arial" w:hAnsi="Arial" w:cs="Arial"/>
          <w:sz w:val="18"/>
          <w:szCs w:val="18"/>
        </w:rPr>
        <w:t xml:space="preserve"> – nelze klasifikovat předchozími druhy technické havárie. Jedná se např. o snášení, odvoz nebo převoz pacienta, pátrání po pohřešovaných osobách, monitoring (např. vodních toků, používaných norných stěn), kontrola průjezdnosti komunikací apod., pomoci na vyžádání jiného subjektu (přímo i nepřímo poskytnutá pomoc).</w:t>
      </w:r>
    </w:p>
    <w:p w14:paraId="686DA81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Radiační nehoda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</w:t>
      </w:r>
      <w:r w:rsidRPr="00C05527">
        <w:rPr>
          <w:rFonts w:ascii="Arial" w:hAnsi="Arial" w:cs="Arial"/>
          <w:sz w:val="18"/>
          <w:szCs w:val="18"/>
        </w:rPr>
        <w:t xml:space="preserve"> zásah u mimořádné události spojený s nepřípustným uvolněním radioaktivních látek nebo ionizujícího záření.</w:t>
      </w:r>
    </w:p>
    <w:p w14:paraId="51D718F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Ostatní mimořádné události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zásah u jiné mimořádné události např. epidemie nebo nákazy způsobené nebezpečnou nemocí, zajištění podezřelých zásilek a dále pak všechny zásahy u událostí, které nelze klasifikovat předchozími kategoriemi.</w:t>
      </w:r>
    </w:p>
    <w:p w14:paraId="43E5403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Počty událostí se zásahy a zároveň počet zásahů při událostech se mohou lišit, protože při některé události se zasahuje vícekrát.</w:t>
      </w:r>
    </w:p>
    <w:p w14:paraId="4CDDC70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328A50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950607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29-23  Zásahy jednotek požární ochrany (JPO) při živelních pohromách</w:t>
      </w:r>
    </w:p>
    <w:p w14:paraId="1B92EFA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 xml:space="preserve">Živelní pohroma </w:t>
      </w:r>
      <w:r w:rsidRPr="00C05527">
        <w:rPr>
          <w:rFonts w:ascii="Arial" w:hAnsi="Arial" w:cs="Arial"/>
          <w:sz w:val="18"/>
          <w:szCs w:val="18"/>
        </w:rPr>
        <w:t>- mimořádná událost, k níž došlo následkem škodlivě působících sil a jevů vyvolaných plošně či lokálně přírodními vlivy, které ohrožují životy, zdraví, majetek nebo životní prostředí jako například povodně, záplavy, deště, vliv sněhu a námrazy, větrné smrště, sesuvy půdy a zemětřesení.</w:t>
      </w:r>
    </w:p>
    <w:p w14:paraId="6F01D6A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Živelní pohromy se evidují pomocí příznaku vždy ve spojení s druhem likvidované události. Do této kategorie se zatřiďují zejména události, které jsou spojeny s vyhlášením stavu nebezpečí, stupně povodňové aktivity apod.</w:t>
      </w:r>
    </w:p>
    <w:p w14:paraId="34959D5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14:paraId="6AC1DB0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14:paraId="29FDC11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29-24  Základní ekonomické ukazatele Hasičského záchranného sboru ČR</w:t>
      </w:r>
    </w:p>
    <w:p w14:paraId="06E565C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iCs/>
          <w:sz w:val="18"/>
          <w:szCs w:val="18"/>
        </w:rPr>
        <w:t xml:space="preserve">HZS ČR </w:t>
      </w:r>
      <w:r w:rsidRPr="00C05527">
        <w:rPr>
          <w:rFonts w:ascii="Arial" w:hAnsi="Arial" w:cs="Arial"/>
          <w:bCs/>
          <w:iCs/>
          <w:sz w:val="18"/>
          <w:szCs w:val="18"/>
        </w:rPr>
        <w:t>– Hasičský záchranný sbor České republiky;</w:t>
      </w:r>
      <w:r w:rsidRPr="00C05527">
        <w:rPr>
          <w:rFonts w:ascii="Arial" w:hAnsi="Arial" w:cs="Arial"/>
          <w:b/>
          <w:iCs/>
          <w:sz w:val="18"/>
          <w:szCs w:val="18"/>
        </w:rPr>
        <w:t xml:space="preserve"> </w:t>
      </w:r>
      <w:r w:rsidRPr="00C05527">
        <w:rPr>
          <w:rFonts w:ascii="Arial" w:hAnsi="Arial" w:cs="Arial"/>
          <w:bCs/>
          <w:iCs/>
          <w:sz w:val="18"/>
          <w:szCs w:val="18"/>
        </w:rPr>
        <w:t>tvoří ho generální ředitelství HZS ČR (které je součástí Ministerstva vnitra) a hasičské záchranné sbory krajů.</w:t>
      </w:r>
    </w:p>
    <w:p w14:paraId="297D3AC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iCs/>
          <w:sz w:val="18"/>
          <w:szCs w:val="18"/>
        </w:rPr>
        <w:t>JPO II, JPO III, JPO V</w:t>
      </w:r>
      <w:r w:rsidRPr="00C05527">
        <w:rPr>
          <w:rFonts w:ascii="Arial" w:hAnsi="Arial" w:cs="Arial"/>
          <w:bCs/>
          <w:iCs/>
          <w:sz w:val="18"/>
          <w:szCs w:val="18"/>
        </w:rPr>
        <w:t xml:space="preserve"> – kategorie JPO</w:t>
      </w:r>
      <w:r w:rsidRPr="00C05527">
        <w:rPr>
          <w:rFonts w:ascii="Arial" w:hAnsi="Arial" w:cs="Arial"/>
          <w:b/>
          <w:iCs/>
          <w:sz w:val="18"/>
          <w:szCs w:val="18"/>
        </w:rPr>
        <w:t xml:space="preserve"> </w:t>
      </w:r>
      <w:r w:rsidRPr="00C05527">
        <w:rPr>
          <w:rFonts w:ascii="Arial" w:hAnsi="Arial" w:cs="Arial"/>
          <w:bCs/>
          <w:iCs/>
          <w:sz w:val="18"/>
          <w:szCs w:val="18"/>
        </w:rPr>
        <w:t>podle zákona o požární ochraně; jde o jednotky sboru dobrovolných hasičů obce, jejichž členové vykonávají službu v jednotce jako svoje zaměstnání nebo dobrovolně s územní působností mimo katastrální území zřizovatele, zpravidla do 10 minut jízdy z místa dislokace (JPO II a JPO III) a jednotky, jejichž členové vykonávají službu v jednotce dobrovolně s místní působností na katastrálním území zřizovatele (JPO V).</w:t>
      </w:r>
    </w:p>
    <w:p w14:paraId="4445082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2756F04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4D4B9B8B" w14:textId="77777777" w:rsidR="00C05527" w:rsidRPr="00C05527" w:rsidRDefault="00C05527" w:rsidP="00C05527">
      <w:pPr>
        <w:keepNext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29-25 až 29-28  Požáry</w:t>
      </w:r>
    </w:p>
    <w:p w14:paraId="689B0A98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bCs/>
          <w:iCs/>
          <w:sz w:val="18"/>
          <w:szCs w:val="18"/>
        </w:rPr>
        <w:t xml:space="preserve">Usmrcené osoby celkem </w:t>
      </w:r>
      <w:r w:rsidRPr="00C05527">
        <w:rPr>
          <w:rFonts w:ascii="Arial" w:hAnsi="Arial" w:cs="Arial"/>
          <w:bCs/>
          <w:iCs/>
          <w:sz w:val="18"/>
          <w:szCs w:val="18"/>
        </w:rPr>
        <w:t>– všechny usmrcené osoby nalezené na místě požáru. Údaj zahrnuje i osoby, jejichž smrt prokazatelně nenastala v přímé souvislosti s požárem např. v důsledku infarktu, vraždy apod.</w:t>
      </w:r>
    </w:p>
    <w:p w14:paraId="1EF2670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bCs/>
          <w:iCs/>
          <w:sz w:val="18"/>
          <w:szCs w:val="18"/>
        </w:rPr>
        <w:t>Usmrcené osoby v přímé souvislosti</w:t>
      </w:r>
      <w:r w:rsidRPr="00C05527">
        <w:rPr>
          <w:rFonts w:ascii="Arial" w:hAnsi="Arial" w:cs="Arial"/>
          <w:bCs/>
          <w:iCs/>
          <w:sz w:val="18"/>
          <w:szCs w:val="18"/>
        </w:rPr>
        <w:t xml:space="preserve"> – osoby, které zemřely v důsledku popálenin, intoxikace zplodinami hoření apod., tak osoby, u kterých nebylo možné zjistit, zda prokazatelně zemřely v přímé souvislosti s požárem. Údaj je sledován od roku 2014.</w:t>
      </w:r>
    </w:p>
    <w:p w14:paraId="54672A0B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trike/>
          <w:sz w:val="18"/>
          <w:szCs w:val="18"/>
        </w:rPr>
      </w:pPr>
    </w:p>
    <w:p w14:paraId="14C4D22C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5DBFA438" w14:textId="77777777" w:rsidR="00C05527" w:rsidRPr="00C05527" w:rsidRDefault="00C05527" w:rsidP="00C05527">
      <w:pPr>
        <w:jc w:val="center"/>
        <w:rPr>
          <w:rFonts w:ascii="Arial" w:hAnsi="Arial" w:cs="Arial"/>
          <w:color w:val="0071BC"/>
          <w:sz w:val="20"/>
          <w:szCs w:val="20"/>
        </w:rPr>
      </w:pPr>
      <w:r w:rsidRPr="00C05527">
        <w:rPr>
          <w:rFonts w:ascii="Arial" w:hAnsi="Arial" w:cs="Arial"/>
          <w:color w:val="0071BC"/>
          <w:sz w:val="20"/>
          <w:szCs w:val="20"/>
        </w:rPr>
        <w:t>*          *          *</w:t>
      </w:r>
    </w:p>
    <w:p w14:paraId="1C0BE810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0FD280FC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19AB0EDA" w14:textId="77777777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Další informace jsou dostupné na internetových stránkách:</w:t>
      </w:r>
    </w:p>
    <w:p w14:paraId="526589BA" w14:textId="5D5F2CCC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8" w:history="1">
        <w:r w:rsidR="009F09B4" w:rsidRPr="009F09B4">
          <w:rPr>
            <w:rStyle w:val="Hypertextovodkaz"/>
            <w:rFonts w:ascii="Arial" w:hAnsi="Arial" w:cs="Arial"/>
            <w:sz w:val="18"/>
            <w:szCs w:val="18"/>
          </w:rPr>
          <w:t>Justice.cz - úvodní strana</w:t>
        </w:r>
      </w:hyperlink>
      <w:r w:rsidR="009F09B4" w:rsidRPr="00C05527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Ministerstvo spravedlnosti</w:t>
      </w:r>
    </w:p>
    <w:p w14:paraId="1C6177D1" w14:textId="3766C57A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9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www.vscr.cz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Vězeňská služba ČR</w:t>
      </w:r>
    </w:p>
    <w:p w14:paraId="623E5F32" w14:textId="585294D6" w:rsidR="00C05527" w:rsidRPr="00C05527" w:rsidRDefault="00C05527" w:rsidP="00C05527">
      <w:pPr>
        <w:tabs>
          <w:tab w:val="left" w:pos="0"/>
          <w:tab w:val="left" w:pos="142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0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www.policie.cz/statistiky-kriminalita.aspx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Policie ČR</w:t>
      </w:r>
    </w:p>
    <w:p w14:paraId="0DD6EBF1" w14:textId="193005C2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1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www.mdcr.cz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Ministerstvo dopravy</w:t>
      </w:r>
    </w:p>
    <w:p w14:paraId="092629D0" w14:textId="4CF41FED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2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www.mvcr.cz/ministerstvo.aspx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Ministerstvo vnitra</w:t>
      </w:r>
    </w:p>
    <w:p w14:paraId="181EB8F4" w14:textId="02CAABA8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  <w:u w:val="single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3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www.hzscr.cz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Hasičský záchranný sbor ČR</w:t>
      </w:r>
    </w:p>
    <w:p w14:paraId="6DAA1871" w14:textId="7C0E81DC" w:rsidR="00C05527" w:rsidRPr="00C05527" w:rsidRDefault="00C05527" w:rsidP="00C05527">
      <w:pPr>
        <w:spacing w:after="160" w:line="259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sectPr w:rsidR="00C05527" w:rsidRPr="00C05527" w:rsidSect="00C00426">
      <w:pgSz w:w="11907" w:h="16840" w:code="9"/>
      <w:pgMar w:top="1134" w:right="964" w:bottom="1418" w:left="9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BBC0" w14:textId="77777777" w:rsidR="003840A3" w:rsidRDefault="003840A3">
      <w:r>
        <w:separator/>
      </w:r>
    </w:p>
  </w:endnote>
  <w:endnote w:type="continuationSeparator" w:id="0">
    <w:p w14:paraId="19DFDCE8" w14:textId="77777777" w:rsidR="003840A3" w:rsidRDefault="003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EAD0" w14:textId="77777777" w:rsidR="003840A3" w:rsidRDefault="003840A3">
      <w:r>
        <w:separator/>
      </w:r>
    </w:p>
  </w:footnote>
  <w:footnote w:type="continuationSeparator" w:id="0">
    <w:p w14:paraId="6E2E8268" w14:textId="77777777" w:rsidR="003840A3" w:rsidRDefault="0038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96EAA"/>
    <w:multiLevelType w:val="hybridMultilevel"/>
    <w:tmpl w:val="4EACA474"/>
    <w:lvl w:ilvl="0" w:tplc="BD0E67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14C"/>
    <w:multiLevelType w:val="hybridMultilevel"/>
    <w:tmpl w:val="A34E52C4"/>
    <w:lvl w:ilvl="0" w:tplc="3D3A6E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4" w15:restartNumberingAfterBreak="0">
    <w:nsid w:val="570930AA"/>
    <w:multiLevelType w:val="hybridMultilevel"/>
    <w:tmpl w:val="2B3CF078"/>
    <w:lvl w:ilvl="0" w:tplc="F0E2C0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1F9557C"/>
    <w:multiLevelType w:val="hybridMultilevel"/>
    <w:tmpl w:val="4C967B52"/>
    <w:lvl w:ilvl="0" w:tplc="20F0E53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453C"/>
    <w:multiLevelType w:val="hybridMultilevel"/>
    <w:tmpl w:val="6478DBB2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52A234E"/>
    <w:multiLevelType w:val="hybridMultilevel"/>
    <w:tmpl w:val="D0FE52F8"/>
    <w:lvl w:ilvl="0" w:tplc="039A67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FE3C78"/>
    <w:multiLevelType w:val="hybridMultilevel"/>
    <w:tmpl w:val="E0F81FCE"/>
    <w:lvl w:ilvl="0" w:tplc="8E58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D"/>
    <w:rsid w:val="0000060D"/>
    <w:rsid w:val="0001547E"/>
    <w:rsid w:val="00016D6B"/>
    <w:rsid w:val="00023A0C"/>
    <w:rsid w:val="000271BC"/>
    <w:rsid w:val="00041317"/>
    <w:rsid w:val="00041735"/>
    <w:rsid w:val="00042B02"/>
    <w:rsid w:val="000558AB"/>
    <w:rsid w:val="00057941"/>
    <w:rsid w:val="00071550"/>
    <w:rsid w:val="00074481"/>
    <w:rsid w:val="0007504C"/>
    <w:rsid w:val="000750AC"/>
    <w:rsid w:val="00091949"/>
    <w:rsid w:val="0009682C"/>
    <w:rsid w:val="000A0AA2"/>
    <w:rsid w:val="000A245F"/>
    <w:rsid w:val="000A2A15"/>
    <w:rsid w:val="000A7ABD"/>
    <w:rsid w:val="000B58F8"/>
    <w:rsid w:val="000B7C70"/>
    <w:rsid w:val="000C5F75"/>
    <w:rsid w:val="00103FAC"/>
    <w:rsid w:val="00110752"/>
    <w:rsid w:val="00116EBB"/>
    <w:rsid w:val="0013159D"/>
    <w:rsid w:val="001329E8"/>
    <w:rsid w:val="00145CD0"/>
    <w:rsid w:val="00150E49"/>
    <w:rsid w:val="00155C86"/>
    <w:rsid w:val="001648FF"/>
    <w:rsid w:val="0017136E"/>
    <w:rsid w:val="001809BB"/>
    <w:rsid w:val="00183322"/>
    <w:rsid w:val="00187C0B"/>
    <w:rsid w:val="00190E25"/>
    <w:rsid w:val="00193892"/>
    <w:rsid w:val="001938DE"/>
    <w:rsid w:val="001A26C1"/>
    <w:rsid w:val="001B2164"/>
    <w:rsid w:val="001B5A22"/>
    <w:rsid w:val="001D010E"/>
    <w:rsid w:val="001D15B2"/>
    <w:rsid w:val="001D66C0"/>
    <w:rsid w:val="001F4DBD"/>
    <w:rsid w:val="001F7E58"/>
    <w:rsid w:val="00201897"/>
    <w:rsid w:val="002020A1"/>
    <w:rsid w:val="00202356"/>
    <w:rsid w:val="002170EE"/>
    <w:rsid w:val="0021732F"/>
    <w:rsid w:val="00225FED"/>
    <w:rsid w:val="0023237A"/>
    <w:rsid w:val="002413EF"/>
    <w:rsid w:val="00243F20"/>
    <w:rsid w:val="00246AD2"/>
    <w:rsid w:val="00250745"/>
    <w:rsid w:val="00251B3F"/>
    <w:rsid w:val="0025337A"/>
    <w:rsid w:val="002548E1"/>
    <w:rsid w:val="00257096"/>
    <w:rsid w:val="0025729D"/>
    <w:rsid w:val="00266231"/>
    <w:rsid w:val="00271F47"/>
    <w:rsid w:val="00293E79"/>
    <w:rsid w:val="00295C78"/>
    <w:rsid w:val="002A133D"/>
    <w:rsid w:val="002A5A95"/>
    <w:rsid w:val="002B5FA7"/>
    <w:rsid w:val="002C3EC2"/>
    <w:rsid w:val="002E36CA"/>
    <w:rsid w:val="002F1D34"/>
    <w:rsid w:val="002F7B18"/>
    <w:rsid w:val="0030054D"/>
    <w:rsid w:val="00302C0A"/>
    <w:rsid w:val="003063D8"/>
    <w:rsid w:val="003220E7"/>
    <w:rsid w:val="0032270F"/>
    <w:rsid w:val="00325CB4"/>
    <w:rsid w:val="00326BAE"/>
    <w:rsid w:val="00327FE5"/>
    <w:rsid w:val="00336FA0"/>
    <w:rsid w:val="00344636"/>
    <w:rsid w:val="003654E8"/>
    <w:rsid w:val="00373D4D"/>
    <w:rsid w:val="003840A3"/>
    <w:rsid w:val="00394375"/>
    <w:rsid w:val="00396251"/>
    <w:rsid w:val="003A0003"/>
    <w:rsid w:val="003B73E5"/>
    <w:rsid w:val="003B7EAB"/>
    <w:rsid w:val="003C115E"/>
    <w:rsid w:val="003C3ABE"/>
    <w:rsid w:val="003D0FB8"/>
    <w:rsid w:val="003E1FFE"/>
    <w:rsid w:val="003E2975"/>
    <w:rsid w:val="003E4EFD"/>
    <w:rsid w:val="003E6CFF"/>
    <w:rsid w:val="004164AE"/>
    <w:rsid w:val="00420C80"/>
    <w:rsid w:val="00454848"/>
    <w:rsid w:val="00454B92"/>
    <w:rsid w:val="004611CE"/>
    <w:rsid w:val="00474B0E"/>
    <w:rsid w:val="0048563F"/>
    <w:rsid w:val="00495750"/>
    <w:rsid w:val="004A5978"/>
    <w:rsid w:val="004A67DD"/>
    <w:rsid w:val="004B4A03"/>
    <w:rsid w:val="004D20EA"/>
    <w:rsid w:val="004D7575"/>
    <w:rsid w:val="004E5E2B"/>
    <w:rsid w:val="004F1478"/>
    <w:rsid w:val="004F2201"/>
    <w:rsid w:val="004F6CC4"/>
    <w:rsid w:val="00505252"/>
    <w:rsid w:val="005071C2"/>
    <w:rsid w:val="0050742E"/>
    <w:rsid w:val="00512B7F"/>
    <w:rsid w:val="00517A14"/>
    <w:rsid w:val="005238A2"/>
    <w:rsid w:val="0052479E"/>
    <w:rsid w:val="00525C91"/>
    <w:rsid w:val="00533A58"/>
    <w:rsid w:val="00553748"/>
    <w:rsid w:val="005566AE"/>
    <w:rsid w:val="00561B10"/>
    <w:rsid w:val="005679B0"/>
    <w:rsid w:val="0057540E"/>
    <w:rsid w:val="00597E60"/>
    <w:rsid w:val="005A4EAC"/>
    <w:rsid w:val="005B2119"/>
    <w:rsid w:val="005C47B8"/>
    <w:rsid w:val="005D3846"/>
    <w:rsid w:val="005E33B6"/>
    <w:rsid w:val="005F174E"/>
    <w:rsid w:val="005F68FB"/>
    <w:rsid w:val="005F72E2"/>
    <w:rsid w:val="00613CBE"/>
    <w:rsid w:val="00645A13"/>
    <w:rsid w:val="00650CDF"/>
    <w:rsid w:val="00675A64"/>
    <w:rsid w:val="00676538"/>
    <w:rsid w:val="00680700"/>
    <w:rsid w:val="00683B3D"/>
    <w:rsid w:val="00690E7B"/>
    <w:rsid w:val="00696BB0"/>
    <w:rsid w:val="006B07A4"/>
    <w:rsid w:val="006C344D"/>
    <w:rsid w:val="006C78D6"/>
    <w:rsid w:val="006D21A4"/>
    <w:rsid w:val="006D5F02"/>
    <w:rsid w:val="006E6677"/>
    <w:rsid w:val="006E73AB"/>
    <w:rsid w:val="006E7493"/>
    <w:rsid w:val="006F0C4F"/>
    <w:rsid w:val="006F70FA"/>
    <w:rsid w:val="0070762E"/>
    <w:rsid w:val="00713377"/>
    <w:rsid w:val="007245CE"/>
    <w:rsid w:val="007332ED"/>
    <w:rsid w:val="00745F4E"/>
    <w:rsid w:val="00751623"/>
    <w:rsid w:val="00753E57"/>
    <w:rsid w:val="00755D7D"/>
    <w:rsid w:val="007713D7"/>
    <w:rsid w:val="00772295"/>
    <w:rsid w:val="007777D2"/>
    <w:rsid w:val="00781700"/>
    <w:rsid w:val="00781CF7"/>
    <w:rsid w:val="007873AF"/>
    <w:rsid w:val="00790235"/>
    <w:rsid w:val="00791682"/>
    <w:rsid w:val="00795CF2"/>
    <w:rsid w:val="007B0085"/>
    <w:rsid w:val="007B1264"/>
    <w:rsid w:val="007B74C0"/>
    <w:rsid w:val="007C149F"/>
    <w:rsid w:val="007D406C"/>
    <w:rsid w:val="007E0903"/>
    <w:rsid w:val="007E1F0F"/>
    <w:rsid w:val="007E3DEA"/>
    <w:rsid w:val="007E4DAC"/>
    <w:rsid w:val="007F7817"/>
    <w:rsid w:val="00802952"/>
    <w:rsid w:val="0081325F"/>
    <w:rsid w:val="00814330"/>
    <w:rsid w:val="0081603E"/>
    <w:rsid w:val="008170EB"/>
    <w:rsid w:val="00822472"/>
    <w:rsid w:val="008236B4"/>
    <w:rsid w:val="00837298"/>
    <w:rsid w:val="00840D7E"/>
    <w:rsid w:val="008422E8"/>
    <w:rsid w:val="00852C77"/>
    <w:rsid w:val="008536EC"/>
    <w:rsid w:val="00855861"/>
    <w:rsid w:val="00861FC6"/>
    <w:rsid w:val="0087144A"/>
    <w:rsid w:val="00871526"/>
    <w:rsid w:val="00873D48"/>
    <w:rsid w:val="0087443E"/>
    <w:rsid w:val="00883DEE"/>
    <w:rsid w:val="008852C1"/>
    <w:rsid w:val="008A7A1D"/>
    <w:rsid w:val="008B5102"/>
    <w:rsid w:val="008D21D1"/>
    <w:rsid w:val="008D5A12"/>
    <w:rsid w:val="008E26FD"/>
    <w:rsid w:val="008F1829"/>
    <w:rsid w:val="008F3773"/>
    <w:rsid w:val="008F45BE"/>
    <w:rsid w:val="008F5F15"/>
    <w:rsid w:val="0090513F"/>
    <w:rsid w:val="009056BF"/>
    <w:rsid w:val="00905A03"/>
    <w:rsid w:val="00911472"/>
    <w:rsid w:val="00924AC1"/>
    <w:rsid w:val="009264A0"/>
    <w:rsid w:val="00926D86"/>
    <w:rsid w:val="00930242"/>
    <w:rsid w:val="00935306"/>
    <w:rsid w:val="00942F64"/>
    <w:rsid w:val="00947037"/>
    <w:rsid w:val="009576B9"/>
    <w:rsid w:val="009623FF"/>
    <w:rsid w:val="0096795B"/>
    <w:rsid w:val="0097472A"/>
    <w:rsid w:val="00980E84"/>
    <w:rsid w:val="0098573D"/>
    <w:rsid w:val="00990B5A"/>
    <w:rsid w:val="00994FA5"/>
    <w:rsid w:val="009A1DFF"/>
    <w:rsid w:val="009A5AE1"/>
    <w:rsid w:val="009A60B6"/>
    <w:rsid w:val="009B08FF"/>
    <w:rsid w:val="009B33D1"/>
    <w:rsid w:val="009C053C"/>
    <w:rsid w:val="009C0E7B"/>
    <w:rsid w:val="009C3B89"/>
    <w:rsid w:val="009D0107"/>
    <w:rsid w:val="009D1712"/>
    <w:rsid w:val="009D2E6B"/>
    <w:rsid w:val="009D3194"/>
    <w:rsid w:val="009D4F17"/>
    <w:rsid w:val="009D5BF9"/>
    <w:rsid w:val="009E7A65"/>
    <w:rsid w:val="009F09B4"/>
    <w:rsid w:val="009F0BA0"/>
    <w:rsid w:val="009F23C4"/>
    <w:rsid w:val="00A15904"/>
    <w:rsid w:val="00A32BF4"/>
    <w:rsid w:val="00A3658D"/>
    <w:rsid w:val="00A366D6"/>
    <w:rsid w:val="00A41088"/>
    <w:rsid w:val="00A42312"/>
    <w:rsid w:val="00A572F7"/>
    <w:rsid w:val="00A70634"/>
    <w:rsid w:val="00A7578B"/>
    <w:rsid w:val="00A7605B"/>
    <w:rsid w:val="00A8428D"/>
    <w:rsid w:val="00A85B1C"/>
    <w:rsid w:val="00A85EE3"/>
    <w:rsid w:val="00AA22D1"/>
    <w:rsid w:val="00AA55DB"/>
    <w:rsid w:val="00AB042E"/>
    <w:rsid w:val="00AB2A55"/>
    <w:rsid w:val="00AB4E5C"/>
    <w:rsid w:val="00AB650B"/>
    <w:rsid w:val="00AB7A54"/>
    <w:rsid w:val="00AC4D32"/>
    <w:rsid w:val="00AC6EBF"/>
    <w:rsid w:val="00AD2BCB"/>
    <w:rsid w:val="00AD4D96"/>
    <w:rsid w:val="00AD7C1C"/>
    <w:rsid w:val="00AF1F37"/>
    <w:rsid w:val="00B02E67"/>
    <w:rsid w:val="00B0766E"/>
    <w:rsid w:val="00B10454"/>
    <w:rsid w:val="00B119FF"/>
    <w:rsid w:val="00B200DB"/>
    <w:rsid w:val="00B24055"/>
    <w:rsid w:val="00B37CE4"/>
    <w:rsid w:val="00B45C5D"/>
    <w:rsid w:val="00B60CB8"/>
    <w:rsid w:val="00B650F6"/>
    <w:rsid w:val="00B8521B"/>
    <w:rsid w:val="00BB5A8B"/>
    <w:rsid w:val="00BE6897"/>
    <w:rsid w:val="00BF1B9F"/>
    <w:rsid w:val="00BF2419"/>
    <w:rsid w:val="00C00426"/>
    <w:rsid w:val="00C006B3"/>
    <w:rsid w:val="00C01F15"/>
    <w:rsid w:val="00C01F7E"/>
    <w:rsid w:val="00C04DF2"/>
    <w:rsid w:val="00C05527"/>
    <w:rsid w:val="00C05DC0"/>
    <w:rsid w:val="00C12DD7"/>
    <w:rsid w:val="00C14AC9"/>
    <w:rsid w:val="00C16E92"/>
    <w:rsid w:val="00C178CB"/>
    <w:rsid w:val="00C23251"/>
    <w:rsid w:val="00C46766"/>
    <w:rsid w:val="00C46F39"/>
    <w:rsid w:val="00C47156"/>
    <w:rsid w:val="00C56436"/>
    <w:rsid w:val="00C64259"/>
    <w:rsid w:val="00C66439"/>
    <w:rsid w:val="00C705E9"/>
    <w:rsid w:val="00C7481D"/>
    <w:rsid w:val="00C74870"/>
    <w:rsid w:val="00C80D1E"/>
    <w:rsid w:val="00C92749"/>
    <w:rsid w:val="00C931F3"/>
    <w:rsid w:val="00CA7624"/>
    <w:rsid w:val="00CB6644"/>
    <w:rsid w:val="00CC3B9D"/>
    <w:rsid w:val="00CD3A2F"/>
    <w:rsid w:val="00CD6D08"/>
    <w:rsid w:val="00CE02D5"/>
    <w:rsid w:val="00CF28BA"/>
    <w:rsid w:val="00CF79D1"/>
    <w:rsid w:val="00D04FF1"/>
    <w:rsid w:val="00D05BBB"/>
    <w:rsid w:val="00D2178E"/>
    <w:rsid w:val="00D35024"/>
    <w:rsid w:val="00D3536D"/>
    <w:rsid w:val="00D37F01"/>
    <w:rsid w:val="00D430F7"/>
    <w:rsid w:val="00D447F9"/>
    <w:rsid w:val="00D549EF"/>
    <w:rsid w:val="00D55E9F"/>
    <w:rsid w:val="00D60311"/>
    <w:rsid w:val="00D61498"/>
    <w:rsid w:val="00D73245"/>
    <w:rsid w:val="00D76898"/>
    <w:rsid w:val="00D82AB6"/>
    <w:rsid w:val="00D85E64"/>
    <w:rsid w:val="00D86055"/>
    <w:rsid w:val="00D92A3F"/>
    <w:rsid w:val="00D96B40"/>
    <w:rsid w:val="00DA2DD2"/>
    <w:rsid w:val="00DA77DF"/>
    <w:rsid w:val="00DD4518"/>
    <w:rsid w:val="00DE547A"/>
    <w:rsid w:val="00DF1A27"/>
    <w:rsid w:val="00DF211C"/>
    <w:rsid w:val="00E13A65"/>
    <w:rsid w:val="00E15C71"/>
    <w:rsid w:val="00E279D8"/>
    <w:rsid w:val="00E574F2"/>
    <w:rsid w:val="00E715F0"/>
    <w:rsid w:val="00E7575A"/>
    <w:rsid w:val="00E870B4"/>
    <w:rsid w:val="00EA2F19"/>
    <w:rsid w:val="00EA3A26"/>
    <w:rsid w:val="00EA5CF3"/>
    <w:rsid w:val="00EB3921"/>
    <w:rsid w:val="00EB686B"/>
    <w:rsid w:val="00EB7339"/>
    <w:rsid w:val="00EC7576"/>
    <w:rsid w:val="00ED357D"/>
    <w:rsid w:val="00EE3FC8"/>
    <w:rsid w:val="00EE724F"/>
    <w:rsid w:val="00EE7389"/>
    <w:rsid w:val="00F0446D"/>
    <w:rsid w:val="00F0636A"/>
    <w:rsid w:val="00F15C80"/>
    <w:rsid w:val="00F1631F"/>
    <w:rsid w:val="00F23667"/>
    <w:rsid w:val="00F278DD"/>
    <w:rsid w:val="00F31BDF"/>
    <w:rsid w:val="00F525E5"/>
    <w:rsid w:val="00F62817"/>
    <w:rsid w:val="00F67F92"/>
    <w:rsid w:val="00F7073E"/>
    <w:rsid w:val="00F72921"/>
    <w:rsid w:val="00F8106B"/>
    <w:rsid w:val="00FB0F01"/>
    <w:rsid w:val="00FB32CC"/>
    <w:rsid w:val="00FC4F02"/>
    <w:rsid w:val="00FD0B9C"/>
    <w:rsid w:val="00FD4A6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A5CC"/>
  <w15:docId w15:val="{90CE1BFA-C3C5-4588-9ECE-B31A126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E3"/>
    <w:rPr>
      <w:sz w:val="24"/>
      <w:szCs w:val="24"/>
    </w:rPr>
  </w:style>
  <w:style w:type="paragraph" w:styleId="Nadpis1">
    <w:name w:val="heading 1"/>
    <w:basedOn w:val="Normln"/>
    <w:next w:val="Normln"/>
    <w:qFormat/>
    <w:rsid w:val="00A85EE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5EE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before="120"/>
      <w:jc w:val="both"/>
    </w:pPr>
    <w:rPr>
      <w:rFonts w:ascii="Times New Roman CE obyèejné" w:hAnsi="Times New Roman CE obyèejné"/>
      <w:sz w:val="20"/>
      <w:szCs w:val="20"/>
    </w:rPr>
  </w:style>
  <w:style w:type="paragraph" w:styleId="Seznam">
    <w:name w:val="List"/>
    <w:basedOn w:val="Normln"/>
    <w:semiHidden/>
    <w:rsid w:val="00A85EE3"/>
    <w:pPr>
      <w:ind w:left="283" w:hanging="283"/>
    </w:pPr>
  </w:style>
  <w:style w:type="paragraph" w:styleId="Normlnweb">
    <w:name w:val="Normal (Web)"/>
    <w:basedOn w:val="Normln"/>
    <w:semiHidden/>
    <w:rsid w:val="00A85EE3"/>
    <w:pPr>
      <w:spacing w:before="100" w:beforeAutospacing="1" w:after="100" w:afterAutospacing="1"/>
    </w:pPr>
    <w:rPr>
      <w:color w:val="000000"/>
    </w:rPr>
  </w:style>
  <w:style w:type="paragraph" w:styleId="Textkomente">
    <w:name w:val="annotation text"/>
    <w:basedOn w:val="Normln"/>
    <w:link w:val="TextkomenteChar"/>
    <w:semiHidden/>
    <w:rsid w:val="00A85EE3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A85EE3"/>
    <w:rPr>
      <w:sz w:val="16"/>
      <w:szCs w:val="16"/>
    </w:rPr>
  </w:style>
  <w:style w:type="paragraph" w:styleId="Zkladntextodsazen">
    <w:name w:val="Body Text Indent"/>
    <w:basedOn w:val="Normln"/>
    <w:semiHidden/>
    <w:rsid w:val="00A85EE3"/>
    <w:pPr>
      <w:ind w:firstLine="360"/>
      <w:jc w:val="both"/>
    </w:pPr>
  </w:style>
  <w:style w:type="paragraph" w:styleId="Zkladntextodsazen2">
    <w:name w:val="Body Text Indent 2"/>
    <w:basedOn w:val="Normln"/>
    <w:semiHidden/>
    <w:rsid w:val="00A85EE3"/>
    <w:pPr>
      <w:spacing w:before="120"/>
      <w:ind w:firstLine="709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A85EE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85EE3"/>
    <w:rPr>
      <w:color w:val="800080"/>
      <w:u w:val="single"/>
    </w:rPr>
  </w:style>
  <w:style w:type="paragraph" w:styleId="Rozloendokumentu">
    <w:name w:val="Document Map"/>
    <w:basedOn w:val="Normln"/>
    <w:semiHidden/>
    <w:rsid w:val="00A85EE3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rsid w:val="00A85EE3"/>
    <w:pPr>
      <w:spacing w:line="360" w:lineRule="auto"/>
      <w:jc w:val="both"/>
    </w:pPr>
  </w:style>
  <w:style w:type="paragraph" w:customStyle="1" w:styleId="1">
    <w:name w:val="1"/>
    <w:basedOn w:val="Normln"/>
    <w:rsid w:val="00A8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semiHidden/>
    <w:rsid w:val="00A85E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85E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C92749"/>
    <w:rPr>
      <w:rFonts w:ascii="Times New Roman CE obyèejné" w:hAnsi="Times New Roman CE obyèejné"/>
    </w:rPr>
  </w:style>
  <w:style w:type="character" w:styleId="Siln">
    <w:name w:val="Strong"/>
    <w:basedOn w:val="Standardnpsmoodstavce"/>
    <w:uiPriority w:val="22"/>
    <w:qFormat/>
    <w:rsid w:val="00C006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4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73245"/>
  </w:style>
  <w:style w:type="character" w:customStyle="1" w:styleId="PedmtkomenteChar">
    <w:name w:val="Předmět komentáře Char"/>
    <w:basedOn w:val="TextkomenteChar"/>
    <w:link w:val="Pedmtkomente"/>
    <w:rsid w:val="00D73245"/>
  </w:style>
  <w:style w:type="paragraph" w:styleId="Revize">
    <w:name w:val="Revision"/>
    <w:hidden/>
    <w:uiPriority w:val="99"/>
    <w:semiHidden/>
    <w:rsid w:val="00D73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3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Uvod/uvod.aspx" TargetMode="External"/><Relationship Id="rId13" Type="http://schemas.openxmlformats.org/officeDocument/2006/relationships/hyperlink" Target="http://www.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cr.cz/ministerstv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e.cz/statistiky-kriminali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7C29-A859-42D1-B0FC-C9438F21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3167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CSU</Company>
  <LinksUpToDate>false</LinksUpToDate>
  <CharactersWithSpaces>21811</CharactersWithSpaces>
  <SharedDoc>false</SharedDoc>
  <HLinks>
    <vt:vector size="30" baseType="variant"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http://www.mvcr.cz/ministerstvo.aspx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http://www.policie.cz/statistiky-kriminalita.aspx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http://www.vscr.cz/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http://portal.justice.cz/Justice2/Uvod/uvod.aspx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System Service</dc:creator>
  <cp:lastModifiedBy>Lošanová Jitka</cp:lastModifiedBy>
  <cp:revision>5</cp:revision>
  <cp:lastPrinted>2017-05-02T08:32:00Z</cp:lastPrinted>
  <dcterms:created xsi:type="dcterms:W3CDTF">2022-02-17T12:25:00Z</dcterms:created>
  <dcterms:modified xsi:type="dcterms:W3CDTF">2022-11-07T14:02:00Z</dcterms:modified>
</cp:coreProperties>
</file>