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7820A2" w:rsidRDefault="000572F9" w:rsidP="007820A2">
      <w:pPr>
        <w:rPr>
          <w:rFonts w:ascii="Arial" w:hAnsi="Arial" w:cs="Arial"/>
          <w:b/>
          <w:snapToGrid w:val="0"/>
          <w:color w:val="0071BC"/>
        </w:rPr>
      </w:pPr>
      <w:bookmarkStart w:id="0" w:name="_GoBack"/>
      <w:bookmarkEnd w:id="0"/>
      <w:r w:rsidRPr="007820A2">
        <w:rPr>
          <w:rFonts w:ascii="Arial" w:hAnsi="Arial" w:cs="Arial"/>
          <w:b/>
          <w:snapToGrid w:val="0"/>
          <w:color w:val="0071BC"/>
          <w:sz w:val="24"/>
        </w:rPr>
        <w:t>7</w:t>
      </w:r>
      <w:r w:rsidR="006A075F">
        <w:rPr>
          <w:rFonts w:ascii="Arial" w:hAnsi="Arial" w:cs="Arial"/>
          <w:b/>
          <w:snapToGrid w:val="0"/>
          <w:color w:val="0071BC"/>
          <w:sz w:val="24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  <w:sz w:val="24"/>
        </w:rPr>
        <w:t xml:space="preserve"> MĚNA</w:t>
      </w:r>
      <w:r w:rsidR="0046656C" w:rsidRPr="007820A2">
        <w:rPr>
          <w:rFonts w:ascii="Arial" w:hAnsi="Arial" w:cs="Arial"/>
          <w:b/>
          <w:snapToGrid w:val="0"/>
          <w:color w:val="0071BC"/>
          <w:sz w:val="24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 w:val="24"/>
        </w:rPr>
        <w:t>PLATEBNÍ BILANCE</w:t>
      </w:r>
    </w:p>
    <w:p w:rsidR="000572F9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A92350" w:rsidRPr="00A92350" w:rsidRDefault="00A92350" w:rsidP="00A92350">
      <w:pPr>
        <w:jc w:val="both"/>
        <w:rPr>
          <w:rFonts w:ascii="Arial" w:hAnsi="Arial" w:cs="Arial"/>
          <w:b/>
          <w:color w:val="0071BC"/>
        </w:rPr>
      </w:pPr>
      <w:r w:rsidRPr="00A92350">
        <w:rPr>
          <w:rFonts w:ascii="Arial" w:hAnsi="Arial" w:cs="Arial"/>
          <w:b/>
          <w:color w:val="0071BC"/>
        </w:rPr>
        <w:t>Metodické vysvětlivky</w:t>
      </w:r>
    </w:p>
    <w:p w:rsidR="00A92350" w:rsidRPr="00A92350" w:rsidRDefault="00A92350" w:rsidP="00A92350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Údaje uváděné v této kapitole byly převzaty z České národní banky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 (ČNB)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. 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>Ve všech tabulkách, kde jsou uvedeny názvy výkazů, se jedná o vyčerpávající šetření, v ostatních případech jsou použity kvalifikované odhady a dopočty.</w:t>
      </w: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Poznámky</w:t>
      </w:r>
      <w:r w:rsidR="0046656C" w:rsidRPr="007820A2">
        <w:rPr>
          <w:rFonts w:ascii="Arial" w:hAnsi="Arial" w:cs="Arial"/>
          <w:b/>
          <w:color w:val="0071BC"/>
          <w:sz w:val="20"/>
        </w:rPr>
        <w:t xml:space="preserve"> k </w:t>
      </w:r>
      <w:r w:rsidRPr="007820A2">
        <w:rPr>
          <w:rFonts w:ascii="Arial" w:hAnsi="Arial" w:cs="Arial"/>
          <w:b/>
          <w:color w:val="0071BC"/>
          <w:sz w:val="20"/>
        </w:rPr>
        <w:t>tabulkám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C1633E" w:rsidRPr="007820A2" w:rsidRDefault="000572F9">
      <w:pPr>
        <w:jc w:val="both"/>
        <w:outlineLvl w:val="0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7-1</w:t>
      </w:r>
      <w:r w:rsidR="006A075F" w:rsidRPr="00FF1F47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</w:t>
      </w:r>
      <w:r w:rsidR="00C1633E" w:rsidRPr="007820A2">
        <w:rPr>
          <w:rFonts w:ascii="Arial" w:hAnsi="Arial" w:cs="Arial"/>
          <w:b/>
          <w:snapToGrid w:val="0"/>
          <w:color w:val="0071BC"/>
        </w:rPr>
        <w:t>Peněžní agregáty a</w:t>
      </w:r>
      <w:r w:rsidR="00BB1052" w:rsidRPr="007820A2">
        <w:rPr>
          <w:rFonts w:ascii="Arial" w:hAnsi="Arial" w:cs="Arial"/>
          <w:b/>
          <w:snapToGrid w:val="0"/>
          <w:color w:val="0071BC"/>
        </w:rPr>
        <w:t> </w:t>
      </w:r>
      <w:r w:rsidR="00C1633E" w:rsidRPr="007820A2">
        <w:rPr>
          <w:rFonts w:ascii="Arial" w:hAnsi="Arial" w:cs="Arial"/>
          <w:b/>
          <w:snapToGrid w:val="0"/>
          <w:color w:val="0071BC"/>
        </w:rPr>
        <w:t>protipoložky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Peněžní agregáty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jejich protipoložky jsou souhrnnou statistickou bilancí měnových finančních institucí (MFI), která poskytuje uživatelům základní přehled o pozici sektoru MFI vůči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ostatním rezidentským a nerezidentským sektorům.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Peněžní agregáty představují množství peněz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ekonomice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jsou propočteny z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="00C822C2" w:rsidRPr="007820A2">
        <w:rPr>
          <w:rFonts w:ascii="Arial" w:hAnsi="Arial" w:cs="Arial"/>
          <w:sz w:val="18"/>
          <w:szCs w:val="18"/>
          <w:lang w:val="cs-CZ"/>
        </w:rPr>
        <w:t xml:space="preserve">pasiv </w:t>
      </w:r>
      <w:r w:rsidRPr="007820A2">
        <w:rPr>
          <w:rFonts w:ascii="Arial" w:hAnsi="Arial" w:cs="Arial"/>
          <w:sz w:val="18"/>
          <w:szCs w:val="18"/>
          <w:lang w:val="cs-CZ"/>
        </w:rPr>
        <w:t>měnového charakteru rezidentských měnových finančních institucí (tzv. sektoru tvorby peněz) vůči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jiným rezidentským sektorům (tzv. sektoru držby peněz).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Sektor držby peněz zahrnuje všechny rezidenty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jiné než MFI (mimo ústřední vládní instituce). Kromě domácností </w:t>
      </w:r>
      <w:r w:rsidR="00050A8D" w:rsidRPr="007820A2">
        <w:rPr>
          <w:rFonts w:ascii="Arial" w:hAnsi="Arial" w:cs="Arial"/>
          <w:sz w:val="18"/>
          <w:szCs w:val="18"/>
          <w:lang w:val="cs-CZ"/>
        </w:rPr>
        <w:t xml:space="preserve">a neziskových institucí sloužících domácnostem </w:t>
      </w:r>
      <w:r w:rsidRPr="007820A2">
        <w:rPr>
          <w:rFonts w:ascii="Arial" w:hAnsi="Arial" w:cs="Arial"/>
          <w:sz w:val="18"/>
          <w:szCs w:val="18"/>
          <w:lang w:val="cs-CZ"/>
        </w:rPr>
        <w:t>sem patří nefinanční podniky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finanční instituce, které nejsou MFI, spolu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místními vládními institucemi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fondy sociálního zabezpečení. MFI v podmínkách Č</w:t>
      </w:r>
      <w:r w:rsidR="004B06C2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tvoří centrální banka</w:t>
      </w:r>
      <w:r w:rsidR="0089102C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(S.121)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ostatní měnové finanční instituce</w:t>
      </w:r>
      <w:r w:rsidR="0089102C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(S.122</w:t>
      </w:r>
      <w:r w:rsidR="00726D99" w:rsidRPr="007820A2">
        <w:rPr>
          <w:rFonts w:ascii="Arial" w:hAnsi="Arial" w:cs="Arial"/>
          <w:sz w:val="18"/>
          <w:szCs w:val="18"/>
          <w:lang w:val="cs-CZ"/>
        </w:rPr>
        <w:t xml:space="preserve"> a S.123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) </w:t>
      </w:r>
      <w:r w:rsidR="00E044C4" w:rsidRPr="007820A2">
        <w:rPr>
          <w:rFonts w:ascii="Arial" w:hAnsi="Arial" w:cs="Arial"/>
          <w:sz w:val="18"/>
          <w:szCs w:val="18"/>
          <w:lang w:val="cs-CZ"/>
        </w:rPr>
        <w:t>–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tj. banky, fondy peněžního trhu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družstevní záložny. Ústřední vládní instituce jsou považovány za sektor tzv. měnově neutrální.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 xml:space="preserve">Peněžní agregáty se liší podle stupně likvidity jednotlivých složek.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Úzký peněžní agregát M1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obsahuje oběživo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jednodenní vklady.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Střední peněžní agregát M2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zahrnuje</w:t>
      </w:r>
      <w:r w:rsidR="007255BB" w:rsidRPr="007820A2">
        <w:rPr>
          <w:rFonts w:ascii="Arial" w:hAnsi="Arial" w:cs="Arial"/>
          <w:sz w:val="18"/>
          <w:szCs w:val="18"/>
          <w:lang w:val="cs-CZ"/>
        </w:rPr>
        <w:t xml:space="preserve"> peněžní agregát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M1, vklady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výpovědní lhůtou do tří měsíců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vklady se splatností do dvou let.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Široký peněžní agregát M3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obsahuje</w:t>
      </w:r>
      <w:r w:rsidR="007255BB" w:rsidRPr="007820A2">
        <w:rPr>
          <w:rFonts w:ascii="Arial" w:hAnsi="Arial" w:cs="Arial"/>
          <w:sz w:val="18"/>
          <w:szCs w:val="18"/>
          <w:lang w:val="cs-CZ"/>
        </w:rPr>
        <w:t xml:space="preserve"> peněžní agregát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M2</w:t>
      </w:r>
      <w:r w:rsidR="00D84A55" w:rsidRPr="007820A2">
        <w:rPr>
          <w:rFonts w:ascii="Arial" w:hAnsi="Arial" w:cs="Arial"/>
          <w:sz w:val="18"/>
          <w:szCs w:val="18"/>
          <w:lang w:val="cs-CZ"/>
        </w:rPr>
        <w:t xml:space="preserve"> a</w:t>
      </w:r>
      <w:r w:rsidR="00A57320" w:rsidRPr="007820A2">
        <w:rPr>
          <w:rFonts w:ascii="Arial" w:hAnsi="Arial" w:cs="Arial"/>
          <w:sz w:val="18"/>
          <w:szCs w:val="18"/>
          <w:lang w:val="cs-CZ"/>
        </w:rPr>
        <w:t> </w:t>
      </w:r>
      <w:r w:rsidR="00D84A55" w:rsidRPr="007820A2">
        <w:rPr>
          <w:rFonts w:ascii="Arial" w:hAnsi="Arial" w:cs="Arial"/>
          <w:sz w:val="18"/>
          <w:szCs w:val="18"/>
          <w:lang w:val="cs-CZ"/>
        </w:rPr>
        <w:t>obchodovatelné nástroje</w:t>
      </w:r>
      <w:r w:rsidR="00F1510E" w:rsidRPr="007820A2">
        <w:rPr>
          <w:rFonts w:ascii="Arial" w:hAnsi="Arial" w:cs="Arial"/>
          <w:sz w:val="18"/>
          <w:szCs w:val="18"/>
          <w:lang w:val="cs-CZ"/>
        </w:rPr>
        <w:t>,</w:t>
      </w:r>
      <w:r w:rsidR="00D84A55" w:rsidRPr="007820A2">
        <w:rPr>
          <w:rFonts w:ascii="Arial" w:hAnsi="Arial" w:cs="Arial"/>
          <w:sz w:val="18"/>
          <w:szCs w:val="18"/>
          <w:lang w:val="cs-CZ"/>
        </w:rPr>
        <w:t xml:space="preserve"> které tvoří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podílové listy</w:t>
      </w:r>
      <w:r w:rsidR="00414B91" w:rsidRPr="007820A2">
        <w:rPr>
          <w:rFonts w:ascii="Arial" w:hAnsi="Arial" w:cs="Arial"/>
          <w:sz w:val="18"/>
          <w:szCs w:val="18"/>
          <w:lang w:val="cs-CZ"/>
        </w:rPr>
        <w:t>/akcie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fondů peněžního trhu, emitované dluhové cenné papíry se splatností do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dvou let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repo operace.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Hlavními protipoložkami peněžních agregátů jsou: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 xml:space="preserve">Dlouhodobější finanční </w:t>
      </w:r>
      <w:r w:rsidR="00C822C2" w:rsidRPr="007820A2">
        <w:rPr>
          <w:rFonts w:ascii="Arial" w:hAnsi="Arial" w:cs="Arial"/>
          <w:b/>
          <w:sz w:val="18"/>
          <w:szCs w:val="18"/>
          <w:lang w:val="cs-CZ"/>
        </w:rPr>
        <w:t>pasiva</w:t>
      </w:r>
      <w:r w:rsidRPr="007820A2">
        <w:rPr>
          <w:rFonts w:ascii="Arial" w:hAnsi="Arial" w:cs="Arial"/>
          <w:sz w:val="18"/>
          <w:szCs w:val="18"/>
          <w:lang w:val="cs-CZ"/>
        </w:rPr>
        <w:t>, která zahrnují vklady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výpovědní lhůtou nad 3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měsíce, vklady se splatností nad 2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roky, emitované dluhové cenné papíry nad 2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roky, kapitál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rezervy. 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Úvěry vládním institucím</w:t>
      </w:r>
      <w:r w:rsidR="000E42BA" w:rsidRPr="007820A2">
        <w:rPr>
          <w:rFonts w:ascii="Arial" w:hAnsi="Arial" w:cs="Arial"/>
          <w:b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(S.13) podle </w:t>
      </w:r>
      <w:r w:rsidR="00E34847" w:rsidRPr="007820A2">
        <w:rPr>
          <w:rFonts w:ascii="Arial" w:hAnsi="Arial" w:cs="Arial"/>
          <w:sz w:val="18"/>
          <w:szCs w:val="18"/>
          <w:lang w:val="cs-CZ"/>
        </w:rPr>
        <w:t xml:space="preserve">klasifikace </w:t>
      </w:r>
      <w:r w:rsidRPr="007820A2">
        <w:rPr>
          <w:rFonts w:ascii="Arial" w:hAnsi="Arial" w:cs="Arial"/>
          <w:sz w:val="18"/>
          <w:szCs w:val="18"/>
          <w:lang w:val="cs-CZ"/>
        </w:rPr>
        <w:t>ESA</w:t>
      </w:r>
      <w:r w:rsidR="00E34847" w:rsidRPr="007820A2">
        <w:rPr>
          <w:rFonts w:ascii="Arial" w:hAnsi="Arial" w:cs="Arial"/>
          <w:sz w:val="18"/>
          <w:szCs w:val="18"/>
          <w:lang w:val="cs-CZ"/>
        </w:rPr>
        <w:t> </w:t>
      </w:r>
      <w:r w:rsidR="003D5AF0" w:rsidRPr="007820A2">
        <w:rPr>
          <w:rFonts w:ascii="Arial" w:hAnsi="Arial" w:cs="Arial"/>
          <w:sz w:val="18"/>
          <w:szCs w:val="18"/>
          <w:lang w:val="cs-CZ"/>
        </w:rPr>
        <w:t>2010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včetně nakoupených dluhových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emitovaných těmito institucemi.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Úvěry soukromému sektoru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(S.11+S.124+S.125+S.</w:t>
      </w:r>
      <w:r w:rsidR="003D5AF0" w:rsidRPr="007820A2">
        <w:rPr>
          <w:rFonts w:ascii="Arial" w:hAnsi="Arial" w:cs="Arial"/>
          <w:sz w:val="18"/>
          <w:szCs w:val="18"/>
          <w:lang w:val="cs-CZ"/>
        </w:rPr>
        <w:t>126+S.127+S.128+S.129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+S.14+S.15) podle </w:t>
      </w:r>
      <w:r w:rsidR="00E34847" w:rsidRPr="007820A2">
        <w:rPr>
          <w:rFonts w:ascii="Arial" w:hAnsi="Arial" w:cs="Arial"/>
          <w:sz w:val="18"/>
          <w:szCs w:val="18"/>
          <w:lang w:val="cs-CZ"/>
        </w:rPr>
        <w:t xml:space="preserve">klasifikace </w:t>
      </w:r>
      <w:r w:rsidRPr="007820A2">
        <w:rPr>
          <w:rFonts w:ascii="Arial" w:hAnsi="Arial" w:cs="Arial"/>
          <w:sz w:val="18"/>
          <w:szCs w:val="18"/>
          <w:lang w:val="cs-CZ"/>
        </w:rPr>
        <w:t>ESA</w:t>
      </w:r>
      <w:r w:rsidR="00E34847" w:rsidRPr="007820A2">
        <w:rPr>
          <w:rFonts w:ascii="Arial" w:hAnsi="Arial" w:cs="Arial"/>
          <w:sz w:val="18"/>
          <w:szCs w:val="18"/>
          <w:lang w:val="cs-CZ"/>
        </w:rPr>
        <w:t> </w:t>
      </w:r>
      <w:r w:rsidR="003D5AF0" w:rsidRPr="007820A2">
        <w:rPr>
          <w:rFonts w:ascii="Arial" w:hAnsi="Arial" w:cs="Arial"/>
          <w:sz w:val="18"/>
          <w:szCs w:val="18"/>
          <w:lang w:val="cs-CZ"/>
        </w:rPr>
        <w:t>2010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včetně nakoupených dluhových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emitovaných těmito institucemi.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Čistá zahraniční aktiva</w:t>
      </w:r>
      <w:r w:rsidRPr="007820A2">
        <w:rPr>
          <w:rFonts w:ascii="Arial" w:hAnsi="Arial" w:cs="Arial"/>
          <w:sz w:val="18"/>
          <w:szCs w:val="18"/>
          <w:lang w:val="cs-CZ"/>
        </w:rPr>
        <w:t>, která zahrnují zahraniční aktiva MFI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(jako měnové zlato, hotovost jiná než Kč, cenné papíry emitované nerezidenty ČR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úvěry poskytnuté nerezi</w:t>
      </w:r>
      <w:r w:rsidR="000900E9" w:rsidRPr="007820A2">
        <w:rPr>
          <w:rFonts w:ascii="Arial" w:hAnsi="Arial" w:cs="Arial"/>
          <w:sz w:val="18"/>
          <w:szCs w:val="18"/>
          <w:lang w:val="cs-CZ"/>
        </w:rPr>
        <w:t xml:space="preserve">dentům ČR) minus zahraniční </w:t>
      </w:r>
      <w:r w:rsidR="00C822C2" w:rsidRPr="007820A2">
        <w:rPr>
          <w:rFonts w:ascii="Arial" w:hAnsi="Arial" w:cs="Arial"/>
          <w:sz w:val="18"/>
          <w:szCs w:val="18"/>
          <w:lang w:val="cs-CZ"/>
        </w:rPr>
        <w:t>pasiva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MFI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(jako vklady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držbě nerezidentů ČR, repo operace, podíl</w:t>
      </w:r>
      <w:r w:rsidR="006854C6" w:rsidRPr="007820A2">
        <w:rPr>
          <w:rFonts w:ascii="Arial" w:hAnsi="Arial" w:cs="Arial"/>
          <w:sz w:val="18"/>
          <w:szCs w:val="18"/>
          <w:lang w:val="cs-CZ"/>
        </w:rPr>
        <w:t>ové listy</w:t>
      </w:r>
      <w:r w:rsidR="00CB0232" w:rsidRPr="007820A2">
        <w:rPr>
          <w:rFonts w:ascii="Arial" w:hAnsi="Arial" w:cs="Arial"/>
          <w:sz w:val="18"/>
          <w:szCs w:val="18"/>
          <w:lang w:val="cs-CZ"/>
        </w:rPr>
        <w:t xml:space="preserve"> </w:t>
      </w:r>
      <w:r w:rsidR="006854C6" w:rsidRPr="007820A2">
        <w:rPr>
          <w:rFonts w:ascii="Arial" w:hAnsi="Arial" w:cs="Arial"/>
          <w:sz w:val="18"/>
          <w:szCs w:val="18"/>
          <w:lang w:val="cs-CZ"/>
        </w:rPr>
        <w:t>/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akcie fondů peněžního trhu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dluhové cenné papíry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dobou splatnosti do dvou let emitované MFI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držení nerezidentů).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Základem pro sestavení peněžních agregátů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jejich protipoložek v</w:t>
      </w:r>
      <w:r w:rsidR="004B06C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Č</w:t>
      </w:r>
      <w:r w:rsidR="004B06C2" w:rsidRPr="007820A2">
        <w:rPr>
          <w:rFonts w:ascii="Arial" w:hAnsi="Arial" w:cs="Arial"/>
          <w:sz w:val="18"/>
          <w:szCs w:val="18"/>
          <w:lang w:val="cs-CZ"/>
        </w:rPr>
        <w:t>eské republice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je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harmonizovaná konsolidovaná rozvaha sektoru MFI. Sestavuje se jako součet rozvahy centrální banky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agregované rozvahy ostatních měnových finančních institucí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vyloučením vzájemných vztahů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oblasti úvěrů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vkladů, včetně neobchodovatelných cenných papírů, snížením emitovaného oběživa o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hotovost na pokladnách MFI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snížením závazků měnových finančních institucí z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emisí ostatních dluhových cenných papírů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o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částky těchto nástrojů v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držbě měnových finančních institucí na straně aktiv.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Metodika zjišťování (statistické principy, definice sektorů, klasifikace instrumentů, způsob výpočtu meziročních změn) je sladěna s evropskými i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dalšími mezinárodními standardy (nařízení a doporučení ECB, Manuál měnové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finanční statistiky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MMF atd.).</w:t>
      </w:r>
    </w:p>
    <w:p w:rsidR="000572F9" w:rsidRPr="007820A2" w:rsidRDefault="000572F9">
      <w:pPr>
        <w:pStyle w:val="Podnadpis"/>
        <w:jc w:val="both"/>
        <w:rPr>
          <w:rFonts w:ascii="Arial" w:hAnsi="Arial" w:cs="Arial"/>
          <w:sz w:val="18"/>
          <w:szCs w:val="18"/>
          <w:lang w:val="cs-CZ"/>
        </w:rPr>
      </w:pPr>
    </w:p>
    <w:p w:rsidR="000572F9" w:rsidRPr="007820A2" w:rsidRDefault="000572F9">
      <w:pPr>
        <w:jc w:val="both"/>
        <w:rPr>
          <w:rFonts w:ascii="Arial" w:hAnsi="Arial" w:cs="Arial"/>
          <w:b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Výpočet míry růstu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Míra růstu pro referenční období se počítá z objemů měsíčních finančních transakcí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ze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zůstatkových hodnot na počátku každého z měsíců. Měsíční transakce jsou počítány z rozdílů zůstatkových hodnot očištěných</w:t>
      </w:r>
      <w:r w:rsidR="0046656C" w:rsidRPr="007820A2">
        <w:rPr>
          <w:rFonts w:ascii="Arial" w:hAnsi="Arial" w:cs="Arial"/>
          <w:sz w:val="18"/>
          <w:szCs w:val="18"/>
        </w:rPr>
        <w:t xml:space="preserve"> o </w:t>
      </w:r>
      <w:r w:rsidRPr="007820A2">
        <w:rPr>
          <w:rFonts w:ascii="Arial" w:hAnsi="Arial" w:cs="Arial"/>
          <w:sz w:val="18"/>
          <w:szCs w:val="18"/>
        </w:rPr>
        <w:t>reklasifikace, ostatní přecenění, pohyby směnných kurzů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případně ostatní změny, které nejsou důsledkem transakcí. Tato data pak odrážejí pouze ty změny, které vznikají z přijímání finančních aktiv</w:t>
      </w:r>
      <w:r w:rsidR="007255BB" w:rsidRPr="007820A2">
        <w:rPr>
          <w:rFonts w:ascii="Arial" w:hAnsi="Arial" w:cs="Arial"/>
          <w:sz w:val="18"/>
          <w:szCs w:val="18"/>
        </w:rPr>
        <w:t>,</w:t>
      </w:r>
      <w:r w:rsidRPr="007820A2">
        <w:rPr>
          <w:rFonts w:ascii="Arial" w:hAnsi="Arial" w:cs="Arial"/>
          <w:sz w:val="18"/>
          <w:szCs w:val="18"/>
        </w:rPr>
        <w:t xml:space="preserve"> nebo poskytování finančních </w:t>
      </w:r>
      <w:r w:rsidR="00C822C2" w:rsidRPr="007820A2">
        <w:rPr>
          <w:rFonts w:ascii="Arial" w:hAnsi="Arial" w:cs="Arial"/>
          <w:sz w:val="18"/>
          <w:szCs w:val="18"/>
        </w:rPr>
        <w:t>pasiv</w:t>
      </w:r>
      <w:r w:rsidRPr="007820A2">
        <w:rPr>
          <w:rFonts w:ascii="Arial" w:hAnsi="Arial" w:cs="Arial"/>
          <w:sz w:val="18"/>
          <w:szCs w:val="18"/>
        </w:rPr>
        <w:t>. Reklasifikace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ostatní netransakční korekce jsou v transakční statistice zaváděny z toho důvodu, aby byla zachována srovnatelnost postupných sledování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tím umožněny výpočty indexů předpokládaných zůstatků sledovaných hodnot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odvození jejich míry růstu.</w:t>
      </w:r>
    </w:p>
    <w:p w:rsidR="000572F9" w:rsidRPr="007820A2" w:rsidRDefault="000572F9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keepNext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lastRenderedPageBreak/>
        <w:t>Způsob výpočtu</w:t>
      </w:r>
    </w:p>
    <w:p w:rsidR="000572F9" w:rsidRPr="007820A2" w:rsidRDefault="00912628" w:rsidP="007820A2">
      <w:pPr>
        <w:keepNex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8.1pt;margin-top:6.2pt;width:18pt;height:19pt;z-index:251659264" fillcolor="#ff9">
            <v:imagedata r:id="rId8" o:title=""/>
          </v:shape>
          <o:OLEObject Type="Embed" ProgID="Equation.3" ShapeID="_x0000_s1033" DrawAspect="Content" ObjectID="_1728818348" r:id="rId9"/>
        </w:object>
      </w:r>
    </w:p>
    <w:p w:rsidR="000572F9" w:rsidRPr="00C822C2" w:rsidRDefault="000572F9" w:rsidP="007820A2">
      <w:pPr>
        <w:keepNext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</w:t>
      </w:r>
      <w:r w:rsidRPr="007820A2">
        <w:rPr>
          <w:rFonts w:ascii="Arial" w:hAnsi="Arial" w:cs="Arial"/>
          <w:sz w:val="18"/>
          <w:szCs w:val="18"/>
        </w:rPr>
        <w:t>Měsíční procentuální změna</w:t>
      </w:r>
      <w:r w:rsidRPr="00C822C2">
        <w:rPr>
          <w:rFonts w:ascii="Arial" w:hAnsi="Arial" w:cs="Arial"/>
        </w:rPr>
        <w:t xml:space="preserve">       </w:t>
      </w:r>
      <w:r w:rsidR="00FF1F47">
        <w:rPr>
          <w:rFonts w:ascii="Arial" w:hAnsi="Arial" w:cs="Arial"/>
        </w:rPr>
        <w:t xml:space="preserve">  </w:t>
      </w:r>
      <w:r w:rsidRPr="007820A2">
        <w:rPr>
          <w:rFonts w:ascii="Arial" w:hAnsi="Arial" w:cs="Arial"/>
          <w:sz w:val="18"/>
          <w:szCs w:val="18"/>
        </w:rPr>
        <w:t xml:space="preserve">pro měsíc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se počítá podle vztahu:</w:t>
      </w:r>
    </w:p>
    <w:p w:rsidR="000572F9" w:rsidRPr="007820A2" w:rsidRDefault="00912628" w:rsidP="00EF75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object w:dxaOrig="1440" w:dyaOrig="1440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728818349" r:id="rId11"/>
        </w:object>
      </w:r>
      <w:r>
        <w:rPr>
          <w:rFonts w:ascii="Arial" w:hAnsi="Arial" w:cs="Arial"/>
          <w:noProof/>
        </w:rPr>
        <w:object w:dxaOrig="1440" w:dyaOrig="1440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728818350" r:id="rId12"/>
        </w:objec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(a)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2. Roční míra růstu pro měsíc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>, tj. změna za posledních 12</w:t>
      </w:r>
      <w:r w:rsidR="001B7B1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 xml:space="preserve">měsíců končící měsícem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se počítá jako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součin dvanácti součinitelů každého předchozího měsíce. Výpočet roční míry růstu na základě meziměsíčních měr růstu tak umožňuje zohlednit transakční změny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netransakční vlivy v jednotlivých měsících:</w:t>
      </w:r>
    </w:p>
    <w:p w:rsidR="007820A2" w:rsidRPr="007820A2" w:rsidRDefault="007820A2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912628" w:rsidP="00EF75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440" w:dyaOrig="1440">
          <v:shape id="_x0000_s1030" type="#_x0000_t75" style="position:absolute;left:0;text-align:left;margin-left:41.85pt;margin-top:1.9pt;width:166pt;height:36pt;z-index:251657216" fillcolor="#ff9" strokecolor="#ff9">
            <v:imagedata r:id="rId13" o:title=""/>
          </v:shape>
          <o:OLEObject Type="Embed" ProgID="Equation.3" ShapeID="_x0000_s1030" DrawAspect="Content" ObjectID="_1728818351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kde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F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transakce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F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= </w:t>
      </w:r>
      <w:r w:rsidRPr="007820A2">
        <w:rPr>
          <w:rFonts w:ascii="Arial" w:hAnsi="Arial" w:cs="Arial"/>
          <w:i/>
          <w:sz w:val="18"/>
          <w:szCs w:val="18"/>
        </w:rPr>
        <w:t xml:space="preserve">(L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>t</w:t>
      </w:r>
      <w:r w:rsidRPr="007820A2">
        <w:rPr>
          <w:rFonts w:ascii="Arial" w:hAnsi="Arial" w:cs="Arial"/>
          <w:i/>
          <w:sz w:val="18"/>
          <w:szCs w:val="18"/>
        </w:rPr>
        <w:t xml:space="preserve"> </w:t>
      </w:r>
      <w:r w:rsidR="00BD0F80" w:rsidRPr="007820A2">
        <w:rPr>
          <w:rFonts w:ascii="Arial" w:hAnsi="Arial" w:cs="Arial"/>
          <w:i/>
          <w:sz w:val="18"/>
          <w:szCs w:val="18"/>
        </w:rPr>
        <w:t>-</w:t>
      </w:r>
      <w:r w:rsidRPr="007820A2">
        <w:rPr>
          <w:rFonts w:ascii="Arial" w:hAnsi="Arial" w:cs="Arial"/>
          <w:i/>
          <w:sz w:val="18"/>
          <w:szCs w:val="18"/>
        </w:rPr>
        <w:t xml:space="preserve"> 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>t-1</w:t>
      </w:r>
      <w:r w:rsidRPr="007820A2">
        <w:rPr>
          <w:rFonts w:ascii="Arial" w:hAnsi="Arial" w:cs="Arial"/>
          <w:i/>
          <w:sz w:val="18"/>
          <w:szCs w:val="18"/>
        </w:rPr>
        <w:t>) - C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Pr="007820A2">
        <w:rPr>
          <w:rFonts w:ascii="Arial" w:hAnsi="Arial" w:cs="Arial"/>
          <w:i/>
          <w:sz w:val="18"/>
          <w:szCs w:val="18"/>
        </w:rPr>
        <w:t>- E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Pr="007820A2">
        <w:rPr>
          <w:rFonts w:ascii="Arial" w:hAnsi="Arial" w:cs="Arial"/>
          <w:i/>
          <w:sz w:val="18"/>
          <w:szCs w:val="18"/>
        </w:rPr>
        <w:t>- V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>M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a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 xml:space="preserve">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t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zůstatek na konci měsíce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C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>M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reklasifikace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E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změny směnných kurzů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V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změny ocenění</w:t>
      </w:r>
      <w:r w:rsidR="0046656C" w:rsidRPr="007820A2">
        <w:rPr>
          <w:rFonts w:ascii="Arial" w:hAnsi="Arial" w:cs="Arial"/>
          <w:sz w:val="18"/>
          <w:szCs w:val="18"/>
        </w:rPr>
        <w:t xml:space="preserve"> v </w:t>
      </w:r>
      <w:r w:rsidRPr="007820A2">
        <w:rPr>
          <w:rFonts w:ascii="Arial" w:hAnsi="Arial" w:cs="Arial"/>
          <w:sz w:val="18"/>
          <w:szCs w:val="18"/>
        </w:rPr>
        <w:t xml:space="preserve">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Míry růstu pro jiná referenční období se odvozují od vzorce (b).</w:t>
      </w:r>
    </w:p>
    <w:p w:rsidR="000572F9" w:rsidRPr="007820A2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7-2</w:t>
      </w:r>
      <w:r w:rsidR="006A075F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Měnová báze ČNB</w:t>
      </w:r>
    </w:p>
    <w:p w:rsidR="000572F9" w:rsidRPr="007820A2" w:rsidRDefault="000572F9" w:rsidP="007820A2">
      <w:pPr>
        <w:pStyle w:val="Zkladntextodsazen2"/>
        <w:spacing w:before="120"/>
        <w:ind w:left="0"/>
        <w:rPr>
          <w:rFonts w:ascii="Arial" w:hAnsi="Arial" w:cs="Arial"/>
          <w:snapToGrid w:val="0"/>
          <w:sz w:val="18"/>
          <w:szCs w:val="18"/>
          <w:lang w:val="cs-CZ"/>
        </w:rPr>
      </w:pPr>
      <w:r w:rsidRPr="007820A2">
        <w:rPr>
          <w:rFonts w:ascii="Arial" w:hAnsi="Arial" w:cs="Arial"/>
          <w:snapToGrid w:val="0"/>
          <w:sz w:val="18"/>
          <w:szCs w:val="18"/>
          <w:lang w:val="cs-CZ"/>
        </w:rPr>
        <w:t>Měnová báze (rezervní peníze) zahrnuje oběživo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rezervy, které drží obchodní banky </w:t>
      </w:r>
      <w:r w:rsidR="001F0D38" w:rsidRPr="007820A2">
        <w:rPr>
          <w:rFonts w:ascii="Arial" w:hAnsi="Arial" w:cs="Arial"/>
          <w:snapToGrid w:val="0"/>
          <w:sz w:val="18"/>
          <w:szCs w:val="18"/>
          <w:lang w:val="cs-CZ"/>
        </w:rPr>
        <w:t>a 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družstevní záložny (od </w:t>
      </w:r>
      <w:r w:rsidR="007255BB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na účtech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centrální banky. Obě tyto položky představují </w:t>
      </w:r>
      <w:r w:rsidRPr="007820A2">
        <w:rPr>
          <w:rFonts w:ascii="Arial" w:hAnsi="Arial" w:cs="Arial"/>
          <w:b/>
          <w:snapToGrid w:val="0"/>
          <w:sz w:val="18"/>
          <w:szCs w:val="18"/>
          <w:lang w:val="cs-CZ"/>
        </w:rPr>
        <w:t>užití měnové báze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>nebankovní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sektor. Tyto faktory ovlivňující výši měnové báze se označují jako </w:t>
      </w:r>
      <w:r w:rsidRPr="007820A2">
        <w:rPr>
          <w:rFonts w:ascii="Arial" w:hAnsi="Arial" w:cs="Arial"/>
          <w:b/>
          <w:snapToGrid w:val="0"/>
          <w:sz w:val="18"/>
          <w:szCs w:val="18"/>
          <w:lang w:val="cs-CZ"/>
        </w:rPr>
        <w:t>zdroje měnové báze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Vnější sektor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představuje saldo krátkodobých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dlouhodobých pohledávek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Vládní sektor </w:t>
      </w:r>
      <w:r w:rsidRPr="007820A2">
        <w:rPr>
          <w:rFonts w:ascii="Arial" w:hAnsi="Arial" w:cs="Arial"/>
          <w:snapToGrid w:val="0"/>
          <w:sz w:val="18"/>
          <w:szCs w:val="18"/>
        </w:rPr>
        <w:t>vyjadřuje rozdíl mezi aktivy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snapToGrid w:val="0"/>
          <w:sz w:val="18"/>
          <w:szCs w:val="18"/>
        </w:rPr>
        <w:t xml:space="preserve">pasivy </w:t>
      </w:r>
      <w:r w:rsidRPr="007820A2">
        <w:rPr>
          <w:rFonts w:ascii="Arial" w:hAnsi="Arial" w:cs="Arial"/>
          <w:snapToGrid w:val="0"/>
          <w:sz w:val="18"/>
          <w:szCs w:val="18"/>
        </w:rPr>
        <w:t>centrální banky vůči vládnímu sektoru.</w:t>
      </w:r>
    </w:p>
    <w:p w:rsidR="004B3135" w:rsidRPr="007820A2" w:rsidRDefault="00D77E4B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Garanční systém finančního trhu</w:t>
      </w:r>
      <w:r w:rsidR="004B3135" w:rsidRPr="007820A2">
        <w:rPr>
          <w:rFonts w:ascii="Arial" w:hAnsi="Arial" w:cs="Arial"/>
          <w:snapToGrid w:val="0"/>
          <w:sz w:val="18"/>
          <w:szCs w:val="18"/>
        </w:rPr>
        <w:t xml:space="preserve"> zahrnuje Fond pojištění vkladů a Fond pro řešení krize.</w:t>
      </w:r>
    </w:p>
    <w:p w:rsidR="00707180" w:rsidRPr="007820A2" w:rsidRDefault="000572F9" w:rsidP="007820A2">
      <w:p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Pohledávky za nebankovními subjekty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představují pohledávky centrální banky vůči různým nebankovním subjektům. Mezi ně patří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např. </w:t>
      </w:r>
      <w:r w:rsidRPr="007820A2">
        <w:rPr>
          <w:rFonts w:ascii="Arial" w:hAnsi="Arial" w:cs="Arial"/>
          <w:snapToGrid w:val="0"/>
          <w:sz w:val="18"/>
          <w:szCs w:val="18"/>
        </w:rPr>
        <w:t>banky bez licence</w:t>
      </w:r>
      <w:r w:rsidR="00707180" w:rsidRPr="007820A2">
        <w:rPr>
          <w:rFonts w:ascii="Arial" w:hAnsi="Arial" w:cs="Arial"/>
          <w:snapToGrid w:val="0"/>
          <w:sz w:val="18"/>
          <w:szCs w:val="18"/>
        </w:rPr>
        <w:t>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Čistá ostatní aktiva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zahrnují různé jiné položky, např. vlastní prostředky centrální banky, hmotný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nehmotný majetek, pohledávky za obchodními bankami z titulu čerpání oběživa, ostatní vklady obchodních bank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>centrální banky, ostatní nevládní vklady, nevládní cenné papíry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účasti atd.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Objem realizovaných operací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vyjadřuje sterilizaci volné likvidity, tj. objem poukázek ČNB v držení obchodních bank,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družstevních záložen, ostatních </w:t>
      </w:r>
      <w:r w:rsidRPr="007820A2">
        <w:rPr>
          <w:rFonts w:ascii="Arial" w:hAnsi="Arial" w:cs="Arial"/>
          <w:snapToGrid w:val="0"/>
          <w:sz w:val="18"/>
          <w:szCs w:val="18"/>
        </w:rPr>
        <w:t>nebankovních subjektů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ministerstva financí.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Standby facility: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zápůjční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depozitní facility se splatností jeden den, které umožňují jednotlivým bankám 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>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družstevním záložnám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</w:rPr>
        <w:t>doladit svou denní rezervní pozici tak, aby docházelo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optimalizaci výše zůstatku na účtu platebního styku.</w:t>
      </w:r>
    </w:p>
    <w:p w:rsidR="000572F9" w:rsidRPr="007820A2" w:rsidRDefault="000572F9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– Lombardní repo (zápůjční facilita): repo operace sloužící k dodání likvidity obchodním bankám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družstevním záložnám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2012). </w:t>
      </w:r>
      <w:r w:rsidRPr="007820A2">
        <w:rPr>
          <w:rFonts w:ascii="Arial" w:hAnsi="Arial" w:cs="Arial"/>
          <w:snapToGrid w:val="0"/>
          <w:sz w:val="18"/>
          <w:szCs w:val="18"/>
        </w:rPr>
        <w:t>Při poskytnutí úvěru se uplatňuje 100% krytí cennými papíry, zpravidla státními pokladničními poukázkami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poukázkami ČNB. Úvěr je úročen </w:t>
      </w:r>
      <w:r w:rsidR="00C97F6F" w:rsidRPr="007820A2">
        <w:rPr>
          <w:rFonts w:ascii="Arial" w:hAnsi="Arial" w:cs="Arial"/>
          <w:snapToGrid w:val="0"/>
          <w:sz w:val="18"/>
          <w:szCs w:val="18"/>
        </w:rPr>
        <w:t>l</w:t>
      </w:r>
      <w:r w:rsidRPr="007820A2">
        <w:rPr>
          <w:rFonts w:ascii="Arial" w:hAnsi="Arial" w:cs="Arial"/>
          <w:snapToGrid w:val="0"/>
          <w:sz w:val="18"/>
          <w:szCs w:val="18"/>
        </w:rPr>
        <w:t>ombardní sazbou. Minimální objem není stanoven.</w:t>
      </w:r>
    </w:p>
    <w:p w:rsidR="000572F9" w:rsidRPr="007820A2" w:rsidRDefault="000572F9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– Overnight (O/N) depozitum (depozitní facilita): obchodní banky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 záložny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</w:rPr>
        <w:t>mají možnost uložit si volné prostředky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>centrální banky. Jedná se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nezajištěný vklad, je úročen </w:t>
      </w:r>
      <w:r w:rsidR="00C97F6F" w:rsidRPr="007820A2">
        <w:rPr>
          <w:rFonts w:ascii="Arial" w:hAnsi="Arial" w:cs="Arial"/>
          <w:snapToGrid w:val="0"/>
          <w:sz w:val="18"/>
          <w:szCs w:val="18"/>
        </w:rPr>
        <w:t>d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Oběživo</w:t>
      </w:r>
      <w:r w:rsidRPr="007820A2">
        <w:rPr>
          <w:rFonts w:ascii="Arial" w:hAnsi="Arial" w:cs="Arial"/>
          <w:sz w:val="18"/>
          <w:szCs w:val="18"/>
        </w:rPr>
        <w:t xml:space="preserve"> představuje závazek centrální banky z titulu vydaných bankovek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mincí, které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se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nacházejí v pokladnách bank</w:t>
      </w:r>
      <w:r w:rsidR="004B48D4" w:rsidRPr="007820A2">
        <w:rPr>
          <w:rFonts w:ascii="Arial" w:hAnsi="Arial" w:cs="Arial"/>
          <w:sz w:val="18"/>
          <w:szCs w:val="18"/>
        </w:rPr>
        <w:t xml:space="preserve">, družstevních záložen (od </w:t>
      </w:r>
      <w:r w:rsidR="007255BB" w:rsidRPr="007820A2">
        <w:rPr>
          <w:rFonts w:ascii="Arial" w:hAnsi="Arial" w:cs="Arial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z w:val="18"/>
          <w:szCs w:val="18"/>
        </w:rPr>
        <w:t xml:space="preserve">2012) </w:t>
      </w:r>
      <w:r w:rsidR="0046656C" w:rsidRPr="007820A2">
        <w:rPr>
          <w:rFonts w:ascii="Arial" w:hAnsi="Arial" w:cs="Arial"/>
          <w:sz w:val="18"/>
          <w:szCs w:val="18"/>
        </w:rPr>
        <w:t>a</w:t>
      </w:r>
      <w:r w:rsidR="003E6D84" w:rsidRPr="007820A2">
        <w:rPr>
          <w:rFonts w:ascii="Arial" w:hAnsi="Arial" w:cs="Arial"/>
          <w:sz w:val="18"/>
          <w:szCs w:val="18"/>
        </w:rPr>
        <w:t> </w:t>
      </w:r>
      <w:r w:rsidR="0046656C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>nebankovní veřejnosti.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Rezervy bank</w:t>
      </w:r>
      <w:r w:rsidR="001F0D38" w:rsidRPr="007820A2">
        <w:rPr>
          <w:rFonts w:ascii="Arial" w:hAnsi="Arial" w:cs="Arial"/>
          <w:b/>
          <w:sz w:val="18"/>
          <w:szCs w:val="18"/>
        </w:rPr>
        <w:t xml:space="preserve"> a </w:t>
      </w:r>
      <w:r w:rsidR="00FD7B55" w:rsidRPr="007820A2">
        <w:rPr>
          <w:rFonts w:ascii="Arial" w:hAnsi="Arial" w:cs="Arial"/>
          <w:b/>
          <w:sz w:val="18"/>
          <w:szCs w:val="18"/>
        </w:rPr>
        <w:t>družstevních záložen</w:t>
      </w:r>
      <w:r w:rsidR="00FD7B55" w:rsidRPr="007820A2">
        <w:rPr>
          <w:rFonts w:ascii="Arial" w:hAnsi="Arial" w:cs="Arial"/>
          <w:sz w:val="18"/>
          <w:szCs w:val="18"/>
        </w:rPr>
        <w:t xml:space="preserve"> (od</w:t>
      </w:r>
      <w:r w:rsidR="007255BB" w:rsidRPr="007820A2">
        <w:rPr>
          <w:rFonts w:ascii="Arial" w:hAnsi="Arial" w:cs="Arial"/>
          <w:sz w:val="18"/>
          <w:szCs w:val="18"/>
        </w:rPr>
        <w:t xml:space="preserve"> roku</w:t>
      </w:r>
      <w:r w:rsidR="00FD7B55" w:rsidRPr="007820A2">
        <w:rPr>
          <w:rFonts w:ascii="Arial" w:hAnsi="Arial" w:cs="Arial"/>
          <w:sz w:val="18"/>
          <w:szCs w:val="18"/>
        </w:rPr>
        <w:t xml:space="preserve"> 2012)</w:t>
      </w:r>
      <w:r w:rsidRPr="007820A2">
        <w:rPr>
          <w:rFonts w:ascii="Arial" w:hAnsi="Arial" w:cs="Arial"/>
          <w:sz w:val="18"/>
          <w:szCs w:val="18"/>
        </w:rPr>
        <w:t xml:space="preserve"> zahrnují povinné minimální rezervy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volné rezervy na účtech </w:t>
      </w:r>
      <w:r w:rsidR="00DC4637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>centrální banky:</w:t>
      </w:r>
    </w:p>
    <w:p w:rsidR="00EA42AB" w:rsidRPr="007820A2" w:rsidRDefault="00DC5E89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– </w:t>
      </w:r>
      <w:r w:rsidR="007255BB" w:rsidRPr="007820A2">
        <w:rPr>
          <w:rFonts w:ascii="Arial" w:hAnsi="Arial" w:cs="Arial"/>
          <w:sz w:val="18"/>
          <w:szCs w:val="18"/>
        </w:rPr>
        <w:t>P</w:t>
      </w:r>
      <w:r w:rsidR="000572F9" w:rsidRPr="007820A2">
        <w:rPr>
          <w:rFonts w:ascii="Arial" w:hAnsi="Arial" w:cs="Arial"/>
          <w:sz w:val="18"/>
          <w:szCs w:val="18"/>
        </w:rPr>
        <w:t xml:space="preserve">ovinné minimální rezervy jsou banky </w:t>
      </w:r>
      <w:r w:rsidR="001F0D38" w:rsidRPr="007820A2">
        <w:rPr>
          <w:rFonts w:ascii="Arial" w:hAnsi="Arial" w:cs="Arial"/>
          <w:sz w:val="18"/>
          <w:szCs w:val="18"/>
        </w:rPr>
        <w:t>a </w:t>
      </w:r>
      <w:r w:rsidR="00EA42AB" w:rsidRPr="007820A2">
        <w:rPr>
          <w:rFonts w:ascii="Arial" w:hAnsi="Arial" w:cs="Arial"/>
          <w:sz w:val="18"/>
          <w:szCs w:val="18"/>
        </w:rPr>
        <w:t>družstevní záložny (od</w:t>
      </w:r>
      <w:r w:rsidR="007255BB" w:rsidRPr="007820A2">
        <w:rPr>
          <w:rFonts w:ascii="Arial" w:hAnsi="Arial" w:cs="Arial"/>
          <w:sz w:val="18"/>
          <w:szCs w:val="18"/>
        </w:rPr>
        <w:t xml:space="preserve"> roku </w:t>
      </w:r>
      <w:r w:rsidR="00EA42AB" w:rsidRPr="007820A2">
        <w:rPr>
          <w:rFonts w:ascii="Arial" w:hAnsi="Arial" w:cs="Arial"/>
          <w:sz w:val="18"/>
          <w:szCs w:val="18"/>
        </w:rPr>
        <w:t xml:space="preserve">2012) </w:t>
      </w:r>
      <w:r w:rsidR="000572F9" w:rsidRPr="007820A2">
        <w:rPr>
          <w:rFonts w:ascii="Arial" w:hAnsi="Arial" w:cs="Arial"/>
          <w:sz w:val="18"/>
          <w:szCs w:val="18"/>
        </w:rPr>
        <w:t>povinny držet na účtech</w:t>
      </w:r>
      <w:r w:rsidR="0046656C" w:rsidRPr="007820A2">
        <w:rPr>
          <w:rFonts w:ascii="Arial" w:hAnsi="Arial" w:cs="Arial"/>
          <w:sz w:val="18"/>
          <w:szCs w:val="18"/>
        </w:rPr>
        <w:t xml:space="preserve"> u </w:t>
      </w:r>
      <w:r w:rsidR="000572F9" w:rsidRPr="007820A2">
        <w:rPr>
          <w:rFonts w:ascii="Arial" w:hAnsi="Arial" w:cs="Arial"/>
          <w:sz w:val="18"/>
          <w:szCs w:val="18"/>
        </w:rPr>
        <w:t>centrální banky. Předepsaný objem činí 2</w:t>
      </w:r>
      <w:r w:rsidR="00314A5F" w:rsidRPr="007820A2">
        <w:rPr>
          <w:rFonts w:ascii="Arial" w:hAnsi="Arial" w:cs="Arial"/>
          <w:sz w:val="18"/>
          <w:szCs w:val="18"/>
        </w:rPr>
        <w:t> </w:t>
      </w:r>
      <w:r w:rsidR="000572F9" w:rsidRPr="007820A2">
        <w:rPr>
          <w:rFonts w:ascii="Arial" w:hAnsi="Arial" w:cs="Arial"/>
          <w:sz w:val="18"/>
          <w:szCs w:val="18"/>
        </w:rPr>
        <w:t xml:space="preserve">% z primárních závazků bank se splatností do </w:t>
      </w:r>
      <w:r w:rsidR="007255BB" w:rsidRPr="007820A2">
        <w:rPr>
          <w:rFonts w:ascii="Arial" w:hAnsi="Arial" w:cs="Arial"/>
          <w:sz w:val="18"/>
          <w:szCs w:val="18"/>
        </w:rPr>
        <w:t>dvou </w:t>
      </w:r>
      <w:r w:rsidR="000572F9" w:rsidRPr="007820A2">
        <w:rPr>
          <w:rFonts w:ascii="Arial" w:hAnsi="Arial" w:cs="Arial"/>
          <w:sz w:val="18"/>
          <w:szCs w:val="18"/>
        </w:rPr>
        <w:t>let,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z w:val="18"/>
          <w:szCs w:val="18"/>
        </w:rPr>
        <w:t>to v české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z w:val="18"/>
          <w:szCs w:val="18"/>
        </w:rPr>
        <w:t xml:space="preserve">zahraniční měně. Povinné minimální rezervy </w:t>
      </w:r>
      <w:r w:rsidR="00EA42AB" w:rsidRPr="007820A2">
        <w:rPr>
          <w:rFonts w:ascii="Arial" w:hAnsi="Arial" w:cs="Arial"/>
          <w:sz w:val="18"/>
          <w:szCs w:val="18"/>
        </w:rPr>
        <w:t>jsou</w:t>
      </w:r>
      <w:r w:rsidR="000572F9" w:rsidRPr="007820A2">
        <w:rPr>
          <w:rFonts w:ascii="Arial" w:hAnsi="Arial" w:cs="Arial"/>
          <w:sz w:val="18"/>
          <w:szCs w:val="18"/>
        </w:rPr>
        <w:t xml:space="preserve"> udržovány v</w:t>
      </w:r>
      <w:r w:rsidR="00DC4637" w:rsidRPr="007820A2">
        <w:rPr>
          <w:rFonts w:ascii="Arial" w:hAnsi="Arial" w:cs="Arial"/>
          <w:sz w:val="18"/>
          <w:szCs w:val="18"/>
        </w:rPr>
        <w:t> </w:t>
      </w:r>
      <w:r w:rsidR="00EA42AB" w:rsidRPr="007820A2">
        <w:rPr>
          <w:rFonts w:ascii="Arial" w:hAnsi="Arial" w:cs="Arial"/>
          <w:sz w:val="18"/>
          <w:szCs w:val="18"/>
        </w:rPr>
        <w:t xml:space="preserve">měsíčních </w:t>
      </w:r>
      <w:r w:rsidR="000572F9" w:rsidRPr="007820A2">
        <w:rPr>
          <w:rFonts w:ascii="Arial" w:hAnsi="Arial" w:cs="Arial"/>
          <w:sz w:val="18"/>
          <w:szCs w:val="18"/>
        </w:rPr>
        <w:t>cyklech</w:t>
      </w:r>
      <w:r w:rsidR="00EA42AB" w:rsidRPr="007820A2">
        <w:rPr>
          <w:rFonts w:ascii="Arial" w:hAnsi="Arial" w:cs="Arial"/>
          <w:sz w:val="18"/>
          <w:szCs w:val="18"/>
        </w:rPr>
        <w:t xml:space="preserve">, jsou úročeny platnou </w:t>
      </w:r>
      <w:r w:rsidR="00C97F6F" w:rsidRPr="007820A2">
        <w:rPr>
          <w:rFonts w:ascii="Arial" w:hAnsi="Arial" w:cs="Arial"/>
          <w:sz w:val="18"/>
          <w:szCs w:val="18"/>
        </w:rPr>
        <w:t>r</w:t>
      </w:r>
      <w:r w:rsidR="002E1558" w:rsidRPr="007820A2">
        <w:rPr>
          <w:rFonts w:ascii="Arial" w:hAnsi="Arial" w:cs="Arial"/>
          <w:sz w:val="18"/>
          <w:szCs w:val="18"/>
        </w:rPr>
        <w:t>epo sazbou</w:t>
      </w:r>
      <w:r w:rsidR="0023066C" w:rsidRPr="007820A2">
        <w:rPr>
          <w:rFonts w:ascii="Arial" w:hAnsi="Arial" w:cs="Arial"/>
          <w:sz w:val="18"/>
          <w:szCs w:val="18"/>
        </w:rPr>
        <w:t>.</w:t>
      </w:r>
    </w:p>
    <w:p w:rsidR="000572F9" w:rsidRPr="007820A2" w:rsidRDefault="000572F9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lastRenderedPageBreak/>
        <w:t>– </w:t>
      </w:r>
      <w:r w:rsidR="007255BB" w:rsidRPr="007820A2">
        <w:rPr>
          <w:rFonts w:ascii="Arial" w:hAnsi="Arial" w:cs="Arial"/>
          <w:sz w:val="18"/>
          <w:szCs w:val="18"/>
        </w:rPr>
        <w:t>V</w:t>
      </w:r>
      <w:r w:rsidRPr="007820A2">
        <w:rPr>
          <w:rFonts w:ascii="Arial" w:hAnsi="Arial" w:cs="Arial"/>
          <w:sz w:val="18"/>
          <w:szCs w:val="18"/>
        </w:rPr>
        <w:t>olné rezervy představují rozdíl mezi předepsaným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skutečným objemem povinných minimálních rezerv.</w:t>
      </w:r>
    </w:p>
    <w:p w:rsidR="000572F9" w:rsidRDefault="000572F9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5730BF" w:rsidRPr="007820A2" w:rsidRDefault="005730BF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7-3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7-4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Úvěry klientům poskytované obchodními bankami celkem, podle účelu, sektorů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činností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7820A2">
        <w:rPr>
          <w:rFonts w:ascii="Arial" w:hAnsi="Arial" w:cs="Arial"/>
          <w:color w:val="000000"/>
          <w:sz w:val="18"/>
          <w:szCs w:val="18"/>
        </w:rPr>
        <w:t>Přehled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000000"/>
          <w:sz w:val="18"/>
          <w:szCs w:val="18"/>
        </w:rPr>
        <w:t>stavu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struktuře poskytnutých úvěrů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pohledávek banky za klienty (včetně debetních zůstatků na běžných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kontokorentních účtech klientů)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v </w:t>
      </w:r>
      <w:r w:rsidRPr="007820A2">
        <w:rPr>
          <w:rFonts w:ascii="Arial" w:hAnsi="Arial" w:cs="Arial"/>
          <w:color w:val="000000"/>
          <w:sz w:val="18"/>
          <w:szCs w:val="18"/>
        </w:rPr>
        <w:t>členění podle příslušnosti klientů-dlužníků do jednotlivých ekonomických subsektorů, podle příslušnosti klientů-dlužníků do jednotlivých ekonomických činností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podle účelu úvěru.</w:t>
      </w:r>
    </w:p>
    <w:p w:rsidR="000572F9" w:rsidRPr="007820A2" w:rsidRDefault="000572F9" w:rsidP="007820A2">
      <w:pPr>
        <w:pStyle w:val="Podnadpis"/>
        <w:spacing w:before="120"/>
        <w:jc w:val="left"/>
        <w:rPr>
          <w:rFonts w:ascii="Arial" w:hAnsi="Arial" w:cs="Arial"/>
          <w:color w:val="000000"/>
          <w:sz w:val="18"/>
          <w:szCs w:val="18"/>
          <w:lang w:val="cs-CZ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Datový soubor</w:t>
      </w:r>
      <w:r w:rsidRPr="007820A2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VST (ČNB) 1-12: Měsíční výkaz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úvěrech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pohledávkách za klienty.</w:t>
      </w: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BE0768" w:rsidRDefault="000572F9" w:rsidP="007820A2">
      <w:pPr>
        <w:jc w:val="both"/>
        <w:rPr>
          <w:rFonts w:ascii="Arial" w:hAnsi="Arial" w:cs="Arial"/>
          <w:b/>
          <w:snapToGrid w:val="0"/>
        </w:rPr>
      </w:pPr>
      <w:r w:rsidRPr="007820A2">
        <w:rPr>
          <w:rFonts w:ascii="Arial" w:hAnsi="Arial" w:cs="Arial"/>
          <w:b/>
          <w:snapToGrid w:val="0"/>
          <w:color w:val="0071BC"/>
        </w:rPr>
        <w:t>Tab. 7-5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7-6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Vklady klientů přijaté obchodními bankami celkem, podle sektorů, činností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délky uložení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Přehled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stavu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struktuře celkových vkladů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ostatních úvěrů přijatých od klientů (včetně vládních institucí)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v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členění podle sjednané doby trvání vkladu nebo splatnosti přijatého úvěru </w:t>
      </w:r>
      <w:r w:rsidR="00103E94" w:rsidRPr="007820A2">
        <w:rPr>
          <w:rStyle w:val="Typewriter"/>
          <w:rFonts w:ascii="Arial" w:hAnsi="Arial" w:cs="Arial"/>
          <w:color w:val="000000"/>
          <w:sz w:val="18"/>
          <w:szCs w:val="18"/>
        </w:rPr>
        <w:t>a</w:t>
      </w:r>
      <w:r w:rsidR="00965303" w:rsidRPr="007820A2">
        <w:rPr>
          <w:rStyle w:val="Typewriter"/>
          <w:rFonts w:ascii="Arial" w:hAnsi="Arial" w:cs="Arial"/>
          <w:color w:val="000000"/>
          <w:sz w:val="18"/>
          <w:szCs w:val="18"/>
        </w:rPr>
        <w:t>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ekonomického charakteru klientů (podle ekonomického sektoru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ekonomické činnosti věřitele). </w:t>
      </w:r>
    </w:p>
    <w:p w:rsidR="000572F9" w:rsidRPr="007820A2" w:rsidRDefault="000572F9" w:rsidP="007820A2">
      <w:pPr>
        <w:spacing w:before="120"/>
        <w:rPr>
          <w:rFonts w:ascii="Arial" w:hAnsi="Arial" w:cs="Arial"/>
          <w:color w:val="000000"/>
          <w:sz w:val="18"/>
          <w:szCs w:val="18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Datový soubor</w:t>
      </w:r>
      <w:r w:rsidRPr="007820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VST (ČNB) 11-12:</w:t>
      </w:r>
      <w:r w:rsidRPr="007820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Měsíční výkaz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vkladech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úvěrech od klientů. </w:t>
      </w:r>
    </w:p>
    <w:p w:rsidR="000572F9" w:rsidRPr="007820A2" w:rsidRDefault="000572F9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413B7F" w:rsidRPr="007820A2" w:rsidRDefault="00413B7F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7-7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Průměrné úrokové sazby na trhu mezibankovních depozit (roční průměry)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PRIBOR </w:t>
      </w:r>
      <w:r w:rsidRPr="007820A2">
        <w:rPr>
          <w:rFonts w:ascii="Arial" w:hAnsi="Arial" w:cs="Arial"/>
          <w:i/>
          <w:iCs/>
          <w:snapToGrid w:val="0"/>
          <w:sz w:val="18"/>
          <w:szCs w:val="18"/>
        </w:rPr>
        <w:t>(Prague Interbank Offered Rates)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hodin. Kotací se rozumí zveřejnění orientační ceny, za kterou jsou banky ochotny depozita prodat ve standardním objemu standardní protistraně.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ČNB definuje termíny, pro které jsou sazby PRIBOR stanovovány, algoritmus pro jejich výpočet, složení referenčních bank, standardní protistrany, standardní objem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způsob zveřejňování kotací.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Sazby PRIBOR se stanovují pro následující splatnosti: 1 den (overnight), 1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2 týdny, 1, 2, 3, 6, 9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12 měsíců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vypočítávají se z kotací referenčních bank na trhu mezibankovních depozit následujícím způsobem: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kotuje-li úrokovou sazbu pro danou splatnost více než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pět </w:t>
      </w:r>
      <w:r w:rsidRPr="007820A2">
        <w:rPr>
          <w:rFonts w:ascii="Arial" w:hAnsi="Arial" w:cs="Arial"/>
          <w:snapToGrid w:val="0"/>
          <w:sz w:val="18"/>
          <w:szCs w:val="18"/>
        </w:rPr>
        <w:t>referenčních bank, odstraní se nejvyšší kotace (popř. jedna z nejvyšších kotací)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nejnižší kotace (popř. jedna z nejnižších kotací) a PRIBOR se vypočte jako aritmetický průměr ze zbylých kotací zaokrouhlený na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dvě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desetinná místa; 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kotují-li úrokovou sazbu pro danou splatnost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čtyři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nebo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pět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referenčních bank, vypočte se PRIBOR jako aritmetický průměr ze všech kotací zaokrouhlený na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dvě </w:t>
      </w:r>
      <w:r w:rsidRPr="007820A2">
        <w:rPr>
          <w:rFonts w:ascii="Arial" w:hAnsi="Arial" w:cs="Arial"/>
          <w:snapToGrid w:val="0"/>
          <w:sz w:val="18"/>
          <w:szCs w:val="18"/>
        </w:rPr>
        <w:t>desetinná místa;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kotuje-li úrokovou sazbu pro některou splatnost méně než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čtyři </w:t>
      </w:r>
      <w:r w:rsidRPr="007820A2">
        <w:rPr>
          <w:rFonts w:ascii="Arial" w:hAnsi="Arial" w:cs="Arial"/>
          <w:snapToGrid w:val="0"/>
          <w:sz w:val="18"/>
          <w:szCs w:val="18"/>
        </w:rPr>
        <w:t>referenční banky, sazby PRIBOR se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pro tuto splatnost nestanovují.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ČNB zveřejňuje sazby PRIBOR denně v Hospodářských novinách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prostřednictvím agentur 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R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euters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, T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elerate</w:t>
      </w:r>
      <w:r w:rsidR="0046656C" w:rsidRPr="007820A2">
        <w:rPr>
          <w:rFonts w:ascii="Arial" w:hAnsi="Arial" w:cs="Arial"/>
          <w:iCs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B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loomberg</w:t>
      </w:r>
      <w:r w:rsidRPr="007820A2">
        <w:rPr>
          <w:rFonts w:ascii="Arial" w:hAnsi="Arial" w:cs="Arial"/>
          <w:snapToGrid w:val="0"/>
          <w:sz w:val="18"/>
          <w:szCs w:val="18"/>
        </w:rPr>
        <w:t>. Počet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složení referenčních bank je uveden v poznámkách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jednotlivým tabulkám historických hodnot sazeb PRIBOR.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</w:t>
      </w:r>
      <w:r w:rsidR="007820A2">
        <w:rPr>
          <w:rFonts w:ascii="Arial" w:hAnsi="Arial" w:cs="Arial"/>
          <w:b/>
          <w:snapToGrid w:val="0"/>
          <w:color w:val="0071BC"/>
        </w:rPr>
        <w:t xml:space="preserve">-8 </w:t>
      </w:r>
      <w:r w:rsidRPr="007820A2">
        <w:rPr>
          <w:rFonts w:ascii="Arial" w:hAnsi="Arial" w:cs="Arial"/>
          <w:b/>
          <w:snapToGrid w:val="0"/>
          <w:color w:val="0071BC"/>
        </w:rPr>
        <w:t xml:space="preserve"> Repo sazba, diskontní sazba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lombardní sazba</w:t>
      </w:r>
    </w:p>
    <w:p w:rsidR="001F0D38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Hlavní měnový nástroj má podobu repo operací prováděných formou tendrů. Při </w:t>
      </w:r>
      <w:r w:rsidRPr="007820A2">
        <w:rPr>
          <w:rFonts w:ascii="Arial" w:hAnsi="Arial" w:cs="Arial"/>
          <w:b/>
          <w:snapToGrid w:val="0"/>
          <w:sz w:val="18"/>
          <w:szCs w:val="18"/>
        </w:rPr>
        <w:t>repo operacích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ČNB přijímá od bank přebytečnou likviditu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>dohodnutý úrok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věřitelská banka vrátí ČNB poskytnutý kolaterál. Základní doba trvání těchto operací je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stanovena na 14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dní, avšak v závislosti na predikci vývoje likvidity bankovního sektoru jsou čas od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času prováděny i repo operace s dobou splatnosti kratší než 14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dní. Vzhledem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systémovému přebytku likvidity v bankovním sektoru slouží v současné době repo tendry pouze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>odčerpávání likvidity.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to až do výše predikovaného přebytku likvidity na daný den. V případě, že objem objednaný bankami přesáhne predikovaný přebytek likvidity, ČNB nabídky za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nejvyšší sazby buď zcela odmítne, nebo proporcionálně zkrátí. Repo tendr je obvykle vyhlašován každý pracovní den kolem 9:30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hod. Banky mají možnost ve stanovené době předávat své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objednávky, tj. objem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300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tabs>
          <w:tab w:val="left" w:pos="397"/>
          <w:tab w:val="left" w:pos="1928"/>
        </w:tabs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Diskontní sazba </w:t>
      </w:r>
      <w:r w:rsidRPr="007820A2">
        <w:rPr>
          <w:rFonts w:ascii="Arial" w:hAnsi="Arial" w:cs="Arial"/>
          <w:snapToGrid w:val="0"/>
          <w:sz w:val="18"/>
          <w:szCs w:val="18"/>
        </w:rPr>
        <w:t>je základní sazba ČNB. Za tuto sazbu poskytovala ČNB do 30. 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září</w:t>
      </w:r>
      <w:r w:rsidRPr="007820A2">
        <w:rPr>
          <w:rFonts w:ascii="Arial" w:hAnsi="Arial" w:cs="Arial"/>
          <w:snapToGrid w:val="0"/>
          <w:sz w:val="18"/>
          <w:szCs w:val="18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Lombardní sazba </w:t>
      </w:r>
      <w:r w:rsidRPr="007820A2">
        <w:rPr>
          <w:rFonts w:ascii="Arial" w:hAnsi="Arial" w:cs="Arial"/>
          <w:snapToGrid w:val="0"/>
          <w:sz w:val="18"/>
          <w:szCs w:val="18"/>
        </w:rPr>
        <w:t>je sazba, za kterou ČNB poskytuje lombardní úvěr. Lombardní úvěr se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poskytuje proti zástavě vybraných cenných papírů zveřejněných v</w:t>
      </w:r>
      <w:r w:rsidR="004675B5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Seznamu cenných papírů přijímaných do zástavy ČNB pro účely poskytování lombardního úvěru.</w:t>
      </w: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b/>
          <w:snapToGrid w:val="0"/>
          <w:color w:val="0071BC"/>
          <w:szCs w:val="18"/>
        </w:rPr>
      </w:pPr>
      <w:r w:rsidRPr="007820A2">
        <w:rPr>
          <w:rFonts w:ascii="Arial" w:hAnsi="Arial" w:cs="Arial"/>
          <w:b/>
          <w:snapToGrid w:val="0"/>
          <w:color w:val="0071BC"/>
          <w:szCs w:val="18"/>
        </w:rPr>
        <w:t>Tab. 7-9</w:t>
      </w:r>
      <w:r w:rsidR="0046656C" w:rsidRPr="007820A2">
        <w:rPr>
          <w:rFonts w:ascii="Arial" w:hAnsi="Arial" w:cs="Arial"/>
          <w:b/>
          <w:snapToGrid w:val="0"/>
          <w:color w:val="0071BC"/>
          <w:szCs w:val="18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>7-10</w:t>
      </w:r>
      <w:r w:rsidR="00A61541" w:rsidRPr="007820A2">
        <w:rPr>
          <w:rFonts w:ascii="Arial" w:hAnsi="Arial" w:cs="Arial"/>
          <w:b/>
          <w:snapToGrid w:val="0"/>
          <w:color w:val="0071BC"/>
          <w:szCs w:val="18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 xml:space="preserve"> Průměrné úrokové sazby z korunových klientských úvěrů</w:t>
      </w:r>
      <w:r w:rsidR="0046656C" w:rsidRPr="007820A2">
        <w:rPr>
          <w:rFonts w:ascii="Arial" w:hAnsi="Arial" w:cs="Arial"/>
          <w:b/>
          <w:snapToGrid w:val="0"/>
          <w:color w:val="0071BC"/>
          <w:szCs w:val="18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>vkladů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Průměrné sazby z</w:t>
      </w:r>
      <w:r w:rsidR="004675B5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korunových vkladů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úvěrů přijatých/poskytnutých bankami od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klientů/klientům. Průměrné sazby jsou stanoveny jako vážený průměr, kde vahami jsou objemy v příslušných kategoriích vkladů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úvěrů.</w:t>
      </w:r>
    </w:p>
    <w:p w:rsidR="00125F53" w:rsidRPr="007820A2" w:rsidRDefault="004D040B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Od roku 2004 je metodika sladěna s požadavky Nařízení Evropské centrální banky (EU) č.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1072/2013 ze dne 24.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září 2013 o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statistice úrokových sazeb uplatňovaných měnovými finančními institucemi (přepracované znění) (ECB/2013/34).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 xml:space="preserve"> Sledované úrokové sazby nejsou nadále sjednané nominální sazby, ale sazby sjednané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>přepočtené na roční základ.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Stavy obchodů jsou definovány jako bilanční zůstatky přijatých</w:t>
      </w:r>
      <w:r w:rsidR="00B738AB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resp. poskytnutých vkladů a úvěrů bankou k okamžiku vykazování. Jsou členěny podle původní sjednané doby splatnosti. 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>V</w:t>
      </w:r>
      <w:r w:rsidR="004A6DB4" w:rsidRPr="007820A2">
        <w:rPr>
          <w:rFonts w:ascii="Arial" w:hAnsi="Arial" w:cs="Arial"/>
          <w:snapToGrid w:val="0"/>
          <w:sz w:val="18"/>
          <w:szCs w:val="18"/>
        </w:rPr>
        <w:t> 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 xml:space="preserve">roce 2004 </w:t>
      </w:r>
      <w:r w:rsidRPr="007820A2">
        <w:rPr>
          <w:rFonts w:ascii="Arial" w:hAnsi="Arial" w:cs="Arial"/>
          <w:snapToGrid w:val="0"/>
          <w:sz w:val="18"/>
          <w:szCs w:val="18"/>
        </w:rPr>
        <w:t>byla zavedena statistika nových obchodů. Novým obchodem se rozumí jakákoliv nová dohoda mezi bankou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klientem v daném období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 xml:space="preserve"> (bez ohledu na počátek čerpání)</w:t>
      </w:r>
      <w:r w:rsidRPr="007820A2">
        <w:rPr>
          <w:rFonts w:ascii="Arial" w:hAnsi="Arial" w:cs="Arial"/>
          <w:snapToGrid w:val="0"/>
          <w:sz w:val="18"/>
          <w:szCs w:val="18"/>
        </w:rPr>
        <w:t>. Nové úvěrové obchody jsou členěny podle původní doby fixace úrokové sazby. Rozumí se jí období na počátku kontraktu, během kterého se výše úrokové sazby nemůže měnit.</w:t>
      </w:r>
    </w:p>
    <w:p w:rsidR="001A14FE" w:rsidRPr="007820A2" w:rsidRDefault="00184F43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Nové úvěrové obchody jsou 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>pro sektor domácností a</w:t>
      </w:r>
      <w:r w:rsidR="00FF73E0" w:rsidRPr="007820A2">
        <w:rPr>
          <w:rFonts w:ascii="Arial" w:hAnsi="Arial" w:cs="Arial"/>
          <w:snapToGrid w:val="0"/>
          <w:sz w:val="18"/>
          <w:szCs w:val="18"/>
        </w:rPr>
        <w:t> 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>NIS</w:t>
      </w:r>
      <w:r w:rsidR="00C55882" w:rsidRPr="007820A2">
        <w:rPr>
          <w:rFonts w:ascii="Arial" w:hAnsi="Arial" w:cs="Arial"/>
          <w:snapToGrid w:val="0"/>
          <w:sz w:val="18"/>
          <w:szCs w:val="18"/>
        </w:rPr>
        <w:t>D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="00020A4A" w:rsidRPr="007820A2">
        <w:rPr>
          <w:rFonts w:ascii="Arial" w:hAnsi="Arial" w:cs="Arial"/>
          <w:snapToGrid w:val="0"/>
          <w:sz w:val="18"/>
          <w:szCs w:val="18"/>
        </w:rPr>
        <w:t xml:space="preserve">pak v tabulce </w:t>
      </w:r>
      <w:r w:rsidR="00D813AF" w:rsidRPr="004350C5">
        <w:rPr>
          <w:rFonts w:ascii="Arial" w:hAnsi="Arial" w:cs="Arial"/>
          <w:b/>
          <w:snapToGrid w:val="0"/>
          <w:sz w:val="18"/>
          <w:szCs w:val="18"/>
        </w:rPr>
        <w:t>7</w:t>
      </w:r>
      <w:r w:rsidR="00020A4A" w:rsidRPr="004350C5">
        <w:rPr>
          <w:rFonts w:ascii="Arial" w:hAnsi="Arial" w:cs="Arial"/>
          <w:b/>
          <w:snapToGrid w:val="0"/>
          <w:sz w:val="18"/>
          <w:szCs w:val="18"/>
        </w:rPr>
        <w:t>-9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dále členěny dle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kategorie nového obchodu na: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napToGrid w:val="0"/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Čisté nové úvěry včetně navýšení</w:t>
      </w:r>
      <w:r w:rsidR="00D813AF" w:rsidRPr="007820A2">
        <w:rPr>
          <w:snapToGrid w:val="0"/>
          <w:sz w:val="18"/>
          <w:szCs w:val="18"/>
        </w:rPr>
        <w:t xml:space="preserve"> </w:t>
      </w:r>
      <w:r w:rsidR="003E57AD" w:rsidRPr="007820A2">
        <w:rPr>
          <w:snapToGrid w:val="0"/>
          <w:sz w:val="18"/>
          <w:szCs w:val="18"/>
        </w:rPr>
        <w:t>–</w:t>
      </w:r>
      <w:r w:rsidR="00184F43" w:rsidRPr="007820A2">
        <w:rPr>
          <w:snapToGrid w:val="0"/>
          <w:sz w:val="18"/>
          <w:szCs w:val="18"/>
        </w:rPr>
        <w:t xml:space="preserve"> obsahují</w:t>
      </w:r>
      <w:r w:rsidR="00D813AF" w:rsidRPr="007820A2">
        <w:rPr>
          <w:snapToGrid w:val="0"/>
          <w:sz w:val="18"/>
          <w:szCs w:val="18"/>
        </w:rPr>
        <w:t xml:space="preserve"> úvěry, které v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daném měsíci vstoupily do ekonomiky poprvé. Součástí je i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navýšení k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refinancovaným úvěrům i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ostatním novým ujednáním.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Refinancované úvěry</w:t>
      </w:r>
      <w:r w:rsidR="00D813AF" w:rsidRPr="007820A2">
        <w:rPr>
          <w:snapToGrid w:val="0"/>
          <w:sz w:val="18"/>
          <w:szCs w:val="18"/>
        </w:rPr>
        <w:t xml:space="preserve"> </w:t>
      </w:r>
      <w:r w:rsidR="003E57AD" w:rsidRPr="007820A2">
        <w:rPr>
          <w:snapToGrid w:val="0"/>
          <w:sz w:val="18"/>
          <w:szCs w:val="18"/>
        </w:rPr>
        <w:t>–</w:t>
      </w:r>
      <w:r w:rsidR="00D813AF" w:rsidRPr="007820A2">
        <w:rPr>
          <w:snapToGrid w:val="0"/>
          <w:sz w:val="18"/>
          <w:szCs w:val="18"/>
        </w:rPr>
        <w:t xml:space="preserve"> </w:t>
      </w:r>
      <w:r w:rsidR="00184F43" w:rsidRPr="007820A2">
        <w:rPr>
          <w:snapToGrid w:val="0"/>
          <w:sz w:val="18"/>
          <w:szCs w:val="18"/>
        </w:rPr>
        <w:t>obsahují</w:t>
      </w:r>
      <w:r w:rsidR="00D813AF" w:rsidRPr="007820A2">
        <w:rPr>
          <w:snapToGrid w:val="0"/>
          <w:sz w:val="18"/>
          <w:szCs w:val="18"/>
        </w:rPr>
        <w:t xml:space="preserve"> úvěry, které byly již dříve poskytnuty jinou institucí než vykazující bankou a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 jejichž nesplacenou část je znovu uzavřena úvěrová smlouva u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vykazující banky. Jestliže při refinancování úvěru došlo zároveň k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navýšení úvěru, tato kategorie pak obsahuje pouze objem nenavýšené části nového refinancovaného úvěru. Navýšení je součástí čistých nových úvěrů. V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této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položce se dále vykazují konsolidované úvěry, jejichž původním věřitelem byla jiná instituce.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napToGrid w:val="0"/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Ostatní nová ujednání</w:t>
      </w:r>
      <w:r w:rsidR="00D813AF" w:rsidRPr="007820A2">
        <w:rPr>
          <w:snapToGrid w:val="0"/>
          <w:sz w:val="18"/>
          <w:szCs w:val="18"/>
        </w:rPr>
        <w:t xml:space="preserve"> ke stávajícím úvěrům </w:t>
      </w:r>
      <w:r w:rsidR="003E57AD" w:rsidRPr="007820A2">
        <w:rPr>
          <w:snapToGrid w:val="0"/>
          <w:sz w:val="18"/>
          <w:szCs w:val="18"/>
        </w:rPr>
        <w:t>–</w:t>
      </w:r>
      <w:r w:rsidR="00D813AF" w:rsidRPr="007820A2">
        <w:rPr>
          <w:snapToGrid w:val="0"/>
          <w:sz w:val="18"/>
          <w:szCs w:val="18"/>
        </w:rPr>
        <w:t xml:space="preserve"> </w:t>
      </w:r>
      <w:r w:rsidR="00184F43" w:rsidRPr="007820A2">
        <w:rPr>
          <w:snapToGrid w:val="0"/>
          <w:sz w:val="18"/>
          <w:szCs w:val="18"/>
        </w:rPr>
        <w:t>obsahují</w:t>
      </w:r>
      <w:r w:rsidR="00D813AF" w:rsidRPr="007820A2">
        <w:rPr>
          <w:snapToGrid w:val="0"/>
          <w:sz w:val="18"/>
          <w:szCs w:val="18"/>
        </w:rPr>
        <w:t xml:space="preserve"> úvěry, které byly již dříve poskytnuty vykazující bankou a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došlo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nich pouze k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novému ujednání (např. refixace úrokové sazby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úvěrů na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bydlení). Dále se v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této položce vykazují konsolidované úvěry, jejichž původním věřitelem je jak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jiná/jiné instituce</w:t>
      </w:r>
      <w:r w:rsidR="0075344E" w:rsidRPr="007820A2">
        <w:rPr>
          <w:snapToGrid w:val="0"/>
          <w:sz w:val="18"/>
          <w:szCs w:val="18"/>
        </w:rPr>
        <w:t>,</w:t>
      </w:r>
      <w:r w:rsidR="00D813AF" w:rsidRPr="007820A2">
        <w:rPr>
          <w:snapToGrid w:val="0"/>
          <w:sz w:val="18"/>
          <w:szCs w:val="18"/>
        </w:rPr>
        <w:t xml:space="preserve"> tak i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vykazující banka nebo případně pouze vykazující banka. Případné navýšení úvěru je analogicky jako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 xml:space="preserve">refinancovaných úvěrů součástí kategorie čistých nových úvěrů.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U</w:t>
      </w:r>
      <w:r w:rsidR="00BB7FCB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ukazatelů – jednodenní vklady, vklady s výpovědní lhůtou</w:t>
      </w:r>
      <w:r w:rsidR="00340DB1" w:rsidRPr="007820A2">
        <w:rPr>
          <w:rFonts w:ascii="Arial" w:hAnsi="Arial" w:cs="Arial"/>
          <w:snapToGrid w:val="0"/>
          <w:sz w:val="18"/>
          <w:szCs w:val="18"/>
        </w:rPr>
        <w:t>, vklady na běžných účtech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přečerpání bankovních účtů – se nové obchody shodují se stavy.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Zdrojem dat jsou výkazy úrokové statistiky, které banky předkládají ČNB.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7-11</w:t>
      </w:r>
      <w:r w:rsidR="00A6154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</w:t>
      </w:r>
      <w:r w:rsidR="00373677" w:rsidRPr="007820A2">
        <w:rPr>
          <w:rFonts w:ascii="Arial" w:hAnsi="Arial" w:cs="Arial"/>
          <w:b/>
          <w:color w:val="0071BC"/>
          <w:sz w:val="20"/>
        </w:rPr>
        <w:t>Počet činných komerčních bank</w:t>
      </w:r>
    </w:p>
    <w:p w:rsidR="000572F9" w:rsidRPr="007820A2" w:rsidRDefault="000572F9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Údaje jsou převzaty z výkazu E</w:t>
      </w:r>
      <w:r w:rsidR="00C02B31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(ČNB)</w:t>
      </w:r>
      <w:r w:rsidR="00C02B31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5-04 Hlášení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organizační struktuře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kvalifikovaných účastech banky. </w:t>
      </w:r>
      <w:r w:rsidR="00253088" w:rsidRPr="007820A2">
        <w:rPr>
          <w:rFonts w:ascii="Arial" w:hAnsi="Arial" w:cs="Arial"/>
          <w:color w:val="auto"/>
          <w:sz w:val="18"/>
          <w:szCs w:val="18"/>
        </w:rPr>
        <w:t>Banky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rozděleny do skupin podle podílu splaceného tuzemského a zahraničního kapitálu.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7-12</w:t>
      </w:r>
      <w:r w:rsidR="00A6154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bCs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>Platební bilance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 w:rsidRPr="007820A2">
        <w:rPr>
          <w:rFonts w:ascii="Arial" w:hAnsi="Arial" w:cs="Arial"/>
          <w:color w:val="auto"/>
          <w:sz w:val="18"/>
          <w:szCs w:val="18"/>
        </w:rPr>
        <w:t>6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. vydání,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2009</w:t>
      </w:r>
      <w:r w:rsidRPr="007820A2">
        <w:rPr>
          <w:rFonts w:ascii="Arial" w:hAnsi="Arial" w:cs="Arial"/>
          <w:color w:val="auto"/>
          <w:sz w:val="18"/>
          <w:szCs w:val="18"/>
        </w:rPr>
        <w:t>) zahrnuje běžný, kapitálový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finanční účet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vč</w:t>
      </w:r>
      <w:r w:rsidR="000B149F" w:rsidRPr="007820A2">
        <w:rPr>
          <w:rFonts w:ascii="Arial" w:hAnsi="Arial" w:cs="Arial"/>
          <w:color w:val="auto"/>
          <w:sz w:val="18"/>
          <w:szCs w:val="18"/>
        </w:rPr>
        <w:t>etně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změny rezervních aktiv.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V běžném účtu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zachyceny toky zboží (vývoz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dovoz</w:t>
      </w:r>
      <w:r w:rsidR="005E46EF" w:rsidRPr="007820A2">
        <w:rPr>
          <w:rFonts w:ascii="Arial" w:hAnsi="Arial" w:cs="Arial"/>
          <w:color w:val="auto"/>
          <w:sz w:val="18"/>
          <w:szCs w:val="18"/>
        </w:rPr>
        <w:t xml:space="preserve"> v</w:t>
      </w:r>
      <w:r w:rsidR="00EF40FD" w:rsidRPr="007820A2">
        <w:rPr>
          <w:rFonts w:ascii="Arial" w:hAnsi="Arial" w:cs="Arial"/>
          <w:color w:val="auto"/>
          <w:sz w:val="18"/>
          <w:szCs w:val="18"/>
        </w:rPr>
        <w:t xml:space="preserve"> národním pojetí podle </w:t>
      </w:r>
      <w:r w:rsidR="005E46EF" w:rsidRPr="007820A2">
        <w:rPr>
          <w:rFonts w:ascii="Arial" w:hAnsi="Arial" w:cs="Arial"/>
          <w:color w:val="auto"/>
          <w:sz w:val="18"/>
          <w:szCs w:val="18"/>
        </w:rPr>
        <w:t>metodi</w:t>
      </w:r>
      <w:r w:rsidR="00EF40FD" w:rsidRPr="007820A2">
        <w:rPr>
          <w:rFonts w:ascii="Arial" w:hAnsi="Arial" w:cs="Arial"/>
          <w:color w:val="auto"/>
          <w:sz w:val="18"/>
          <w:szCs w:val="18"/>
        </w:rPr>
        <w:t>ky</w:t>
      </w:r>
      <w:r w:rsidR="005E46EF" w:rsidRPr="007820A2">
        <w:rPr>
          <w:rFonts w:ascii="Arial" w:hAnsi="Arial" w:cs="Arial"/>
          <w:color w:val="auto"/>
          <w:sz w:val="18"/>
          <w:szCs w:val="18"/>
        </w:rPr>
        <w:t xml:space="preserve"> platební bilance</w:t>
      </w:r>
      <w:r w:rsidRPr="007820A2">
        <w:rPr>
          <w:rFonts w:ascii="Arial" w:hAnsi="Arial" w:cs="Arial"/>
          <w:color w:val="auto"/>
          <w:sz w:val="18"/>
          <w:szCs w:val="18"/>
        </w:rPr>
        <w:t>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služeb (</w:t>
      </w:r>
      <w:r w:rsidR="006F3573" w:rsidRPr="007820A2">
        <w:rPr>
          <w:rFonts w:ascii="Arial" w:hAnsi="Arial" w:cs="Arial"/>
          <w:color w:val="auto"/>
          <w:sz w:val="18"/>
          <w:szCs w:val="18"/>
        </w:rPr>
        <w:t>vývoz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6F3573" w:rsidRPr="007820A2">
        <w:rPr>
          <w:rFonts w:ascii="Arial" w:hAnsi="Arial" w:cs="Arial"/>
          <w:color w:val="auto"/>
          <w:sz w:val="18"/>
          <w:szCs w:val="18"/>
        </w:rPr>
        <w:t xml:space="preserve">dovoz </w:t>
      </w:r>
      <w:r w:rsidR="00102B3F" w:rsidRPr="007820A2">
        <w:rPr>
          <w:rFonts w:ascii="Arial" w:hAnsi="Arial" w:cs="Arial"/>
          <w:color w:val="auto"/>
          <w:sz w:val="18"/>
          <w:szCs w:val="18"/>
        </w:rPr>
        <w:t>služeb zpracování, oprav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102B3F" w:rsidRPr="007820A2">
        <w:rPr>
          <w:rFonts w:ascii="Arial" w:hAnsi="Arial" w:cs="Arial"/>
          <w:color w:val="auto"/>
          <w:sz w:val="18"/>
          <w:szCs w:val="18"/>
        </w:rPr>
        <w:t xml:space="preserve">údržby, </w:t>
      </w:r>
      <w:r w:rsidRPr="007820A2">
        <w:rPr>
          <w:rFonts w:ascii="Arial" w:hAnsi="Arial" w:cs="Arial"/>
          <w:color w:val="auto"/>
          <w:sz w:val="18"/>
          <w:szCs w:val="18"/>
        </w:rPr>
        <w:t>dopravní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655E31" w:rsidRPr="007820A2">
        <w:rPr>
          <w:rFonts w:ascii="Arial" w:hAnsi="Arial" w:cs="Arial"/>
          <w:color w:val="auto"/>
          <w:sz w:val="18"/>
          <w:szCs w:val="18"/>
        </w:rPr>
        <w:t>služ</w:t>
      </w:r>
      <w:r w:rsidR="006F3573" w:rsidRPr="007820A2">
        <w:rPr>
          <w:rFonts w:ascii="Arial" w:hAnsi="Arial" w:cs="Arial"/>
          <w:color w:val="auto"/>
          <w:sz w:val="18"/>
          <w:szCs w:val="18"/>
        </w:rPr>
        <w:t>e</w:t>
      </w:r>
      <w:r w:rsidR="00655E31" w:rsidRPr="007820A2">
        <w:rPr>
          <w:rFonts w:ascii="Arial" w:hAnsi="Arial" w:cs="Arial"/>
          <w:color w:val="auto"/>
          <w:sz w:val="18"/>
          <w:szCs w:val="18"/>
        </w:rPr>
        <w:t>b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6F3573" w:rsidRPr="007820A2">
        <w:rPr>
          <w:rFonts w:ascii="Arial" w:hAnsi="Arial" w:cs="Arial"/>
          <w:color w:val="auto"/>
          <w:sz w:val="18"/>
          <w:szCs w:val="18"/>
        </w:rPr>
        <w:t>služeb v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655E31" w:rsidRPr="007820A2">
        <w:rPr>
          <w:rFonts w:ascii="Arial" w:hAnsi="Arial" w:cs="Arial"/>
          <w:color w:val="auto"/>
          <w:sz w:val="18"/>
          <w:szCs w:val="18"/>
        </w:rPr>
        <w:t>zahraniční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m</w:t>
      </w:r>
      <w:r w:rsidR="00655E31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cestovní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m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ruch</w:t>
      </w:r>
      <w:r w:rsidR="006F3573" w:rsidRPr="007820A2">
        <w:rPr>
          <w:rFonts w:ascii="Arial" w:hAnsi="Arial" w:cs="Arial"/>
          <w:color w:val="auto"/>
          <w:sz w:val="18"/>
          <w:szCs w:val="18"/>
        </w:rPr>
        <w:t>u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obchodní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neobchodní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655E31" w:rsidRPr="007820A2">
        <w:rPr>
          <w:rFonts w:ascii="Arial" w:hAnsi="Arial" w:cs="Arial"/>
          <w:color w:val="auto"/>
          <w:sz w:val="18"/>
          <w:szCs w:val="18"/>
        </w:rPr>
        <w:t>služ</w:t>
      </w:r>
      <w:r w:rsidR="006F3573" w:rsidRPr="007820A2">
        <w:rPr>
          <w:rFonts w:ascii="Arial" w:hAnsi="Arial" w:cs="Arial"/>
          <w:color w:val="auto"/>
          <w:sz w:val="18"/>
          <w:szCs w:val="18"/>
        </w:rPr>
        <w:t>e</w:t>
      </w:r>
      <w:r w:rsidR="00655E31" w:rsidRPr="007820A2">
        <w:rPr>
          <w:rFonts w:ascii="Arial" w:hAnsi="Arial" w:cs="Arial"/>
          <w:color w:val="auto"/>
          <w:sz w:val="18"/>
          <w:szCs w:val="18"/>
        </w:rPr>
        <w:t>b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), 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prvotní důchody </w:t>
      </w:r>
      <w:r w:rsidRPr="007820A2">
        <w:rPr>
          <w:rFonts w:ascii="Arial" w:hAnsi="Arial" w:cs="Arial"/>
          <w:color w:val="auto"/>
          <w:sz w:val="18"/>
          <w:szCs w:val="18"/>
        </w:rPr>
        <w:t>z kapitálu, investic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práce (úroky, dividendy, reinvestované zisky, pracovní příjmy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DA5445" w:rsidRPr="007820A2">
        <w:rPr>
          <w:rFonts w:ascii="Arial" w:hAnsi="Arial" w:cs="Arial"/>
          <w:color w:val="auto"/>
          <w:sz w:val="18"/>
          <w:szCs w:val="18"/>
        </w:rPr>
        <w:t>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část odvodů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 xml:space="preserve">dotací </w:t>
      </w:r>
      <w:r w:rsidR="00FE574F" w:rsidRPr="007820A2">
        <w:rPr>
          <w:rFonts w:ascii="Arial" w:hAnsi="Arial" w:cs="Arial"/>
          <w:color w:val="auto"/>
          <w:sz w:val="18"/>
          <w:szCs w:val="18"/>
        </w:rPr>
        <w:t>ve vztahu k rozpočtu Evropské unie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) </w:t>
      </w:r>
      <w:r w:rsidR="00983AD7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>kompenzující položky k reálným a</w:t>
      </w:r>
      <w:r w:rsidR="001D300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finančním zdrojům poskytnutým či získaným bez protihodnoty (</w:t>
      </w:r>
      <w:r w:rsidR="00A319AF" w:rsidRPr="007820A2">
        <w:rPr>
          <w:rFonts w:ascii="Arial" w:hAnsi="Arial" w:cs="Arial"/>
          <w:color w:val="auto"/>
          <w:sz w:val="18"/>
          <w:szCs w:val="18"/>
        </w:rPr>
        <w:t>druhotné důchody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jako např. 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dotace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odvody ve vztahu k rozpočtu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dalším fondům Evropské unie</w:t>
      </w:r>
      <w:r w:rsidRPr="007820A2">
        <w:rPr>
          <w:rFonts w:ascii="Arial" w:hAnsi="Arial" w:cs="Arial"/>
          <w:color w:val="auto"/>
          <w:sz w:val="18"/>
          <w:szCs w:val="18"/>
        </w:rPr>
        <w:t>, penze, zahraniční pomoc, příspěvky aj.).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Kapitálový účet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tvoří převody kapitálového charakteru související s promíjením dluhů, vlastnickými právy k fixním aktivům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Pr="007820A2">
        <w:rPr>
          <w:rFonts w:ascii="Arial" w:hAnsi="Arial" w:cs="Arial"/>
          <w:color w:val="auto"/>
          <w:sz w:val="18"/>
          <w:szCs w:val="18"/>
        </w:rPr>
        <w:t>investiční granty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 především z</w:t>
      </w:r>
      <w:r w:rsidR="00983AD7" w:rsidRPr="007820A2">
        <w:rPr>
          <w:rFonts w:ascii="Arial" w:hAnsi="Arial" w:cs="Arial"/>
          <w:color w:val="auto"/>
          <w:sz w:val="18"/>
          <w:szCs w:val="18"/>
        </w:rPr>
        <w:t> rozpočtu a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další</w:t>
      </w:r>
      <w:r w:rsidR="00F950A2" w:rsidRPr="007820A2">
        <w:rPr>
          <w:rFonts w:ascii="Arial" w:hAnsi="Arial" w:cs="Arial"/>
          <w:color w:val="auto"/>
          <w:sz w:val="18"/>
          <w:szCs w:val="18"/>
        </w:rPr>
        <w:t>ch</w:t>
      </w:r>
      <w:r w:rsidR="00983AD7" w:rsidRPr="007820A2">
        <w:rPr>
          <w:rFonts w:ascii="Arial" w:hAnsi="Arial" w:cs="Arial"/>
          <w:color w:val="auto"/>
          <w:sz w:val="18"/>
          <w:szCs w:val="18"/>
        </w:rPr>
        <w:t xml:space="preserve"> fondů Evropské unie metodicky vykazované na kapitálovém účtu,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převody nevyráběných, nefinančních hmotných aktiv (např. půda – pozemky pro zastupitelské úřady)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nehmotných práv (patenty, licence, autorská práva</w:t>
      </w:r>
      <w:r w:rsidR="00983AD7" w:rsidRPr="007820A2">
        <w:rPr>
          <w:rFonts w:ascii="Arial" w:hAnsi="Arial" w:cs="Arial"/>
          <w:color w:val="auto"/>
          <w:sz w:val="18"/>
          <w:szCs w:val="18"/>
        </w:rPr>
        <w:t xml:space="preserve">, obchody s emisními povolenkami </w:t>
      </w:r>
      <w:r w:rsidRPr="007820A2">
        <w:rPr>
          <w:rFonts w:ascii="Arial" w:hAnsi="Arial" w:cs="Arial"/>
          <w:color w:val="auto"/>
          <w:sz w:val="18"/>
          <w:szCs w:val="18"/>
        </w:rPr>
        <w:t>aj.).</w:t>
      </w:r>
    </w:p>
    <w:p w:rsidR="008B6BF7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Finanční účet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zahrnuje transakce spojené se vznikem, zánikem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změnou vlastnictví finančních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vlády, bankovní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podnikové sféry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ostatních subjektů ve vztahu k zahraničí. Poskytuje informace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finančních (kapitálových) tocích v členění na přímé investice (základní kapitál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reinvestování zisku</w:t>
      </w:r>
      <w:r w:rsidRPr="007820A2">
        <w:rPr>
          <w:rFonts w:ascii="Arial" w:hAnsi="Arial" w:cs="Arial"/>
          <w:color w:val="auto"/>
          <w:sz w:val="18"/>
          <w:szCs w:val="18"/>
        </w:rPr>
        <w:t>,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dluhové nástroje</w:t>
      </w:r>
      <w:r w:rsidRPr="007820A2">
        <w:rPr>
          <w:rFonts w:ascii="Arial" w:hAnsi="Arial" w:cs="Arial"/>
          <w:color w:val="auto"/>
          <w:sz w:val="18"/>
          <w:szCs w:val="18"/>
        </w:rPr>
        <w:t>), portfoliové investice majetkového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dluhového charakteru, finanční deriváty</w:t>
      </w:r>
      <w:r w:rsidR="00A319AF" w:rsidRPr="007820A2">
        <w:rPr>
          <w:rFonts w:ascii="Arial" w:hAnsi="Arial" w:cs="Arial"/>
          <w:color w:val="auto"/>
          <w:sz w:val="18"/>
          <w:szCs w:val="18"/>
        </w:rPr>
        <w:t>,</w:t>
      </w:r>
      <w:r w:rsidR="0046656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ostatní investice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>rezervní aktiva. Základní členění ostatních investic je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podle používaného finančního instrumentu (majetkové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>dluhové cenné papíry, oběživo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depozita, půjčky, </w:t>
      </w:r>
      <w:r w:rsidR="005A3C44" w:rsidRPr="007820A2">
        <w:rPr>
          <w:rFonts w:ascii="Arial" w:hAnsi="Arial" w:cs="Arial"/>
          <w:color w:val="auto"/>
          <w:sz w:val="18"/>
          <w:szCs w:val="18"/>
        </w:rPr>
        <w:t>pojistné, penzijní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standardizované záruční programy, obchodní úvěry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zálohy, jiné pohledávky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závazky, </w:t>
      </w:r>
      <w:r w:rsidR="005A3C44" w:rsidRPr="007820A2">
        <w:rPr>
          <w:rFonts w:ascii="Arial" w:hAnsi="Arial" w:cs="Arial"/>
          <w:color w:val="auto"/>
          <w:sz w:val="18"/>
          <w:szCs w:val="18"/>
        </w:rPr>
        <w:t>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zvláštní práva čerpání)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podle </w:t>
      </w:r>
      <w:r w:rsidRPr="007820A2">
        <w:rPr>
          <w:rFonts w:ascii="Arial" w:hAnsi="Arial" w:cs="Arial"/>
          <w:color w:val="auto"/>
          <w:sz w:val="18"/>
          <w:szCs w:val="18"/>
        </w:rPr>
        <w:t>časového hlediska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(dlo</w:t>
      </w:r>
      <w:r w:rsidR="005A3C44" w:rsidRPr="007820A2">
        <w:rPr>
          <w:rFonts w:ascii="Arial" w:hAnsi="Arial" w:cs="Arial"/>
          <w:color w:val="auto"/>
          <w:sz w:val="18"/>
          <w:szCs w:val="18"/>
        </w:rPr>
        <w:t>u</w:t>
      </w:r>
      <w:r w:rsidR="00A319AF" w:rsidRPr="007820A2">
        <w:rPr>
          <w:rFonts w:ascii="Arial" w:hAnsi="Arial" w:cs="Arial"/>
          <w:color w:val="auto"/>
          <w:sz w:val="18"/>
          <w:szCs w:val="18"/>
        </w:rPr>
        <w:t>hodobé, krátkodobé)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podle </w:t>
      </w:r>
      <w:r w:rsidRPr="007820A2">
        <w:rPr>
          <w:rFonts w:ascii="Arial" w:hAnsi="Arial" w:cs="Arial"/>
          <w:color w:val="auto"/>
          <w:sz w:val="18"/>
          <w:szCs w:val="18"/>
        </w:rPr>
        <w:t>základních sektorů (ČNB, obchodní banky, vláda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 sektory)</w:t>
      </w:r>
      <w:r w:rsidR="00A319AF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5A3C44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V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 položce</w:t>
      </w:r>
      <w:r w:rsidRPr="007820A2">
        <w:rPr>
          <w:rFonts w:ascii="Arial" w:hAnsi="Arial" w:cs="Arial"/>
          <w:b/>
          <w:color w:val="auto"/>
          <w:sz w:val="18"/>
          <w:szCs w:val="18"/>
        </w:rPr>
        <w:t xml:space="preserve"> rezervní aktiv</w:t>
      </w:r>
      <w:r w:rsidR="00D6328D" w:rsidRPr="007820A2">
        <w:rPr>
          <w:rFonts w:ascii="Arial" w:hAnsi="Arial" w:cs="Arial"/>
          <w:b/>
          <w:color w:val="auto"/>
          <w:sz w:val="18"/>
          <w:szCs w:val="18"/>
        </w:rPr>
        <w:t>a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jsou zaznamenány transakce se zahraničními aktivy centrální banky. 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Jedná se </w:t>
      </w:r>
      <w:r w:rsidR="005C3D6D" w:rsidRPr="007820A2">
        <w:rPr>
          <w:rFonts w:ascii="Arial" w:hAnsi="Arial" w:cs="Arial"/>
          <w:color w:val="auto"/>
          <w:sz w:val="18"/>
          <w:szCs w:val="18"/>
        </w:rPr>
        <w:t>o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Rezervní aktiva jsou zahrnuta ve finančním účtu p</w:t>
      </w:r>
      <w:r w:rsidR="00FE574F" w:rsidRPr="007820A2">
        <w:rPr>
          <w:rFonts w:ascii="Arial" w:hAnsi="Arial" w:cs="Arial"/>
          <w:color w:val="auto"/>
          <w:sz w:val="18"/>
          <w:szCs w:val="18"/>
        </w:rPr>
        <w:t>la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tební bilance.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lastRenderedPageBreak/>
        <w:t>Chyby</w:t>
      </w:r>
      <w:r w:rsidR="0046656C" w:rsidRPr="007820A2">
        <w:rPr>
          <w:rFonts w:ascii="Arial" w:hAnsi="Arial" w:cs="Arial"/>
          <w:b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b/>
          <w:color w:val="auto"/>
          <w:sz w:val="18"/>
          <w:szCs w:val="18"/>
        </w:rPr>
        <w:t>opomenutí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dopočtovou položkou mezi výsledným saldem běžného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kapitálového účtu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na jedné straně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saldem finančního účtu </w:t>
      </w:r>
      <w:r w:rsidRPr="007820A2">
        <w:rPr>
          <w:rFonts w:ascii="Arial" w:hAnsi="Arial" w:cs="Arial"/>
          <w:color w:val="auto"/>
          <w:sz w:val="18"/>
          <w:szCs w:val="18"/>
        </w:rPr>
        <w:t>na straně druhé</w:t>
      </w:r>
      <w:r w:rsidR="005A3C44" w:rsidRPr="007820A2">
        <w:rPr>
          <w:rFonts w:ascii="Arial" w:hAnsi="Arial" w:cs="Arial"/>
          <w:color w:val="auto"/>
          <w:sz w:val="18"/>
          <w:szCs w:val="18"/>
        </w:rPr>
        <w:t>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Představují </w:t>
      </w:r>
      <w:r w:rsidRPr="007820A2">
        <w:rPr>
          <w:rFonts w:ascii="Arial" w:hAnsi="Arial" w:cs="Arial"/>
          <w:color w:val="auto"/>
          <w:sz w:val="18"/>
          <w:szCs w:val="18"/>
        </w:rPr>
        <w:t>saldo neidentifikovaných toků v běžném, kapitálovém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finančním účtu.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Podkladem pro sestavení platební bilance </w:t>
      </w:r>
      <w:r w:rsidR="003656FD" w:rsidRPr="007820A2">
        <w:rPr>
          <w:rFonts w:ascii="Arial" w:hAnsi="Arial" w:cs="Arial"/>
          <w:color w:val="auto"/>
          <w:sz w:val="18"/>
          <w:szCs w:val="18"/>
        </w:rPr>
        <w:t>jsou údaje vývozu a dovozu v národním pojetí dle metodiky platební bilance,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údaje z výkazů bankovních a nebankovních subjektů, informace z administrativních zdrojů od centrálních orgánů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dalších institucí,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dále vlastní propočty ČNB.</w:t>
      </w: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554A4F" w:rsidRPr="007820A2" w:rsidRDefault="00554A4F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554A4F" w:rsidRPr="007820A2" w:rsidRDefault="00554A4F">
      <w:pPr>
        <w:autoSpaceDE w:val="0"/>
        <w:autoSpaceDN w:val="0"/>
        <w:adjustRightInd w:val="0"/>
        <w:rPr>
          <w:rFonts w:ascii="Arial" w:hAnsi="Arial" w:cs="Arial"/>
          <w:b/>
          <w:color w:val="0071BC"/>
        </w:rPr>
      </w:pPr>
      <w:r w:rsidRPr="007820A2">
        <w:rPr>
          <w:rFonts w:ascii="Arial" w:hAnsi="Arial" w:cs="Arial"/>
          <w:b/>
          <w:color w:val="0071BC"/>
        </w:rPr>
        <w:t>Tab. 7-13 a 7-14</w:t>
      </w:r>
      <w:r w:rsidR="006F3131">
        <w:rPr>
          <w:rFonts w:ascii="Arial" w:hAnsi="Arial" w:cs="Arial"/>
          <w:b/>
          <w:color w:val="0071BC"/>
        </w:rPr>
        <w:t xml:space="preserve"> </w:t>
      </w:r>
      <w:r w:rsidRPr="007820A2">
        <w:rPr>
          <w:rFonts w:ascii="Arial" w:hAnsi="Arial" w:cs="Arial"/>
          <w:b/>
          <w:color w:val="0071BC"/>
        </w:rPr>
        <w:t xml:space="preserve"> Přímé zahraniční investice do České republiky podle zemí a činností</w:t>
      </w:r>
    </w:p>
    <w:p w:rsidR="00AB2595" w:rsidRPr="007820A2" w:rsidRDefault="00554A4F" w:rsidP="007820A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7820A2">
        <w:rPr>
          <w:rFonts w:ascii="Arial" w:hAnsi="Arial" w:cs="Arial"/>
          <w:sz w:val="18"/>
          <w:szCs w:val="18"/>
        </w:rPr>
        <w:t xml:space="preserve">Manuálu k sestavování </w:t>
      </w:r>
      <w:r w:rsidRPr="007820A2">
        <w:rPr>
          <w:rFonts w:ascii="Arial" w:hAnsi="Arial" w:cs="Arial"/>
          <w:sz w:val="18"/>
          <w:szCs w:val="18"/>
        </w:rPr>
        <w:t xml:space="preserve">platební bilance </w:t>
      </w:r>
      <w:r w:rsidR="00E6093D" w:rsidRPr="007820A2">
        <w:rPr>
          <w:rFonts w:ascii="Arial" w:hAnsi="Arial" w:cs="Arial"/>
          <w:sz w:val="18"/>
          <w:szCs w:val="18"/>
        </w:rPr>
        <w:t>a </w:t>
      </w:r>
      <w:r w:rsidRPr="007820A2">
        <w:rPr>
          <w:rFonts w:ascii="Arial" w:hAnsi="Arial" w:cs="Arial"/>
          <w:sz w:val="18"/>
          <w:szCs w:val="18"/>
        </w:rPr>
        <w:t xml:space="preserve">investiční pozice </w:t>
      </w:r>
      <w:r w:rsidR="00BD11A6" w:rsidRPr="007820A2">
        <w:rPr>
          <w:rFonts w:ascii="Arial" w:hAnsi="Arial" w:cs="Arial"/>
          <w:sz w:val="18"/>
          <w:szCs w:val="18"/>
        </w:rPr>
        <w:t>vůči zahraničí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54766B" w:rsidRPr="007820A2">
        <w:rPr>
          <w:rFonts w:ascii="Arial" w:hAnsi="Arial" w:cs="Arial"/>
          <w:sz w:val="18"/>
          <w:szCs w:val="18"/>
        </w:rPr>
        <w:t>(</w:t>
      </w:r>
      <w:r w:rsidR="00E6093D" w:rsidRPr="007820A2">
        <w:rPr>
          <w:rFonts w:ascii="Arial" w:hAnsi="Arial" w:cs="Arial"/>
          <w:sz w:val="18"/>
          <w:szCs w:val="18"/>
        </w:rPr>
        <w:t>v </w:t>
      </w:r>
      <w:r w:rsidRPr="007820A2">
        <w:rPr>
          <w:rFonts w:ascii="Arial" w:hAnsi="Arial" w:cs="Arial"/>
          <w:sz w:val="18"/>
          <w:szCs w:val="18"/>
        </w:rPr>
        <w:t>roce 2014</w:t>
      </w:r>
      <w:r w:rsidR="0054766B" w:rsidRPr="007820A2">
        <w:rPr>
          <w:rFonts w:ascii="Arial" w:hAnsi="Arial" w:cs="Arial"/>
          <w:sz w:val="18"/>
          <w:szCs w:val="18"/>
        </w:rPr>
        <w:t>)</w:t>
      </w:r>
      <w:r w:rsidRPr="007820A2">
        <w:rPr>
          <w:rFonts w:ascii="Arial" w:hAnsi="Arial" w:cs="Arial"/>
          <w:sz w:val="18"/>
          <w:szCs w:val="18"/>
        </w:rPr>
        <w:t xml:space="preserve"> došlo </w:t>
      </w:r>
      <w:r w:rsidR="00E6093D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 xml:space="preserve">přímých zahraničních investic ke změnám </w:t>
      </w:r>
      <w:r w:rsidR="00E6093D" w:rsidRPr="007820A2">
        <w:rPr>
          <w:rFonts w:ascii="Arial" w:hAnsi="Arial" w:cs="Arial"/>
          <w:sz w:val="18"/>
          <w:szCs w:val="18"/>
        </w:rPr>
        <w:t>v </w:t>
      </w:r>
      <w:r w:rsidRPr="007820A2">
        <w:rPr>
          <w:rFonts w:ascii="Arial" w:hAnsi="Arial" w:cs="Arial"/>
          <w:sz w:val="18"/>
          <w:szCs w:val="18"/>
        </w:rPr>
        <w:t xml:space="preserve">prezentaci dat. Výstupy jsou členěny podle principu aktiv/pasiv. Na straně aktiv jsou zachyceny úvěrové vztahy </w:t>
      </w:r>
      <w:r w:rsidR="0070140F" w:rsidRPr="007820A2">
        <w:rPr>
          <w:rFonts w:ascii="Arial" w:hAnsi="Arial" w:cs="Arial"/>
          <w:sz w:val="18"/>
          <w:szCs w:val="18"/>
        </w:rPr>
        <w:t>s podniky ve skupině přímé investice</w:t>
      </w:r>
      <w:r w:rsidRPr="007820A2">
        <w:rPr>
          <w:rFonts w:ascii="Arial" w:hAnsi="Arial" w:cs="Arial"/>
          <w:sz w:val="18"/>
          <w:szCs w:val="18"/>
        </w:rPr>
        <w:t xml:space="preserve"> (změna poskytnutých úvěrů)</w:t>
      </w:r>
      <w:r w:rsidR="00BD11A6" w:rsidRPr="007820A2">
        <w:rPr>
          <w:rFonts w:ascii="Arial" w:hAnsi="Arial" w:cs="Arial"/>
          <w:sz w:val="18"/>
          <w:szCs w:val="18"/>
        </w:rPr>
        <w:t>.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BD11A6" w:rsidRPr="007820A2">
        <w:rPr>
          <w:rFonts w:ascii="Arial" w:hAnsi="Arial" w:cs="Arial"/>
          <w:sz w:val="18"/>
          <w:szCs w:val="18"/>
        </w:rPr>
        <w:t xml:space="preserve">Na </w:t>
      </w:r>
      <w:r w:rsidRPr="007820A2">
        <w:rPr>
          <w:rFonts w:ascii="Arial" w:hAnsi="Arial" w:cs="Arial"/>
          <w:sz w:val="18"/>
          <w:szCs w:val="18"/>
        </w:rPr>
        <w:t>straně pasiv jsou zahrnuty vklady do základního kapitálu včetně reinvestovaných zisků a úvěrové vztahy s</w:t>
      </w:r>
      <w:r w:rsidR="00F13B0D" w:rsidRPr="007820A2">
        <w:rPr>
          <w:rFonts w:ascii="Arial" w:hAnsi="Arial" w:cs="Arial"/>
          <w:sz w:val="18"/>
          <w:szCs w:val="18"/>
        </w:rPr>
        <w:t> podniky ve skupině přímé investice</w:t>
      </w:r>
      <w:r w:rsidRPr="007820A2">
        <w:rPr>
          <w:rFonts w:ascii="Arial" w:hAnsi="Arial" w:cs="Arial"/>
          <w:sz w:val="18"/>
          <w:szCs w:val="18"/>
        </w:rPr>
        <w:t xml:space="preserve"> (změna přijatých úvěrů). Položka NET</w:t>
      </w:r>
      <w:r w:rsidR="00BD11A6" w:rsidRPr="007820A2">
        <w:rPr>
          <w:rFonts w:ascii="Arial" w:hAnsi="Arial" w:cs="Arial"/>
          <w:sz w:val="18"/>
          <w:szCs w:val="18"/>
        </w:rPr>
        <w:t>TO</w:t>
      </w:r>
      <w:r w:rsidRPr="007820A2">
        <w:rPr>
          <w:rFonts w:ascii="Arial" w:hAnsi="Arial" w:cs="Arial"/>
          <w:sz w:val="18"/>
          <w:szCs w:val="18"/>
        </w:rPr>
        <w:t xml:space="preserve"> zachycuje čistý příliv přímých zahraničních investic od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 xml:space="preserve">nerezidentů do České republiky (pasiva snížená </w:t>
      </w:r>
      <w:r w:rsidR="00E6093D" w:rsidRPr="007820A2">
        <w:rPr>
          <w:rFonts w:ascii="Arial" w:hAnsi="Arial" w:cs="Arial"/>
          <w:sz w:val="18"/>
          <w:szCs w:val="18"/>
        </w:rPr>
        <w:t>o </w:t>
      </w:r>
      <w:r w:rsidRPr="007820A2">
        <w:rPr>
          <w:rFonts w:ascii="Arial" w:hAnsi="Arial" w:cs="Arial"/>
          <w:sz w:val="18"/>
          <w:szCs w:val="18"/>
        </w:rPr>
        <w:t xml:space="preserve">aktiva).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Prezentace přílivu přímých zahraničních investic je v teritoriální struktuře (země bezprostředního investora) 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>a</w:t>
      </w:r>
      <w:r w:rsidR="00006D71" w:rsidRPr="007820A2">
        <w:rPr>
          <w:rFonts w:ascii="Arial" w:hAnsi="Arial" w:cs="Arial"/>
          <w:snapToGrid w:val="0"/>
          <w:sz w:val="18"/>
          <w:szCs w:val="18"/>
        </w:rPr>
        <w:t> 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>v </w:t>
      </w:r>
      <w:r w:rsidRPr="007820A2">
        <w:rPr>
          <w:rFonts w:ascii="Arial" w:hAnsi="Arial" w:cs="Arial"/>
          <w:snapToGrid w:val="0"/>
          <w:sz w:val="18"/>
          <w:szCs w:val="18"/>
        </w:rPr>
        <w:t>odvětvovém členění (</w:t>
      </w:r>
      <w:r w:rsidR="00BD11A6" w:rsidRPr="007820A2">
        <w:rPr>
          <w:rFonts w:ascii="Arial" w:hAnsi="Arial" w:cs="Arial"/>
          <w:snapToGrid w:val="0"/>
          <w:sz w:val="18"/>
          <w:szCs w:val="18"/>
        </w:rPr>
        <w:t xml:space="preserve">Klasifikace </w:t>
      </w:r>
      <w:r w:rsidRPr="007820A2">
        <w:rPr>
          <w:rFonts w:ascii="Arial" w:hAnsi="Arial" w:cs="Arial"/>
          <w:snapToGrid w:val="0"/>
          <w:sz w:val="18"/>
          <w:szCs w:val="18"/>
        </w:rPr>
        <w:t>ekonomických činností NACE Rev.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2). </w:t>
      </w:r>
    </w:p>
    <w:p w:rsidR="00554A4F" w:rsidRPr="007820A2" w:rsidRDefault="00554A4F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přímou investicí </w:t>
      </w:r>
      <w:r w:rsidR="00E6093D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významný vliv na řízení podniku. </w:t>
      </w:r>
    </w:p>
    <w:p w:rsidR="00554A4F" w:rsidRPr="007820A2" w:rsidRDefault="00554A4F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Údaje o přímých zahraničních investicích jsou vypracovány na základě informací a podkladů ve formě statistických výkazů nebankovních subjektů vyplývajících z § 41, odst. 1, písm. c) zákona č. 6/1993 Sb., o České národní bance a ve znění </w:t>
      </w:r>
      <w:r w:rsidR="00FB5CE3" w:rsidRPr="007820A2">
        <w:rPr>
          <w:rFonts w:ascii="Arial" w:hAnsi="Arial" w:cs="Arial"/>
          <w:color w:val="auto"/>
          <w:sz w:val="18"/>
          <w:szCs w:val="18"/>
        </w:rPr>
        <w:t>pozdějších předpisů</w:t>
      </w:r>
      <w:r w:rsidRPr="007820A2">
        <w:rPr>
          <w:rFonts w:ascii="Arial" w:hAnsi="Arial" w:cs="Arial"/>
          <w:color w:val="auto"/>
          <w:sz w:val="18"/>
          <w:szCs w:val="18"/>
        </w:rPr>
        <w:t>.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subjektů, informace z burzy cenných papírů, obchodní věstník a tisk.</w:t>
      </w:r>
    </w:p>
    <w:p w:rsidR="00554A4F" w:rsidRPr="007820A2" w:rsidRDefault="00554A4F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7-15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Investiční pozice vůči zahraničí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Investiční pozice vůči zahraničí poskytuje přehled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celkové skladbě finančních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F950A2" w:rsidRPr="007820A2">
        <w:rPr>
          <w:rFonts w:ascii="Arial" w:hAnsi="Arial" w:cs="Arial"/>
          <w:color w:val="auto"/>
          <w:sz w:val="18"/>
          <w:szCs w:val="18"/>
        </w:rPr>
        <w:t>jednotek národního hospodářství (rezidentů)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ve vztahu k zahraničí (nerezidentům) k určitému datu.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Investiční pozice odpovídá svou strukturou finančnímu účtu platební bilance; v aktivech i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pasivech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je členěna 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podle instrumentů </w:t>
      </w:r>
      <w:r w:rsidRPr="007820A2">
        <w:rPr>
          <w:rFonts w:ascii="Arial" w:hAnsi="Arial" w:cs="Arial"/>
          <w:color w:val="auto"/>
          <w:sz w:val="18"/>
          <w:szCs w:val="18"/>
        </w:rPr>
        <w:t>na přímé investice (základní kapitál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vč</w:t>
      </w:r>
      <w:r w:rsidR="00DC446A" w:rsidRPr="007820A2">
        <w:rPr>
          <w:rFonts w:ascii="Arial" w:hAnsi="Arial" w:cs="Arial"/>
          <w:color w:val="auto"/>
          <w:sz w:val="18"/>
          <w:szCs w:val="18"/>
        </w:rPr>
        <w:t>etně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reinvestovaného zisku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dluhové nástroje</w:t>
      </w:r>
      <w:r w:rsidRPr="007820A2">
        <w:rPr>
          <w:rFonts w:ascii="Arial" w:hAnsi="Arial" w:cs="Arial"/>
          <w:color w:val="auto"/>
          <w:sz w:val="18"/>
          <w:szCs w:val="18"/>
        </w:rPr>
        <w:t>), portfoliové investice (majetkové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dluhové), finanční deriváty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 investice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, které jsou členěny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podle finančních instrumentů (majetkové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dluhové cenné papíry, oběživo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depozita, půjčky, pojistné, penzijní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standardizované záruční programy, obchodní úvěry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zálohy, jiné pohledávky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závazky,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zvláštní práva čerpání), podle splatnosti (</w:t>
      </w:r>
      <w:r w:rsidRPr="007820A2">
        <w:rPr>
          <w:rFonts w:ascii="Arial" w:hAnsi="Arial" w:cs="Arial"/>
          <w:color w:val="auto"/>
          <w:sz w:val="18"/>
          <w:szCs w:val="18"/>
        </w:rPr>
        <w:t>dlouhodobé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krátkodobé</w:t>
      </w:r>
      <w:r w:rsidR="00134134" w:rsidRPr="007820A2">
        <w:rPr>
          <w:rFonts w:ascii="Arial" w:hAnsi="Arial" w:cs="Arial"/>
          <w:color w:val="auto"/>
          <w:sz w:val="18"/>
          <w:szCs w:val="18"/>
        </w:rPr>
        <w:t>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podle základních 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skupin institucionálních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sektorů. Na straně aktiv jsou 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dále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uvedeny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rezervní aktiva </w:t>
      </w:r>
      <w:r w:rsidRPr="007820A2">
        <w:rPr>
          <w:rFonts w:ascii="Arial" w:hAnsi="Arial" w:cs="Arial"/>
          <w:color w:val="auto"/>
          <w:sz w:val="18"/>
          <w:szCs w:val="18"/>
        </w:rPr>
        <w:t>ČNB. Zlato jako součást jejích rezerv (obdobně i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zlato v držení obchodních bank)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je</w:t>
      </w:r>
      <w:r w:rsidR="0046656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od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roku 2000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 oceněno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tržní cenou.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Na straně pasiv 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jsou odděleně uvedeny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závazky z</w:t>
      </w:r>
      <w:r w:rsidR="005B03B7">
        <w:rPr>
          <w:rFonts w:ascii="Arial" w:hAnsi="Arial" w:cs="Arial"/>
          <w:color w:val="auto"/>
          <w:sz w:val="18"/>
          <w:szCs w:val="18"/>
        </w:rPr>
        <w:t> </w:t>
      </w:r>
      <w:r w:rsidR="00544CA6" w:rsidRPr="007820A2">
        <w:rPr>
          <w:rFonts w:ascii="Arial" w:hAnsi="Arial" w:cs="Arial"/>
          <w:color w:val="auto"/>
          <w:sz w:val="18"/>
          <w:szCs w:val="18"/>
        </w:rPr>
        <w:t>alokace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FD5BF6" w:rsidRPr="007820A2">
        <w:rPr>
          <w:rFonts w:ascii="Arial" w:hAnsi="Arial" w:cs="Arial"/>
          <w:color w:val="auto"/>
          <w:sz w:val="18"/>
          <w:szCs w:val="18"/>
        </w:rPr>
        <w:t xml:space="preserve">zvláštních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práv čerpání.</w:t>
      </w:r>
    </w:p>
    <w:p w:rsidR="000572F9" w:rsidRPr="007820A2" w:rsidRDefault="00783CB5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Saldo investiční pozice (tj. r</w:t>
      </w:r>
      <w:r w:rsidR="000572F9" w:rsidRPr="007820A2">
        <w:rPr>
          <w:rFonts w:ascii="Arial" w:hAnsi="Arial" w:cs="Arial"/>
          <w:color w:val="auto"/>
          <w:sz w:val="18"/>
          <w:szCs w:val="18"/>
        </w:rPr>
        <w:t>ozdíl mezi úhrnnými aktivy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pasivy</w:t>
      </w:r>
      <w:r w:rsidR="000572F9" w:rsidRPr="007820A2">
        <w:rPr>
          <w:rFonts w:ascii="Arial" w:hAnsi="Arial" w:cs="Arial"/>
          <w:color w:val="auto"/>
          <w:sz w:val="18"/>
          <w:szCs w:val="18"/>
        </w:rPr>
        <w:t>) představuje čistý vztah vůči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zahraničí (věřitelskou či dlužnickou pozici).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Ve stavu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zachycených v investiční pozici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k </w:t>
      </w:r>
      <w:r w:rsidRPr="007820A2">
        <w:rPr>
          <w:rFonts w:ascii="Arial" w:hAnsi="Arial" w:cs="Arial"/>
          <w:color w:val="auto"/>
          <w:sz w:val="18"/>
          <w:szCs w:val="18"/>
        </w:rPr>
        <w:t>určitému datu se odrážejí vedle transakcí uskutečněných v předcházejících obdobích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vykázaných v platební bilanci </w:t>
      </w:r>
      <w:r w:rsidR="00A07482" w:rsidRPr="007820A2">
        <w:rPr>
          <w:rFonts w:ascii="Arial" w:hAnsi="Arial" w:cs="Arial"/>
          <w:color w:val="auto"/>
          <w:sz w:val="18"/>
          <w:szCs w:val="18"/>
        </w:rPr>
        <w:t>–</w:t>
      </w:r>
      <w:r w:rsidR="00134134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kurzové</w:t>
      </w:r>
      <w:r w:rsidR="00134134" w:rsidRPr="007820A2">
        <w:rPr>
          <w:rFonts w:ascii="Arial" w:hAnsi="Arial" w:cs="Arial"/>
          <w:color w:val="auto"/>
          <w:sz w:val="18"/>
          <w:szCs w:val="18"/>
        </w:rPr>
        <w:t>, cenové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další vlivy.</w:t>
      </w:r>
    </w:p>
    <w:p w:rsidR="00783CB5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Zdroj</w:t>
      </w:r>
      <w:r w:rsidR="00783CB5" w:rsidRPr="007820A2">
        <w:rPr>
          <w:rFonts w:ascii="Arial" w:hAnsi="Arial" w:cs="Arial"/>
          <w:color w:val="auto"/>
          <w:sz w:val="18"/>
          <w:szCs w:val="18"/>
        </w:rPr>
        <w:t>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dat pro sestavení investiční pozice jsou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následující:</w:t>
      </w:r>
    </w:p>
    <w:p w:rsidR="00511B05" w:rsidRPr="007820A2" w:rsidRDefault="00783CB5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Přímé investice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 –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C60A31" w:rsidRPr="007820A2">
        <w:rPr>
          <w:rFonts w:ascii="Arial" w:hAnsi="Arial" w:cs="Arial"/>
          <w:color w:val="auto"/>
          <w:sz w:val="18"/>
          <w:szCs w:val="18"/>
        </w:rPr>
        <w:t>čtvrtletní šetření nefinančních podniků zaměřené na aktiva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pasiva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roční </w:t>
      </w:r>
      <w:r w:rsidR="00C43935" w:rsidRPr="007820A2">
        <w:rPr>
          <w:rFonts w:ascii="Arial" w:hAnsi="Arial" w:cs="Arial"/>
          <w:color w:val="auto"/>
          <w:sz w:val="18"/>
          <w:szCs w:val="18"/>
        </w:rPr>
        <w:t xml:space="preserve">výkazy </w:t>
      </w:r>
      <w:r w:rsidR="00C60A31" w:rsidRPr="007820A2">
        <w:rPr>
          <w:rFonts w:ascii="Arial" w:hAnsi="Arial" w:cs="Arial"/>
          <w:color w:val="auto"/>
          <w:sz w:val="18"/>
          <w:szCs w:val="18"/>
        </w:rPr>
        <w:t>nefinančních podniků o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>stavech přímých investic v tuzemsku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511B05" w:rsidRPr="007820A2">
        <w:rPr>
          <w:rFonts w:ascii="Arial" w:hAnsi="Arial" w:cs="Arial"/>
          <w:color w:val="auto"/>
          <w:sz w:val="18"/>
          <w:szCs w:val="18"/>
        </w:rPr>
        <w:t>v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>zahraničí.</w:t>
      </w:r>
    </w:p>
    <w:p w:rsidR="00783CB5" w:rsidRPr="007820A2" w:rsidRDefault="00B57F7F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Portfoliové investice –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měsíční výkaz měnových a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ostatních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finančních institucí, čtvrtletní šetření nefinančních podniků zaměřené na aktiva, 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měsíční </w:t>
      </w:r>
      <w:r w:rsidRPr="007820A2">
        <w:rPr>
          <w:rFonts w:ascii="Arial" w:hAnsi="Arial" w:cs="Arial"/>
          <w:color w:val="auto"/>
          <w:sz w:val="18"/>
          <w:szCs w:val="18"/>
        </w:rPr>
        <w:t>výkaz obchodníků s cennými papíry (na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účet zákazníka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na vlastní účet), </w:t>
      </w:r>
      <w:r w:rsidR="00DC4637" w:rsidRPr="007820A2">
        <w:rPr>
          <w:rFonts w:ascii="Arial" w:hAnsi="Arial" w:cs="Arial"/>
          <w:color w:val="auto"/>
          <w:sz w:val="18"/>
          <w:szCs w:val="18"/>
        </w:rPr>
        <w:t>oznámení tuzemců o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emisích cenných papírů </w:t>
      </w:r>
      <w:r w:rsidR="001F0D38" w:rsidRPr="007820A2">
        <w:rPr>
          <w:rFonts w:ascii="Arial" w:hAnsi="Arial" w:cs="Arial"/>
          <w:color w:val="auto"/>
          <w:sz w:val="18"/>
          <w:szCs w:val="18"/>
        </w:rPr>
        <w:t>na zahraničních trzích a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údaje </w:t>
      </w:r>
      <w:r w:rsidR="008D2FDE" w:rsidRPr="007820A2">
        <w:rPr>
          <w:rFonts w:ascii="Arial" w:hAnsi="Arial" w:cs="Arial"/>
          <w:color w:val="auto"/>
          <w:sz w:val="18"/>
          <w:szCs w:val="18"/>
        </w:rPr>
        <w:t>SKD (Systém krátkodobých dluhopisů spravovaný ČNB)</w:t>
      </w:r>
      <w:r w:rsidR="00355B80" w:rsidRPr="007820A2">
        <w:rPr>
          <w:rFonts w:ascii="Arial" w:hAnsi="Arial" w:cs="Arial"/>
          <w:color w:val="auto"/>
          <w:sz w:val="18"/>
          <w:szCs w:val="18"/>
        </w:rPr>
        <w:t>.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355B80" w:rsidRPr="007820A2">
        <w:rPr>
          <w:rFonts w:ascii="Arial" w:hAnsi="Arial" w:cs="Arial"/>
          <w:color w:val="auto"/>
          <w:sz w:val="18"/>
          <w:szCs w:val="18"/>
        </w:rPr>
        <w:t>Získaná data jsou porovnávána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s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údaji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CDCP (Centrální depozitář cenných papírů).</w:t>
      </w:r>
    </w:p>
    <w:p w:rsidR="00783CB5" w:rsidRPr="007820A2" w:rsidRDefault="00EA165A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Finanční deriváty –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měsíční výkaz zahraničních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8D2FDE" w:rsidRPr="007820A2">
        <w:rPr>
          <w:rFonts w:ascii="Arial" w:hAnsi="Arial" w:cs="Arial"/>
          <w:color w:val="auto"/>
          <w:sz w:val="18"/>
          <w:szCs w:val="18"/>
        </w:rPr>
        <w:t>bankovního sektoru (ČNB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ostatní měnové 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8D2FDE" w:rsidRPr="007820A2">
        <w:rPr>
          <w:rFonts w:ascii="Arial" w:hAnsi="Arial" w:cs="Arial"/>
          <w:color w:val="auto"/>
          <w:sz w:val="18"/>
          <w:szCs w:val="18"/>
        </w:rPr>
        <w:t>finanční instituce)</w:t>
      </w:r>
      <w:r w:rsidR="00714B89" w:rsidRPr="007820A2">
        <w:rPr>
          <w:rFonts w:ascii="Arial" w:hAnsi="Arial" w:cs="Arial"/>
          <w:color w:val="auto"/>
          <w:sz w:val="18"/>
          <w:szCs w:val="18"/>
        </w:rPr>
        <w:t>,</w:t>
      </w:r>
      <w:r w:rsidR="00C43935" w:rsidRPr="007820A2">
        <w:rPr>
          <w:rFonts w:ascii="Arial" w:hAnsi="Arial" w:cs="Arial"/>
          <w:color w:val="auto"/>
          <w:sz w:val="18"/>
          <w:szCs w:val="18"/>
        </w:rPr>
        <w:t xml:space="preserve"> čtvrtletní výkazy zahraničních aktiv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C43935" w:rsidRPr="007820A2">
        <w:rPr>
          <w:rFonts w:ascii="Arial" w:hAnsi="Arial" w:cs="Arial"/>
          <w:color w:val="auto"/>
          <w:sz w:val="18"/>
          <w:szCs w:val="18"/>
        </w:rPr>
        <w:t>sektoru nefinančních podniků, pojišťoven a</w:t>
      </w:r>
      <w:r w:rsidR="001F0D38" w:rsidRPr="007820A2">
        <w:rPr>
          <w:rFonts w:ascii="Arial" w:hAnsi="Arial" w:cs="Arial"/>
          <w:color w:val="auto"/>
          <w:sz w:val="18"/>
          <w:szCs w:val="18"/>
        </w:rPr>
        <w:t> </w:t>
      </w:r>
      <w:r w:rsidR="00C43935" w:rsidRPr="007820A2">
        <w:rPr>
          <w:rFonts w:ascii="Arial" w:hAnsi="Arial" w:cs="Arial"/>
          <w:color w:val="auto"/>
          <w:sz w:val="18"/>
          <w:szCs w:val="18"/>
        </w:rPr>
        <w:t>centrální vlády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a měsíční výkaz o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aktivech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pasivech </w:t>
      </w:r>
      <w:r w:rsidR="00714B89" w:rsidRPr="007820A2">
        <w:rPr>
          <w:rFonts w:ascii="Arial" w:hAnsi="Arial" w:cs="Arial"/>
          <w:color w:val="auto"/>
          <w:sz w:val="18"/>
          <w:szCs w:val="18"/>
        </w:rPr>
        <w:t>sektoru penzijních fondů</w:t>
      </w:r>
      <w:r w:rsidR="008243EC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191C8E" w:rsidRPr="007820A2" w:rsidRDefault="00EA165A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Ostatní investice – měsíční výkaz zahraničních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bankovního sektoru (ČNB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ostatní měnové 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finanční instituce), čtvrtletní šetření nefinančních podniků zaměřené na aktiva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pasiva</w:t>
      </w:r>
      <w:r w:rsidR="00E67753" w:rsidRPr="007820A2">
        <w:rPr>
          <w:rFonts w:ascii="Arial" w:hAnsi="Arial" w:cs="Arial"/>
          <w:color w:val="auto"/>
          <w:sz w:val="18"/>
          <w:szCs w:val="18"/>
        </w:rPr>
        <w:t xml:space="preserve"> (obchodní úvěry)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E67753" w:rsidRPr="007820A2">
        <w:rPr>
          <w:rFonts w:ascii="Arial" w:hAnsi="Arial" w:cs="Arial"/>
          <w:color w:val="auto"/>
          <w:sz w:val="18"/>
          <w:szCs w:val="18"/>
        </w:rPr>
        <w:t>měsíční výkaz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finančních úvěrech a </w:t>
      </w:r>
      <w:r w:rsidR="00E67753" w:rsidRPr="007820A2">
        <w:rPr>
          <w:rFonts w:ascii="Arial" w:hAnsi="Arial" w:cs="Arial"/>
          <w:color w:val="auto"/>
          <w:sz w:val="18"/>
          <w:szCs w:val="18"/>
        </w:rPr>
        <w:t xml:space="preserve">účtech </w:t>
      </w:r>
      <w:r w:rsidR="00DC4637" w:rsidRPr="007820A2">
        <w:rPr>
          <w:rFonts w:ascii="Arial" w:hAnsi="Arial" w:cs="Arial"/>
          <w:color w:val="auto"/>
          <w:sz w:val="18"/>
          <w:szCs w:val="18"/>
        </w:rPr>
        <w:t>v </w:t>
      </w:r>
      <w:r w:rsidR="00E67753" w:rsidRPr="007820A2">
        <w:rPr>
          <w:rFonts w:ascii="Arial" w:hAnsi="Arial" w:cs="Arial"/>
          <w:color w:val="auto"/>
          <w:sz w:val="18"/>
          <w:szCs w:val="18"/>
        </w:rPr>
        <w:t>zahraničí nefinančních podniků a</w:t>
      </w:r>
      <w:r w:rsidR="001F0D38" w:rsidRPr="007820A2">
        <w:rPr>
          <w:rFonts w:ascii="Arial" w:hAnsi="Arial" w:cs="Arial"/>
          <w:color w:val="auto"/>
          <w:sz w:val="18"/>
          <w:szCs w:val="18"/>
        </w:rPr>
        <w:t> ostatních finančních institucí</w:t>
      </w:r>
      <w:r w:rsidR="00191C8E" w:rsidRPr="007820A2">
        <w:rPr>
          <w:rFonts w:ascii="Arial" w:hAnsi="Arial" w:cs="Arial"/>
          <w:color w:val="auto"/>
          <w:sz w:val="18"/>
          <w:szCs w:val="18"/>
        </w:rPr>
        <w:t>, měsíční výkaz vládních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</w:t>
      </w:r>
      <w:r w:rsidR="00191C8E" w:rsidRPr="007820A2">
        <w:rPr>
          <w:rFonts w:ascii="Arial" w:hAnsi="Arial" w:cs="Arial"/>
          <w:color w:val="auto"/>
          <w:sz w:val="18"/>
          <w:szCs w:val="18"/>
        </w:rPr>
        <w:t>, administrativní zdroje.</w:t>
      </w:r>
    </w:p>
    <w:p w:rsidR="000572F9" w:rsidRPr="007820A2" w:rsidRDefault="00191C8E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Rezervní aktiva – rozvaha ČNB.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1"/>
        <w:keepNext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lastRenderedPageBreak/>
        <w:t>Tab. 7-16</w:t>
      </w:r>
      <w:r w:rsidR="006F3131" w:rsidRPr="007820A2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Zahraniční zadluženost České republiky</w:t>
      </w:r>
    </w:p>
    <w:p w:rsidR="000572F9" w:rsidRPr="007820A2" w:rsidRDefault="000572F9" w:rsidP="007820A2">
      <w:pPr>
        <w:pStyle w:val="Standardn1"/>
        <w:keepNext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Zahraniční zadluženost představuje stav finančních 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(s pevně stanovenou lhůtou splatnosti) </w:t>
      </w:r>
      <w:r w:rsidR="0080080B" w:rsidRPr="007820A2">
        <w:rPr>
          <w:rFonts w:ascii="Arial" w:hAnsi="Arial" w:cs="Arial"/>
          <w:color w:val="auto"/>
          <w:sz w:val="18"/>
          <w:szCs w:val="18"/>
        </w:rPr>
        <w:t xml:space="preserve">jednotek národního hospodářství (rezidentů) </w:t>
      </w:r>
      <w:r w:rsidRPr="007820A2">
        <w:rPr>
          <w:rFonts w:ascii="Arial" w:hAnsi="Arial" w:cs="Arial"/>
          <w:color w:val="auto"/>
          <w:sz w:val="18"/>
          <w:szCs w:val="18"/>
        </w:rPr>
        <w:t>ve vztahu k zahraničí (nerezidentům), tj. hodnotu čerpaných (na základě smluvního ujednání)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k určitému datu nesplacených (dlužných) částek. Nezahrnuje majetkové investice, tj. přímé investice </w:t>
      </w:r>
      <w:r w:rsidR="00E044C4" w:rsidRPr="007820A2">
        <w:rPr>
          <w:rFonts w:ascii="Arial" w:hAnsi="Arial" w:cs="Arial"/>
          <w:color w:val="auto"/>
          <w:sz w:val="18"/>
          <w:szCs w:val="18"/>
        </w:rPr>
        <w:t xml:space="preserve">– </w:t>
      </w:r>
      <w:r w:rsidRPr="007820A2">
        <w:rPr>
          <w:rFonts w:ascii="Arial" w:hAnsi="Arial" w:cs="Arial"/>
          <w:color w:val="auto"/>
          <w:sz w:val="18"/>
          <w:szCs w:val="18"/>
        </w:rPr>
        <w:t>základní kapitál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 vč</w:t>
      </w:r>
      <w:r w:rsidR="00985FF3" w:rsidRPr="007820A2">
        <w:rPr>
          <w:rFonts w:ascii="Arial" w:hAnsi="Arial" w:cs="Arial"/>
          <w:color w:val="auto"/>
          <w:sz w:val="18"/>
          <w:szCs w:val="18"/>
        </w:rPr>
        <w:t>etně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 reinvestovaného zisku</w:t>
      </w:r>
      <w:r w:rsidRPr="007820A2">
        <w:rPr>
          <w:rFonts w:ascii="Arial" w:hAnsi="Arial" w:cs="Arial"/>
          <w:color w:val="auto"/>
          <w:sz w:val="18"/>
          <w:szCs w:val="18"/>
        </w:rPr>
        <w:t>, portfoliové investice – majetkové cenné papíry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ostatní </w:t>
      </w:r>
      <w:r w:rsidR="00374D75" w:rsidRPr="007820A2">
        <w:rPr>
          <w:rFonts w:ascii="Arial" w:hAnsi="Arial" w:cs="Arial"/>
          <w:color w:val="auto"/>
          <w:sz w:val="18"/>
          <w:szCs w:val="18"/>
        </w:rPr>
        <w:t>účasti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4B08E7" w:rsidRPr="007820A2">
        <w:rPr>
          <w:rFonts w:ascii="Arial" w:hAnsi="Arial" w:cs="Arial"/>
          <w:color w:val="auto"/>
          <w:sz w:val="18"/>
          <w:szCs w:val="18"/>
        </w:rPr>
        <w:t>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4B08E7" w:rsidRPr="007820A2">
        <w:rPr>
          <w:rFonts w:ascii="Arial" w:hAnsi="Arial" w:cs="Arial"/>
          <w:color w:val="auto"/>
          <w:sz w:val="18"/>
          <w:szCs w:val="18"/>
        </w:rPr>
        <w:t>deriváty</w:t>
      </w:r>
      <w:r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C251ED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Zdroje 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dat pro sestavení zahraniční zadluženosti jsou 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shodné se zdroji dat </w:t>
      </w:r>
      <w:r w:rsidR="00900606" w:rsidRPr="007820A2">
        <w:rPr>
          <w:rFonts w:ascii="Arial" w:hAnsi="Arial" w:cs="Arial"/>
          <w:color w:val="auto"/>
          <w:sz w:val="18"/>
          <w:szCs w:val="18"/>
        </w:rPr>
        <w:t>i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nvestiční pozice vůči zahraničí (viz </w:t>
      </w:r>
      <w:r w:rsidRPr="007820A2">
        <w:rPr>
          <w:rFonts w:ascii="Arial" w:hAnsi="Arial" w:cs="Arial"/>
          <w:color w:val="auto"/>
          <w:sz w:val="18"/>
          <w:szCs w:val="18"/>
        </w:rPr>
        <w:t>metodika k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tabulce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374D75" w:rsidRPr="007820A2">
        <w:rPr>
          <w:rFonts w:ascii="Arial" w:hAnsi="Arial" w:cs="Arial"/>
          <w:b/>
          <w:color w:val="auto"/>
          <w:sz w:val="18"/>
          <w:szCs w:val="18"/>
        </w:rPr>
        <w:t>7</w:t>
      </w:r>
      <w:r w:rsidR="00374D75" w:rsidRPr="007820A2">
        <w:rPr>
          <w:rFonts w:ascii="Arial" w:hAnsi="Arial" w:cs="Arial"/>
          <w:color w:val="auto"/>
          <w:sz w:val="18"/>
          <w:szCs w:val="18"/>
        </w:rPr>
        <w:t>-15</w:t>
      </w:r>
      <w:r w:rsidR="00AA14F9" w:rsidRPr="007820A2">
        <w:rPr>
          <w:rFonts w:ascii="Arial" w:hAnsi="Arial" w:cs="Arial"/>
          <w:color w:val="auto"/>
          <w:sz w:val="18"/>
          <w:szCs w:val="18"/>
        </w:rPr>
        <w:t>.</w:t>
      </w:r>
      <w:r w:rsidR="00374D75" w:rsidRPr="007820A2">
        <w:rPr>
          <w:rFonts w:ascii="Arial" w:hAnsi="Arial" w:cs="Arial"/>
          <w:color w:val="auto"/>
          <w:sz w:val="18"/>
          <w:szCs w:val="18"/>
        </w:rPr>
        <w:t>)</w:t>
      </w:r>
      <w:r w:rsidR="000572F9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7-17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</w:t>
      </w:r>
      <w:r w:rsidR="007246BF" w:rsidRPr="007820A2">
        <w:rPr>
          <w:rFonts w:ascii="Arial" w:hAnsi="Arial" w:cs="Arial"/>
          <w:b/>
          <w:color w:val="0071BC"/>
          <w:sz w:val="20"/>
        </w:rPr>
        <w:t>Rezervní aktiva</w:t>
      </w:r>
    </w:p>
    <w:p w:rsidR="000572F9" w:rsidRPr="007820A2" w:rsidRDefault="007246BF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Rezervní aktiva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představují krátkodobá (likvidní) zahraniční aktiva </w:t>
      </w:r>
      <w:r w:rsidR="007255BB" w:rsidRPr="007820A2">
        <w:rPr>
          <w:rFonts w:ascii="Arial" w:hAnsi="Arial" w:cs="Arial"/>
          <w:color w:val="auto"/>
          <w:sz w:val="18"/>
          <w:szCs w:val="18"/>
        </w:rPr>
        <w:t>ČNB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900606" w:rsidRPr="007820A2">
        <w:rPr>
          <w:rFonts w:ascii="Arial" w:hAnsi="Arial" w:cs="Arial"/>
          <w:color w:val="auto"/>
          <w:sz w:val="18"/>
          <w:szCs w:val="18"/>
        </w:rPr>
        <w:t>ve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směnitelných měnách (vklady v zahraničních bankách, poskytnuté úvěry, cenn</w:t>
      </w:r>
      <w:r w:rsidR="00CC0A91" w:rsidRPr="007820A2">
        <w:rPr>
          <w:rFonts w:ascii="Arial" w:hAnsi="Arial" w:cs="Arial"/>
          <w:color w:val="auto"/>
          <w:sz w:val="18"/>
          <w:szCs w:val="18"/>
        </w:rPr>
        <w:t>é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papír</w:t>
      </w:r>
      <w:r w:rsidR="00CC0A91" w:rsidRPr="007820A2">
        <w:rPr>
          <w:rFonts w:ascii="Arial" w:hAnsi="Arial" w:cs="Arial"/>
          <w:color w:val="auto"/>
          <w:sz w:val="18"/>
          <w:szCs w:val="18"/>
        </w:rPr>
        <w:t>y</w:t>
      </w:r>
      <w:r w:rsidR="000572F9" w:rsidRPr="007820A2">
        <w:rPr>
          <w:rFonts w:ascii="Arial" w:hAnsi="Arial" w:cs="Arial"/>
          <w:color w:val="auto"/>
          <w:sz w:val="18"/>
          <w:szCs w:val="18"/>
        </w:rPr>
        <w:t>, valut</w:t>
      </w:r>
      <w:r w:rsidR="000D73EC" w:rsidRPr="007820A2">
        <w:rPr>
          <w:rFonts w:ascii="Arial" w:hAnsi="Arial" w:cs="Arial"/>
          <w:color w:val="auto"/>
          <w:sz w:val="18"/>
          <w:szCs w:val="18"/>
        </w:rPr>
        <w:t>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zlat</w:t>
      </w:r>
      <w:r w:rsidR="000D73EC" w:rsidRPr="007820A2">
        <w:rPr>
          <w:rFonts w:ascii="Arial" w:hAnsi="Arial" w:cs="Arial"/>
          <w:color w:val="auto"/>
          <w:sz w:val="18"/>
          <w:szCs w:val="18"/>
        </w:rPr>
        <w:t>o</w:t>
      </w:r>
      <w:r w:rsidR="000572F9" w:rsidRPr="007820A2">
        <w:rPr>
          <w:rFonts w:ascii="Arial" w:hAnsi="Arial" w:cs="Arial"/>
          <w:color w:val="auto"/>
          <w:sz w:val="18"/>
          <w:szCs w:val="18"/>
        </w:rPr>
        <w:t>, zvláštní práva čerpání, rezervní pozice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u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MMF) použitelná k financování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regulování nerovnováhy platební bilance.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Podkladem pro jejich propočet je </w:t>
      </w:r>
      <w:r w:rsidR="00D77E4B" w:rsidRPr="007820A2">
        <w:rPr>
          <w:rFonts w:ascii="Arial" w:hAnsi="Arial" w:cs="Arial"/>
          <w:color w:val="auto"/>
          <w:sz w:val="18"/>
          <w:szCs w:val="18"/>
        </w:rPr>
        <w:t>rozvaha</w:t>
      </w:r>
      <w:r w:rsidR="00FB55C0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ČNB.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7-18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Indexy nominálního</w:t>
      </w:r>
      <w:r w:rsidR="0046656C" w:rsidRPr="007820A2">
        <w:rPr>
          <w:rFonts w:ascii="Arial" w:hAnsi="Arial" w:cs="Arial"/>
          <w:b/>
          <w:color w:val="0071BC"/>
          <w:sz w:val="20"/>
        </w:rPr>
        <w:t xml:space="preserve"> a </w:t>
      </w:r>
      <w:r w:rsidRPr="007820A2">
        <w:rPr>
          <w:rFonts w:ascii="Arial" w:hAnsi="Arial" w:cs="Arial"/>
          <w:b/>
          <w:color w:val="0071BC"/>
          <w:sz w:val="20"/>
        </w:rPr>
        <w:t>reálného efektivního kurzu koruny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Nominální efektivní kurz koruny (NEER) vyjádřený indexem uvádí zhodnocení (index nad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100) či znehodnocení (index pod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100) národní měny vůči koši vybraných měn za určité období oproti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základnímu období (rok</w:t>
      </w:r>
      <w:r w:rsidR="00411917" w:rsidRPr="007820A2">
        <w:rPr>
          <w:rFonts w:ascii="Arial" w:hAnsi="Arial" w:cs="Arial"/>
          <w:snapToGrid w:val="0"/>
          <w:sz w:val="18"/>
          <w:szCs w:val="18"/>
        </w:rPr>
        <w:t> </w:t>
      </w:r>
      <w:r w:rsidR="005C4ECD" w:rsidRPr="007820A2">
        <w:rPr>
          <w:rFonts w:ascii="Arial" w:hAnsi="Arial" w:cs="Arial"/>
          <w:snapToGrid w:val="0"/>
          <w:sz w:val="18"/>
          <w:szCs w:val="18"/>
        </w:rPr>
        <w:t>2020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).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K výpočtům byla použita 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 xml:space="preserve">nejrozšířenější </w:t>
      </w:r>
      <w:r w:rsidRPr="007820A2">
        <w:rPr>
          <w:rFonts w:ascii="Arial" w:hAnsi="Arial" w:cs="Arial"/>
          <w:snapToGrid w:val="0"/>
          <w:sz w:val="18"/>
          <w:szCs w:val="18"/>
        </w:rPr>
        <w:t>metoda váženého geometrického průměru nominálních směnných kurzů se zohledněním váhových podílů celkového exportu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importu zemí, které patří k našim nejvýznamnějším obchodním partnerům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jejichž podíl na zahraničním obchod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u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zaujímá cca 90 %. Mimo zem</w:t>
      </w:r>
      <w:r w:rsidR="003B2090" w:rsidRPr="007820A2">
        <w:rPr>
          <w:rFonts w:ascii="Arial" w:hAnsi="Arial" w:cs="Arial"/>
          <w:snapToGrid w:val="0"/>
          <w:sz w:val="18"/>
          <w:szCs w:val="18"/>
        </w:rPr>
        <w:t>ě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eurozóny, </w:t>
      </w:r>
      <w:r w:rsidR="00D560D6" w:rsidRPr="007820A2">
        <w:rPr>
          <w:rFonts w:ascii="Arial" w:hAnsi="Arial" w:cs="Arial"/>
          <w:snapToGrid w:val="0"/>
          <w:sz w:val="18"/>
          <w:szCs w:val="18"/>
        </w:rPr>
        <w:t xml:space="preserve">zohledněné </w:t>
      </w:r>
      <w:r w:rsidRPr="007820A2">
        <w:rPr>
          <w:rFonts w:ascii="Arial" w:hAnsi="Arial" w:cs="Arial"/>
          <w:snapToGrid w:val="0"/>
          <w:sz w:val="18"/>
          <w:szCs w:val="18"/>
        </w:rPr>
        <w:t>jedním váhovým podílem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kurzem EUR, je to</w:t>
      </w:r>
      <w:r w:rsidR="00380788" w:rsidRPr="007820A2">
        <w:rPr>
          <w:rFonts w:ascii="Arial" w:hAnsi="Arial" w:cs="Arial"/>
          <w:snapToGrid w:val="0"/>
          <w:sz w:val="18"/>
          <w:szCs w:val="18"/>
        </w:rPr>
        <w:t xml:space="preserve"> Čína, Polsko, Velká Británie, Maďarsko, Rusko, Spojené státy, Švýcarsko, Korejská republika, Rumunsko, Švédsko, Japonsko a</w:t>
      </w:r>
      <w:r w:rsidR="003C0513" w:rsidRPr="007820A2">
        <w:rPr>
          <w:rFonts w:ascii="Arial" w:hAnsi="Arial" w:cs="Arial"/>
          <w:snapToGrid w:val="0"/>
          <w:sz w:val="18"/>
          <w:szCs w:val="18"/>
        </w:rPr>
        <w:t> </w:t>
      </w:r>
      <w:r w:rsidR="00380788" w:rsidRPr="007820A2">
        <w:rPr>
          <w:rFonts w:ascii="Arial" w:hAnsi="Arial" w:cs="Arial"/>
          <w:snapToGrid w:val="0"/>
          <w:sz w:val="18"/>
          <w:szCs w:val="18"/>
        </w:rPr>
        <w:t>Dánsko</w:t>
      </w:r>
      <w:r w:rsidRPr="007820A2">
        <w:rPr>
          <w:rFonts w:ascii="Arial" w:hAnsi="Arial" w:cs="Arial"/>
          <w:snapToGrid w:val="0"/>
          <w:sz w:val="18"/>
          <w:szCs w:val="18"/>
        </w:rPr>
        <w:t>. Váhové podíly byly zpracovány ve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dvou variantách. První varianta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uplatňovaná Mezinárodním měnovým fondem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se vztahuje k celému obchodnímu obratu zahraničního obchodu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>. Druhá varianta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uplatňovaná Evropskou centrální bankou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se </w:t>
      </w:r>
      <w:r w:rsidRPr="007820A2">
        <w:rPr>
          <w:rFonts w:ascii="Arial" w:hAnsi="Arial" w:cs="Arial"/>
          <w:snapToGrid w:val="0"/>
          <w:sz w:val="18"/>
          <w:szCs w:val="18"/>
        </w:rPr>
        <w:t>vztahuje pouze ke čtyřem komoditním skupinám zahraničního obchodu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>, mezi které patří komoditní skupiny</w:t>
      </w:r>
      <w:r w:rsidR="002A75C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(5–8) podle klasifikace OSN </w:t>
      </w:r>
      <w:r w:rsidR="00E044C4" w:rsidRPr="007820A2">
        <w:rPr>
          <w:rFonts w:ascii="Arial" w:hAnsi="Arial" w:cs="Arial"/>
          <w:snapToGrid w:val="0"/>
          <w:sz w:val="18"/>
          <w:szCs w:val="18"/>
        </w:rPr>
        <w:t>– </w:t>
      </w:r>
      <w:r w:rsidRPr="007820A2">
        <w:rPr>
          <w:rFonts w:ascii="Arial" w:hAnsi="Arial" w:cs="Arial"/>
          <w:i/>
          <w:iCs/>
          <w:snapToGrid w:val="0"/>
          <w:sz w:val="18"/>
          <w:szCs w:val="18"/>
        </w:rPr>
        <w:t>Standard International Trade Classification</w:t>
      </w:r>
      <w:r w:rsidR="002A75C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(</w:t>
      </w:r>
      <w:r w:rsidR="00940723" w:rsidRPr="007820A2">
        <w:rPr>
          <w:rFonts w:ascii="Arial" w:hAnsi="Arial" w:cs="Arial"/>
          <w:i/>
          <w:snapToGrid w:val="0"/>
          <w:sz w:val="18"/>
          <w:szCs w:val="18"/>
        </w:rPr>
        <w:t>SITC</w:t>
      </w:r>
      <w:r w:rsidRPr="007820A2">
        <w:rPr>
          <w:rFonts w:ascii="Arial" w:hAnsi="Arial" w:cs="Arial"/>
          <w:snapToGrid w:val="0"/>
          <w:sz w:val="18"/>
          <w:szCs w:val="18"/>
        </w:rPr>
        <w:t>).</w:t>
      </w:r>
      <w:r w:rsidR="003B2090" w:rsidRPr="007820A2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Zdroj dat: kurzovní lístek ČNB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 xml:space="preserve">; </w:t>
      </w:r>
      <w:r w:rsidRPr="007820A2">
        <w:rPr>
          <w:rFonts w:ascii="Arial" w:hAnsi="Arial" w:cs="Arial"/>
          <w:snapToGrid w:val="0"/>
          <w:sz w:val="18"/>
          <w:szCs w:val="18"/>
        </w:rPr>
        <w:t>publikace ČSÚ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>zahraničním obchod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u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ČR.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Reálný efektivní</w:t>
      </w:r>
      <w:r w:rsidR="00027B73" w:rsidRPr="007820A2">
        <w:rPr>
          <w:rFonts w:ascii="Arial" w:hAnsi="Arial" w:cs="Arial"/>
          <w:sz w:val="18"/>
          <w:szCs w:val="18"/>
        </w:rPr>
        <w:t xml:space="preserve"> kurz koruny (REER) je jedním z</w:t>
      </w:r>
      <w:r w:rsidR="00C56E0B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indikátorů vývoje mezinárodní konkurenceschopnosti země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obecně se jím rozumí různé míry relativních cen nebo nákladů vyjádřené v určité měně. Z tohoto pohledu index REER nad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100 signalizuje tendenci ke snižování konkurenceschopnosti země proti základnímu období, pokles indexu REER pod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100 znamená zvyšování konkurenceschopnosti země oproti základnímu období (rok</w:t>
      </w:r>
      <w:r w:rsidR="00411917" w:rsidRPr="007820A2">
        <w:rPr>
          <w:rFonts w:ascii="Arial" w:hAnsi="Arial" w:cs="Arial"/>
          <w:sz w:val="18"/>
          <w:szCs w:val="18"/>
        </w:rPr>
        <w:t> </w:t>
      </w:r>
      <w:r w:rsidR="005C4ECD" w:rsidRPr="007820A2">
        <w:rPr>
          <w:rFonts w:ascii="Arial" w:hAnsi="Arial" w:cs="Arial"/>
          <w:sz w:val="18"/>
          <w:szCs w:val="18"/>
        </w:rPr>
        <w:t>2020</w:t>
      </w:r>
      <w:r w:rsidRPr="007820A2">
        <w:rPr>
          <w:rFonts w:ascii="Arial" w:hAnsi="Arial" w:cs="Arial"/>
          <w:sz w:val="18"/>
          <w:szCs w:val="18"/>
        </w:rPr>
        <w:t>).</w:t>
      </w:r>
      <w:r w:rsidR="003B2090"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Z metod používaných pro výpočet REER byla použita nejrozšířenější metoda váženého geometrického průměru poměru indexu nominálního kurzu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cenového diferenciálu, přičemž vahami jsou podíly největších obchodních partnerů na obratu zahraničního obchodu.</w:t>
      </w:r>
      <w:r w:rsidR="003B2090"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Při konstrukci indexu reálného efektivního kurzu koruny byly použity spotřebitelské ceny a ceny průmyslových výrobců 1</w:t>
      </w:r>
      <w:r w:rsidR="008613A9" w:rsidRPr="007820A2">
        <w:rPr>
          <w:rFonts w:ascii="Arial" w:hAnsi="Arial" w:cs="Arial"/>
          <w:sz w:val="18"/>
          <w:szCs w:val="18"/>
        </w:rPr>
        <w:t>2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zemí mimo eurozónu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všech zemí eurozóny. Jednotlivé země eurozóny jsou pro výpočty uváděny jako jedna měnová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cenová oblast. Počet zemí eurozóny </w:t>
      </w:r>
      <w:r w:rsidR="008613A9" w:rsidRPr="007820A2">
        <w:rPr>
          <w:rFonts w:ascii="Arial" w:hAnsi="Arial" w:cs="Arial"/>
          <w:sz w:val="18"/>
          <w:szCs w:val="18"/>
        </w:rPr>
        <w:t>se </w:t>
      </w:r>
      <w:r w:rsidRPr="007820A2">
        <w:rPr>
          <w:rFonts w:ascii="Arial" w:hAnsi="Arial" w:cs="Arial"/>
          <w:sz w:val="18"/>
          <w:szCs w:val="18"/>
        </w:rPr>
        <w:t>mění podle aktuálního stavu. Struktura zemí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jejich váhové podíly jsou shodné s metodikou výpočtu indexu </w:t>
      </w:r>
      <w:r w:rsidR="002F0EF9" w:rsidRPr="007820A2">
        <w:rPr>
          <w:rFonts w:ascii="Arial" w:hAnsi="Arial" w:cs="Arial"/>
          <w:sz w:val="18"/>
          <w:szCs w:val="18"/>
        </w:rPr>
        <w:t>NEER</w:t>
      </w:r>
      <w:r w:rsidRPr="007820A2">
        <w:rPr>
          <w:rFonts w:ascii="Arial" w:hAnsi="Arial" w:cs="Arial"/>
          <w:sz w:val="18"/>
          <w:szCs w:val="18"/>
        </w:rPr>
        <w:t>. V první variantě se váhy vztahují k celému obratu zahraničního obchodu, ve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druhé variantě se váhové podíly vztahují pouze na obrat v komoditních skupinách</w:t>
      </w:r>
      <w:r w:rsidR="00411917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(5–8) podle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klasifikace SITC.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Zdroj dat: statistiky ECB</w:t>
      </w:r>
      <w:r w:rsidR="002F0EF9" w:rsidRPr="007820A2">
        <w:rPr>
          <w:rFonts w:ascii="Arial" w:hAnsi="Arial" w:cs="Arial"/>
          <w:sz w:val="18"/>
          <w:szCs w:val="18"/>
        </w:rPr>
        <w:t>;</w:t>
      </w:r>
      <w:r w:rsidRPr="007820A2">
        <w:rPr>
          <w:rFonts w:ascii="Arial" w:hAnsi="Arial" w:cs="Arial"/>
          <w:sz w:val="18"/>
          <w:szCs w:val="18"/>
        </w:rPr>
        <w:t xml:space="preserve"> indexy nominálního kurzu z propočtů ČNB.</w:t>
      </w:r>
    </w:p>
    <w:p w:rsidR="000572F9" w:rsidRDefault="000572F9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Vzorec výpočtu indexu </w:t>
      </w:r>
      <w:r w:rsidR="002F0EF9" w:rsidRPr="007820A2">
        <w:rPr>
          <w:rFonts w:ascii="Arial" w:hAnsi="Arial" w:cs="Arial"/>
          <w:sz w:val="18"/>
          <w:szCs w:val="18"/>
        </w:rPr>
        <w:t>REER</w:t>
      </w:r>
      <w:r w:rsidRPr="007820A2">
        <w:rPr>
          <w:rFonts w:ascii="Arial" w:hAnsi="Arial" w:cs="Arial"/>
          <w:sz w:val="18"/>
          <w:szCs w:val="18"/>
        </w:rPr>
        <w:t>:</w:t>
      </w:r>
    </w:p>
    <w:p w:rsidR="007820A2" w:rsidRPr="007820A2" w:rsidRDefault="007820A2" w:rsidP="00D53ACF">
      <w:pPr>
        <w:pStyle w:val="Zkladntex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0572F9" w:rsidRPr="00C822C2" w:rsidRDefault="000572F9" w:rsidP="007820A2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75pt;height:60pt" o:ole="" fillcolor="window">
            <v:imagedata r:id="rId15" o:title=""/>
          </v:shape>
          <o:OLEObject Type="Embed" ProgID="Equation.3" ShapeID="_x0000_i1029" DrawAspect="Content" ObjectID="_1728818347" r:id="rId16"/>
        </w:object>
      </w:r>
    </w:p>
    <w:p w:rsidR="000572F9" w:rsidRPr="007820A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7820A2" w:rsidTr="00513C24">
        <w:tc>
          <w:tcPr>
            <w:tcW w:w="4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kde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it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bazický index tuzemské měny k měně i-tého obchodního partnera v období t</w:t>
            </w:r>
          </w:p>
        </w:tc>
      </w:tr>
      <w:tr w:rsidR="000572F9" w:rsidRPr="007820A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it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</w:p>
        </w:tc>
      </w:tr>
      <w:tr w:rsidR="000572F9" w:rsidRPr="007820A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normalizované váhy měny i-tého obchodního partnera</w:t>
            </w:r>
          </w:p>
        </w:tc>
      </w:tr>
    </w:tbl>
    <w:p w:rsidR="000572F9" w:rsidRPr="007820A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D53ACF">
      <w:pPr>
        <w:pStyle w:val="Standardnte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7-19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Devizové kurzy hlavních měn</w:t>
      </w:r>
    </w:p>
    <w:p w:rsidR="000572F9" w:rsidRPr="007820A2" w:rsidRDefault="000572F9" w:rsidP="00D53ACF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Průměrné roční kurzy </w:t>
      </w:r>
      <w:r w:rsidR="0089424A" w:rsidRPr="007820A2">
        <w:rPr>
          <w:rFonts w:ascii="Arial" w:hAnsi="Arial" w:cs="Arial"/>
          <w:color w:val="auto"/>
          <w:sz w:val="18"/>
          <w:szCs w:val="18"/>
        </w:rPr>
        <w:t xml:space="preserve">zahraničních </w:t>
      </w:r>
      <w:r w:rsidRPr="007820A2">
        <w:rPr>
          <w:rFonts w:ascii="Arial" w:hAnsi="Arial" w:cs="Arial"/>
          <w:color w:val="auto"/>
          <w:sz w:val="18"/>
          <w:szCs w:val="18"/>
        </w:rPr>
        <w:t>měn vůči Kč byly počítány z denních kótovaných hodnot uváděných v kurzovním lístku vydávaném ČNB.</w:t>
      </w: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center"/>
        <w:rPr>
          <w:rFonts w:ascii="Arial" w:hAnsi="Arial" w:cs="Arial"/>
          <w:color w:val="0071BC"/>
          <w:sz w:val="20"/>
        </w:rPr>
      </w:pPr>
      <w:r w:rsidRPr="007820A2">
        <w:rPr>
          <w:rFonts w:ascii="Arial" w:hAnsi="Arial" w:cs="Arial"/>
          <w:color w:val="0071BC"/>
          <w:sz w:val="20"/>
        </w:rPr>
        <w:t>*          *          *</w:t>
      </w: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F628D6" w:rsidRPr="007820A2" w:rsidRDefault="000572F9" w:rsidP="007820A2">
      <w:pPr>
        <w:pStyle w:val="Standardnte"/>
        <w:widowControl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Podrobnější přehledy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aktuální údaje z oblasti měnové statistiky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platební bilance jsou k dispozici na </w:t>
      </w:r>
      <w:r w:rsidR="004C496E" w:rsidRPr="007820A2">
        <w:rPr>
          <w:rFonts w:ascii="Arial" w:hAnsi="Arial" w:cs="Arial"/>
          <w:color w:val="auto"/>
          <w:sz w:val="18"/>
          <w:szCs w:val="18"/>
        </w:rPr>
        <w:t>internetových stránkách ČNB</w:t>
      </w:r>
      <w:r w:rsidRPr="007820A2">
        <w:rPr>
          <w:rFonts w:ascii="Arial" w:hAnsi="Arial" w:cs="Arial"/>
          <w:color w:val="auto"/>
          <w:sz w:val="18"/>
          <w:szCs w:val="18"/>
        </w:rPr>
        <w:t>:</w:t>
      </w:r>
      <w:r w:rsidRPr="007820A2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820A2">
        <w:rPr>
          <w:rFonts w:ascii="Arial" w:hAnsi="Arial" w:cs="Arial"/>
          <w:bCs/>
          <w:color w:val="auto"/>
          <w:sz w:val="18"/>
          <w:szCs w:val="18"/>
        </w:rPr>
        <w:t>– </w:t>
      </w:r>
      <w:hyperlink w:history="1"/>
      <w:hyperlink r:id="rId17" w:history="1">
        <w:r w:rsidR="0000297B" w:rsidRPr="007820A2">
          <w:rPr>
            <w:rStyle w:val="Hypertextovodkaz"/>
            <w:rFonts w:ascii="Arial" w:hAnsi="Arial" w:cs="Arial"/>
            <w:bCs/>
            <w:sz w:val="18"/>
            <w:szCs w:val="18"/>
          </w:rPr>
          <w:t>www.cnb.cz/cs/statistika</w:t>
        </w:r>
      </w:hyperlink>
      <w:r w:rsidR="00433F84" w:rsidRPr="007820A2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sectPr w:rsidR="000572F9" w:rsidRPr="007820A2" w:rsidSect="007820A2">
      <w:headerReference w:type="even" r:id="rId18"/>
      <w:pgSz w:w="11907" w:h="16840" w:code="9"/>
      <w:pgMar w:top="1134" w:right="964" w:bottom="1418" w:left="96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28" w:rsidRDefault="00912628">
      <w:r>
        <w:separator/>
      </w:r>
    </w:p>
  </w:endnote>
  <w:endnote w:type="continuationSeparator" w:id="0">
    <w:p w:rsidR="00912628" w:rsidRDefault="00912628">
      <w:r>
        <w:continuationSeparator/>
      </w:r>
    </w:p>
  </w:endnote>
  <w:endnote w:type="continuationNotice" w:id="1">
    <w:p w:rsidR="00912628" w:rsidRDefault="00912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28" w:rsidRDefault="00912628">
      <w:r>
        <w:separator/>
      </w:r>
    </w:p>
  </w:footnote>
  <w:footnote w:type="continuationSeparator" w:id="0">
    <w:p w:rsidR="00912628" w:rsidRDefault="00912628">
      <w:r>
        <w:continuationSeparator/>
      </w:r>
    </w:p>
  </w:footnote>
  <w:footnote w:type="continuationNotice" w:id="1">
    <w:p w:rsidR="00912628" w:rsidRDefault="00912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B76C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0E7CC9"/>
    <w:rsid w:val="00102B3F"/>
    <w:rsid w:val="00103E94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07DA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E107E"/>
    <w:rsid w:val="001F0D38"/>
    <w:rsid w:val="001F3F9F"/>
    <w:rsid w:val="001F706B"/>
    <w:rsid w:val="002023AC"/>
    <w:rsid w:val="00203D9E"/>
    <w:rsid w:val="002125E4"/>
    <w:rsid w:val="00214344"/>
    <w:rsid w:val="00214452"/>
    <w:rsid w:val="002148E2"/>
    <w:rsid w:val="00216260"/>
    <w:rsid w:val="00227383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4606"/>
    <w:rsid w:val="0030666D"/>
    <w:rsid w:val="00310952"/>
    <w:rsid w:val="00310A25"/>
    <w:rsid w:val="00314A5F"/>
    <w:rsid w:val="0031770F"/>
    <w:rsid w:val="00322EDB"/>
    <w:rsid w:val="00336EC0"/>
    <w:rsid w:val="0033754D"/>
    <w:rsid w:val="00340DB1"/>
    <w:rsid w:val="003478B2"/>
    <w:rsid w:val="00353844"/>
    <w:rsid w:val="00354553"/>
    <w:rsid w:val="00355B80"/>
    <w:rsid w:val="00361A15"/>
    <w:rsid w:val="003656FD"/>
    <w:rsid w:val="00373677"/>
    <w:rsid w:val="003738AF"/>
    <w:rsid w:val="0037401A"/>
    <w:rsid w:val="00374D75"/>
    <w:rsid w:val="00377B82"/>
    <w:rsid w:val="00380788"/>
    <w:rsid w:val="00381E65"/>
    <w:rsid w:val="00382AA3"/>
    <w:rsid w:val="00390690"/>
    <w:rsid w:val="003A2013"/>
    <w:rsid w:val="003B077F"/>
    <w:rsid w:val="003B2090"/>
    <w:rsid w:val="003C0513"/>
    <w:rsid w:val="003C1771"/>
    <w:rsid w:val="003C1DAA"/>
    <w:rsid w:val="003C234D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14B91"/>
    <w:rsid w:val="00420721"/>
    <w:rsid w:val="004256B4"/>
    <w:rsid w:val="00433F84"/>
    <w:rsid w:val="004350C5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74B"/>
    <w:rsid w:val="004929E8"/>
    <w:rsid w:val="004951DC"/>
    <w:rsid w:val="004A6DB4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13C24"/>
    <w:rsid w:val="005248B1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510"/>
    <w:rsid w:val="00554A4F"/>
    <w:rsid w:val="00556C47"/>
    <w:rsid w:val="005679FE"/>
    <w:rsid w:val="005730BF"/>
    <w:rsid w:val="00574EAE"/>
    <w:rsid w:val="0058314A"/>
    <w:rsid w:val="00586676"/>
    <w:rsid w:val="005967C8"/>
    <w:rsid w:val="005A3C44"/>
    <w:rsid w:val="005B03B7"/>
    <w:rsid w:val="005C00D3"/>
    <w:rsid w:val="005C070A"/>
    <w:rsid w:val="005C3D6D"/>
    <w:rsid w:val="005C427B"/>
    <w:rsid w:val="005C4ECD"/>
    <w:rsid w:val="005D0F09"/>
    <w:rsid w:val="005D5A54"/>
    <w:rsid w:val="005E46EF"/>
    <w:rsid w:val="005E650A"/>
    <w:rsid w:val="00601606"/>
    <w:rsid w:val="0060228D"/>
    <w:rsid w:val="0060409A"/>
    <w:rsid w:val="00615E70"/>
    <w:rsid w:val="00625A82"/>
    <w:rsid w:val="00626950"/>
    <w:rsid w:val="006468C7"/>
    <w:rsid w:val="00647EE0"/>
    <w:rsid w:val="00655E31"/>
    <w:rsid w:val="006676BF"/>
    <w:rsid w:val="00672335"/>
    <w:rsid w:val="0067753F"/>
    <w:rsid w:val="00685343"/>
    <w:rsid w:val="006854C6"/>
    <w:rsid w:val="006A035D"/>
    <w:rsid w:val="006A075F"/>
    <w:rsid w:val="006A4D6B"/>
    <w:rsid w:val="006A5D88"/>
    <w:rsid w:val="006A5F34"/>
    <w:rsid w:val="006B2312"/>
    <w:rsid w:val="006B3F7B"/>
    <w:rsid w:val="006B4BA9"/>
    <w:rsid w:val="006C0161"/>
    <w:rsid w:val="006C229B"/>
    <w:rsid w:val="006C26CC"/>
    <w:rsid w:val="006C380B"/>
    <w:rsid w:val="006D45F6"/>
    <w:rsid w:val="006D72FF"/>
    <w:rsid w:val="006F3131"/>
    <w:rsid w:val="006F3573"/>
    <w:rsid w:val="006F5AAA"/>
    <w:rsid w:val="0070140F"/>
    <w:rsid w:val="00702827"/>
    <w:rsid w:val="0070674B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64374"/>
    <w:rsid w:val="007701F8"/>
    <w:rsid w:val="007709C2"/>
    <w:rsid w:val="00771A50"/>
    <w:rsid w:val="00771FD4"/>
    <w:rsid w:val="00781BC9"/>
    <w:rsid w:val="007820A2"/>
    <w:rsid w:val="00783CB5"/>
    <w:rsid w:val="00791845"/>
    <w:rsid w:val="007A7F14"/>
    <w:rsid w:val="007B2365"/>
    <w:rsid w:val="007B4A87"/>
    <w:rsid w:val="007C37C6"/>
    <w:rsid w:val="007D3609"/>
    <w:rsid w:val="007D64B6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68D6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8F474A"/>
    <w:rsid w:val="00900606"/>
    <w:rsid w:val="009067CA"/>
    <w:rsid w:val="00912628"/>
    <w:rsid w:val="00931B5C"/>
    <w:rsid w:val="00940723"/>
    <w:rsid w:val="00942801"/>
    <w:rsid w:val="00947303"/>
    <w:rsid w:val="00964FA2"/>
    <w:rsid w:val="00965303"/>
    <w:rsid w:val="00983AD7"/>
    <w:rsid w:val="00985FF3"/>
    <w:rsid w:val="00993CE6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10B65"/>
    <w:rsid w:val="00A319AF"/>
    <w:rsid w:val="00A338FF"/>
    <w:rsid w:val="00A43914"/>
    <w:rsid w:val="00A47F5D"/>
    <w:rsid w:val="00A534B0"/>
    <w:rsid w:val="00A563BC"/>
    <w:rsid w:val="00A57320"/>
    <w:rsid w:val="00A61541"/>
    <w:rsid w:val="00A66EAE"/>
    <w:rsid w:val="00A85731"/>
    <w:rsid w:val="00A92350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738AB"/>
    <w:rsid w:val="00B76C2D"/>
    <w:rsid w:val="00B91D94"/>
    <w:rsid w:val="00B961B1"/>
    <w:rsid w:val="00BA3F1C"/>
    <w:rsid w:val="00BA7DB2"/>
    <w:rsid w:val="00BB1052"/>
    <w:rsid w:val="00BB2034"/>
    <w:rsid w:val="00BB23B7"/>
    <w:rsid w:val="00BB69ED"/>
    <w:rsid w:val="00BB7FCB"/>
    <w:rsid w:val="00BC074A"/>
    <w:rsid w:val="00BD0F80"/>
    <w:rsid w:val="00BD11A6"/>
    <w:rsid w:val="00BD41C9"/>
    <w:rsid w:val="00BD4BF8"/>
    <w:rsid w:val="00BE076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B0232"/>
    <w:rsid w:val="00CB5133"/>
    <w:rsid w:val="00CC0A91"/>
    <w:rsid w:val="00CC1B1B"/>
    <w:rsid w:val="00CC6BAA"/>
    <w:rsid w:val="00CD2908"/>
    <w:rsid w:val="00CE4728"/>
    <w:rsid w:val="00CF06E3"/>
    <w:rsid w:val="00D06A34"/>
    <w:rsid w:val="00D0771A"/>
    <w:rsid w:val="00D11DEA"/>
    <w:rsid w:val="00D12EBA"/>
    <w:rsid w:val="00D17970"/>
    <w:rsid w:val="00D33E20"/>
    <w:rsid w:val="00D35264"/>
    <w:rsid w:val="00D37C43"/>
    <w:rsid w:val="00D46514"/>
    <w:rsid w:val="00D47B2B"/>
    <w:rsid w:val="00D53ACF"/>
    <w:rsid w:val="00D560D6"/>
    <w:rsid w:val="00D6328D"/>
    <w:rsid w:val="00D755D4"/>
    <w:rsid w:val="00D75CB4"/>
    <w:rsid w:val="00D773F4"/>
    <w:rsid w:val="00D77E4B"/>
    <w:rsid w:val="00D813AF"/>
    <w:rsid w:val="00D843FD"/>
    <w:rsid w:val="00D84A55"/>
    <w:rsid w:val="00D965A3"/>
    <w:rsid w:val="00D97B81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17A1F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B10DC"/>
    <w:rsid w:val="00EC59A9"/>
    <w:rsid w:val="00EC5FCF"/>
    <w:rsid w:val="00ED6289"/>
    <w:rsid w:val="00ED695D"/>
    <w:rsid w:val="00EE1943"/>
    <w:rsid w:val="00EF40FD"/>
    <w:rsid w:val="00EF756D"/>
    <w:rsid w:val="00F012D7"/>
    <w:rsid w:val="00F01B00"/>
    <w:rsid w:val="00F13B0D"/>
    <w:rsid w:val="00F1510E"/>
    <w:rsid w:val="00F2035A"/>
    <w:rsid w:val="00F2295B"/>
    <w:rsid w:val="00F2522E"/>
    <w:rsid w:val="00F3345E"/>
    <w:rsid w:val="00F33C3A"/>
    <w:rsid w:val="00F375A7"/>
    <w:rsid w:val="00F43288"/>
    <w:rsid w:val="00F628D6"/>
    <w:rsid w:val="00F643C6"/>
    <w:rsid w:val="00F702DC"/>
    <w:rsid w:val="00F726C8"/>
    <w:rsid w:val="00F950A2"/>
    <w:rsid w:val="00F975EC"/>
    <w:rsid w:val="00FA5D80"/>
    <w:rsid w:val="00FA741A"/>
    <w:rsid w:val="00FB0416"/>
    <w:rsid w:val="00FB55C0"/>
    <w:rsid w:val="00FB5CE3"/>
    <w:rsid w:val="00FD5BF6"/>
    <w:rsid w:val="00FD7B55"/>
    <w:rsid w:val="00FE574F"/>
    <w:rsid w:val="00FF1F4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77E27F11"/>
  <w15:docId w15:val="{3C7EFBB2-CCC4-4448-82C2-4A33371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8B72-5BD9-4CF4-8B50-90F5A23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4141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28520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Novotná Venuše</cp:lastModifiedBy>
  <cp:revision>8</cp:revision>
  <cp:lastPrinted>2017-03-14T09:03:00Z</cp:lastPrinted>
  <dcterms:created xsi:type="dcterms:W3CDTF">2022-02-11T10:07:00Z</dcterms:created>
  <dcterms:modified xsi:type="dcterms:W3CDTF">2022-11-01T13:33:00Z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